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Default Extension="sldx" ContentType="application/vnd.openxmlformats-officedocument.presentationml.slide"/>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5168" w:rsidRDefault="00685168" w:rsidP="004803A9">
      <w:pPr>
        <w:spacing w:after="240"/>
        <w:jc w:val="center"/>
        <w:rPr>
          <w:rFonts w:ascii="Book Antiqua" w:hAnsi="Book Antiqua"/>
          <w:b/>
          <w:i/>
          <w:outline/>
          <w:shadow/>
          <w:color w:val="000000"/>
          <w:sz w:val="72"/>
          <w:szCs w:val="72"/>
        </w:rPr>
      </w:pPr>
    </w:p>
    <w:p w:rsidR="004803A9" w:rsidRDefault="004803A9" w:rsidP="004803A9">
      <w:pPr>
        <w:spacing w:after="240"/>
        <w:jc w:val="center"/>
        <w:rPr>
          <w:rFonts w:ascii="Book Antiqua" w:hAnsi="Book Antiqua"/>
          <w:b/>
          <w:i/>
          <w:outline/>
          <w:shadow/>
          <w:color w:val="000000"/>
          <w:sz w:val="72"/>
          <w:szCs w:val="72"/>
        </w:rPr>
      </w:pPr>
      <w:r>
        <w:rPr>
          <w:rFonts w:ascii="Book Antiqua" w:hAnsi="Book Antiqua"/>
          <w:b/>
          <w:i/>
          <w:outline/>
          <w:shadow/>
          <w:color w:val="000000"/>
          <w:sz w:val="72"/>
          <w:szCs w:val="72"/>
        </w:rPr>
        <w:t>COSMOLOGY</w:t>
      </w:r>
    </w:p>
    <w:p w:rsidR="00685168" w:rsidRDefault="00685168" w:rsidP="004803A9">
      <w:pPr>
        <w:spacing w:after="240"/>
        <w:jc w:val="center"/>
        <w:rPr>
          <w:rFonts w:ascii="Book Antiqua" w:hAnsi="Book Antiqua"/>
          <w:b/>
          <w:i/>
          <w:outline/>
          <w:shadow/>
          <w:color w:val="000000"/>
          <w:sz w:val="72"/>
          <w:szCs w:val="72"/>
        </w:rPr>
      </w:pPr>
    </w:p>
    <w:p w:rsidR="004803A9" w:rsidRDefault="004803A9" w:rsidP="004803A9">
      <w:pPr>
        <w:spacing w:after="240"/>
        <w:jc w:val="center"/>
        <w:rPr>
          <w:rFonts w:ascii="Book Antiqua" w:hAnsi="Book Antiqua"/>
          <w:b/>
          <w:i/>
          <w:outline/>
          <w:shadow/>
          <w:color w:val="000000"/>
          <w:sz w:val="72"/>
          <w:szCs w:val="72"/>
        </w:rPr>
      </w:pPr>
      <w:proofErr w:type="gramStart"/>
      <w:r>
        <w:rPr>
          <w:rFonts w:ascii="Book Antiqua" w:hAnsi="Book Antiqua"/>
          <w:b/>
          <w:i/>
          <w:outline/>
          <w:shadow/>
          <w:color w:val="000000"/>
          <w:sz w:val="72"/>
          <w:szCs w:val="72"/>
        </w:rPr>
        <w:t>and</w:t>
      </w:r>
      <w:proofErr w:type="gramEnd"/>
      <w:r>
        <w:rPr>
          <w:rFonts w:ascii="Book Antiqua" w:hAnsi="Book Antiqua"/>
          <w:b/>
          <w:i/>
          <w:outline/>
          <w:shadow/>
          <w:color w:val="000000"/>
          <w:sz w:val="72"/>
          <w:szCs w:val="72"/>
        </w:rPr>
        <w:t xml:space="preserve"> the</w:t>
      </w:r>
    </w:p>
    <w:p w:rsidR="00685168" w:rsidRDefault="00685168" w:rsidP="004803A9">
      <w:pPr>
        <w:spacing w:after="240"/>
        <w:jc w:val="center"/>
        <w:rPr>
          <w:rFonts w:ascii="Book Antiqua" w:hAnsi="Book Antiqua"/>
          <w:b/>
          <w:i/>
          <w:outline/>
          <w:shadow/>
          <w:color w:val="000000"/>
          <w:sz w:val="72"/>
          <w:szCs w:val="72"/>
        </w:rPr>
      </w:pPr>
    </w:p>
    <w:p w:rsidR="004803A9" w:rsidRDefault="004803A9" w:rsidP="004803A9">
      <w:pPr>
        <w:spacing w:after="240"/>
        <w:jc w:val="center"/>
        <w:rPr>
          <w:rFonts w:ascii="Book Antiqua" w:hAnsi="Book Antiqua"/>
          <w:b/>
          <w:i/>
          <w:outline/>
          <w:shadow/>
          <w:color w:val="000000"/>
          <w:sz w:val="72"/>
          <w:szCs w:val="72"/>
        </w:rPr>
      </w:pPr>
      <w:r>
        <w:rPr>
          <w:rFonts w:ascii="Book Antiqua" w:hAnsi="Book Antiqua"/>
          <w:b/>
          <w:i/>
          <w:outline/>
          <w:shadow/>
          <w:color w:val="000000"/>
          <w:sz w:val="72"/>
          <w:szCs w:val="72"/>
        </w:rPr>
        <w:t>ZERO POINT ENERGY</w:t>
      </w:r>
    </w:p>
    <w:p w:rsidR="00685168" w:rsidRDefault="00685168" w:rsidP="004803A9">
      <w:pPr>
        <w:spacing w:before="1200" w:after="1440"/>
        <w:jc w:val="center"/>
        <w:rPr>
          <w:rFonts w:ascii="Book Antiqua" w:hAnsi="Book Antiqua"/>
          <w:b/>
          <w:i/>
          <w:sz w:val="36"/>
          <w:szCs w:val="36"/>
        </w:rPr>
      </w:pPr>
    </w:p>
    <w:p w:rsidR="004803A9" w:rsidRDefault="004803A9" w:rsidP="004803A9">
      <w:pPr>
        <w:spacing w:before="1200" w:after="1440"/>
        <w:jc w:val="center"/>
        <w:rPr>
          <w:rFonts w:ascii="Book Antiqua" w:hAnsi="Book Antiqua"/>
          <w:b/>
          <w:i/>
          <w:sz w:val="36"/>
          <w:szCs w:val="36"/>
        </w:rPr>
      </w:pPr>
      <w:r>
        <w:rPr>
          <w:rFonts w:ascii="Book Antiqua" w:hAnsi="Book Antiqua"/>
          <w:b/>
          <w:i/>
          <w:sz w:val="36"/>
          <w:szCs w:val="36"/>
        </w:rPr>
        <w:t>Barry John Setterfield, July 2013.</w:t>
      </w:r>
    </w:p>
    <w:p w:rsidR="008237B2" w:rsidRDefault="008237B2" w:rsidP="004803A9">
      <w:pPr>
        <w:spacing w:before="1200" w:after="1440"/>
        <w:jc w:val="center"/>
        <w:rPr>
          <w:rFonts w:ascii="Book Antiqua" w:hAnsi="Book Antiqua"/>
          <w:b/>
          <w:i/>
          <w:sz w:val="36"/>
          <w:szCs w:val="36"/>
        </w:rPr>
      </w:pPr>
    </w:p>
    <w:p w:rsidR="00685168" w:rsidRDefault="00685168" w:rsidP="004803A9">
      <w:pPr>
        <w:jc w:val="center"/>
        <w:rPr>
          <w:rFonts w:ascii="Book Antiqua" w:hAnsi="Book Antiqua"/>
          <w:b/>
          <w:i/>
          <w:outline/>
          <w:shadow/>
          <w:color w:val="000000"/>
          <w:sz w:val="48"/>
          <w:szCs w:val="48"/>
        </w:rPr>
      </w:pPr>
    </w:p>
    <w:p w:rsidR="004803A9" w:rsidRDefault="004803A9" w:rsidP="004803A9">
      <w:pPr>
        <w:jc w:val="center"/>
        <w:rPr>
          <w:rFonts w:ascii="Book Antiqua" w:hAnsi="Book Antiqua"/>
          <w:b/>
          <w:i/>
          <w:outline/>
          <w:shadow/>
          <w:color w:val="000000"/>
          <w:sz w:val="48"/>
          <w:szCs w:val="48"/>
        </w:rPr>
      </w:pPr>
      <w:r>
        <w:rPr>
          <w:rFonts w:ascii="Book Antiqua" w:hAnsi="Book Antiqua"/>
          <w:b/>
          <w:i/>
          <w:outline/>
          <w:shadow/>
          <w:color w:val="000000"/>
          <w:sz w:val="48"/>
          <w:szCs w:val="48"/>
        </w:rPr>
        <w:t>Natural Philosophy Alliance</w:t>
      </w:r>
      <w:r w:rsidR="00685168">
        <w:rPr>
          <w:rFonts w:ascii="Book Antiqua" w:hAnsi="Book Antiqua"/>
          <w:b/>
          <w:i/>
          <w:outline/>
          <w:shadow/>
          <w:color w:val="000000"/>
          <w:sz w:val="48"/>
          <w:szCs w:val="48"/>
        </w:rPr>
        <w:t xml:space="preserve"> (NPA)</w:t>
      </w:r>
    </w:p>
    <w:p w:rsidR="00685168" w:rsidRDefault="00685168" w:rsidP="004803A9">
      <w:pPr>
        <w:jc w:val="center"/>
        <w:rPr>
          <w:rFonts w:ascii="Book Antiqua" w:hAnsi="Book Antiqua"/>
          <w:b/>
          <w:i/>
          <w:outline/>
          <w:shadow/>
          <w:color w:val="000000"/>
          <w:sz w:val="48"/>
          <w:szCs w:val="48"/>
        </w:rPr>
      </w:pPr>
    </w:p>
    <w:p w:rsidR="00685168" w:rsidRDefault="00685168" w:rsidP="004803A9">
      <w:pPr>
        <w:jc w:val="center"/>
        <w:rPr>
          <w:rFonts w:ascii="Book Antiqua" w:hAnsi="Book Antiqua"/>
          <w:b/>
          <w:i/>
          <w:outline/>
          <w:shadow/>
          <w:color w:val="000000"/>
          <w:sz w:val="48"/>
          <w:szCs w:val="48"/>
        </w:rPr>
      </w:pPr>
    </w:p>
    <w:p w:rsidR="004803A9" w:rsidRDefault="004803A9" w:rsidP="004803A9">
      <w:pPr>
        <w:jc w:val="center"/>
        <w:rPr>
          <w:rFonts w:ascii="Book Antiqua" w:hAnsi="Book Antiqua"/>
          <w:b/>
          <w:i/>
          <w:outline/>
          <w:shadow/>
          <w:color w:val="000000"/>
          <w:sz w:val="48"/>
          <w:szCs w:val="48"/>
        </w:rPr>
      </w:pPr>
      <w:r>
        <w:rPr>
          <w:rFonts w:ascii="Book Antiqua" w:hAnsi="Book Antiqua"/>
          <w:b/>
          <w:i/>
          <w:outline/>
          <w:shadow/>
          <w:color w:val="000000"/>
          <w:sz w:val="48"/>
          <w:szCs w:val="48"/>
        </w:rPr>
        <w:t>Monograph Series, No. 1</w:t>
      </w:r>
    </w:p>
    <w:p w:rsidR="00685168" w:rsidRDefault="00685168" w:rsidP="004803A9">
      <w:pPr>
        <w:jc w:val="center"/>
        <w:rPr>
          <w:rFonts w:ascii="Book Antiqua" w:hAnsi="Book Antiqua"/>
          <w:b/>
          <w:i/>
          <w:outline/>
          <w:shadow/>
          <w:color w:val="000000"/>
          <w:sz w:val="48"/>
          <w:szCs w:val="48"/>
        </w:rPr>
      </w:pPr>
    </w:p>
    <w:p w:rsidR="004803A9" w:rsidRDefault="004803A9" w:rsidP="004803A9">
      <w:pPr>
        <w:jc w:val="center"/>
        <w:rPr>
          <w:rFonts w:ascii="Book Antiqua" w:hAnsi="Book Antiqua"/>
          <w:b/>
          <w:i/>
          <w:outline/>
          <w:shadow/>
          <w:color w:val="000000"/>
          <w:sz w:val="48"/>
          <w:szCs w:val="48"/>
        </w:rPr>
      </w:pPr>
    </w:p>
    <w:p w:rsidR="00685168" w:rsidRDefault="00685168" w:rsidP="004803A9">
      <w:pPr>
        <w:pStyle w:val="ListParagraph"/>
        <w:jc w:val="center"/>
        <w:rPr>
          <w:rFonts w:ascii="Book Antiqua" w:hAnsi="Book Antiqua"/>
          <w:b/>
          <w:i/>
          <w:outline/>
          <w:shadow/>
          <w:color w:val="000000"/>
          <w:sz w:val="48"/>
          <w:szCs w:val="48"/>
        </w:rPr>
      </w:pPr>
      <w:r>
        <w:rPr>
          <w:rFonts w:ascii="Book Antiqua" w:hAnsi="Book Antiqua"/>
          <w:b/>
          <w:i/>
          <w:outline/>
          <w:shadow/>
          <w:color w:val="000000"/>
          <w:sz w:val="48"/>
          <w:szCs w:val="48"/>
        </w:rPr>
        <w:t>Second Edition, August 2013.</w:t>
      </w:r>
    </w:p>
    <w:p w:rsidR="00685168" w:rsidRDefault="00685168" w:rsidP="004803A9">
      <w:pPr>
        <w:pStyle w:val="ListParagraph"/>
        <w:jc w:val="center"/>
        <w:rPr>
          <w:rFonts w:ascii="Book Antiqua" w:hAnsi="Book Antiqua"/>
          <w:b/>
          <w:i/>
          <w:outline/>
          <w:shadow/>
          <w:color w:val="000000"/>
          <w:sz w:val="48"/>
          <w:szCs w:val="48"/>
        </w:rPr>
      </w:pPr>
    </w:p>
    <w:p w:rsidR="004803A9" w:rsidRDefault="004803A9" w:rsidP="004803A9">
      <w:pPr>
        <w:pStyle w:val="ListParagraph"/>
        <w:jc w:val="center"/>
        <w:rPr>
          <w:rFonts w:ascii="Book Antiqua" w:hAnsi="Book Antiqua"/>
          <w:b/>
          <w:i/>
          <w:outline/>
          <w:shadow/>
          <w:color w:val="000000"/>
          <w:sz w:val="48"/>
          <w:szCs w:val="48"/>
        </w:rPr>
      </w:pPr>
      <w:r>
        <w:rPr>
          <w:rFonts w:ascii="Book Antiqua" w:hAnsi="Book Antiqua"/>
          <w:b/>
          <w:i/>
          <w:outline/>
          <w:shadow/>
          <w:color w:val="000000"/>
          <w:sz w:val="48"/>
          <w:szCs w:val="48"/>
        </w:rPr>
        <w:t>*  *  *</w:t>
      </w:r>
    </w:p>
    <w:p w:rsidR="004803A9" w:rsidRDefault="004803A9" w:rsidP="004803A9">
      <w:pPr>
        <w:jc w:val="center"/>
        <w:rPr>
          <w:rFonts w:ascii="Book Antiqua" w:hAnsi="Book Antiqua"/>
          <w:b/>
          <w:i/>
          <w:outline/>
          <w:shadow/>
          <w:color w:val="000000"/>
          <w:sz w:val="48"/>
          <w:szCs w:val="48"/>
        </w:rPr>
      </w:pPr>
    </w:p>
    <w:p w:rsidR="00685168" w:rsidRDefault="00685168" w:rsidP="004803A9">
      <w:pPr>
        <w:jc w:val="center"/>
        <w:rPr>
          <w:rFonts w:ascii="Book Antiqua" w:hAnsi="Book Antiqua"/>
          <w:b/>
          <w:i/>
          <w:outline/>
          <w:shadow/>
          <w:color w:val="000000"/>
          <w:sz w:val="48"/>
          <w:szCs w:val="48"/>
        </w:rPr>
      </w:pPr>
    </w:p>
    <w:p w:rsidR="00575011" w:rsidRDefault="00575011" w:rsidP="004803A9">
      <w:pPr>
        <w:jc w:val="center"/>
        <w:rPr>
          <w:rFonts w:ascii="Book Antiqua" w:hAnsi="Book Antiqua"/>
          <w:b/>
          <w:i/>
          <w:outline/>
          <w:shadow/>
          <w:color w:val="000000"/>
          <w:sz w:val="48"/>
          <w:szCs w:val="48"/>
        </w:rPr>
      </w:pPr>
    </w:p>
    <w:p w:rsidR="004803A9" w:rsidRDefault="004803A9" w:rsidP="004803A9">
      <w:pPr>
        <w:jc w:val="center"/>
        <w:rPr>
          <w:rFonts w:ascii="Book Antiqua" w:hAnsi="Book Antiqua"/>
        </w:rPr>
      </w:pPr>
      <w:r>
        <w:rPr>
          <w:rFonts w:ascii="Book Antiqua" w:hAnsi="Book Antiqua"/>
        </w:rPr>
        <w:t xml:space="preserve">Copyright © 2013 by </w:t>
      </w:r>
      <w:proofErr w:type="gramStart"/>
      <w:r>
        <w:rPr>
          <w:rFonts w:ascii="Book Antiqua" w:hAnsi="Book Antiqua"/>
        </w:rPr>
        <w:t>The</w:t>
      </w:r>
      <w:proofErr w:type="gramEnd"/>
      <w:r>
        <w:rPr>
          <w:rFonts w:ascii="Book Antiqua" w:hAnsi="Book Antiqua"/>
        </w:rPr>
        <w:t xml:space="preserve"> Natural Philosophy Alliance, Inc.</w:t>
      </w:r>
    </w:p>
    <w:p w:rsidR="00685168" w:rsidRDefault="00685168" w:rsidP="004803A9">
      <w:pPr>
        <w:jc w:val="center"/>
        <w:rPr>
          <w:rFonts w:ascii="Book Antiqua" w:hAnsi="Book Antiqua"/>
          <w:sz w:val="22"/>
          <w:szCs w:val="22"/>
        </w:rPr>
      </w:pPr>
    </w:p>
    <w:p w:rsidR="004803A9" w:rsidRDefault="004803A9" w:rsidP="004803A9">
      <w:pPr>
        <w:jc w:val="both"/>
        <w:rPr>
          <w:rFonts w:ascii="Book Antiqua" w:hAnsi="Book Antiqua"/>
        </w:rPr>
      </w:pPr>
      <w:r>
        <w:rPr>
          <w:rFonts w:ascii="Book Antiqua" w:hAnsi="Book Antiqua"/>
        </w:rPr>
        <w:t>All rights reserved.  No part of this publication may be reproduced, stored in a retrieval system, or transmitted, in any form, or by any means without prior permission in writing from the Natural Philosophy Alliance.</w:t>
      </w:r>
    </w:p>
    <w:p w:rsidR="00685168" w:rsidRDefault="00685168" w:rsidP="004803A9">
      <w:pPr>
        <w:jc w:val="center"/>
        <w:rPr>
          <w:rFonts w:ascii="Book Antiqua" w:hAnsi="Book Antiqua"/>
        </w:rPr>
      </w:pPr>
    </w:p>
    <w:p w:rsidR="004803A9" w:rsidRDefault="004803A9" w:rsidP="004803A9">
      <w:pPr>
        <w:jc w:val="center"/>
        <w:rPr>
          <w:rFonts w:ascii="Book Antiqua" w:hAnsi="Book Antiqua"/>
        </w:rPr>
      </w:pPr>
      <w:proofErr w:type="gramStart"/>
      <w:r>
        <w:rPr>
          <w:rFonts w:ascii="Book Antiqua" w:hAnsi="Book Antiqua"/>
        </w:rPr>
        <w:t>Printed in the United States of America.</w:t>
      </w:r>
      <w:proofErr w:type="gramEnd"/>
    </w:p>
    <w:p w:rsidR="004803A9" w:rsidRDefault="004803A9" w:rsidP="004803A9">
      <w:pPr>
        <w:jc w:val="both"/>
        <w:rPr>
          <w:rFonts w:ascii="Book Antiqua" w:hAnsi="Book Antiqua"/>
        </w:rPr>
      </w:pPr>
    </w:p>
    <w:p w:rsidR="004803A9" w:rsidRDefault="004803A9" w:rsidP="004803A9">
      <w:pPr>
        <w:jc w:val="center"/>
        <w:rPr>
          <w:rFonts w:ascii="Book Antiqua" w:hAnsi="Book Antiqua"/>
        </w:rPr>
      </w:pPr>
      <w:r>
        <w:rPr>
          <w:rFonts w:ascii="Book Antiqua" w:hAnsi="Book Antiqua"/>
        </w:rPr>
        <w:t>ISBN 978-1-304-19508-1</w:t>
      </w:r>
    </w:p>
    <w:p w:rsidR="004803A9" w:rsidRDefault="004803A9" w:rsidP="004803A9">
      <w:pPr>
        <w:jc w:val="center"/>
        <w:rPr>
          <w:rFonts w:ascii="Book Antiqua" w:hAnsi="Book Antiqua"/>
        </w:rPr>
      </w:pPr>
    </w:p>
    <w:p w:rsidR="004803A9" w:rsidRDefault="004803A9"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8237B2" w:rsidRDefault="008237B2" w:rsidP="004803A9">
      <w:pPr>
        <w:jc w:val="center"/>
        <w:rPr>
          <w:rFonts w:ascii="Book Antiqua" w:hAnsi="Book Antiqua"/>
        </w:rPr>
      </w:pPr>
    </w:p>
    <w:p w:rsidR="00107BDC" w:rsidRPr="00107BDC" w:rsidRDefault="00107BDC" w:rsidP="00107BDC">
      <w:pPr>
        <w:pStyle w:val="Els-Author"/>
      </w:pPr>
    </w:p>
    <w:p w:rsidR="004803A9" w:rsidRDefault="004803A9" w:rsidP="00265C1C">
      <w:pPr>
        <w:pStyle w:val="Els-Title"/>
      </w:pPr>
      <w:r>
        <w:t>Foreword</w:t>
      </w:r>
    </w:p>
    <w:p w:rsidR="004803A9" w:rsidRDefault="004803A9" w:rsidP="004803A9">
      <w:pPr>
        <w:pStyle w:val="Els-Abstract-head"/>
        <w:rPr>
          <w:rFonts w:ascii="Book Antiqua" w:hAnsi="Book Antiqua"/>
          <w:szCs w:val="18"/>
        </w:rPr>
      </w:pPr>
    </w:p>
    <w:p w:rsidR="004803A9" w:rsidRDefault="004803A9" w:rsidP="004803A9">
      <w:pPr>
        <w:pStyle w:val="Abstract"/>
        <w:ind w:left="0" w:right="0"/>
        <w:rPr>
          <w:sz w:val="20"/>
        </w:rPr>
      </w:pPr>
      <w:r>
        <w:rPr>
          <w:sz w:val="20"/>
        </w:rPr>
        <w:t>It is with great pleasure that I introduce to you both the work of Barry Setterfield and the first of a new series of monographs published by the Natural Philosophy Alliance (NPA).  The annual NPA conference proceedings consist of generally short papers on narrowly focused topics, yet like that of many NPA authors, Setterfield’s work covers a broader range of ideas than can be covered in even several papers separately.  True understanding requires immersion into an entirely new paradigm, and this can only occur with a body of work such as this monograph.  What you hold in your hands is not the casual work of a moment, but a carefully selected collection resulting from decades of original thought and study.</w:t>
      </w:r>
    </w:p>
    <w:p w:rsidR="004803A9" w:rsidRDefault="004803A9" w:rsidP="004803A9">
      <w:pPr>
        <w:pStyle w:val="Abstract"/>
        <w:ind w:left="0" w:right="0"/>
        <w:rPr>
          <w:sz w:val="20"/>
        </w:rPr>
      </w:pPr>
      <w:r>
        <w:rPr>
          <w:sz w:val="20"/>
        </w:rPr>
        <w:t xml:space="preserve">  </w:t>
      </w:r>
    </w:p>
    <w:p w:rsidR="004803A9" w:rsidRDefault="004803A9" w:rsidP="004803A9">
      <w:pPr>
        <w:pStyle w:val="Abstract"/>
        <w:ind w:left="0" w:right="0"/>
        <w:rPr>
          <w:sz w:val="20"/>
        </w:rPr>
      </w:pPr>
      <w:r>
        <w:rPr>
          <w:sz w:val="20"/>
        </w:rPr>
        <w:t xml:space="preserve">While Setterfield‘s work staggers with breadth and applicability, it can be unified with a single concept: Zero Point Energy or ZPE.  The reader’s first and primary task, therefore, will be </w:t>
      </w:r>
      <w:r w:rsidR="007E3E46">
        <w:rPr>
          <w:sz w:val="20"/>
        </w:rPr>
        <w:t xml:space="preserve">to </w:t>
      </w:r>
      <w:r>
        <w:rPr>
          <w:sz w:val="20"/>
        </w:rPr>
        <w:t>comprehend Setterfield’s conception of it.  Unfortunately in the century since Albert Einstein and Otto Stern coined the term in 1913, much misguided cynicism has confused those seeking to understand just what ZPE is.  Setterfield cuts through the confusion and establishes a firm basis not only for what it is, but what it does, and how it affects our world, from the smallest subatomic particle to the largest structures in the universe.  But I urge you to park your preconceptions at the door before you begin.  Start fresh, with a willingness to look at old, familiar things in new ways.</w:t>
      </w:r>
    </w:p>
    <w:p w:rsidR="004803A9" w:rsidRDefault="004803A9" w:rsidP="004803A9">
      <w:pPr>
        <w:pStyle w:val="Abstract"/>
        <w:ind w:left="0" w:right="0"/>
        <w:rPr>
          <w:sz w:val="20"/>
        </w:rPr>
      </w:pPr>
    </w:p>
    <w:p w:rsidR="004803A9" w:rsidRDefault="004803A9" w:rsidP="004803A9">
      <w:pPr>
        <w:pStyle w:val="Abstract"/>
        <w:ind w:left="0" w:right="0"/>
        <w:rPr>
          <w:sz w:val="20"/>
        </w:rPr>
      </w:pPr>
      <w:r>
        <w:rPr>
          <w:sz w:val="20"/>
        </w:rPr>
        <w:t>Appropriately enough, I met Barry Setterfield at the 2010 NPA conference.  It speaks volumes about his character to note that even before the conference, before we had the chance to shake hands in person, he and his wife Helen had volunteered to help edit the conference proceedings.  Their willingness to help other authors achieve excellence in their writing is just one example of what for them is a lifestyle of selfless sacrifice and dedication.  And the two of them function as an amazing team, with Barry’s focus on technical and scientific detail and Helen’s on writing clarity and style.  Though the ideas contained in this monograph are predominantly Barry’s, I find it very satisfying to include Helen’s name as coauthor, since her contributions are more than substantial.  Unquestionably this book is hers, too.</w:t>
      </w:r>
    </w:p>
    <w:p w:rsidR="004803A9" w:rsidRDefault="004803A9" w:rsidP="004803A9">
      <w:pPr>
        <w:pStyle w:val="Abstract"/>
        <w:ind w:left="0" w:right="0"/>
        <w:rPr>
          <w:sz w:val="20"/>
        </w:rPr>
      </w:pPr>
    </w:p>
    <w:p w:rsidR="004803A9" w:rsidRDefault="004803A9" w:rsidP="004803A9">
      <w:pPr>
        <w:pStyle w:val="Abstract"/>
        <w:ind w:left="0" w:right="0"/>
        <w:rPr>
          <w:sz w:val="20"/>
        </w:rPr>
      </w:pPr>
      <w:r>
        <w:rPr>
          <w:sz w:val="20"/>
        </w:rPr>
        <w:t>Finally I should add that the entire idea of an NPA monograph series was theirs.  They recognized the many NPA authors with large bodies of work, and need for a systematic means to collect and publish this work into separate volumes.  So again I echo the hope that NPA monographs may become a staple format for future work of many talented authors with paradigm-shifting scientific ideas.  I trust that this may serve as a model for much that is to come.</w:t>
      </w:r>
    </w:p>
    <w:p w:rsidR="004803A9" w:rsidRDefault="004803A9" w:rsidP="004803A9">
      <w:pPr>
        <w:pStyle w:val="Abstract"/>
        <w:ind w:left="0" w:right="0"/>
        <w:rPr>
          <w:sz w:val="20"/>
        </w:rPr>
      </w:pPr>
    </w:p>
    <w:p w:rsidR="004803A9" w:rsidRDefault="004803A9" w:rsidP="004803A9">
      <w:pPr>
        <w:pStyle w:val="Abstract"/>
        <w:ind w:left="0" w:right="0"/>
        <w:rPr>
          <w:sz w:val="20"/>
        </w:rPr>
      </w:pPr>
      <w:r>
        <w:rPr>
          <w:sz w:val="20"/>
        </w:rPr>
        <w:tab/>
      </w:r>
      <w:r>
        <w:rPr>
          <w:sz w:val="20"/>
        </w:rPr>
        <w:tab/>
      </w:r>
      <w:r>
        <w:rPr>
          <w:sz w:val="20"/>
        </w:rPr>
        <w:tab/>
      </w:r>
      <w:r>
        <w:rPr>
          <w:sz w:val="20"/>
        </w:rPr>
        <w:tab/>
      </w:r>
      <w:r>
        <w:rPr>
          <w:sz w:val="20"/>
        </w:rPr>
        <w:tab/>
      </w:r>
      <w:r>
        <w:rPr>
          <w:sz w:val="20"/>
        </w:rPr>
        <w:tab/>
      </w:r>
      <w:r>
        <w:rPr>
          <w:sz w:val="20"/>
        </w:rPr>
        <w:tab/>
        <w:t xml:space="preserve">Greg Volk, </w:t>
      </w:r>
      <w:r>
        <w:rPr>
          <w:i/>
          <w:sz w:val="20"/>
        </w:rPr>
        <w:t>NPA Executive VP, July 2013.</w:t>
      </w: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A62E0A" w:rsidRDefault="00A62E0A" w:rsidP="004803A9">
      <w:pPr>
        <w:jc w:val="center"/>
        <w:rPr>
          <w:rFonts w:ascii="Book Antiqua" w:hAnsi="Book Antiqua"/>
          <w:sz w:val="22"/>
        </w:rPr>
      </w:pPr>
    </w:p>
    <w:p w:rsidR="00A62E0A" w:rsidRDefault="00A62E0A" w:rsidP="004803A9">
      <w:pPr>
        <w:jc w:val="center"/>
        <w:rPr>
          <w:rFonts w:ascii="Book Antiqua" w:hAnsi="Book Antiqua"/>
          <w:sz w:val="22"/>
        </w:rPr>
      </w:pPr>
    </w:p>
    <w:p w:rsidR="004803A9" w:rsidRDefault="004803A9" w:rsidP="004803A9">
      <w:pPr>
        <w:jc w:val="center"/>
        <w:rPr>
          <w:rFonts w:ascii="Book Antiqua" w:hAnsi="Book Antiqua"/>
          <w:sz w:val="22"/>
        </w:rPr>
      </w:pPr>
    </w:p>
    <w:p w:rsidR="004803A9" w:rsidRDefault="004803A9" w:rsidP="004803A9">
      <w:pPr>
        <w:jc w:val="center"/>
        <w:rPr>
          <w:rFonts w:ascii="Book Antiqua" w:hAnsi="Book Antiqua"/>
          <w:sz w:val="22"/>
        </w:rPr>
      </w:pPr>
    </w:p>
    <w:p w:rsidR="00EE535C" w:rsidRDefault="00EE535C" w:rsidP="00265C1C">
      <w:pPr>
        <w:pStyle w:val="Els-Title"/>
      </w:pPr>
      <w:proofErr w:type="gramStart"/>
      <w:r w:rsidRPr="00265C1C">
        <w:lastRenderedPageBreak/>
        <w:t>Cosmology and the Zero Point Energy.</w:t>
      </w:r>
      <w:proofErr w:type="gramEnd"/>
    </w:p>
    <w:p w:rsidR="00107BDC" w:rsidRPr="00107BDC" w:rsidRDefault="00107BDC" w:rsidP="00107BDC">
      <w:pPr>
        <w:pStyle w:val="Els-Author"/>
      </w:pPr>
    </w:p>
    <w:p w:rsidR="00EE535C" w:rsidRPr="005C301E" w:rsidRDefault="00EE535C" w:rsidP="00EE535C">
      <w:pPr>
        <w:pStyle w:val="Els-Author"/>
        <w:rPr>
          <w:rFonts w:ascii="Book Antiqua" w:hAnsi="Book Antiqua"/>
          <w:lang w:eastAsia="zh-CN"/>
        </w:rPr>
      </w:pPr>
      <w:r w:rsidRPr="005C301E">
        <w:rPr>
          <w:rFonts w:ascii="Book Antiqua" w:hAnsi="Book Antiqua"/>
        </w:rPr>
        <w:t>Barry John Setterfield</w:t>
      </w:r>
    </w:p>
    <w:p w:rsidR="00EE535C" w:rsidRPr="005C301E" w:rsidRDefault="00EE535C" w:rsidP="00494766">
      <w:pPr>
        <w:pStyle w:val="Els-Affiliation"/>
        <w:rPr>
          <w:rFonts w:ascii="Book Antiqua" w:hAnsi="Book Antiqua"/>
        </w:rPr>
      </w:pPr>
      <w:r w:rsidRPr="005C301E">
        <w:rPr>
          <w:rFonts w:ascii="Book Antiqua" w:hAnsi="Book Antiqua"/>
        </w:rPr>
        <w:t>Director, New Hope Observatory,</w:t>
      </w:r>
      <w:r w:rsidR="005C301E">
        <w:rPr>
          <w:rFonts w:ascii="Book Antiqua" w:hAnsi="Book Antiqua"/>
        </w:rPr>
        <w:t xml:space="preserve"> </w:t>
      </w:r>
      <w:r w:rsidRPr="005C301E">
        <w:rPr>
          <w:rFonts w:ascii="Book Antiqua" w:hAnsi="Book Antiqua"/>
        </w:rPr>
        <w:t>5961 New Hope Road, Grants Pass, Oregon 97527, USA.</w:t>
      </w:r>
    </w:p>
    <w:p w:rsidR="00EE535C" w:rsidRPr="005C301E" w:rsidRDefault="00EE535C" w:rsidP="00EE535C">
      <w:pPr>
        <w:pStyle w:val="Els-Affiliation"/>
        <w:rPr>
          <w:rFonts w:ascii="Book Antiqua" w:hAnsi="Book Antiqua"/>
        </w:rPr>
      </w:pPr>
    </w:p>
    <w:p w:rsidR="00EE535C" w:rsidRPr="005C301E" w:rsidRDefault="00EE535C" w:rsidP="00EE535C">
      <w:pPr>
        <w:pStyle w:val="Els-Abstract-head"/>
        <w:rPr>
          <w:rFonts w:ascii="Book Antiqua" w:hAnsi="Book Antiqua"/>
          <w:szCs w:val="18"/>
        </w:rPr>
      </w:pPr>
      <w:r w:rsidRPr="005C301E">
        <w:rPr>
          <w:rFonts w:ascii="Book Antiqua" w:hAnsi="Book Antiqua"/>
          <w:szCs w:val="18"/>
        </w:rPr>
        <w:t>Abstract</w:t>
      </w:r>
    </w:p>
    <w:p w:rsidR="00EE535C" w:rsidRPr="007F73AB" w:rsidRDefault="00EE535C" w:rsidP="00EE535C">
      <w:pPr>
        <w:pStyle w:val="Abstract"/>
        <w:ind w:left="0" w:right="0"/>
        <w:rPr>
          <w:szCs w:val="16"/>
        </w:rPr>
      </w:pPr>
      <w:r w:rsidRPr="007F73AB">
        <w:rPr>
          <w:szCs w:val="16"/>
        </w:rPr>
        <w:t>In 1911, Max Planck’s equations indicated the presence of a real energy intrinsic to the vacuum of space. It has become known as</w:t>
      </w:r>
      <w:r w:rsidRPr="007F73AB">
        <w:rPr>
          <w:color w:val="FF0000"/>
          <w:szCs w:val="16"/>
        </w:rPr>
        <w:t xml:space="preserve"> </w:t>
      </w:r>
      <w:r w:rsidRPr="007F73AB">
        <w:rPr>
          <w:szCs w:val="16"/>
        </w:rPr>
        <w:t xml:space="preserve">the Zero Point Energy (ZPE) because it is present even if the vacuum is cooled to absolute zero, or about </w:t>
      </w:r>
      <m:oMath>
        <m:r>
          <w:rPr>
            <w:szCs w:val="16"/>
          </w:rPr>
          <m:t>-</m:t>
        </m:r>
        <m:sSup>
          <m:sSupPr>
            <m:ctrlPr>
              <w:rPr>
                <w:rFonts w:ascii="Cambria Math" w:hAnsi="Cambria Math"/>
                <w:i/>
                <w:szCs w:val="16"/>
              </w:rPr>
            </m:ctrlPr>
          </m:sSupPr>
          <m:e>
            <m:r>
              <w:rPr>
                <w:rFonts w:ascii="Cambria Math"/>
                <w:szCs w:val="16"/>
              </w:rPr>
              <m:t>273</m:t>
            </m:r>
          </m:e>
          <m:sup>
            <m:r>
              <w:rPr>
                <w:rFonts w:ascii="Cambria Math" w:hAnsi="Cambria Math"/>
                <w:szCs w:val="16"/>
              </w:rPr>
              <m:t>o</m:t>
            </m:r>
          </m:sup>
        </m:sSup>
        <m:r>
          <w:rPr>
            <w:rFonts w:ascii="Cambria Math"/>
            <w:szCs w:val="16"/>
          </w:rPr>
          <m:t xml:space="preserve"> </m:t>
        </m:r>
        <m:r>
          <w:rPr>
            <w:rFonts w:ascii="Cambria Math" w:hAnsi="Cambria Math"/>
            <w:szCs w:val="16"/>
          </w:rPr>
          <m:t>C</m:t>
        </m:r>
        <m:r>
          <w:rPr>
            <w:rFonts w:ascii="Cambria Math"/>
            <w:szCs w:val="16"/>
          </w:rPr>
          <m:t>.</m:t>
        </m:r>
      </m:oMath>
      <w:r w:rsidRPr="007F73AB">
        <w:rPr>
          <w:szCs w:val="16"/>
        </w:rPr>
        <w:t xml:space="preserve"> The ZPE consists of electromagnetic waves of all wavelengths, and was discovered to control the properties of the vacuum, including its electric permittivity and magnetic permeability. It was proven to exist by Mulliken in 1925, but by then the foundations of Quantum Electro-Dynamics (or QED physics) were being laid. Quantum physics consider</w:t>
      </w:r>
      <w:r w:rsidR="00745D9D">
        <w:rPr>
          <w:szCs w:val="16"/>
        </w:rPr>
        <w:t>ed</w:t>
      </w:r>
      <w:r w:rsidRPr="007F73AB">
        <w:rPr>
          <w:color w:val="FF0000"/>
          <w:szCs w:val="16"/>
        </w:rPr>
        <w:t xml:space="preserve"> </w:t>
      </w:r>
      <w:r w:rsidRPr="007F73AB">
        <w:rPr>
          <w:szCs w:val="16"/>
        </w:rPr>
        <w:t>the ZPE to be</w:t>
      </w:r>
      <w:r w:rsidRPr="007F73AB">
        <w:rPr>
          <w:color w:val="FF0000"/>
          <w:szCs w:val="16"/>
        </w:rPr>
        <w:t xml:space="preserve"> </w:t>
      </w:r>
      <w:r w:rsidRPr="007F73AB">
        <w:rPr>
          <w:szCs w:val="16"/>
        </w:rPr>
        <w:t>a mere mathematical abstraction with no real physical existence</w:t>
      </w:r>
      <w:r w:rsidR="00745D9D">
        <w:rPr>
          <w:szCs w:val="16"/>
        </w:rPr>
        <w:t>, despite the evidence</w:t>
      </w:r>
      <w:r w:rsidRPr="007F73AB">
        <w:rPr>
          <w:szCs w:val="16"/>
        </w:rPr>
        <w:t xml:space="preserve">. In 1962, Louis de Broglie, one of the physicists who had initially supported the QED approach, re-examined the situation.  He suggested that science may have taken a wrong turn in siding with the QED approach. </w:t>
      </w:r>
      <w:r w:rsidRPr="007F73AB">
        <w:rPr>
          <w:color w:val="FF0000"/>
          <w:szCs w:val="16"/>
        </w:rPr>
        <w:t xml:space="preserve"> </w:t>
      </w:r>
      <w:r w:rsidRPr="007F73AB">
        <w:rPr>
          <w:szCs w:val="16"/>
        </w:rPr>
        <w:t xml:space="preserve">Since then, an approach </w:t>
      </w:r>
      <w:r w:rsidR="00745D9D">
        <w:rPr>
          <w:szCs w:val="16"/>
        </w:rPr>
        <w:t xml:space="preserve">that </w:t>
      </w:r>
      <w:r w:rsidRPr="007F73AB">
        <w:rPr>
          <w:szCs w:val="16"/>
        </w:rPr>
        <w:t>recogniz</w:t>
      </w:r>
      <w:r w:rsidR="00745D9D">
        <w:rPr>
          <w:szCs w:val="16"/>
        </w:rPr>
        <w:t>ed</w:t>
      </w:r>
      <w:r w:rsidRPr="007F73AB">
        <w:rPr>
          <w:szCs w:val="16"/>
        </w:rPr>
        <w:t xml:space="preserve"> a</w:t>
      </w:r>
      <w:r w:rsidRPr="007F73AB">
        <w:rPr>
          <w:color w:val="FF0000"/>
          <w:szCs w:val="16"/>
        </w:rPr>
        <w:t xml:space="preserve"> </w:t>
      </w:r>
      <w:r w:rsidRPr="007F73AB">
        <w:rPr>
          <w:szCs w:val="16"/>
        </w:rPr>
        <w:t>real, physical ZPE combined with classical physics has been developed</w:t>
      </w:r>
      <w:r w:rsidRPr="007F73AB">
        <w:rPr>
          <w:color w:val="FF0000"/>
          <w:szCs w:val="16"/>
        </w:rPr>
        <w:t xml:space="preserve">. </w:t>
      </w:r>
      <w:r w:rsidRPr="007F73AB">
        <w:rPr>
          <w:szCs w:val="16"/>
        </w:rPr>
        <w:t xml:space="preserve">This approach is now called Stochastic Electro-Dynamics or SED physics. SED physics shows the ZPE to be the physical reason behind quantum effects on atoms.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This study examines the origin of the ZPE in accord with known physical principles. Data</w:t>
      </w:r>
      <w:r w:rsidRPr="007F73AB">
        <w:rPr>
          <w:color w:val="FF0000"/>
          <w:szCs w:val="16"/>
        </w:rPr>
        <w:t xml:space="preserve"> </w:t>
      </w:r>
      <w:r w:rsidRPr="007F73AB">
        <w:rPr>
          <w:szCs w:val="16"/>
        </w:rPr>
        <w:t>and theory</w:t>
      </w:r>
      <w:r w:rsidRPr="007F73AB">
        <w:rPr>
          <w:color w:val="FF0000"/>
          <w:szCs w:val="16"/>
        </w:rPr>
        <w:t xml:space="preserve"> </w:t>
      </w:r>
      <w:r w:rsidRPr="007F73AB">
        <w:rPr>
          <w:szCs w:val="16"/>
        </w:rPr>
        <w:t xml:space="preserve">both suggest its strength should increase over the lifetime of the cosmos. The effects of a varying ZPE on atoms and atomic constants, such as Planck’s constant, </w:t>
      </w:r>
      <w:r w:rsidRPr="007F73AB">
        <w:rPr>
          <w:i/>
          <w:szCs w:val="16"/>
        </w:rPr>
        <w:t>h</w:t>
      </w:r>
      <w:r w:rsidRPr="007F73AB">
        <w:rPr>
          <w:szCs w:val="16"/>
        </w:rPr>
        <w:t xml:space="preserve">, the speed of light, </w:t>
      </w:r>
      <w:r w:rsidRPr="007F73AB">
        <w:rPr>
          <w:i/>
          <w:szCs w:val="16"/>
        </w:rPr>
        <w:t>c</w:t>
      </w:r>
      <w:r w:rsidRPr="007F73AB">
        <w:rPr>
          <w:szCs w:val="16"/>
        </w:rPr>
        <w:t xml:space="preserve"> , and the rest</w:t>
      </w:r>
      <w:r w:rsidR="00C80ED9">
        <w:rPr>
          <w:szCs w:val="16"/>
        </w:rPr>
        <w:t>-</w:t>
      </w:r>
      <w:r w:rsidRPr="007F73AB">
        <w:rPr>
          <w:szCs w:val="16"/>
        </w:rPr>
        <w:t xml:space="preserve">masses of atomic particles, </w:t>
      </w:r>
      <w:r w:rsidRPr="007F73AB">
        <w:rPr>
          <w:i/>
          <w:szCs w:val="16"/>
        </w:rPr>
        <w:t>m</w:t>
      </w:r>
      <w:r w:rsidRPr="007F73AB">
        <w:rPr>
          <w:szCs w:val="16"/>
        </w:rPr>
        <w:t xml:space="preserve"> is explored. The rate of ticking of atomic clocks, including radiometric clocks</w:t>
      </w:r>
      <w:r w:rsidR="00C80ED9">
        <w:rPr>
          <w:szCs w:val="16"/>
        </w:rPr>
        <w:t xml:space="preserve"> and their decay rates</w:t>
      </w:r>
      <w:r w:rsidRPr="007F73AB">
        <w:rPr>
          <w:szCs w:val="16"/>
        </w:rPr>
        <w:t>, can also be shown to be affected by the Zero Point Energy, whereas orbital clocks (gravity-based) are not.</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 xml:space="preserve">SED physicists have demonstrated that the ZPE maintains </w:t>
      </w:r>
      <w:r w:rsidR="00B77A9D">
        <w:rPr>
          <w:szCs w:val="16"/>
        </w:rPr>
        <w:t xml:space="preserve">the </w:t>
      </w:r>
      <w:r w:rsidRPr="007F73AB">
        <w:rPr>
          <w:szCs w:val="16"/>
        </w:rPr>
        <w:t>atomic orbits</w:t>
      </w:r>
      <w:r w:rsidR="00B77A9D">
        <w:rPr>
          <w:szCs w:val="16"/>
        </w:rPr>
        <w:t xml:space="preserve"> of electrons</w:t>
      </w:r>
      <w:r w:rsidRPr="007F73AB">
        <w:rPr>
          <w:szCs w:val="16"/>
        </w:rPr>
        <w:t xml:space="preserve"> throughout the cosmos. An increasing ZPE strength means all atomic orbits will become more energetic, resulting in all light emitted from atoms also</w:t>
      </w:r>
      <w:r w:rsidRPr="007F73AB">
        <w:rPr>
          <w:color w:val="FF0000"/>
          <w:szCs w:val="16"/>
        </w:rPr>
        <w:t xml:space="preserve"> </w:t>
      </w:r>
      <w:r w:rsidRPr="007F73AB">
        <w:rPr>
          <w:szCs w:val="16"/>
        </w:rPr>
        <w:t>becoming more energetic, or</w:t>
      </w:r>
      <w:r w:rsidRPr="007F73AB">
        <w:rPr>
          <w:color w:val="FF0000"/>
          <w:szCs w:val="16"/>
        </w:rPr>
        <w:t xml:space="preserve"> </w:t>
      </w:r>
      <w:r w:rsidRPr="007F73AB">
        <w:rPr>
          <w:szCs w:val="16"/>
        </w:rPr>
        <w:t>bluer, with time. This gives a clear</w:t>
      </w:r>
      <w:r w:rsidRPr="007F73AB">
        <w:rPr>
          <w:color w:val="FF0000"/>
          <w:szCs w:val="16"/>
        </w:rPr>
        <w:t xml:space="preserve"> </w:t>
      </w:r>
      <w:r w:rsidRPr="007F73AB">
        <w:rPr>
          <w:szCs w:val="16"/>
        </w:rPr>
        <w:t>explanation for</w:t>
      </w:r>
      <w:r w:rsidRPr="007F73AB">
        <w:rPr>
          <w:color w:val="FF0000"/>
          <w:szCs w:val="16"/>
        </w:rPr>
        <w:t xml:space="preserve"> </w:t>
      </w:r>
      <w:r w:rsidRPr="007F73AB">
        <w:rPr>
          <w:szCs w:val="16"/>
        </w:rPr>
        <w:t xml:space="preserve">the increasing red shifts which are seen in progressively more distant galaxies (the farther out we look, the further back in time we are seeing).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Changes in the Zero Point Energy through time also mean</w:t>
      </w:r>
      <w:r w:rsidRPr="007F73AB">
        <w:rPr>
          <w:color w:val="FF0000"/>
          <w:szCs w:val="16"/>
        </w:rPr>
        <w:t xml:space="preserve"> </w:t>
      </w:r>
      <w:r w:rsidRPr="007F73AB">
        <w:rPr>
          <w:szCs w:val="16"/>
        </w:rPr>
        <w:t>alteration of the electric and magnetic properties of the vacuum. This</w:t>
      </w:r>
      <w:r w:rsidRPr="007F73AB">
        <w:rPr>
          <w:color w:val="FF0000"/>
          <w:szCs w:val="16"/>
        </w:rPr>
        <w:t xml:space="preserve"> </w:t>
      </w:r>
      <w:r w:rsidRPr="007F73AB">
        <w:rPr>
          <w:szCs w:val="16"/>
        </w:rPr>
        <w:t xml:space="preserve">has implications for </w:t>
      </w:r>
      <w:r w:rsidR="00E81623">
        <w:rPr>
          <w:szCs w:val="16"/>
        </w:rPr>
        <w:t xml:space="preserve">both </w:t>
      </w:r>
      <w:r w:rsidRPr="007F73AB">
        <w:rPr>
          <w:szCs w:val="16"/>
        </w:rPr>
        <w:t>plasma physics and astronomy. It is shown that plasma interactions were</w:t>
      </w:r>
      <w:r w:rsidRPr="007F73AB">
        <w:rPr>
          <w:color w:val="FF0000"/>
          <w:szCs w:val="16"/>
        </w:rPr>
        <w:t xml:space="preserve"> </w:t>
      </w:r>
      <w:r w:rsidRPr="007F73AB">
        <w:rPr>
          <w:szCs w:val="16"/>
        </w:rPr>
        <w:t>more rapid when the ZPE strength was</w:t>
      </w:r>
      <w:r w:rsidRPr="007F73AB">
        <w:rPr>
          <w:color w:val="FF0000"/>
          <w:szCs w:val="16"/>
        </w:rPr>
        <w:t xml:space="preserve"> </w:t>
      </w:r>
      <w:r w:rsidRPr="007F73AB">
        <w:rPr>
          <w:szCs w:val="16"/>
        </w:rPr>
        <w:t>lower. In almost all cosmological models,</w:t>
      </w:r>
      <w:r w:rsidRPr="007F73AB">
        <w:rPr>
          <w:color w:val="FF0000"/>
          <w:szCs w:val="16"/>
        </w:rPr>
        <w:t xml:space="preserve"> </w:t>
      </w:r>
      <w:r w:rsidRPr="007F73AB">
        <w:rPr>
          <w:szCs w:val="16"/>
        </w:rPr>
        <w:t xml:space="preserve">the universe is considered to have begun as plasma.  Standard astronomy </w:t>
      </w:r>
      <w:r w:rsidR="00E81623">
        <w:rPr>
          <w:szCs w:val="16"/>
        </w:rPr>
        <w:t>says</w:t>
      </w:r>
      <w:r w:rsidRPr="007F73AB">
        <w:rPr>
          <w:szCs w:val="16"/>
        </w:rPr>
        <w:t xml:space="preserve"> gravity </w:t>
      </w:r>
      <w:r w:rsidR="00E81623">
        <w:rPr>
          <w:szCs w:val="16"/>
        </w:rPr>
        <w:t>began</w:t>
      </w:r>
      <w:r w:rsidRPr="007F73AB">
        <w:rPr>
          <w:szCs w:val="16"/>
        </w:rPr>
        <w:t xml:space="preserve"> to act once neutral atoms appeared, and then </w:t>
      </w:r>
      <w:r w:rsidR="00E81623">
        <w:rPr>
          <w:szCs w:val="16"/>
        </w:rPr>
        <w:t xml:space="preserve">vast amounts of time are needed </w:t>
      </w:r>
      <w:r w:rsidRPr="007F73AB">
        <w:rPr>
          <w:szCs w:val="16"/>
        </w:rPr>
        <w:t>to form galaxies and stars and planets.</w:t>
      </w:r>
      <w:r w:rsidRPr="007F73AB">
        <w:rPr>
          <w:color w:val="FF0000"/>
          <w:szCs w:val="16"/>
        </w:rPr>
        <w:t xml:space="preserve">  </w:t>
      </w:r>
      <w:r w:rsidRPr="007F73AB">
        <w:rPr>
          <w:szCs w:val="16"/>
        </w:rPr>
        <w:t>However, even today, our telescopes show that plasma comprises 99% of the universe.</w:t>
      </w:r>
      <w:r w:rsidRPr="007F73AB">
        <w:rPr>
          <w:color w:val="FF0000"/>
          <w:szCs w:val="16"/>
        </w:rPr>
        <w:t xml:space="preserve"> </w:t>
      </w:r>
      <w:r w:rsidRPr="007F73AB">
        <w:rPr>
          <w:szCs w:val="16"/>
        </w:rPr>
        <w:t>Therefore, using plasma physics, the rates of galaxy, star and planet formation can be shown to have been much</w:t>
      </w:r>
      <w:r w:rsidRPr="007F73AB">
        <w:rPr>
          <w:color w:val="FF0000"/>
          <w:szCs w:val="16"/>
        </w:rPr>
        <w:t xml:space="preserve"> </w:t>
      </w:r>
      <w:r w:rsidRPr="007F73AB">
        <w:rPr>
          <w:szCs w:val="16"/>
        </w:rPr>
        <w:t xml:space="preserve">more rapid in the early cosmos. This may resolve some astronomical anomalies </w:t>
      </w:r>
      <w:r w:rsidR="004677AB">
        <w:rPr>
          <w:szCs w:val="16"/>
        </w:rPr>
        <w:t xml:space="preserve">found </w:t>
      </w:r>
      <w:r w:rsidRPr="007F73AB">
        <w:rPr>
          <w:szCs w:val="16"/>
        </w:rPr>
        <w:t xml:space="preserve">at the frontiers of the universe.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 xml:space="preserve">An increasing ZPE also has implications for planetary geology, as well as giving a reason for gigantism in Earth’s fossil record. In all fauna, bio-electro-magnetism governs the rate of transmission of nerve impulses, which are effectively electric currents. When the ZPE was low, all electric currents, and hence nerve impulses, flowed more rapidly. This allowed larger faunal types, such as dinosaurs, to be very efficient creatures. As the ZPE increased, this efficiency was lost and only smaller varieties survived.  Because of the Zero Point Energy’s effect upon light itself, photosynthesis was </w:t>
      </w:r>
      <w:r w:rsidR="004677AB">
        <w:rPr>
          <w:szCs w:val="16"/>
        </w:rPr>
        <w:t xml:space="preserve">also </w:t>
      </w:r>
      <w:r w:rsidRPr="007F73AB">
        <w:rPr>
          <w:szCs w:val="16"/>
        </w:rPr>
        <w:t>much more efficient, allowing the gigantism we see in plant fossils.</w:t>
      </w:r>
    </w:p>
    <w:p w:rsidR="00EE535C" w:rsidRPr="007F73AB" w:rsidRDefault="00EE535C" w:rsidP="00EE535C">
      <w:pPr>
        <w:pStyle w:val="Abstract"/>
        <w:ind w:left="0" w:right="0"/>
        <w:rPr>
          <w:color w:val="FF0000"/>
          <w:szCs w:val="16"/>
        </w:rPr>
      </w:pPr>
    </w:p>
    <w:p w:rsidR="00EE535C" w:rsidRPr="007F73AB" w:rsidRDefault="00EE535C" w:rsidP="00EE535C">
      <w:pPr>
        <w:pStyle w:val="Abstract"/>
        <w:ind w:left="0" w:right="0"/>
        <w:rPr>
          <w:szCs w:val="16"/>
        </w:rPr>
      </w:pPr>
      <w:r w:rsidRPr="007F73AB">
        <w:rPr>
          <w:szCs w:val="16"/>
        </w:rPr>
        <w:t>Finally, many of relativity’s predictions follow logically from the presence of a real ZPE. The concepts are intuitive and can be formulated with simple mathematics. This approach has the advantage that the restrictive postulates of relativity are not needed to achieve the same results. The real, physical ZPE is thus seen to be the common factor that unites a number of branches of science.</w:t>
      </w:r>
    </w:p>
    <w:p w:rsidR="00EE535C" w:rsidRPr="007F73AB" w:rsidRDefault="00EE535C" w:rsidP="00EE535C">
      <w:pPr>
        <w:pStyle w:val="Els-Abstract-text"/>
        <w:rPr>
          <w:rFonts w:ascii="Book Antiqua" w:hAnsi="Book Antiqua"/>
          <w:sz w:val="16"/>
          <w:szCs w:val="16"/>
        </w:rPr>
      </w:pPr>
    </w:p>
    <w:p w:rsidR="00EE535C" w:rsidRPr="007F73AB" w:rsidRDefault="00EE535C" w:rsidP="00EE535C">
      <w:pPr>
        <w:rPr>
          <w:rFonts w:ascii="Book Antiqua" w:hAnsi="Book Antiqua"/>
          <w:sz w:val="16"/>
          <w:szCs w:val="16"/>
          <w:lang w:val="en-US"/>
        </w:rPr>
      </w:pPr>
    </w:p>
    <w:p w:rsidR="00EE535C" w:rsidRPr="007F73AB" w:rsidRDefault="00EE535C" w:rsidP="00EE535C">
      <w:pPr>
        <w:pStyle w:val="Els-keywords"/>
        <w:rPr>
          <w:rFonts w:ascii="Book Antiqua" w:hAnsi="Book Antiqua"/>
          <w:szCs w:val="16"/>
        </w:rPr>
      </w:pPr>
      <w:r w:rsidRPr="007F73AB">
        <w:rPr>
          <w:rFonts w:ascii="Book Antiqua" w:hAnsi="Book Antiqua"/>
          <w:szCs w:val="16"/>
        </w:rPr>
        <w:t>Keywords: Zero Point Energy (ZPE); SED physics; vacuum properties; atomic constants; speed of light; atomic time; atomic rest masses; red shifts; plasma physics; planetary geology; fossil gigantism; bio-electro-magnetism; relativity (special and general).</w:t>
      </w:r>
    </w:p>
    <w:p w:rsidR="00107BDC" w:rsidRDefault="00107BDC" w:rsidP="007501A0">
      <w:pPr>
        <w:jc w:val="center"/>
        <w:rPr>
          <w:rFonts w:ascii="Book Antiqua" w:hAnsi="Book Antiqua"/>
          <w:b/>
          <w:sz w:val="32"/>
          <w:szCs w:val="32"/>
        </w:rPr>
      </w:pPr>
    </w:p>
    <w:p w:rsidR="007501A0" w:rsidRPr="007501A0" w:rsidRDefault="007501A0" w:rsidP="007501A0">
      <w:pPr>
        <w:jc w:val="center"/>
        <w:rPr>
          <w:rFonts w:ascii="Book Antiqua" w:hAnsi="Book Antiqua"/>
          <w:b/>
          <w:sz w:val="32"/>
          <w:szCs w:val="32"/>
        </w:rPr>
      </w:pPr>
      <w:r w:rsidRPr="007501A0">
        <w:rPr>
          <w:rFonts w:ascii="Book Antiqua" w:hAnsi="Book Antiqua"/>
          <w:b/>
          <w:sz w:val="32"/>
          <w:szCs w:val="32"/>
        </w:rPr>
        <w:lastRenderedPageBreak/>
        <w:t>Contents</w:t>
      </w:r>
    </w:p>
    <w:p w:rsidR="007501A0" w:rsidRPr="00F96830" w:rsidRDefault="007501A0" w:rsidP="007501A0">
      <w:pPr>
        <w:pStyle w:val="NoSpacing"/>
        <w:rPr>
          <w:rFonts w:ascii="Book Antiqua" w:hAnsi="Book Antiqua"/>
          <w:b/>
        </w:rPr>
      </w:pPr>
      <w:r w:rsidRPr="00F96830">
        <w:rPr>
          <w:rFonts w:ascii="Book Antiqua" w:hAnsi="Book Antiqua"/>
          <w:b/>
        </w:rPr>
        <w:t>Abstract</w:t>
      </w:r>
    </w:p>
    <w:p w:rsidR="007501A0" w:rsidRPr="00F96830" w:rsidRDefault="007501A0" w:rsidP="007501A0">
      <w:pPr>
        <w:pStyle w:val="NoSpacing"/>
        <w:rPr>
          <w:rFonts w:ascii="Book Antiqua" w:hAnsi="Book Antiqua"/>
          <w:b/>
        </w:rPr>
      </w:pPr>
    </w:p>
    <w:p w:rsidR="007501A0" w:rsidRPr="00F96830" w:rsidRDefault="007501A0" w:rsidP="007501A0">
      <w:pPr>
        <w:pStyle w:val="NoSpacing"/>
        <w:rPr>
          <w:rFonts w:ascii="Book Antiqua" w:hAnsi="Book Antiqua"/>
          <w:b/>
        </w:rPr>
      </w:pPr>
      <w:r w:rsidRPr="00F96830">
        <w:rPr>
          <w:rFonts w:ascii="Book Antiqua" w:hAnsi="Book Antiqua"/>
          <w:b/>
        </w:rPr>
        <w:t>Introduction: A layman’s Extended Summary</w:t>
      </w:r>
    </w:p>
    <w:p w:rsidR="007501A0" w:rsidRPr="00F96830" w:rsidRDefault="007501A0" w:rsidP="007501A0">
      <w:pPr>
        <w:pStyle w:val="NoSpacing"/>
        <w:rPr>
          <w:rFonts w:ascii="Book Antiqua" w:hAnsi="Book Antiqua"/>
          <w:b/>
          <w:sz w:val="18"/>
          <w:szCs w:val="18"/>
        </w:rPr>
      </w:pP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Discerning the Zero Point Energy (ZPE)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Has the ZPE Strength Changed?</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Virtual Particles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Zero Point Energy and the Speed of Light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Zero Point Energy and Planck’s Constant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Energy and Sub-Atomic Masses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Measuring Time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The ZPE and the Redshift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Plasma Physics and the ZPE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Biology and the Zero Point Energy</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Gigantism in Plants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The Zero Point Energy and Relativity.</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References</w:t>
      </w:r>
    </w:p>
    <w:p w:rsidR="007501A0" w:rsidRPr="001343D8" w:rsidRDefault="007501A0" w:rsidP="007501A0">
      <w:pPr>
        <w:pStyle w:val="NoSpacing"/>
        <w:ind w:left="1080"/>
        <w:rPr>
          <w:rFonts w:ascii="Book Antiqua" w:hAnsi="Book Antiqua"/>
          <w:sz w:val="16"/>
          <w:szCs w:val="16"/>
        </w:rPr>
      </w:pPr>
    </w:p>
    <w:p w:rsidR="007501A0" w:rsidRPr="00F96830" w:rsidRDefault="007501A0" w:rsidP="007501A0">
      <w:pPr>
        <w:pStyle w:val="NoSpacing"/>
        <w:rPr>
          <w:rFonts w:ascii="Book Antiqua" w:hAnsi="Book Antiqua"/>
          <w:b/>
        </w:rPr>
      </w:pPr>
      <w:r w:rsidRPr="00F96830">
        <w:rPr>
          <w:rFonts w:ascii="Book Antiqua" w:hAnsi="Book Antiqua"/>
          <w:b/>
        </w:rPr>
        <w:t>Chapter 1: Exploring the Vacuum</w:t>
      </w:r>
    </w:p>
    <w:p w:rsidR="007501A0" w:rsidRPr="00F96830" w:rsidRDefault="007501A0" w:rsidP="007501A0">
      <w:pPr>
        <w:pStyle w:val="NoSpacing"/>
        <w:rPr>
          <w:rFonts w:ascii="Book Antiqua" w:hAnsi="Book Antiqua"/>
          <w:b/>
          <w:sz w:val="18"/>
          <w:szCs w:val="18"/>
        </w:rPr>
      </w:pPr>
    </w:p>
    <w:p w:rsidR="007501A0" w:rsidRPr="00F9683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Introduction to the Zero Point Energy (ZPE)</w:t>
      </w:r>
    </w:p>
    <w:p w:rsidR="007501A0" w:rsidRPr="00F9683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Two Approaches to ZPE Effects</w:t>
      </w:r>
    </w:p>
    <w:p w:rsidR="007501A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A Cosmological Constant and the ZPE</w:t>
      </w:r>
    </w:p>
    <w:p w:rsidR="007501A0" w:rsidRDefault="007501A0" w:rsidP="00252491">
      <w:pPr>
        <w:pStyle w:val="NoSpacing"/>
        <w:numPr>
          <w:ilvl w:val="0"/>
          <w:numId w:val="49"/>
        </w:numPr>
        <w:rPr>
          <w:rFonts w:ascii="Book Antiqua" w:hAnsi="Book Antiqua"/>
          <w:b/>
          <w:sz w:val="18"/>
          <w:szCs w:val="18"/>
        </w:rPr>
      </w:pPr>
      <w:r>
        <w:rPr>
          <w:rFonts w:ascii="Book Antiqua" w:hAnsi="Book Antiqua"/>
          <w:b/>
          <w:sz w:val="18"/>
          <w:szCs w:val="18"/>
        </w:rPr>
        <w:t>The Cosmos and Origin of the ZPE</w:t>
      </w:r>
    </w:p>
    <w:p w:rsidR="007501A0" w:rsidRPr="00F96830" w:rsidRDefault="007501A0" w:rsidP="00252491">
      <w:pPr>
        <w:pStyle w:val="NoSpacing"/>
        <w:numPr>
          <w:ilvl w:val="0"/>
          <w:numId w:val="49"/>
        </w:numPr>
        <w:rPr>
          <w:rFonts w:ascii="Book Antiqua" w:hAnsi="Book Antiqua"/>
          <w:b/>
          <w:sz w:val="18"/>
          <w:szCs w:val="18"/>
        </w:rPr>
      </w:pPr>
      <w:r>
        <w:rPr>
          <w:rFonts w:ascii="Book Antiqua" w:hAnsi="Book Antiqua"/>
          <w:b/>
          <w:sz w:val="18"/>
          <w:szCs w:val="18"/>
        </w:rPr>
        <w:t>References</w:t>
      </w:r>
    </w:p>
    <w:p w:rsidR="007501A0" w:rsidRDefault="007501A0" w:rsidP="007501A0">
      <w:pPr>
        <w:pStyle w:val="NoSpacing"/>
        <w:ind w:firstLine="720"/>
        <w:rPr>
          <w:rFonts w:ascii="Book Antiqua" w:hAnsi="Book Antiqua"/>
          <w:b/>
          <w:sz w:val="16"/>
          <w:szCs w:val="16"/>
        </w:rPr>
      </w:pPr>
    </w:p>
    <w:p w:rsidR="007501A0" w:rsidRPr="00F96830" w:rsidRDefault="007501A0" w:rsidP="007501A0">
      <w:pPr>
        <w:pStyle w:val="NoSpacing"/>
        <w:rPr>
          <w:rFonts w:ascii="Book Antiqua" w:hAnsi="Book Antiqua"/>
          <w:b/>
        </w:rPr>
      </w:pPr>
    </w:p>
    <w:p w:rsidR="007501A0" w:rsidRPr="00F96830" w:rsidRDefault="007501A0" w:rsidP="007501A0">
      <w:pPr>
        <w:pStyle w:val="NoSpacing"/>
        <w:rPr>
          <w:rFonts w:ascii="Book Antiqua" w:hAnsi="Book Antiqua"/>
          <w:b/>
        </w:rPr>
      </w:pPr>
      <w:r w:rsidRPr="00F96830">
        <w:rPr>
          <w:rFonts w:ascii="Book Antiqua" w:hAnsi="Book Antiqua"/>
          <w:b/>
        </w:rPr>
        <w:t xml:space="preserve">Chapter 2: An Introduction to </w:t>
      </w:r>
      <w:proofErr w:type="gramStart"/>
      <w:r w:rsidRPr="00F96830">
        <w:rPr>
          <w:rFonts w:ascii="Book Antiqua" w:hAnsi="Book Antiqua"/>
          <w:b/>
        </w:rPr>
        <w:t>Planck’s Constant</w:t>
      </w:r>
      <w:proofErr w:type="gramEnd"/>
      <w:r w:rsidRPr="00F96830">
        <w:rPr>
          <w:rFonts w:ascii="Book Antiqua" w:hAnsi="Book Antiqua"/>
          <w:b/>
        </w:rPr>
        <w:t xml:space="preserve">, </w:t>
      </w:r>
      <w:r w:rsidRPr="007501A0">
        <w:rPr>
          <w:rFonts w:ascii="Book Antiqua" w:hAnsi="Book Antiqua"/>
          <w:b/>
          <w:i/>
        </w:rPr>
        <w:t>h</w:t>
      </w:r>
      <w:r w:rsidRPr="00F96830">
        <w:rPr>
          <w:rFonts w:ascii="Book Antiqua" w:hAnsi="Book Antiqua"/>
          <w:b/>
        </w:rPr>
        <w:t xml:space="preserve">, and the Speed of Light, </w:t>
      </w:r>
      <w:r w:rsidRPr="007501A0">
        <w:rPr>
          <w:rFonts w:ascii="Book Antiqua" w:hAnsi="Book Antiqua"/>
          <w:b/>
          <w:i/>
        </w:rPr>
        <w:t>c</w:t>
      </w:r>
      <w:r w:rsidRPr="00F96830">
        <w:rPr>
          <w:rFonts w:ascii="Book Antiqua" w:hAnsi="Book Antiqua"/>
          <w:b/>
        </w:rPr>
        <w:t>.</w:t>
      </w:r>
    </w:p>
    <w:p w:rsidR="007501A0" w:rsidRPr="00261011" w:rsidRDefault="007501A0" w:rsidP="007501A0">
      <w:pPr>
        <w:pStyle w:val="NoSpacing"/>
        <w:rPr>
          <w:rFonts w:ascii="Book Antiqua" w:hAnsi="Book Antiqua"/>
          <w:b/>
          <w:sz w:val="16"/>
          <w:szCs w:val="16"/>
        </w:rPr>
      </w:pPr>
    </w:p>
    <w:p w:rsidR="007501A0" w:rsidRPr="00F9683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Zero Point Energy and </w:t>
      </w:r>
      <w:proofErr w:type="gramStart"/>
      <w:r w:rsidRPr="00F96830">
        <w:rPr>
          <w:rFonts w:ascii="Book Antiqua" w:hAnsi="Book Antiqua"/>
          <w:b/>
          <w:sz w:val="18"/>
          <w:szCs w:val="18"/>
        </w:rPr>
        <w:t>Planck’s Constant</w:t>
      </w:r>
      <w:proofErr w:type="gramEnd"/>
      <w:r w:rsidRPr="00F96830">
        <w:rPr>
          <w:rFonts w:ascii="Book Antiqua" w:hAnsi="Book Antiqua"/>
          <w:b/>
          <w:sz w:val="18"/>
          <w:szCs w:val="18"/>
        </w:rPr>
        <w:t xml:space="preserve">, </w:t>
      </w:r>
      <w:r w:rsidRPr="00F96830">
        <w:rPr>
          <w:rFonts w:ascii="Book Antiqua" w:hAnsi="Book Antiqua"/>
          <w:b/>
          <w:i/>
          <w:sz w:val="18"/>
          <w:szCs w:val="18"/>
        </w:rPr>
        <w:t>h</w:t>
      </w:r>
      <w:r w:rsidRPr="00F96830">
        <w:rPr>
          <w:rFonts w:ascii="Book Antiqua" w:hAnsi="Book Antiqua"/>
          <w:b/>
          <w:sz w:val="18"/>
          <w:szCs w:val="18"/>
        </w:rPr>
        <w:t>.</w:t>
      </w:r>
      <w:r w:rsidRPr="00F96830">
        <w:rPr>
          <w:rFonts w:ascii="Book Antiqua" w:hAnsi="Book Antiqua"/>
          <w:b/>
          <w:sz w:val="18"/>
          <w:szCs w:val="18"/>
        </w:rPr>
        <w:tab/>
        <w:t xml:space="preserve"> </w:t>
      </w:r>
    </w:p>
    <w:p w:rsidR="007501A0" w:rsidRPr="00F9683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The ZPE and the Speed of Light, </w:t>
      </w:r>
      <w:r w:rsidRPr="00F96830">
        <w:rPr>
          <w:rFonts w:ascii="Book Antiqua" w:hAnsi="Book Antiqua"/>
          <w:b/>
          <w:i/>
          <w:sz w:val="18"/>
          <w:szCs w:val="18"/>
        </w:rPr>
        <w:t>c</w:t>
      </w:r>
      <w:r w:rsidRPr="00F96830">
        <w:rPr>
          <w:rFonts w:ascii="Book Antiqua" w:hAnsi="Book Antiqua"/>
          <w:b/>
          <w:sz w:val="18"/>
          <w:szCs w:val="18"/>
        </w:rPr>
        <w:t>.</w:t>
      </w:r>
    </w:p>
    <w:p w:rsidR="007501A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Overview of Discussion on </w:t>
      </w:r>
      <w:r w:rsidRPr="00C94C27">
        <w:rPr>
          <w:rFonts w:ascii="Book Antiqua" w:hAnsi="Book Antiqua"/>
          <w:b/>
          <w:i/>
          <w:sz w:val="18"/>
          <w:szCs w:val="18"/>
        </w:rPr>
        <w:t>c</w:t>
      </w:r>
      <w:r w:rsidRPr="00F96830">
        <w:rPr>
          <w:rFonts w:ascii="Book Antiqua" w:hAnsi="Book Antiqua"/>
          <w:b/>
          <w:sz w:val="18"/>
          <w:szCs w:val="18"/>
        </w:rPr>
        <w:t xml:space="preserve"> Variation </w:t>
      </w:r>
    </w:p>
    <w:p w:rsidR="007501A0" w:rsidRDefault="007501A0" w:rsidP="00252491">
      <w:pPr>
        <w:pStyle w:val="NoSpacing"/>
        <w:numPr>
          <w:ilvl w:val="0"/>
          <w:numId w:val="50"/>
        </w:numPr>
        <w:rPr>
          <w:rFonts w:ascii="Book Antiqua" w:hAnsi="Book Antiqua"/>
          <w:b/>
          <w:sz w:val="18"/>
          <w:szCs w:val="18"/>
        </w:rPr>
      </w:pPr>
      <w:r>
        <w:rPr>
          <w:rFonts w:ascii="Book Antiqua" w:hAnsi="Book Antiqua"/>
          <w:b/>
          <w:sz w:val="18"/>
          <w:szCs w:val="18"/>
        </w:rPr>
        <w:t>Closing the Data Discussion and Universal Oscillation</w:t>
      </w:r>
    </w:p>
    <w:p w:rsidR="007501A0" w:rsidRDefault="007501A0" w:rsidP="00252491">
      <w:pPr>
        <w:pStyle w:val="NoSpacing"/>
        <w:numPr>
          <w:ilvl w:val="0"/>
          <w:numId w:val="50"/>
        </w:numPr>
        <w:rPr>
          <w:rFonts w:ascii="Book Antiqua" w:hAnsi="Book Antiqua"/>
          <w:b/>
          <w:sz w:val="18"/>
          <w:szCs w:val="18"/>
        </w:rPr>
      </w:pPr>
      <w:r>
        <w:rPr>
          <w:rFonts w:ascii="Book Antiqua" w:hAnsi="Book Antiqua"/>
          <w:b/>
          <w:sz w:val="18"/>
          <w:szCs w:val="18"/>
        </w:rPr>
        <w:t>References</w:t>
      </w:r>
    </w:p>
    <w:p w:rsidR="007501A0" w:rsidRDefault="007501A0" w:rsidP="007501A0">
      <w:pPr>
        <w:pStyle w:val="NoSpacing"/>
        <w:rPr>
          <w:rFonts w:ascii="Book Antiqua" w:hAnsi="Book Antiqua"/>
          <w:b/>
          <w:sz w:val="18"/>
          <w:szCs w:val="18"/>
        </w:rPr>
      </w:pPr>
    </w:p>
    <w:p w:rsidR="007501A0" w:rsidRPr="00564585" w:rsidRDefault="007501A0" w:rsidP="007501A0">
      <w:pPr>
        <w:pStyle w:val="NoSpacing"/>
        <w:rPr>
          <w:rFonts w:ascii="Book Antiqua" w:hAnsi="Book Antiqua"/>
          <w:b/>
        </w:rPr>
      </w:pPr>
      <w:r w:rsidRPr="00564585">
        <w:rPr>
          <w:rFonts w:ascii="Book Antiqua" w:hAnsi="Book Antiqua"/>
          <w:b/>
        </w:rPr>
        <w:t xml:space="preserve">Chapter 3: </w:t>
      </w:r>
      <w:r w:rsidR="002E34D2">
        <w:rPr>
          <w:rFonts w:ascii="Book Antiqua" w:hAnsi="Book Antiqua"/>
          <w:b/>
        </w:rPr>
        <w:t xml:space="preserve">The </w:t>
      </w:r>
      <w:r w:rsidRPr="00564585">
        <w:rPr>
          <w:rFonts w:ascii="Book Antiqua" w:hAnsi="Book Antiqua"/>
          <w:b/>
        </w:rPr>
        <w:t>Speed of Light Measurements</w:t>
      </w:r>
    </w:p>
    <w:p w:rsidR="007501A0" w:rsidRPr="00564585" w:rsidRDefault="007501A0" w:rsidP="007501A0">
      <w:pPr>
        <w:pStyle w:val="NoSpacing"/>
        <w:rPr>
          <w:rFonts w:ascii="Book Antiqua" w:hAnsi="Book Antiqua"/>
          <w:b/>
          <w:sz w:val="20"/>
        </w:rPr>
      </w:pPr>
      <w:r w:rsidRPr="00564585">
        <w:rPr>
          <w:rFonts w:ascii="Book Antiqua" w:hAnsi="Book Antiqua"/>
          <w:b/>
        </w:rPr>
        <w:t xml:space="preserve"> </w:t>
      </w:r>
    </w:p>
    <w:p w:rsidR="007501A0" w:rsidRPr="00564585" w:rsidRDefault="007501A0" w:rsidP="007501A0">
      <w:pPr>
        <w:pStyle w:val="NoSpacing"/>
        <w:rPr>
          <w:rFonts w:ascii="Book Antiqua" w:hAnsi="Book Antiqua"/>
          <w:b/>
          <w:sz w:val="20"/>
        </w:rPr>
      </w:pPr>
      <w:r w:rsidRPr="00564585">
        <w:rPr>
          <w:rFonts w:ascii="Book Antiqua" w:hAnsi="Book Antiqua"/>
          <w:b/>
          <w:sz w:val="20"/>
        </w:rPr>
        <w:t>Section One: Early Work on Light Speed</w:t>
      </w:r>
    </w:p>
    <w:p w:rsidR="007501A0" w:rsidRDefault="007501A0" w:rsidP="007501A0">
      <w:pPr>
        <w:pStyle w:val="NoSpacing"/>
        <w:rPr>
          <w:rFonts w:ascii="Book Antiqua" w:hAnsi="Book Antiqua"/>
          <w:b/>
          <w:sz w:val="18"/>
          <w:szCs w:val="18"/>
        </w:rPr>
      </w:pPr>
      <w:r>
        <w:rPr>
          <w:rFonts w:ascii="Book Antiqua" w:hAnsi="Book Antiqua"/>
          <w:b/>
          <w:sz w:val="18"/>
          <w:szCs w:val="18"/>
        </w:rPr>
        <w:t xml:space="preserve"> </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An Infinite Speed of Light?</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Ole Christensen Roemer</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Analysis of Roemer’s Work</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 Modern Look at Roemer’s Work</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Jean Baptiste Joseph Delambre</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S. P. Glazenapp</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Sampson, Harvard, and Various Values</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 xml:space="preserve">Conclusions From Early Experiments </w:t>
      </w:r>
    </w:p>
    <w:p w:rsidR="007501A0" w:rsidRPr="00F96830" w:rsidRDefault="007501A0" w:rsidP="007501A0">
      <w:pPr>
        <w:pStyle w:val="NoSpacing"/>
        <w:ind w:left="720"/>
        <w:rPr>
          <w:rFonts w:ascii="Book Antiqua" w:hAnsi="Book Antiqua"/>
          <w:b/>
          <w:sz w:val="18"/>
          <w:szCs w:val="18"/>
        </w:rPr>
      </w:pPr>
    </w:p>
    <w:p w:rsidR="007501A0" w:rsidRPr="00200B3A" w:rsidRDefault="007501A0" w:rsidP="007501A0">
      <w:pPr>
        <w:rPr>
          <w:rFonts w:ascii="Book Antiqua" w:hAnsi="Book Antiqua"/>
          <w:b/>
        </w:rPr>
      </w:pPr>
      <w:r w:rsidRPr="00200B3A">
        <w:rPr>
          <w:rFonts w:ascii="Book Antiqua" w:hAnsi="Book Antiqua"/>
          <w:b/>
        </w:rPr>
        <w:t>Section 2: Bradley and the Aberration Experiments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Parallax and Aberration</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James Bradley’s Circumstances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Observing with Bradley</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Bradley’s Discovery</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Bradley’s Initial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lastRenderedPageBreak/>
        <w:t>Results on Seven More Stars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Re-processing Bradley’s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Definitive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Other Aberration Values</w:t>
      </w:r>
    </w:p>
    <w:p w:rsidR="007501A0" w:rsidRDefault="007501A0" w:rsidP="007501A0">
      <w:pPr>
        <w:pStyle w:val="NoSpacing"/>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3: Fizeau and the Toothed Wheel Experiments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Armand Hippolyte-Louis Fizeau</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Fizeau’s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Enter Marie Alfred Cornu</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Cornu’s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The Young-Forbes Result</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Perrotin’s Procedures and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Toothed Wheel Method Summary</w:t>
      </w:r>
    </w:p>
    <w:p w:rsidR="007501A0" w:rsidRDefault="007501A0" w:rsidP="007501A0">
      <w:pPr>
        <w:pStyle w:val="NoSpacing"/>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4: Foucault and the Rotating Mirror Experiments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English, French and Americans in Rotation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Foucault’s Rotating Mirror</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Foucault’s Problems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 xml:space="preserve">Foucault’s Micrometer and </w:t>
      </w:r>
      <w:r w:rsidRPr="0018317B">
        <w:rPr>
          <w:rFonts w:ascii="Book Antiqua" w:hAnsi="Book Antiqua"/>
          <w:b/>
          <w:i/>
          <w:sz w:val="20"/>
          <w:lang w:val="en-GB"/>
        </w:rPr>
        <w:t>c</w:t>
      </w:r>
      <w:r>
        <w:rPr>
          <w:rFonts w:ascii="Book Antiqua" w:hAnsi="Book Antiqua"/>
          <w:b/>
          <w:sz w:val="20"/>
          <w:lang w:val="en-GB"/>
        </w:rPr>
        <w:t xml:space="preserve"> Value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Enter the Americans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Experiments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Problems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The Beginnings With Michelson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New Apparatus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Second Series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Third Series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Third Series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 Tries Again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Details of the New Try</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Results from the New Try</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Series Five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Results From Series Five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Dorsey’s Comments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Last Experiment</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Over to Pease and Pearson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Rotating Mirror Conclusions</w:t>
      </w:r>
    </w:p>
    <w:p w:rsidR="007501A0" w:rsidRDefault="007501A0" w:rsidP="007501A0">
      <w:pPr>
        <w:pStyle w:val="NoSpacing"/>
        <w:ind w:left="720"/>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5: Recent c Measurements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Kerr-Cell Results 1928-1940</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The Six Methods Used 1945-1960</w:t>
      </w:r>
    </w:p>
    <w:p w:rsidR="007501A0" w:rsidRPr="00B02598"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 xml:space="preserve">The Decreasing Decay Rate for </w:t>
      </w:r>
      <w:r w:rsidRPr="00B02598">
        <w:rPr>
          <w:rFonts w:ascii="Book Antiqua" w:hAnsi="Book Antiqua"/>
          <w:b/>
          <w:i/>
          <w:sz w:val="20"/>
          <w:lang w:val="en-GB"/>
        </w:rPr>
        <w:t>c</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The Oscillation Flat-Point</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Laser c Measurements and a Definition</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Problems With Laser Measurements</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Addendum on Two Different Methods</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References</w:t>
      </w:r>
    </w:p>
    <w:p w:rsidR="007501A0" w:rsidRPr="00200B3A" w:rsidRDefault="007501A0" w:rsidP="007501A0">
      <w:pPr>
        <w:pStyle w:val="NoSpacing"/>
        <w:ind w:left="720"/>
        <w:rPr>
          <w:rFonts w:ascii="Book Antiqua" w:hAnsi="Book Antiqua"/>
          <w:b/>
          <w:sz w:val="20"/>
          <w:lang w:val="en-GB"/>
        </w:rPr>
      </w:pPr>
    </w:p>
    <w:p w:rsidR="007501A0" w:rsidRDefault="007501A0" w:rsidP="007501A0">
      <w:pPr>
        <w:rPr>
          <w:rFonts w:ascii="Book Antiqua" w:hAnsi="Book Antiqua"/>
          <w:b/>
          <w:sz w:val="24"/>
          <w:szCs w:val="24"/>
        </w:rPr>
      </w:pPr>
      <w:r w:rsidRPr="002E34D2">
        <w:rPr>
          <w:rFonts w:ascii="Book Antiqua" w:hAnsi="Book Antiqua"/>
          <w:b/>
          <w:sz w:val="24"/>
          <w:szCs w:val="24"/>
        </w:rPr>
        <w:t>Chapter 4: The ZPE and Atomic Behavior</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Mass and the Zero Point Energy</w:t>
      </w:r>
    </w:p>
    <w:p w:rsidR="007501A0" w:rsidRPr="003E24BA"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 xml:space="preserve">The Newtonian Gravitational Constant, </w:t>
      </w:r>
      <w:r w:rsidRPr="003E24BA">
        <w:rPr>
          <w:rFonts w:ascii="Book Antiqua" w:hAnsi="Book Antiqua"/>
          <w:b/>
          <w:i/>
          <w:sz w:val="20"/>
          <w:lang w:val="en-GB"/>
        </w:rPr>
        <w:t>G</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The Origin of Gravitation From SED Physics</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Atomic and Orbital Clocks</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Comparing Trends in Clock Data</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The Gyromagnetic Ratio of the Proton</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5: The ZPE and the Redshift</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Introducing the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Accuracy of the Redshift Equation</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Quantized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Some Conclusions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Atoms and Electron Orbits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ZPE and the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Interim Summary</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Redshift of the Cosmic Microwave Background Radiation (CMBR)</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Redshift, CMBR, Atomic Clock Rates and Lightspeed</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Where the Redshift Function Ends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Considering the Form of Recombination Equations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6: The ZPE, Plasma Behavior, and Some Astronomical Implications</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Introducing Plasma Physics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Zero Point Energy and Plasma Physics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Earth and Planetary Magnetic Fields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Examining Plasma Equations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Forming a Plasma Universe</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 xml:space="preserve"> Galaxy Rotation and Missing Mass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Formation of Stars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Sun and its Output</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Planet Formation in General</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Our Solar System</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 xml:space="preserve"> A ZPE Model for Planetary Geology</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Diamond, Oil and Salt Deposits on Earth</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Coming to Conclusions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7: The ZPE and Relativity</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Overview of the Topic</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Some Predictions of Relativity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General Relativity, Gravity and the ZPE</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lastRenderedPageBreak/>
        <w:t>Light in Gravitational Fields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Atomic Clocks Slow in Gravitational Fields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Fine Structure Constant</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Perihelion Advance of Mercury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Frame Dragging</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Waves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Cyclic Variations in Atomic Clocks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Speed of Gravity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Lensing</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Lensing and our Galaxy’s Center</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Conclusion</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2"/>
          <w:szCs w:val="22"/>
        </w:rPr>
      </w:pPr>
      <w:r w:rsidRPr="00B01B1A">
        <w:rPr>
          <w:rFonts w:ascii="Book Antiqua" w:hAnsi="Book Antiqua"/>
          <w:b/>
          <w:sz w:val="22"/>
          <w:szCs w:val="22"/>
        </w:rPr>
        <w:t>Chapter 8: The Zero Point Energy and Radioactive Decay Processes</w:t>
      </w:r>
    </w:p>
    <w:p w:rsidR="002E34D2" w:rsidRPr="00B01B1A" w:rsidRDefault="002E34D2" w:rsidP="007501A0">
      <w:pPr>
        <w:rPr>
          <w:rFonts w:ascii="Book Antiqua" w:hAnsi="Book Antiqua"/>
          <w:b/>
          <w:sz w:val="22"/>
          <w:szCs w:val="22"/>
        </w:rPr>
      </w:pP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Introduction</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The Nuclear “Potential Well”</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Alpha Decay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Beta Decay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Electron or “K Capture”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Coupling Constants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Pleochroic Haloes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Types of Fission and the Oklo Natural Reactor</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Radioactive Heating</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Heat and Radiation Intensities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Radiometric Dates and Carbon 14 Data</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Tracing Back the ZPE Oscillation</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C-14 Content in Ancient Coal and Diamonds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The ZPE and Accelerated Decay Rates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9: The ZPE, Cosmic Ray Exposure Ages and Solar System History</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Cosmic Ray Exposure (CRE) and Meteorite Ages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Geological Significance of CRE Ages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Parent Body For Meteorites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An Explosion or Collisions?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Radioactive Elements in Planetary Cores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Role of Radioactive Heating</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Late Heavy Bombardment Radioactively Dated</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Crater Forming Processes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Electrical Machining of Planetary Surfaces?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Summary of Effects for Planets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Focussing on the Inner Planets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A Brief History of the Earth</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Postponing Some Decisions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lastRenderedPageBreak/>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10: The ZPE, Fossil Gigantism, and Other Paleontological Puzzles</w:t>
      </w:r>
    </w:p>
    <w:p w:rsidR="002E34D2" w:rsidRPr="002E34D2" w:rsidRDefault="002E34D2" w:rsidP="007501A0">
      <w:pPr>
        <w:rPr>
          <w:rFonts w:ascii="Book Antiqua" w:hAnsi="Book Antiqua"/>
          <w:b/>
          <w:sz w:val="24"/>
          <w:szCs w:val="24"/>
        </w:rPr>
      </w:pPr>
    </w:p>
    <w:p w:rsidR="007501A0" w:rsidRDefault="007501A0" w:rsidP="00252491">
      <w:pPr>
        <w:pStyle w:val="NoSpacing"/>
        <w:numPr>
          <w:ilvl w:val="0"/>
          <w:numId w:val="62"/>
        </w:numPr>
        <w:rPr>
          <w:rFonts w:ascii="Book Antiqua" w:hAnsi="Book Antiqua"/>
          <w:b/>
          <w:sz w:val="20"/>
        </w:rPr>
      </w:pPr>
      <w:r>
        <w:rPr>
          <w:rFonts w:ascii="Book Antiqua" w:hAnsi="Book Antiqua"/>
          <w:b/>
          <w:sz w:val="20"/>
        </w:rPr>
        <w:t>Introducing the Fossils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Problems With Fossil Fauna</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Zero Point Energy and Biological Effects from Bio-Electro-Magnetism</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Fossil Flora, the ZPE and the Behavior of Light Amplitudes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Overview of Photosynthesis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Carbon Fixation Process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Activating the Rubisco Enzyme</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Other Implications for the Fossil Record</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Oklo Reactor and Banded Iron Formations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Summary</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References</w:t>
      </w:r>
    </w:p>
    <w:p w:rsidR="007501A0" w:rsidRDefault="007501A0" w:rsidP="007501A0">
      <w:pPr>
        <w:pStyle w:val="NoSpacing"/>
        <w:rPr>
          <w:rFonts w:ascii="Book Antiqua" w:hAnsi="Book Antiqua"/>
          <w:b/>
          <w:sz w:val="20"/>
        </w:rPr>
      </w:pPr>
    </w:p>
    <w:p w:rsidR="007501A0" w:rsidRPr="002E34D2" w:rsidRDefault="007501A0" w:rsidP="007501A0">
      <w:pPr>
        <w:pStyle w:val="NoSpacing"/>
        <w:rPr>
          <w:rFonts w:ascii="Book Antiqua" w:hAnsi="Book Antiqua"/>
          <w:b/>
          <w:szCs w:val="24"/>
        </w:rPr>
      </w:pPr>
      <w:r w:rsidRPr="002E34D2">
        <w:rPr>
          <w:rFonts w:ascii="Book Antiqua" w:hAnsi="Book Antiqua"/>
          <w:b/>
          <w:szCs w:val="24"/>
        </w:rPr>
        <w:t>Chapter 11: Extended Technical Summary</w:t>
      </w:r>
    </w:p>
    <w:p w:rsidR="007501A0" w:rsidRDefault="007501A0" w:rsidP="007501A0">
      <w:pPr>
        <w:pStyle w:val="NoSpacing"/>
        <w:rPr>
          <w:rFonts w:ascii="Book Antiqua" w:hAnsi="Book Antiqua"/>
          <w:b/>
          <w:sz w:val="20"/>
        </w:rPr>
      </w:pPr>
    </w:p>
    <w:p w:rsidR="007501A0" w:rsidRDefault="007501A0" w:rsidP="00252491">
      <w:pPr>
        <w:pStyle w:val="NoSpacing"/>
        <w:numPr>
          <w:ilvl w:val="0"/>
          <w:numId w:val="63"/>
        </w:numPr>
        <w:rPr>
          <w:rFonts w:ascii="Book Antiqua" w:hAnsi="Book Antiqua"/>
          <w:b/>
          <w:sz w:val="20"/>
        </w:rPr>
      </w:pPr>
      <w:r>
        <w:rPr>
          <w:rFonts w:ascii="Book Antiqua" w:hAnsi="Book Antiqua"/>
          <w:b/>
          <w:sz w:val="20"/>
        </w:rPr>
        <w:t>Exploring the Vacuum</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Behavior of the Zero Point Energy</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Planck’s Constant and the Speed of Light</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Atomic Masses and Atomic Time</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and the Redshift</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Implications in Other Disciplines</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and Relativity</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Conclusion</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References</w:t>
      </w:r>
    </w:p>
    <w:p w:rsidR="002E34D2" w:rsidRDefault="002E34D2" w:rsidP="002E34D2">
      <w:pPr>
        <w:pStyle w:val="NoSpacing"/>
        <w:ind w:left="72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A: The ZPE and the Redshift Equation Derivation</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B: Radiant Energy Emission</w:t>
      </w:r>
    </w:p>
    <w:p w:rsidR="007501A0" w:rsidRDefault="007501A0" w:rsidP="007501A0">
      <w:pPr>
        <w:pStyle w:val="NoSpacing"/>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B1. The Energy Density of Radiation</w:t>
      </w:r>
    </w:p>
    <w:p w:rsidR="007501A0" w:rsidRDefault="007501A0" w:rsidP="007501A0">
      <w:pPr>
        <w:pStyle w:val="NoSpacing"/>
        <w:ind w:left="360"/>
        <w:rPr>
          <w:rFonts w:ascii="Book Antiqua" w:hAnsi="Book Antiqua"/>
          <w:b/>
          <w:sz w:val="20"/>
        </w:rPr>
      </w:pPr>
      <w:r>
        <w:rPr>
          <w:rFonts w:ascii="Book Antiqua" w:hAnsi="Book Antiqua"/>
          <w:b/>
          <w:sz w:val="20"/>
        </w:rPr>
        <w:t>B2. Stellar Luminosities</w:t>
      </w:r>
    </w:p>
    <w:p w:rsidR="007501A0" w:rsidRDefault="007501A0" w:rsidP="007501A0">
      <w:pPr>
        <w:pStyle w:val="NoSpacing"/>
        <w:ind w:left="360"/>
        <w:rPr>
          <w:rFonts w:ascii="Book Antiqua" w:hAnsi="Book Antiqua"/>
          <w:b/>
          <w:sz w:val="20"/>
        </w:rPr>
      </w:pPr>
      <w:r>
        <w:rPr>
          <w:rFonts w:ascii="Book Antiqua" w:hAnsi="Book Antiqua"/>
          <w:b/>
          <w:sz w:val="20"/>
        </w:rPr>
        <w:t>B3. Cepheid Variables</w:t>
      </w:r>
    </w:p>
    <w:p w:rsidR="007501A0" w:rsidRDefault="007501A0" w:rsidP="007501A0">
      <w:pPr>
        <w:pStyle w:val="NoSpacing"/>
        <w:ind w:left="360"/>
        <w:rPr>
          <w:rFonts w:ascii="Book Antiqua" w:hAnsi="Book Antiqua"/>
          <w:b/>
          <w:sz w:val="20"/>
        </w:rPr>
      </w:pPr>
      <w:r>
        <w:rPr>
          <w:rFonts w:ascii="Book Antiqua" w:hAnsi="Book Antiqua"/>
          <w:b/>
          <w:sz w:val="20"/>
        </w:rPr>
        <w:t>B4. Supernova 1987A</w:t>
      </w:r>
    </w:p>
    <w:p w:rsidR="007501A0" w:rsidRDefault="007501A0" w:rsidP="007501A0">
      <w:pPr>
        <w:pStyle w:val="NoSpacing"/>
        <w:ind w:left="360"/>
        <w:rPr>
          <w:rFonts w:ascii="Book Antiqua" w:hAnsi="Book Antiqua"/>
          <w:b/>
          <w:sz w:val="20"/>
        </w:rPr>
      </w:pPr>
      <w:r>
        <w:rPr>
          <w:rFonts w:ascii="Book Antiqua" w:hAnsi="Book Antiqua"/>
          <w:b/>
          <w:sz w:val="20"/>
        </w:rPr>
        <w:t>B5. Chemical Reactions</w:t>
      </w:r>
    </w:p>
    <w:p w:rsidR="007501A0" w:rsidRDefault="007501A0" w:rsidP="007501A0">
      <w:pPr>
        <w:pStyle w:val="NoSpacing"/>
        <w:ind w:left="360"/>
        <w:rPr>
          <w:rFonts w:ascii="Book Antiqua" w:hAnsi="Book Antiqua"/>
          <w:b/>
          <w:sz w:val="20"/>
        </w:rPr>
      </w:pPr>
      <w:r>
        <w:rPr>
          <w:rFonts w:ascii="Book Antiqua" w:hAnsi="Book Antiqua"/>
          <w:b/>
          <w:sz w:val="20"/>
        </w:rPr>
        <w:t>B6. References</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C: Doppler Shifts and the ZPE</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C1. What is Being Measured</w:t>
      </w:r>
    </w:p>
    <w:p w:rsidR="007501A0" w:rsidRDefault="007501A0" w:rsidP="007501A0">
      <w:pPr>
        <w:pStyle w:val="NoSpacing"/>
        <w:ind w:left="360"/>
        <w:rPr>
          <w:rFonts w:ascii="Book Antiqua" w:hAnsi="Book Antiqua"/>
          <w:b/>
          <w:sz w:val="20"/>
        </w:rPr>
      </w:pPr>
      <w:r>
        <w:rPr>
          <w:rFonts w:ascii="Book Antiqua" w:hAnsi="Book Antiqua"/>
          <w:b/>
          <w:sz w:val="20"/>
        </w:rPr>
        <w:t xml:space="preserve">C2. Data </w:t>
      </w:r>
      <w:proofErr w:type="gramStart"/>
      <w:r>
        <w:rPr>
          <w:rFonts w:ascii="Book Antiqua" w:hAnsi="Book Antiqua"/>
          <w:b/>
          <w:sz w:val="20"/>
        </w:rPr>
        <w:t>From</w:t>
      </w:r>
      <w:proofErr w:type="gramEnd"/>
      <w:r>
        <w:rPr>
          <w:rFonts w:ascii="Book Antiqua" w:hAnsi="Book Antiqua"/>
          <w:b/>
          <w:sz w:val="20"/>
        </w:rPr>
        <w:t xml:space="preserve"> a Supernova</w:t>
      </w:r>
    </w:p>
    <w:p w:rsidR="007501A0" w:rsidRDefault="007501A0" w:rsidP="007501A0">
      <w:pPr>
        <w:pStyle w:val="NoSpacing"/>
        <w:ind w:left="360"/>
        <w:rPr>
          <w:rFonts w:ascii="Book Antiqua" w:hAnsi="Book Antiqua"/>
          <w:b/>
          <w:sz w:val="20"/>
        </w:rPr>
      </w:pPr>
      <w:r>
        <w:rPr>
          <w:rFonts w:ascii="Book Antiqua" w:hAnsi="Book Antiqua"/>
          <w:b/>
          <w:sz w:val="20"/>
        </w:rPr>
        <w:t>C3. Rotation Rates of Distant Galaxies</w:t>
      </w:r>
    </w:p>
    <w:p w:rsidR="007501A0" w:rsidRDefault="007501A0" w:rsidP="007501A0">
      <w:pPr>
        <w:pStyle w:val="NoSpacing"/>
        <w:ind w:left="360"/>
        <w:rPr>
          <w:rFonts w:ascii="Book Antiqua" w:hAnsi="Book Antiqua"/>
          <w:b/>
          <w:sz w:val="20"/>
        </w:rPr>
      </w:pPr>
      <w:r>
        <w:rPr>
          <w:rFonts w:ascii="Book Antiqua" w:hAnsi="Book Antiqua"/>
          <w:b/>
          <w:sz w:val="20"/>
        </w:rPr>
        <w:t>C4. Binary Stars’ Orbital Revolution Rates</w:t>
      </w:r>
    </w:p>
    <w:p w:rsidR="007501A0" w:rsidRDefault="007501A0" w:rsidP="007501A0">
      <w:pPr>
        <w:pStyle w:val="NoSpacing"/>
        <w:ind w:left="360"/>
        <w:rPr>
          <w:rFonts w:ascii="Book Antiqua" w:hAnsi="Book Antiqua"/>
          <w:b/>
          <w:sz w:val="20"/>
        </w:rPr>
      </w:pPr>
      <w:r>
        <w:rPr>
          <w:rFonts w:ascii="Book Antiqua" w:hAnsi="Book Antiqua"/>
          <w:b/>
          <w:sz w:val="20"/>
        </w:rPr>
        <w:t>C5. References</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D: Pulsars and the ZPE</w:t>
      </w:r>
    </w:p>
    <w:p w:rsidR="007501A0" w:rsidRDefault="007501A0" w:rsidP="007501A0">
      <w:pPr>
        <w:pStyle w:val="NoSpacing"/>
        <w:ind w:left="360"/>
        <w:rPr>
          <w:rFonts w:ascii="Book Antiqua" w:hAnsi="Book Antiqua"/>
          <w:b/>
          <w:sz w:val="20"/>
        </w:rPr>
      </w:pPr>
    </w:p>
    <w:p w:rsidR="007501A0" w:rsidRPr="00895534" w:rsidRDefault="007501A0" w:rsidP="007501A0">
      <w:pPr>
        <w:pStyle w:val="NoSpacing"/>
        <w:ind w:left="360"/>
        <w:rPr>
          <w:rFonts w:ascii="Book Antiqua" w:hAnsi="Book Antiqua"/>
          <w:b/>
          <w:sz w:val="22"/>
          <w:szCs w:val="22"/>
        </w:rPr>
      </w:pPr>
      <w:r w:rsidRPr="00895534">
        <w:rPr>
          <w:rFonts w:ascii="Book Antiqua" w:hAnsi="Book Antiqua"/>
          <w:b/>
          <w:sz w:val="22"/>
          <w:szCs w:val="22"/>
        </w:rPr>
        <w:t xml:space="preserve">Appendix E: The Origins of Craters </w:t>
      </w:r>
      <w:proofErr w:type="gramStart"/>
      <w:r w:rsidRPr="00895534">
        <w:rPr>
          <w:rFonts w:ascii="Book Antiqua" w:hAnsi="Book Antiqua"/>
          <w:b/>
          <w:sz w:val="22"/>
          <w:szCs w:val="22"/>
        </w:rPr>
        <w:t>Throughout</w:t>
      </w:r>
      <w:proofErr w:type="gramEnd"/>
      <w:r w:rsidRPr="00895534">
        <w:rPr>
          <w:rFonts w:ascii="Book Antiqua" w:hAnsi="Book Antiqua"/>
          <w:b/>
          <w:sz w:val="22"/>
          <w:szCs w:val="22"/>
        </w:rPr>
        <w:t xml:space="preserve"> the Solar System</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E1. Two Processes Forming Craters</w:t>
      </w:r>
    </w:p>
    <w:p w:rsidR="007501A0" w:rsidRDefault="007501A0" w:rsidP="007501A0">
      <w:pPr>
        <w:pStyle w:val="NoSpacing"/>
        <w:ind w:left="360"/>
        <w:rPr>
          <w:rFonts w:ascii="Book Antiqua" w:hAnsi="Book Antiqua"/>
          <w:b/>
          <w:sz w:val="20"/>
        </w:rPr>
      </w:pPr>
      <w:r>
        <w:rPr>
          <w:rFonts w:ascii="Book Antiqua" w:hAnsi="Book Antiqua"/>
          <w:b/>
          <w:sz w:val="20"/>
        </w:rPr>
        <w:lastRenderedPageBreak/>
        <w:t>E2. Crater Ray Systems</w:t>
      </w:r>
    </w:p>
    <w:p w:rsidR="007501A0" w:rsidRDefault="007501A0" w:rsidP="007501A0">
      <w:pPr>
        <w:pStyle w:val="NoSpacing"/>
        <w:ind w:left="360"/>
        <w:rPr>
          <w:rFonts w:ascii="Book Antiqua" w:hAnsi="Book Antiqua"/>
          <w:b/>
          <w:sz w:val="20"/>
        </w:rPr>
      </w:pPr>
      <w:r>
        <w:rPr>
          <w:rFonts w:ascii="Book Antiqua" w:hAnsi="Book Antiqua"/>
          <w:b/>
          <w:sz w:val="20"/>
        </w:rPr>
        <w:t>E3. Types of Craters</w:t>
      </w:r>
    </w:p>
    <w:p w:rsidR="007501A0" w:rsidRDefault="007501A0" w:rsidP="007501A0">
      <w:pPr>
        <w:pStyle w:val="NoSpacing"/>
        <w:ind w:left="360"/>
        <w:rPr>
          <w:rFonts w:ascii="Book Antiqua" w:hAnsi="Book Antiqua"/>
          <w:b/>
          <w:sz w:val="20"/>
        </w:rPr>
      </w:pPr>
      <w:r>
        <w:rPr>
          <w:rFonts w:ascii="Book Antiqua" w:hAnsi="Book Antiqua"/>
          <w:b/>
          <w:sz w:val="20"/>
        </w:rPr>
        <w:t>E4. Additional Features</w:t>
      </w:r>
    </w:p>
    <w:p w:rsidR="007501A0" w:rsidRDefault="007501A0" w:rsidP="007501A0">
      <w:pPr>
        <w:pStyle w:val="NoSpacing"/>
        <w:ind w:left="360"/>
        <w:rPr>
          <w:rFonts w:ascii="Book Antiqua" w:hAnsi="Book Antiqua"/>
          <w:b/>
          <w:sz w:val="20"/>
        </w:rPr>
      </w:pPr>
      <w:r>
        <w:rPr>
          <w:rFonts w:ascii="Book Antiqua" w:hAnsi="Book Antiqua"/>
          <w:b/>
          <w:sz w:val="20"/>
        </w:rPr>
        <w:t>E5. Large Basins and Circular Structures</w:t>
      </w:r>
    </w:p>
    <w:p w:rsidR="007501A0" w:rsidRDefault="007501A0" w:rsidP="007501A0">
      <w:pPr>
        <w:pStyle w:val="NoSpacing"/>
        <w:ind w:left="360"/>
        <w:rPr>
          <w:rFonts w:ascii="Book Antiqua" w:hAnsi="Book Antiqua"/>
          <w:b/>
          <w:sz w:val="20"/>
        </w:rPr>
      </w:pPr>
      <w:r>
        <w:rPr>
          <w:rFonts w:ascii="Book Antiqua" w:hAnsi="Book Antiqua"/>
          <w:b/>
          <w:sz w:val="20"/>
        </w:rPr>
        <w:t>E6. Features of Craters and their Origins</w:t>
      </w:r>
    </w:p>
    <w:p w:rsidR="007501A0" w:rsidRDefault="007501A0" w:rsidP="007501A0">
      <w:pPr>
        <w:pStyle w:val="NoSpacing"/>
        <w:ind w:left="360"/>
        <w:rPr>
          <w:rFonts w:ascii="Book Antiqua" w:hAnsi="Book Antiqua"/>
          <w:b/>
          <w:sz w:val="20"/>
        </w:rPr>
      </w:pPr>
      <w:r>
        <w:rPr>
          <w:rFonts w:ascii="Book Antiqua" w:hAnsi="Book Antiqua"/>
          <w:b/>
          <w:sz w:val="20"/>
        </w:rPr>
        <w:t>E7. References</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2"/>
          <w:szCs w:val="22"/>
        </w:rPr>
      </w:pPr>
      <w:r w:rsidRPr="00895534">
        <w:rPr>
          <w:rFonts w:ascii="Book Antiqua" w:hAnsi="Book Antiqua"/>
          <w:b/>
          <w:sz w:val="22"/>
          <w:szCs w:val="22"/>
        </w:rPr>
        <w:t>Appendix F: Practical Matters</w:t>
      </w:r>
    </w:p>
    <w:p w:rsidR="00457D24" w:rsidRDefault="00457D24" w:rsidP="007501A0">
      <w:pPr>
        <w:pStyle w:val="NoSpacing"/>
        <w:ind w:left="360"/>
        <w:rPr>
          <w:rFonts w:ascii="Book Antiqua" w:hAnsi="Book Antiqua"/>
          <w:b/>
          <w:sz w:val="22"/>
          <w:szCs w:val="22"/>
        </w:rPr>
      </w:pPr>
    </w:p>
    <w:p w:rsidR="00DC7DB6" w:rsidRDefault="00DC7DB6" w:rsidP="00457D24">
      <w:pPr>
        <w:jc w:val="center"/>
        <w:rPr>
          <w:rFonts w:ascii="Book Antiqua" w:hAnsi="Book Antiqua"/>
          <w:b/>
          <w:sz w:val="28"/>
          <w:szCs w:val="28"/>
        </w:rPr>
      </w:pPr>
    </w:p>
    <w:p w:rsidR="00DC7DB6" w:rsidRDefault="00DC7DB6" w:rsidP="00457D24">
      <w:pPr>
        <w:jc w:val="center"/>
        <w:rPr>
          <w:rFonts w:ascii="Book Antiqua" w:hAnsi="Book Antiqua"/>
          <w:b/>
          <w:sz w:val="28"/>
          <w:szCs w:val="28"/>
        </w:rPr>
      </w:pPr>
    </w:p>
    <w:p w:rsidR="00DC7DB6" w:rsidRDefault="00DC7DB6" w:rsidP="00457D24">
      <w:pPr>
        <w:jc w:val="center"/>
        <w:rPr>
          <w:rFonts w:ascii="Book Antiqua" w:hAnsi="Book Antiqua"/>
          <w:b/>
          <w:sz w:val="28"/>
          <w:szCs w:val="28"/>
        </w:rPr>
      </w:pPr>
    </w:p>
    <w:p w:rsidR="00457D24" w:rsidRDefault="00457D24" w:rsidP="00457D24">
      <w:pPr>
        <w:jc w:val="center"/>
        <w:rPr>
          <w:rFonts w:ascii="Book Antiqua" w:hAnsi="Book Antiqua"/>
          <w:b/>
          <w:sz w:val="28"/>
          <w:szCs w:val="28"/>
        </w:rPr>
      </w:pPr>
      <w:r w:rsidRPr="00882D94">
        <w:rPr>
          <w:rFonts w:ascii="Book Antiqua" w:hAnsi="Book Antiqua"/>
          <w:b/>
          <w:sz w:val="28"/>
          <w:szCs w:val="28"/>
        </w:rPr>
        <w:t>Acknowledgements:</w:t>
      </w:r>
    </w:p>
    <w:p w:rsidR="00457D24" w:rsidRDefault="00457D24" w:rsidP="00457D24">
      <w:pPr>
        <w:jc w:val="both"/>
        <w:rPr>
          <w:rFonts w:ascii="Book Antiqua" w:hAnsi="Book Antiqua"/>
          <w:b/>
          <w:sz w:val="28"/>
          <w:szCs w:val="28"/>
        </w:rPr>
      </w:pPr>
    </w:p>
    <w:p w:rsidR="00457D24" w:rsidRDefault="00457D24" w:rsidP="00457D24">
      <w:pPr>
        <w:jc w:val="both"/>
        <w:rPr>
          <w:rFonts w:ascii="Book Antiqua" w:hAnsi="Book Antiqua"/>
          <w:b/>
        </w:rPr>
      </w:pPr>
      <w:r>
        <w:rPr>
          <w:rFonts w:ascii="Book Antiqua" w:hAnsi="Book Antiqua"/>
          <w:b/>
        </w:rPr>
        <w:t xml:space="preserve">A heartfelt Thank You to my wife Helen (Penny) for the way in which she has borne the burden of this project for so long, and been such an encouragement to me and a help with it. Very grateful acknowledgements go to Jarko Meijer and Rinus Kiel for their helpful discussions in resolving a number of problems. Many thanks also go to Lambert Dolphin, Trevor Norman and John Heidenreich for their continuing interest in this project which they helped </w:t>
      </w:r>
      <w:proofErr w:type="gramStart"/>
      <w:r>
        <w:rPr>
          <w:rFonts w:ascii="Book Antiqua" w:hAnsi="Book Antiqua"/>
          <w:b/>
        </w:rPr>
        <w:t>initiate</w:t>
      </w:r>
      <w:proofErr w:type="gramEnd"/>
      <w:r>
        <w:rPr>
          <w:rFonts w:ascii="Book Antiqua" w:hAnsi="Book Antiqua"/>
          <w:b/>
        </w:rPr>
        <w:t>. To many friends and acquaintances I gratefully acknowledge their assistance at critical times. Finally, thank you to the Natural Philosophy Alliance Board and Referees for their consideration and acceptance of this Research Report.</w:t>
      </w:r>
    </w:p>
    <w:p w:rsidR="00457D24" w:rsidRDefault="00457D24" w:rsidP="00457D24">
      <w:pPr>
        <w:jc w:val="both"/>
        <w:rPr>
          <w:rFonts w:ascii="Book Antiqua" w:hAnsi="Book Antiqua"/>
          <w:b/>
        </w:rPr>
      </w:pPr>
    </w:p>
    <w:p w:rsidR="00457D24" w:rsidRDefault="00457D24" w:rsidP="00457D24">
      <w:pPr>
        <w:jc w:val="center"/>
        <w:rPr>
          <w:rFonts w:ascii="Book Antiqua" w:hAnsi="Book Antiqua"/>
          <w:b/>
        </w:rPr>
      </w:pPr>
      <w:r>
        <w:rPr>
          <w:rFonts w:ascii="Book Antiqua" w:hAnsi="Book Antiqua"/>
          <w:b/>
        </w:rPr>
        <w:t>Barry Setterfield, 20</w:t>
      </w:r>
      <w:r w:rsidRPr="00882D94">
        <w:rPr>
          <w:rFonts w:ascii="Book Antiqua" w:hAnsi="Book Antiqua"/>
          <w:b/>
          <w:vertAlign w:val="superscript"/>
        </w:rPr>
        <w:t>th</w:t>
      </w:r>
      <w:r>
        <w:rPr>
          <w:rFonts w:ascii="Book Antiqua" w:hAnsi="Book Antiqua"/>
          <w:b/>
        </w:rPr>
        <w:t xml:space="preserve"> June, 2013.</w:t>
      </w:r>
    </w:p>
    <w:p w:rsidR="00457D24" w:rsidRDefault="00457D24" w:rsidP="00457D24">
      <w:pPr>
        <w:jc w:val="center"/>
        <w:rPr>
          <w:rFonts w:ascii="Book Antiqua" w:hAnsi="Book Antiqua"/>
          <w:b/>
        </w:rPr>
      </w:pPr>
    </w:p>
    <w:p w:rsidR="00457D24" w:rsidRPr="00457D24" w:rsidRDefault="00457D24" w:rsidP="00457D24">
      <w:pPr>
        <w:pStyle w:val="ListParagraph"/>
        <w:jc w:val="center"/>
        <w:rPr>
          <w:rFonts w:ascii="Book Antiqua" w:hAnsi="Book Antiqua"/>
          <w:b/>
          <w:i/>
          <w:sz w:val="32"/>
          <w:szCs w:val="32"/>
        </w:rPr>
      </w:pPr>
      <w:r w:rsidRPr="00457D24">
        <w:rPr>
          <w:rFonts w:ascii="Book Antiqua" w:hAnsi="Book Antiqua"/>
          <w:b/>
          <w:i/>
          <w:sz w:val="32"/>
          <w:szCs w:val="32"/>
        </w:rPr>
        <w:t>*  *  *  *  *  *  *</w:t>
      </w:r>
    </w:p>
    <w:p w:rsidR="00457D24" w:rsidRPr="00895534" w:rsidRDefault="00457D24" w:rsidP="007501A0">
      <w:pPr>
        <w:pStyle w:val="NoSpacing"/>
        <w:ind w:left="360"/>
        <w:rPr>
          <w:rFonts w:ascii="Book Antiqua" w:hAnsi="Book Antiqua"/>
          <w:b/>
          <w:sz w:val="22"/>
          <w:szCs w:val="22"/>
        </w:rPr>
      </w:pPr>
    </w:p>
    <w:p w:rsidR="00457D24" w:rsidRDefault="00457D24">
      <w:pPr>
        <w:widowControl/>
        <w:spacing w:after="200" w:line="276" w:lineRule="auto"/>
        <w:rPr>
          <w:rFonts w:ascii="Book Antiqua" w:eastAsia="Times New Roman" w:hAnsi="Book Antiqua"/>
          <w:b/>
          <w:lang w:val="en-US"/>
        </w:rPr>
      </w:pPr>
      <w:r>
        <w:rPr>
          <w:rFonts w:ascii="Book Antiqua" w:hAnsi="Book Antiqua"/>
          <w:b/>
        </w:rPr>
        <w:br w:type="page"/>
      </w:r>
    </w:p>
    <w:p w:rsidR="00EE535C" w:rsidRPr="007F73AB" w:rsidRDefault="00103493" w:rsidP="00EE535C">
      <w:pPr>
        <w:pStyle w:val="NoSpacing"/>
        <w:jc w:val="center"/>
        <w:rPr>
          <w:rFonts w:ascii="Book Antiqua" w:hAnsi="Book Antiqua"/>
          <w:b/>
          <w:szCs w:val="24"/>
        </w:rPr>
      </w:pPr>
      <w:r>
        <w:rPr>
          <w:rFonts w:ascii="Book Antiqua" w:hAnsi="Book Antiqua"/>
          <w:b/>
          <w:szCs w:val="24"/>
        </w:rPr>
        <w:lastRenderedPageBreak/>
        <w:t xml:space="preserve">Introduction: </w:t>
      </w:r>
      <w:r w:rsidRPr="00FF3454">
        <w:rPr>
          <w:rFonts w:ascii="Book Antiqua" w:hAnsi="Book Antiqua"/>
          <w:b/>
          <w:i/>
          <w:szCs w:val="24"/>
        </w:rPr>
        <w:t xml:space="preserve">A </w:t>
      </w:r>
      <w:r w:rsidR="00EE535C" w:rsidRPr="00FF3454">
        <w:rPr>
          <w:rFonts w:ascii="Book Antiqua" w:hAnsi="Book Antiqua"/>
          <w:b/>
          <w:i/>
          <w:szCs w:val="24"/>
        </w:rPr>
        <w:t>Layman’s Extended Summary</w:t>
      </w:r>
      <w:r w:rsidR="00F37C88">
        <w:rPr>
          <w:rFonts w:ascii="Book Antiqua" w:hAnsi="Book Antiqua"/>
          <w:b/>
          <w:i/>
          <w:szCs w:val="24"/>
        </w:rPr>
        <w:t xml:space="preserve"> -</w:t>
      </w:r>
      <w:r w:rsidR="00F37C88" w:rsidRPr="00F37C88">
        <w:rPr>
          <w:rFonts w:ascii="Book Antiqua" w:hAnsi="Book Antiqua"/>
          <w:i/>
          <w:sz w:val="18"/>
          <w:szCs w:val="18"/>
        </w:rPr>
        <w:t xml:space="preserve"> </w:t>
      </w:r>
      <w:r w:rsidR="00F37C88" w:rsidRPr="00F37C88">
        <w:rPr>
          <w:rFonts w:ascii="Book Antiqua" w:hAnsi="Book Antiqua"/>
          <w:i/>
          <w:sz w:val="16"/>
          <w:szCs w:val="16"/>
        </w:rPr>
        <w:t>by Barry &amp; Helen Setterfield</w:t>
      </w:r>
      <w:r w:rsidR="00067B62" w:rsidRPr="00F37C88">
        <w:rPr>
          <w:rFonts w:ascii="Book Antiqua" w:hAnsi="Book Antiqua"/>
          <w:i/>
          <w:sz w:val="16"/>
          <w:szCs w:val="16"/>
        </w:rPr>
        <w:t>.</w:t>
      </w:r>
    </w:p>
    <w:p w:rsidR="00EE535C" w:rsidRPr="007F73AB" w:rsidRDefault="00EE535C" w:rsidP="00EE535C">
      <w:pPr>
        <w:pStyle w:val="NoSpacing"/>
        <w:jc w:val="both"/>
        <w:rPr>
          <w:rFonts w:ascii="Book Antiqua" w:hAnsi="Book Antiqua"/>
          <w:b/>
          <w:szCs w:val="24"/>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 Discovering the Zero Point Energy</w:t>
      </w:r>
    </w:p>
    <w:p w:rsidR="00EE535C" w:rsidRPr="007F73AB" w:rsidRDefault="00EE535C" w:rsidP="00EE535C">
      <w:pPr>
        <w:pStyle w:val="NoSpacing"/>
        <w:ind w:left="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Imagine that you have a container that can be perfectly sealed. Then remove all solids and liquids and gases from it so that no atoms or molecules remain. It is commonly thought that this is what a vacuum is. Indeed, in the 17</w:t>
      </w:r>
      <w:r w:rsidRPr="007F73AB">
        <w:rPr>
          <w:rFonts w:ascii="Book Antiqua" w:hAnsi="Book Antiqua"/>
          <w:sz w:val="20"/>
          <w:vertAlign w:val="superscript"/>
        </w:rPr>
        <w:t>th</w:t>
      </w:r>
      <w:r w:rsidRPr="007F73AB">
        <w:rPr>
          <w:rFonts w:ascii="Book Antiqua" w:hAnsi="Book Antiqua"/>
          <w:sz w:val="20"/>
        </w:rPr>
        <w:t xml:space="preserve"> century, this concept gave rise to the definition of a vacuum as a totally empty volume of space. Today, this is called a “bare vacuum.” In the 18</w:t>
      </w:r>
      <w:r w:rsidRPr="007F73AB">
        <w:rPr>
          <w:rFonts w:ascii="Book Antiqua" w:hAnsi="Book Antiqua"/>
          <w:sz w:val="20"/>
          <w:vertAlign w:val="superscript"/>
        </w:rPr>
        <w:t>th</w:t>
      </w:r>
      <w:r w:rsidRPr="007F73AB">
        <w:rPr>
          <w:rFonts w:ascii="Book Antiqua" w:hAnsi="Book Antiqua"/>
          <w:sz w:val="20"/>
        </w:rPr>
        <w:t xml:space="preserve"> century it was discovered that this vacuum would not transmit sound but would transmit light. But light is only a small fraction of the full electromagnetic spectrum of wavelengths which ranges from the very short wavelength gamma rays, down to radio and longer wavelengths.  </w:t>
      </w:r>
    </w:p>
    <w:p w:rsidR="00EE535C" w:rsidRPr="007F73AB" w:rsidRDefault="00EE535C" w:rsidP="00EE535C">
      <w:pPr>
        <w:pStyle w:val="NoSpacing"/>
        <w:ind w:left="360"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Because of this, it was realized late in the 19th century, that the vacuum could still contain heat or thermal radiation which is part of the same electromagnetic spectrum. If our container with the vacuum is then perfectly insulated so no heat can get in or out, and if it is cooled to absolute zero, or about </w:t>
      </w:r>
      <w:proofErr w:type="gramStart"/>
      <w:r w:rsidRPr="007F73AB">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7F73AB">
        <w:rPr>
          <w:rFonts w:ascii="Book Antiqua" w:hAnsi="Book Antiqua"/>
          <w:sz w:val="20"/>
        </w:rPr>
        <w:t>,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later discovered to be a universal phenomenon, uniform, all-pervasive, and penetrating every atomic structure throughout the cosmos. This is more fully discussed in Chapter 1.</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existence of the ZPE was not suspected until the early 20th century for the same reason that we are unaware of the atmospheric pressure of about 1 kilogram per square centimeter or 14 pounds per square inch that is imposed upon our bodies. There is a perfect balance within us and without. We only notice pressures on our bodies if it is above that atmospheric background level, no matter how slightly above. Similarly, the radiation pressures of the ZPE are everywhere balanced, and we only notice radiation if it is above this background level, even slightly above.</w:t>
      </w:r>
    </w:p>
    <w:p w:rsidR="00EE535C" w:rsidRPr="007F73AB" w:rsidRDefault="00EE535C" w:rsidP="00EE535C">
      <w:pPr>
        <w:pStyle w:val="NoSpacing"/>
        <w:ind w:left="360" w:firstLine="360"/>
        <w:jc w:val="both"/>
        <w:rPr>
          <w:rFonts w:ascii="Book Antiqua" w:hAnsi="Book Antiqua"/>
          <w:sz w:val="20"/>
        </w:rPr>
      </w:pPr>
    </w:p>
    <w:p w:rsidR="007E6C41" w:rsidRDefault="00EE535C" w:rsidP="000E32B9">
      <w:pPr>
        <w:pStyle w:val="NoSpacing"/>
        <w:ind w:firstLine="720"/>
        <w:jc w:val="both"/>
        <w:rPr>
          <w:rFonts w:ascii="Book Antiqua" w:hAnsi="Book Antiqua"/>
          <w:sz w:val="20"/>
        </w:rPr>
      </w:pPr>
      <w:r w:rsidRPr="007F73AB">
        <w:rPr>
          <w:rFonts w:ascii="Book Antiqua" w:hAnsi="Book Antiqua"/>
          <w:sz w:val="20"/>
        </w:rPr>
        <w:t xml:space="preserve">The presence of this Zero Point Energy was first deduced by Max Planck in his paper of 1911 [1]. The suggestion was then picked up by Einstein and Stern as well as Nernst, and subsequently by others. It was found that the ZPE was made up of many more waves of short wavelengths than long wavelengths. Because there are relatively so few long wavelengths, the vacuum is smooth and even featureless at the scale of yards and inches, or meters and centimeters. However, by the time we get down to the size of atoms and molecules, the vacuum has become a surging sea of electromagnetic waves. It has sometimes been called the “seething vacuum.” At the wavelength of the smallest waves, the structure of the vacuum becomes </w:t>
      </w:r>
      <w:r w:rsidR="0089392D">
        <w:rPr>
          <w:rFonts w:ascii="Book Antiqua" w:hAnsi="Book Antiqua"/>
          <w:sz w:val="20"/>
        </w:rPr>
        <w:t>restrictive</w:t>
      </w:r>
      <w:r w:rsidRPr="007F73AB">
        <w:rPr>
          <w:rFonts w:ascii="Book Antiqua" w:hAnsi="Book Antiqua"/>
          <w:sz w:val="20"/>
        </w:rPr>
        <w:t>. The vacuum seems to behave something like a woven fabric, and this is referred to as the “fabric of space.” An illustration of one possible model for this fabric is in Figure 1.</w:t>
      </w:r>
    </w:p>
    <w:p w:rsidR="000E32B9" w:rsidRDefault="000E32B9" w:rsidP="000E32B9">
      <w:pPr>
        <w:pStyle w:val="NoSpacing"/>
        <w:ind w:firstLine="720"/>
        <w:jc w:val="both"/>
        <w:rPr>
          <w:rFonts w:ascii="Book Antiqua" w:hAnsi="Book Antiqua"/>
          <w:sz w:val="20"/>
        </w:rPr>
      </w:pPr>
    </w:p>
    <w:p w:rsidR="000E32B9" w:rsidRDefault="000E32B9" w:rsidP="000E32B9">
      <w:pPr>
        <w:pStyle w:val="NoSpacing"/>
        <w:ind w:firstLine="720"/>
        <w:jc w:val="both"/>
        <w:rPr>
          <w:rFonts w:ascii="Book Antiqua" w:hAnsi="Book Antiqua"/>
          <w:sz w:val="20"/>
        </w:rPr>
      </w:pPr>
      <w:r w:rsidRPr="000E32B9">
        <w:rPr>
          <w:rFonts w:ascii="Book Antiqua" w:hAnsi="Book Antiqua"/>
          <w:sz w:val="20"/>
        </w:rPr>
        <w:t xml:space="preserve">Because the ZPE is made up of far more short waves than long ones, most of the effects of the ZPE occur at the atomic level or smaller.  However, there is a restrictive limit as to how short those waves can be, which is caused by the ‘fabric’ quality of space at that level. This limit is called the Planck length and is equal to </w:t>
      </w:r>
      <m:oMath>
        <m:r>
          <w:rPr>
            <w:rFonts w:ascii="Cambria Math" w:hAnsi="Book Antiqua"/>
            <w:sz w:val="20"/>
          </w:rPr>
          <m:t xml:space="preserve">1.61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33</m:t>
            </m:r>
          </m:sup>
        </m:sSup>
      </m:oMath>
      <w:r w:rsidRPr="000E32B9">
        <w:rPr>
          <w:rFonts w:ascii="Book Antiqua" w:hAnsi="Book Antiqua"/>
          <w:sz w:val="20"/>
        </w:rPr>
        <w:t xml:space="preserve"> centimeters. That is the distance between the centers of the individual “shapes” illustrated in Figure 1. Waves shorter than this limit are absorbed into the “fabric.”</w:t>
      </w:r>
    </w:p>
    <w:p w:rsidR="000E32B9" w:rsidRPr="000E32B9" w:rsidRDefault="000E32B9" w:rsidP="000E32B9">
      <w:pPr>
        <w:pStyle w:val="NoSpacing"/>
        <w:ind w:firstLine="720"/>
        <w:jc w:val="both"/>
        <w:rPr>
          <w:rFonts w:ascii="Book Antiqua" w:hAnsi="Book Antiqua"/>
          <w:sz w:val="20"/>
        </w:rPr>
      </w:pPr>
    </w:p>
    <w:p w:rsidR="000E32B9" w:rsidRDefault="000E32B9" w:rsidP="000E32B9">
      <w:pPr>
        <w:pStyle w:val="NoSpacing"/>
        <w:ind w:firstLine="720"/>
        <w:jc w:val="both"/>
        <w:rPr>
          <w:rFonts w:ascii="Book Antiqua" w:hAnsi="Book Antiqua"/>
          <w:sz w:val="20"/>
        </w:rPr>
      </w:pPr>
      <w:r w:rsidRPr="007F73AB">
        <w:rPr>
          <w:rFonts w:ascii="Book Antiqua" w:hAnsi="Book Antiqua"/>
          <w:sz w:val="20"/>
        </w:rPr>
        <w:t>There are two branches of physics today, and they have very different approaches regarding the Zero Point Energy.  Despite Planck’s second paper in 1911 in which he showed that the ZPE was real, four</w:t>
      </w:r>
      <w:r w:rsidRPr="007F73AB">
        <w:rPr>
          <w:rFonts w:ascii="Book Antiqua" w:hAnsi="Book Antiqua"/>
          <w:sz w:val="18"/>
          <w:szCs w:val="18"/>
        </w:rPr>
        <w:t xml:space="preserve"> </w:t>
      </w:r>
      <w:r w:rsidRPr="007F73AB">
        <w:rPr>
          <w:rFonts w:ascii="Book Antiqua" w:hAnsi="Book Antiqua"/>
          <w:sz w:val="20"/>
        </w:rPr>
        <w:t xml:space="preserve">papers were written in the 1920’s which turned the course of physics away from the classical approach and toward what is now referred to as Quantum Physics, or Quantum Electro-Dynamics (QED physics).  This approach treats the ZPE as entirely hypothetical and useful only in mathematical approaches.  </w:t>
      </w:r>
    </w:p>
    <w:p w:rsidR="000E32B9" w:rsidRDefault="000E32B9" w:rsidP="000E32B9">
      <w:pPr>
        <w:pStyle w:val="NoSpacing"/>
        <w:ind w:firstLine="720"/>
        <w:jc w:val="both"/>
        <w:rPr>
          <w:rFonts w:ascii="Book Antiqua" w:hAnsi="Book Antiqua"/>
          <w:sz w:val="20"/>
        </w:rPr>
      </w:pPr>
    </w:p>
    <w:p w:rsidR="007E6C41" w:rsidRPr="007F73AB" w:rsidRDefault="007E6C41" w:rsidP="007E6C41">
      <w:pPr>
        <w:ind w:firstLine="360"/>
        <w:rPr>
          <w:rFonts w:ascii="Book Antiqua" w:hAnsi="Book Antiqua"/>
          <w:sz w:val="18"/>
          <w:szCs w:val="18"/>
        </w:rPr>
      </w:pPr>
    </w:p>
    <w:p w:rsidR="00EE535C" w:rsidRPr="007F73AB" w:rsidRDefault="00EE535C" w:rsidP="00EE535C">
      <w:pPr>
        <w:pStyle w:val="NoSpacing"/>
        <w:jc w:val="center"/>
        <w:rPr>
          <w:rFonts w:ascii="Book Antiqua" w:hAnsi="Book Antiqua"/>
          <w:sz w:val="18"/>
          <w:szCs w:val="18"/>
        </w:rPr>
      </w:pPr>
      <w:r w:rsidRPr="007F73AB">
        <w:rPr>
          <w:rFonts w:ascii="Book Antiqua" w:hAnsi="Book Antiqua"/>
          <w:noProof/>
          <w:sz w:val="18"/>
          <w:szCs w:val="18"/>
        </w:rPr>
        <w:lastRenderedPageBreak/>
        <w:drawing>
          <wp:inline distT="0" distB="0" distL="0" distR="0">
            <wp:extent cx="2432157" cy="2110791"/>
            <wp:effectExtent l="19050" t="0" r="6243" b="0"/>
            <wp:docPr id="1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2431213" cy="2109971"/>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jc w:val="both"/>
        <w:rPr>
          <w:rFonts w:ascii="Book Antiqua" w:hAnsi="Book Antiqua"/>
          <w:sz w:val="18"/>
          <w:szCs w:val="18"/>
        </w:rPr>
      </w:pPr>
    </w:p>
    <w:p w:rsidR="007E6C41" w:rsidRPr="00F479C6" w:rsidRDefault="00EE535C" w:rsidP="00A3114D">
      <w:pPr>
        <w:pStyle w:val="NoSpacing"/>
        <w:rPr>
          <w:rFonts w:ascii="Book Antiqua" w:hAnsi="Book Antiqua"/>
          <w:i/>
          <w:sz w:val="18"/>
          <w:szCs w:val="18"/>
        </w:rPr>
      </w:pPr>
      <w:r w:rsidRPr="00262DE1">
        <w:rPr>
          <w:rFonts w:ascii="Book Antiqua" w:hAnsi="Book Antiqua"/>
          <w:b/>
          <w:i/>
          <w:sz w:val="18"/>
          <w:szCs w:val="18"/>
        </w:rPr>
        <w:t>Figure 1:</w:t>
      </w:r>
      <w:r w:rsidRPr="00F479C6">
        <w:rPr>
          <w:rFonts w:ascii="Book Antiqua" w:hAnsi="Book Antiqua"/>
          <w:i/>
          <w:sz w:val="18"/>
          <w:szCs w:val="18"/>
        </w:rPr>
        <w:t xml:space="preserve"> The fabric of space, according to String Theory, </w:t>
      </w:r>
      <w:r w:rsidR="00F80A64" w:rsidRPr="00F479C6">
        <w:rPr>
          <w:rFonts w:ascii="Book Antiqua" w:hAnsi="Book Antiqua"/>
          <w:i/>
          <w:sz w:val="18"/>
          <w:szCs w:val="18"/>
        </w:rPr>
        <w:t>is made up of</w:t>
      </w:r>
      <w:r w:rsidRPr="00F479C6">
        <w:rPr>
          <w:rFonts w:ascii="Book Antiqua" w:hAnsi="Book Antiqua"/>
          <w:i/>
          <w:sz w:val="18"/>
          <w:szCs w:val="18"/>
        </w:rPr>
        <w:t xml:space="preserve"> compactified extra dimensions called Calabi-Yau shapes. These shapes are a Planck length apart, or just over </w:t>
      </w:r>
      <m:oMath>
        <m:sSup>
          <m:sSupPr>
            <m:ctrlPr>
              <w:rPr>
                <w:rFonts w:ascii="Cambria Math" w:hAnsi="Book Antiqua"/>
                <w:i/>
                <w:sz w:val="18"/>
                <w:szCs w:val="18"/>
              </w:rPr>
            </m:ctrlPr>
          </m:sSupPr>
          <m:e>
            <m:r>
              <w:rPr>
                <w:rFonts w:ascii="Cambria Math" w:hAnsi="Book Antiqua"/>
                <w:sz w:val="18"/>
                <w:szCs w:val="18"/>
              </w:rPr>
              <m:t>10</m:t>
            </m:r>
          </m:e>
          <m:sup>
            <m:r>
              <w:rPr>
                <w:rFonts w:ascii="Book Antiqua" w:hAnsi="Book Antiqua"/>
                <w:sz w:val="18"/>
                <w:szCs w:val="18"/>
              </w:rPr>
              <m:t>-</m:t>
            </m:r>
            <m:r>
              <w:rPr>
                <w:rFonts w:ascii="Cambria Math" w:hAnsi="Book Antiqua"/>
                <w:sz w:val="18"/>
                <w:szCs w:val="18"/>
              </w:rPr>
              <m:t>33</m:t>
            </m:r>
          </m:sup>
        </m:sSup>
      </m:oMath>
      <w:r w:rsidRPr="00F479C6">
        <w:rPr>
          <w:rFonts w:ascii="Book Antiqua" w:hAnsi="Book Antiqua"/>
          <w:i/>
          <w:sz w:val="18"/>
          <w:szCs w:val="18"/>
        </w:rPr>
        <w:t xml:space="preserve"> centimeters.</w:t>
      </w:r>
      <w:r w:rsidR="0089392D" w:rsidRPr="00F479C6">
        <w:rPr>
          <w:rFonts w:ascii="Book Antiqua" w:hAnsi="Book Antiqua"/>
          <w:i/>
          <w:sz w:val="18"/>
          <w:szCs w:val="18"/>
        </w:rPr>
        <w:t xml:space="preserve"> </w:t>
      </w:r>
      <w:r w:rsidR="00A16F78" w:rsidRPr="00F479C6">
        <w:rPr>
          <w:rFonts w:ascii="Book Antiqua" w:hAnsi="Book Antiqua"/>
          <w:i/>
          <w:sz w:val="18"/>
          <w:szCs w:val="18"/>
        </w:rPr>
        <w:t>Instead of this “fabric” existing in two dimensions as shown here, t</w:t>
      </w:r>
      <w:r w:rsidR="0089392D" w:rsidRPr="00F479C6">
        <w:rPr>
          <w:rFonts w:ascii="Book Antiqua" w:hAnsi="Book Antiqua"/>
          <w:i/>
          <w:sz w:val="18"/>
          <w:szCs w:val="18"/>
        </w:rPr>
        <w:t>h</w:t>
      </w:r>
      <w:r w:rsidR="006B09DA" w:rsidRPr="00F479C6">
        <w:rPr>
          <w:rFonts w:ascii="Book Antiqua" w:hAnsi="Book Antiqua"/>
          <w:i/>
          <w:sz w:val="18"/>
          <w:szCs w:val="18"/>
        </w:rPr>
        <w:t>ere is</w:t>
      </w:r>
      <w:r w:rsidR="0089392D" w:rsidRPr="00F479C6">
        <w:rPr>
          <w:rFonts w:ascii="Book Antiqua" w:hAnsi="Book Antiqua"/>
          <w:i/>
          <w:sz w:val="18"/>
          <w:szCs w:val="18"/>
        </w:rPr>
        <w:t xml:space="preserve"> “stacking” in </w:t>
      </w:r>
      <w:r w:rsidR="006B09DA" w:rsidRPr="00F479C6">
        <w:rPr>
          <w:rFonts w:ascii="Book Antiqua" w:hAnsi="Book Antiqua"/>
          <w:i/>
          <w:sz w:val="18"/>
          <w:szCs w:val="18"/>
        </w:rPr>
        <w:t xml:space="preserve">a </w:t>
      </w:r>
      <w:r w:rsidR="0089392D" w:rsidRPr="00F479C6">
        <w:rPr>
          <w:rFonts w:ascii="Book Antiqua" w:hAnsi="Book Antiqua"/>
          <w:i/>
          <w:sz w:val="18"/>
          <w:szCs w:val="18"/>
        </w:rPr>
        <w:t>3 dimension</w:t>
      </w:r>
      <w:r w:rsidR="006B09DA" w:rsidRPr="00F479C6">
        <w:rPr>
          <w:rFonts w:ascii="Book Antiqua" w:hAnsi="Book Antiqua"/>
          <w:i/>
          <w:sz w:val="18"/>
          <w:szCs w:val="18"/>
        </w:rPr>
        <w:t xml:space="preserve">al lattice </w:t>
      </w:r>
      <w:r w:rsidR="0089392D" w:rsidRPr="00F479C6">
        <w:rPr>
          <w:rFonts w:ascii="Book Antiqua" w:hAnsi="Book Antiqua"/>
          <w:i/>
          <w:sz w:val="18"/>
          <w:szCs w:val="18"/>
        </w:rPr>
        <w:t xml:space="preserve">with </w:t>
      </w:r>
      <w:r w:rsidR="006B09DA" w:rsidRPr="00F479C6">
        <w:rPr>
          <w:rFonts w:ascii="Book Antiqua" w:hAnsi="Book Antiqua"/>
          <w:i/>
          <w:sz w:val="18"/>
          <w:szCs w:val="18"/>
        </w:rPr>
        <w:t>the Calabi-Yau shapes in adjacent</w:t>
      </w:r>
      <w:r w:rsidR="00A16F78" w:rsidRPr="00F479C6">
        <w:rPr>
          <w:rFonts w:ascii="Book Antiqua" w:hAnsi="Book Antiqua"/>
          <w:i/>
          <w:sz w:val="18"/>
          <w:szCs w:val="18"/>
        </w:rPr>
        <w:t xml:space="preserve"> layers </w:t>
      </w:r>
      <w:r w:rsidR="006B09DA" w:rsidRPr="00F479C6">
        <w:rPr>
          <w:rFonts w:ascii="Book Antiqua" w:hAnsi="Book Antiqua"/>
          <w:i/>
          <w:sz w:val="18"/>
          <w:szCs w:val="18"/>
        </w:rPr>
        <w:t>filling the gaps</w:t>
      </w:r>
      <w:r w:rsidR="00A16F78" w:rsidRPr="00F479C6">
        <w:rPr>
          <w:rFonts w:ascii="Book Antiqua" w:hAnsi="Book Antiqua"/>
          <w:i/>
          <w:sz w:val="18"/>
          <w:szCs w:val="18"/>
        </w:rPr>
        <w:t xml:space="preserve"> in the grid shown in this layer.</w:t>
      </w:r>
    </w:p>
    <w:p w:rsidR="00EE535C" w:rsidRDefault="00EE535C" w:rsidP="00EE535C">
      <w:pPr>
        <w:pStyle w:val="NoSpacing"/>
        <w:ind w:firstLine="360"/>
        <w:jc w:val="both"/>
        <w:rPr>
          <w:rFonts w:ascii="Book Antiqua" w:hAnsi="Book Antiqua"/>
          <w:sz w:val="20"/>
        </w:rPr>
      </w:pPr>
    </w:p>
    <w:p w:rsidR="000E32B9" w:rsidRPr="007F73AB" w:rsidRDefault="000E32B9" w:rsidP="000E32B9">
      <w:pPr>
        <w:pStyle w:val="NoSpacing"/>
        <w:ind w:firstLine="720"/>
        <w:jc w:val="both"/>
        <w:rPr>
          <w:rFonts w:ascii="Book Antiqua" w:hAnsi="Book Antiqua"/>
          <w:sz w:val="20"/>
        </w:rPr>
      </w:pPr>
      <w:r w:rsidRPr="007F73AB">
        <w:rPr>
          <w:rFonts w:ascii="Book Antiqua" w:hAnsi="Book Antiqua"/>
          <w:sz w:val="20"/>
        </w:rPr>
        <w:t>However in 1962, de Broglie, a physicist who had written one of those four papers, wrote that physics may well have taken a wrong turn in the 1920’s [2].  The Zero Point Energy is real and measureable and, when that is combined with classical physics, quantum phenomena are much more easily understood and worked with.  This is called Stochastic Electrodynamics, or SED physics, because of the random or stochastic distribution of the ZPE waves in space.</w:t>
      </w:r>
    </w:p>
    <w:p w:rsidR="000E32B9" w:rsidRPr="007F73AB" w:rsidRDefault="000E32B9" w:rsidP="000E32B9">
      <w:pPr>
        <w:pStyle w:val="NoSpacing"/>
        <w:ind w:firstLine="720"/>
        <w:jc w:val="both"/>
        <w:rPr>
          <w:rFonts w:ascii="Book Antiqua" w:hAnsi="Book Antiqua"/>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experimental evidence that hinted at the existence of the ZPE comes mostly from the realms of atoms which are being ‘jiggled’ by the impacting waves of the ZPE.  For instance, the ZPE explains why cooling alone will never freeze liquid helium. Unless pressure is applied, these ZPE fluctuations prevent helium’s atoms from getting close enough to permit solidification. In electronic circuits, like microwave receivers, another problem arises because ZPE fluctuations cause a random ‘noise’ that places limits on the level to which signals can be amplified. The ‘noise,’ caused by the ‘jittering’ of atomic and subatomic particles, can never be removed no matter how perfect the technology. Indeed, the suggestion has been made that this incessant electronic 'noise' might be harnessed as an energy source.</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According to the SED branch of physics (which deals specifically with the actual ZPE), the electron, for example, undergoes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random hits per second from the impacting ZPE waves. This is known as the Compton frequency. This means an electron changes direction and “jitters”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times each second. In science this jitter motion is known by its German equivalent “</w:t>
      </w:r>
      <w:r w:rsidRPr="007F73AB">
        <w:rPr>
          <w:rFonts w:ascii="Book Antiqua" w:hAnsi="Book Antiqua"/>
          <w:i/>
          <w:sz w:val="20"/>
        </w:rPr>
        <w:t>zitterbewegung</w:t>
      </w:r>
      <w:r w:rsidRPr="007F73AB">
        <w:rPr>
          <w:rFonts w:ascii="Book Antiqua" w:hAnsi="Book Antiqua"/>
          <w:sz w:val="20"/>
        </w:rPr>
        <w:t>.” For this reason, the electron’s precise position and momentum can never be accurately measured at any given instant; this is called “</w:t>
      </w:r>
      <w:r w:rsidRPr="007F73AB">
        <w:rPr>
          <w:rFonts w:ascii="Book Antiqua" w:hAnsi="Book Antiqua"/>
          <w:i/>
          <w:sz w:val="20"/>
        </w:rPr>
        <w:t>quantum uncertainty</w:t>
      </w:r>
      <w:r w:rsidRPr="007F73AB">
        <w:rPr>
          <w:rFonts w:ascii="Book Antiqua" w:hAnsi="Book Antiqua"/>
          <w:sz w:val="20"/>
        </w:rPr>
        <w:t>.” Even an electron’s exact atomic orbit is uncertain or ‘smeared out,’ giving rise to uncertainty in momentum. This occurs because these impacting waves cause the electron to undergo over 18,700 changes in direction in the time it takes to execute just one orbit around the atomic nucleus. The same can be said about all subatomic particles.</w:t>
      </w:r>
      <w:r w:rsidR="007C5DFE">
        <w:rPr>
          <w:rFonts w:ascii="Book Antiqua" w:hAnsi="Book Antiqua"/>
          <w:sz w:val="20"/>
        </w:rPr>
        <w:t xml:space="preserve"> </w:t>
      </w:r>
      <w:r w:rsidR="00354747">
        <w:rPr>
          <w:rFonts w:ascii="Book Antiqua" w:hAnsi="Book Antiqua"/>
          <w:sz w:val="20"/>
        </w:rPr>
        <w:t xml:space="preserve">The picture that emerges is that of a negative electron being attracted to the positive proton(s) in the nucleus. However, because of the impacting waves of the ZPE causing it to continually change its direction of </w:t>
      </w:r>
      <w:proofErr w:type="gramStart"/>
      <w:r w:rsidR="00354747">
        <w:rPr>
          <w:rFonts w:ascii="Book Antiqua" w:hAnsi="Book Antiqua"/>
          <w:sz w:val="20"/>
        </w:rPr>
        <w:t>movement,</w:t>
      </w:r>
      <w:proofErr w:type="gramEnd"/>
      <w:r w:rsidR="00354747">
        <w:rPr>
          <w:rFonts w:ascii="Book Antiqua" w:hAnsi="Book Antiqua"/>
          <w:sz w:val="20"/>
        </w:rPr>
        <w:t xml:space="preserve"> the electron is forced to “orbit” the nucleus instead of falling into it. It can be shown that the more hits</w:t>
      </w:r>
      <w:r w:rsidR="00467084">
        <w:rPr>
          <w:rFonts w:ascii="Book Antiqua" w:hAnsi="Book Antiqua"/>
          <w:sz w:val="20"/>
        </w:rPr>
        <w:t xml:space="preserve"> the electron receives per unit time, the </w:t>
      </w:r>
      <w:r w:rsidR="00D63E39">
        <w:rPr>
          <w:rFonts w:ascii="Book Antiqua" w:hAnsi="Book Antiqua"/>
          <w:sz w:val="20"/>
        </w:rPr>
        <w:t xml:space="preserve">shorter the distance the electron travels in a straight line between the hits. The overall result is that </w:t>
      </w:r>
      <w:r w:rsidR="00467084">
        <w:rPr>
          <w:rFonts w:ascii="Book Antiqua" w:hAnsi="Book Antiqua"/>
          <w:sz w:val="20"/>
        </w:rPr>
        <w:t>the orbit radius will tend to become</w:t>
      </w:r>
      <w:r w:rsidR="00D63E39">
        <w:rPr>
          <w:rFonts w:ascii="Book Antiqua" w:hAnsi="Book Antiqua"/>
          <w:sz w:val="20"/>
        </w:rPr>
        <w:t xml:space="preserve"> smaller with more hits</w:t>
      </w:r>
      <w:r w:rsidR="00467084">
        <w:rPr>
          <w:rFonts w:ascii="Book Antiqua" w:hAnsi="Book Antiqua"/>
          <w:sz w:val="20"/>
        </w:rPr>
        <w:t>.</w:t>
      </w:r>
      <w:r w:rsidR="00354747">
        <w:rPr>
          <w:rFonts w:ascii="Book Antiqua" w:hAnsi="Book Antiqua"/>
          <w:sz w:val="20"/>
        </w:rPr>
        <w:t xml:space="preserve"> </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Has the Zero Point Energy Strength Changed?</w:t>
      </w:r>
    </w:p>
    <w:p w:rsidR="00EE535C" w:rsidRPr="007F73AB" w:rsidRDefault="00EE535C" w:rsidP="00EE535C">
      <w:pPr>
        <w:pStyle w:val="NoSpacing"/>
        <w:ind w:left="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evidence says yes.  Most cosmologies start with the stretching or expansion of the universe. That concept is accepted here. Consider a rubber band for a moment. When it is stretched, energy is invested into its fabric as potential energy. When the rubber band is released, that energy goes into its motion and it becomes kinetic energy. In a similar way, the initial stretching of the cosmos put potential energy into its fabric. This then converted to the kinetic energy of the ZPE.   In the same way the potential energy converts to kinetic energy most rapidly immediately after the rubber band </w:t>
      </w:r>
      <w:r w:rsidRPr="007F73AB">
        <w:rPr>
          <w:rFonts w:ascii="Book Antiqua" w:hAnsi="Book Antiqua"/>
          <w:sz w:val="20"/>
        </w:rPr>
        <w:lastRenderedPageBreak/>
        <w:t xml:space="preserve">is released, the ZPE built up extremely rapidly at first and then tapered down until the conversion was complete.  The physical processes involved are well-known and are outlined in Chapter 1.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However, data discussed in Chapters 2-5 indicate that after a period of time, the stretching ceased and the universe became static. In 1993, Narlikar and Arp demonstrated that a static cosmos would be stable and would not collapse provided that it oscillated slightly in a variety of modes around its mean position [3]. Once the ZPE had built up to its maximum, it was maintained by a feedback mechanism as outlined by Puthoff and others [4]. As the universe then oscillated about its new average position, the perceived strength of the ZPE would also oscillate. Thus when the universe was at its maximum size, the same ZPE strength was in a larger volume, so at any point in space, the ZPE energy density would be measured as less. Alternately, when the cosmos was at its minimum size, the same ZPE strength was contained in a smaller volume and so its energy density was greater.  Regardless of this, however, the ZPE strength throughout the whole universe is the same at any one</w:t>
      </w:r>
      <w:r w:rsidR="00B86CA1">
        <w:rPr>
          <w:rFonts w:ascii="Book Antiqua" w:hAnsi="Book Antiqua"/>
          <w:sz w:val="20"/>
        </w:rPr>
        <w:t xml:space="preserve"> instant of</w:t>
      </w:r>
      <w:r w:rsidRPr="007F73AB">
        <w:rPr>
          <w:rFonts w:ascii="Book Antiqua" w:hAnsi="Book Antiqua"/>
          <w:sz w:val="20"/>
        </w:rPr>
        <w:t xml:space="preserve">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Virtual Particles </w:t>
      </w:r>
    </w:p>
    <w:p w:rsidR="00EE535C" w:rsidRPr="007F73AB" w:rsidRDefault="00EE535C" w:rsidP="004D4E88">
      <w:pPr>
        <w:pStyle w:val="Els-1storder-head"/>
        <w:numPr>
          <w:ilvl w:val="0"/>
          <w:numId w:val="0"/>
        </w:numPr>
        <w:ind w:firstLine="720"/>
        <w:jc w:val="both"/>
        <w:rPr>
          <w:rFonts w:ascii="Book Antiqua" w:hAnsi="Book Antiqua"/>
          <w:b w:val="0"/>
        </w:rPr>
      </w:pPr>
      <w:r w:rsidRPr="007F73AB">
        <w:rPr>
          <w:rFonts w:ascii="Book Antiqua" w:hAnsi="Book Antiqua"/>
          <w:b w:val="0"/>
        </w:rPr>
        <w:t xml:space="preserve">The electromagnetic waves of the Zero Point Energy are not only of all wavelengths, they are going in all different directions at once. In other words they have a random distribution. The interaction of these waves may be pictured as being somewhat similar to the waves of the sea. When something such as a passing boat causes a cross-current, and ocean waves meet, the waves peak, crest and form whitecaps, which then die down quickly and disappear. </w:t>
      </w:r>
      <w:r w:rsidR="002B47EA">
        <w:rPr>
          <w:rFonts w:ascii="Book Antiqua" w:hAnsi="Book Antiqua"/>
          <w:b w:val="0"/>
        </w:rPr>
        <w:t xml:space="preserve">This occurs in the ocean because of the constructive interference of wave </w:t>
      </w:r>
      <w:r w:rsidR="00F80A64">
        <w:rPr>
          <w:rFonts w:ascii="Book Antiqua" w:hAnsi="Book Antiqua"/>
          <w:b w:val="0"/>
        </w:rPr>
        <w:t>heights (</w:t>
      </w:r>
      <w:r w:rsidR="002B47EA">
        <w:rPr>
          <w:rFonts w:ascii="Book Antiqua" w:hAnsi="Book Antiqua"/>
          <w:b w:val="0"/>
        </w:rPr>
        <w:t>amplitudes</w:t>
      </w:r>
      <w:r w:rsidR="00F80A64">
        <w:rPr>
          <w:rFonts w:ascii="Book Antiqua" w:hAnsi="Book Antiqua"/>
          <w:b w:val="0"/>
        </w:rPr>
        <w:t>)</w:t>
      </w:r>
      <w:r w:rsidR="002B47EA">
        <w:rPr>
          <w:rFonts w:ascii="Book Antiqua" w:hAnsi="Book Antiqua"/>
          <w:b w:val="0"/>
        </w:rPr>
        <w:t xml:space="preserve"> which build up </w:t>
      </w:r>
      <w:r w:rsidR="00793A4C">
        <w:rPr>
          <w:rFonts w:ascii="Book Antiqua" w:hAnsi="Book Antiqua"/>
          <w:b w:val="0"/>
        </w:rPr>
        <w:t xml:space="preserve">because wave energy is added to the system. </w:t>
      </w:r>
      <w:r w:rsidRPr="007F73AB">
        <w:rPr>
          <w:rFonts w:ascii="Book Antiqua" w:hAnsi="Book Antiqua"/>
          <w:b w:val="0"/>
        </w:rPr>
        <w:t>In the same way, when ZPE waves meet, they create a concentration of energy that results</w:t>
      </w:r>
      <w:r w:rsidR="00793A4C">
        <w:rPr>
          <w:rFonts w:ascii="Book Antiqua" w:hAnsi="Book Antiqua"/>
          <w:b w:val="0"/>
        </w:rPr>
        <w:t>, not in the formation of whitecaps, but rather</w:t>
      </w:r>
      <w:r w:rsidRPr="007F73AB">
        <w:rPr>
          <w:rFonts w:ascii="Book Antiqua" w:hAnsi="Book Antiqua"/>
          <w:b w:val="0"/>
        </w:rPr>
        <w:t xml:space="preserve"> in the formation of positive and negative particle pairs.  Because these pairs will almost immediately recombine, releasing the energy that caused them, they are referred to as ‘virtual particles.’  During their brief existence, however, they behave exactly as regular particles do and can absorb light.</w:t>
      </w: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Virtual particles can happen because energy and mass are inter-convertible. However, in order to maintain conservation of electronic charge, virtual particles must be in the form of particle-antiparticle pairs. There is a veritable zoo of such particles, such as electron-positron pairs, or proton-antiproton pairs or a positive and negative pion.  It has been calculated that, at any instant, there are at over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7F73AB">
        <w:rPr>
          <w:rFonts w:ascii="Book Antiqua" w:hAnsi="Book Antiqua"/>
          <w:sz w:val="20"/>
        </w:rPr>
        <w:t xml:space="preserve"> such particle pairs in any cubic meter (or cubic yard) of space. Therefore, if the strength of the ZPE increased, the number of virtual particle pairs present at any instant would have increased in proportion. Effectively, space would have become “thicker” with these virtual particle pairs. Conversely, if the ZPE strength decreased, the number of virtual particles in a given volume would likewise decrease.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Because these particles are electrically charged they control the electric properties of the vacuum. Because these charged particles also move, and a charge in motion </w:t>
      </w:r>
      <w:r w:rsidR="00494B65">
        <w:rPr>
          <w:rFonts w:ascii="Book Antiqua" w:hAnsi="Book Antiqua"/>
          <w:sz w:val="20"/>
        </w:rPr>
        <w:t xml:space="preserve">(an electric current) </w:t>
      </w:r>
      <w:r w:rsidRPr="007F73AB">
        <w:rPr>
          <w:rFonts w:ascii="Book Antiqua" w:hAnsi="Book Antiqua"/>
          <w:sz w:val="20"/>
        </w:rPr>
        <w:t>always produces a circling magnetic field, they also control the magnetic properties of the vacuum. Because the strength of the Zero Point Energy</w:t>
      </w:r>
      <w:r w:rsidR="00AF5DED">
        <w:rPr>
          <w:rFonts w:ascii="Book Antiqua" w:hAnsi="Book Antiqua"/>
          <w:sz w:val="20"/>
        </w:rPr>
        <w:t xml:space="preserve"> (the number of ZPE waves per unit volume)</w:t>
      </w:r>
      <w:r w:rsidRPr="007F73AB">
        <w:rPr>
          <w:rFonts w:ascii="Book Antiqua" w:hAnsi="Book Antiqua"/>
          <w:sz w:val="20"/>
        </w:rPr>
        <w:t xml:space="preserve"> controls the number of virtual particle pairs in a given volume of space, any change in the strength of the ZPE changes the number of virtual particle pairs per unit volume.  This, in turn, brings about a change in the electric and magnetic properties of the vacuum. The electric properties of the vacuum are described by a quantity known as the permittivity of free space, (designated by the Greek letter epsilon</w:t>
      </w:r>
      <w:proofErr w:type="gramStart"/>
      <w:r w:rsidRPr="007F73AB">
        <w:rPr>
          <w:rFonts w:ascii="Book Antiqua" w:hAnsi="Book Antiqua"/>
          <w:sz w:val="20"/>
        </w:rPr>
        <w:t>,</w:t>
      </w:r>
      <w:r w:rsidR="00276CA2">
        <w:rPr>
          <w:rFonts w:ascii="Book Antiqua" w:hAnsi="Book Antiqua"/>
          <w:sz w:val="20"/>
        </w:rPr>
        <w:t xml:space="preserve"> </w:t>
      </w:r>
      <m:oMath>
        <w:proofErr w:type="gramEnd"/>
        <m:r>
          <w:rPr>
            <w:rFonts w:ascii="Cambria Math" w:hAnsi="Cambria Math"/>
            <w:sz w:val="18"/>
            <w:szCs w:val="18"/>
          </w:rPr>
          <m:t>ε</m:t>
        </m:r>
        <m:r>
          <w:rPr>
            <w:rFonts w:ascii="Cambria Math" w:hAnsi="Book Antiqua"/>
            <w:sz w:val="18"/>
            <w:szCs w:val="18"/>
          </w:rPr>
          <m:t>)</m:t>
        </m:r>
      </m:oMath>
      <w:r w:rsidRPr="007F73AB">
        <w:rPr>
          <w:rFonts w:ascii="Book Antiqua" w:hAnsi="Book Antiqua"/>
          <w:sz w:val="20"/>
        </w:rPr>
        <w:t xml:space="preserve">, while the magnetic properties are controlled by the permeability (designated by the Greek letter mu, </w:t>
      </w:r>
      <m:oMath>
        <m:r>
          <w:rPr>
            <w:rFonts w:ascii="Cambria Math" w:hAnsi="Book Antiqua"/>
            <w:sz w:val="18"/>
            <w:szCs w:val="18"/>
          </w:rPr>
          <m:t>µ</m:t>
        </m:r>
      </m:oMath>
      <w:r w:rsidRPr="007F73AB">
        <w:rPr>
          <w:rFonts w:ascii="Book Antiqua" w:hAnsi="Book Antiqua"/>
          <w:sz w:val="20"/>
        </w:rPr>
        <w:t xml:space="preserve">). </w:t>
      </w:r>
      <w:proofErr w:type="gramStart"/>
      <w:r w:rsidRPr="007F73AB">
        <w:rPr>
          <w:rFonts w:ascii="Book Antiqua" w:hAnsi="Book Antiqua"/>
          <w:sz w:val="20"/>
        </w:rPr>
        <w:t xml:space="preserve">If the ZPE strength increased, then both </w:t>
      </w:r>
      <m:oMath>
        <m:r>
          <w:rPr>
            <w:rFonts w:ascii="Cambria Math" w:hAnsi="Cambria Math"/>
            <w:sz w:val="18"/>
            <w:szCs w:val="18"/>
          </w:rPr>
          <m:t>ε</m:t>
        </m:r>
      </m:oMath>
      <w:r w:rsidRPr="007F73AB">
        <w:rPr>
          <w:rFonts w:ascii="Book Antiqua" w:hAnsi="Book Antiqua"/>
          <w:sz w:val="20"/>
        </w:rPr>
        <w:t xml:space="preserve"> and </w:t>
      </w:r>
      <m:oMath>
        <m:r>
          <w:rPr>
            <w:rFonts w:ascii="Cambria Math" w:hAnsi="Book Antiqua"/>
            <w:sz w:val="18"/>
            <w:szCs w:val="18"/>
          </w:rPr>
          <m:t>µ</m:t>
        </m:r>
      </m:oMath>
      <w:r w:rsidRPr="007F73AB">
        <w:rPr>
          <w:rFonts w:ascii="Book Antiqua" w:hAnsi="Book Antiqua"/>
          <w:sz w:val="20"/>
        </w:rPr>
        <w:t xml:space="preserve"> would also increase proportionally as a result of the proportional increase in the number of virtual particle pairs.</w:t>
      </w:r>
      <w:proofErr w:type="gramEnd"/>
      <w:r w:rsidR="00AF5DED">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ZPE and the Speed of Light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As well as controlling the electric and magnetic properties of the vacuum, the ZPE also controls the speed of light in a vacuum. As a photon of light proceeds through the vacuum, it is briefly absorbed by a virtual particle and then re-emitted as the particle pairs annihilate. An instant later the process repeats. Thus the path of a light photon is like a runner going over hurdles. As the strength of the ZPE increases, so, in direct proportion, do the number of virtual particles per unit volume. Therefore, as a photon travels, the number of interactions with virtual particles will increase in direct proportion to any ZPE increase. The more virtual particles per unit volume, the longer it takes light photons to traverse it. Thus, as the ZPE strength increased </w:t>
      </w:r>
      <w:r w:rsidRPr="00276CA2">
        <w:rPr>
          <w:rFonts w:ascii="Book Antiqua" w:hAnsi="Book Antiqua"/>
          <w:sz w:val="20"/>
        </w:rPr>
        <w:t>through time</w:t>
      </w:r>
      <w:r w:rsidR="00276CA2">
        <w:rPr>
          <w:rFonts w:ascii="Book Antiqua" w:hAnsi="Book Antiqua"/>
          <w:sz w:val="20"/>
        </w:rPr>
        <w:t xml:space="preserve"> and</w:t>
      </w:r>
      <w:r w:rsidRPr="00276CA2">
        <w:rPr>
          <w:rFonts w:ascii="Book Antiqua" w:hAnsi="Book Antiqua"/>
          <w:sz w:val="20"/>
        </w:rPr>
        <w:t xml:space="preserve"> space became</w:t>
      </w:r>
      <w:r w:rsidRPr="007F73AB">
        <w:rPr>
          <w:rFonts w:ascii="Book Antiqua" w:hAnsi="Book Antiqua"/>
          <w:sz w:val="20"/>
        </w:rPr>
        <w:t xml:space="preserve"> “thicker” with virtual particles</w:t>
      </w:r>
      <w:proofErr w:type="gramStart"/>
      <w:r w:rsidRPr="007F73AB">
        <w:rPr>
          <w:rFonts w:ascii="Book Antiqua" w:hAnsi="Book Antiqua"/>
          <w:sz w:val="20"/>
        </w:rPr>
        <w:t>,  photons</w:t>
      </w:r>
      <w:proofErr w:type="gramEnd"/>
      <w:r w:rsidRPr="007F73AB">
        <w:rPr>
          <w:rFonts w:ascii="Book Antiqua" w:hAnsi="Book Antiqua"/>
          <w:sz w:val="20"/>
        </w:rPr>
        <w:t xml:space="preserve"> </w:t>
      </w:r>
      <w:r w:rsidRPr="007F73AB">
        <w:rPr>
          <w:rFonts w:ascii="Book Antiqua" w:hAnsi="Book Antiqua"/>
          <w:sz w:val="20"/>
        </w:rPr>
        <w:lastRenderedPageBreak/>
        <w:t>took longer to reach their destination. An analysis shows that the speed of light (designated by the symbol “</w:t>
      </w:r>
      <m:oMath>
        <m:r>
          <w:rPr>
            <w:rFonts w:ascii="Cambria Math" w:hAnsi="Cambria Math"/>
            <w:sz w:val="18"/>
            <w:szCs w:val="18"/>
          </w:rPr>
          <m:t>c</m:t>
        </m:r>
      </m:oMath>
      <w:r w:rsidRPr="007F73AB">
        <w:rPr>
          <w:rFonts w:ascii="Book Antiqua" w:hAnsi="Book Antiqua"/>
          <w:sz w:val="20"/>
        </w:rPr>
        <w:t xml:space="preserve">”) is inversely proportional to the ZPE strength. Thus, as the ZPE strength increases, the speed of light drops in inverse proportion. The basic equations used by Maxwell to describe the speed of light did so in terms of </w:t>
      </w:r>
      <m:oMath>
        <m:r>
          <w:rPr>
            <w:rFonts w:ascii="Cambria Math" w:hAnsi="Cambria Math"/>
            <w:sz w:val="18"/>
            <w:szCs w:val="18"/>
          </w:rPr>
          <m:t>ε</m:t>
        </m:r>
      </m:oMath>
      <w:r w:rsidRPr="007F73AB">
        <w:rPr>
          <w:rFonts w:ascii="Book Antiqua" w:hAnsi="Book Antiqua"/>
          <w:sz w:val="20"/>
        </w:rPr>
        <w:t xml:space="preserve"> </w:t>
      </w:r>
      <w:proofErr w:type="gramStart"/>
      <w:r w:rsidRPr="007F73AB">
        <w:rPr>
          <w:rFonts w:ascii="Book Antiqua" w:hAnsi="Book Antiqua"/>
          <w:sz w:val="20"/>
        </w:rPr>
        <w:t xml:space="preserve">and </w:t>
      </w:r>
      <m:oMath>
        <w:proofErr w:type="gramEnd"/>
        <m:r>
          <w:rPr>
            <w:rFonts w:ascii="Cambria Math" w:hAnsi="Book Antiqua"/>
            <w:sz w:val="18"/>
            <w:szCs w:val="18"/>
          </w:rPr>
          <m:t>µ</m:t>
        </m:r>
      </m:oMath>
      <w:r w:rsidRPr="007F73AB">
        <w:rPr>
          <w:rFonts w:ascii="Book Antiqua" w:hAnsi="Book Antiqua"/>
          <w:sz w:val="20"/>
        </w:rPr>
        <w:t>. These concepts are discussed in Chapter 2 with details of speed of light measurements in Chapter 3.</w:t>
      </w:r>
    </w:p>
    <w:p w:rsidR="00EE535C" w:rsidRPr="007F73AB" w:rsidRDefault="00EE535C" w:rsidP="00EE535C">
      <w:pPr>
        <w:pStyle w:val="NoSpacing"/>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The question then arises, can light slow down as the ZPE gets stronger without light being ‘bent’ or refracted the way light is bent as it goes from air into water as shown in Figure 2?</w:t>
      </w:r>
    </w:p>
    <w:p w:rsidR="00651826" w:rsidRDefault="00651826" w:rsidP="00EE535C">
      <w:pPr>
        <w:pStyle w:val="NoSpacing"/>
        <w:ind w:firstLine="720"/>
        <w:jc w:val="both"/>
        <w:rPr>
          <w:rFonts w:ascii="Book Antiqua" w:hAnsi="Book Antiqua"/>
          <w:sz w:val="20"/>
        </w:rPr>
      </w:pPr>
    </w:p>
    <w:p w:rsidR="00651826" w:rsidRPr="007F73AB" w:rsidRDefault="00651826" w:rsidP="00651826">
      <w:pPr>
        <w:pStyle w:val="NoSpacing"/>
        <w:ind w:firstLine="720"/>
        <w:jc w:val="both"/>
        <w:rPr>
          <w:rFonts w:ascii="Book Antiqua" w:hAnsi="Book Antiqua"/>
          <w:sz w:val="20"/>
        </w:rPr>
      </w:pPr>
      <w:r w:rsidRPr="007F73AB">
        <w:rPr>
          <w:rFonts w:ascii="Book Antiqua" w:hAnsi="Book Antiqua"/>
          <w:sz w:val="20"/>
        </w:rPr>
        <w:t xml:space="preserve">When you put a straw into a glass of water, the straw appears ‘broken’ at the surface of the water, as in Figure 2.  This is because light is slowing down in the thicker medium of water.  </w:t>
      </w:r>
      <w:r>
        <w:rPr>
          <w:rFonts w:ascii="Book Antiqua" w:hAnsi="Book Antiqua"/>
          <w:sz w:val="20"/>
        </w:rPr>
        <w:t>But when</w:t>
      </w:r>
      <w:r w:rsidRPr="007F73AB">
        <w:rPr>
          <w:rFonts w:ascii="Book Antiqua" w:hAnsi="Book Antiqua"/>
          <w:sz w:val="20"/>
        </w:rPr>
        <w:t xml:space="preserve"> the straw </w:t>
      </w:r>
      <w:r>
        <w:rPr>
          <w:rFonts w:ascii="Book Antiqua" w:hAnsi="Book Antiqua"/>
          <w:sz w:val="20"/>
        </w:rPr>
        <w:t xml:space="preserve">is </w:t>
      </w:r>
      <w:r w:rsidRPr="007F73AB">
        <w:rPr>
          <w:rFonts w:ascii="Book Antiqua" w:hAnsi="Book Antiqua"/>
          <w:sz w:val="20"/>
        </w:rPr>
        <w:t xml:space="preserve">in the glass of water, two different mediums are present simultaneously in the path of the light ray:  air and water.  This produces the ‘broken’ look. The waves in air are still traveling at the original speed, so the </w:t>
      </w:r>
      <w:proofErr w:type="gramStart"/>
      <w:r w:rsidRPr="007F73AB">
        <w:rPr>
          <w:rFonts w:ascii="Book Antiqua" w:hAnsi="Book Antiqua"/>
          <w:sz w:val="20"/>
        </w:rPr>
        <w:t>waves</w:t>
      </w:r>
      <w:proofErr w:type="gramEnd"/>
      <w:r w:rsidRPr="007F73AB">
        <w:rPr>
          <w:rFonts w:ascii="Book Antiqua" w:hAnsi="Book Antiqua"/>
          <w:sz w:val="20"/>
        </w:rPr>
        <w:t xml:space="preserve"> crowd together in the new medium (the water) and therefore the wavelength changes. </w:t>
      </w:r>
      <w:r w:rsidRPr="00276CA2">
        <w:rPr>
          <w:rFonts w:ascii="Book Antiqua" w:hAnsi="Book Antiqua"/>
          <w:sz w:val="20"/>
        </w:rPr>
        <w:t>However,</w:t>
      </w:r>
      <w:r w:rsidRPr="007F73AB">
        <w:rPr>
          <w:rFonts w:ascii="Book Antiqua" w:hAnsi="Book Antiqua"/>
          <w:sz w:val="20"/>
        </w:rPr>
        <w:t xml:space="preserve"> that is </w:t>
      </w:r>
      <w:r w:rsidRPr="00494B65">
        <w:rPr>
          <w:rFonts w:ascii="Book Antiqua" w:hAnsi="Book Antiqua"/>
          <w:sz w:val="20"/>
          <w:u w:val="single"/>
        </w:rPr>
        <w:t>not</w:t>
      </w:r>
      <w:r w:rsidRPr="007F73AB">
        <w:rPr>
          <w:rFonts w:ascii="Book Antiqua" w:hAnsi="Book Antiqua"/>
          <w:sz w:val="20"/>
        </w:rPr>
        <w:t xml:space="preserve"> what happens in space, since ZPE strength is the same throughout the </w:t>
      </w:r>
      <w:r>
        <w:rPr>
          <w:rFonts w:ascii="Book Antiqua" w:hAnsi="Book Antiqua"/>
          <w:sz w:val="20"/>
        </w:rPr>
        <w:t>cosmos</w:t>
      </w:r>
      <w:r w:rsidRPr="007F73AB">
        <w:rPr>
          <w:rFonts w:ascii="Book Antiqua" w:hAnsi="Book Antiqua"/>
          <w:sz w:val="20"/>
        </w:rPr>
        <w:t xml:space="preserve"> at any one time</w:t>
      </w:r>
      <w:r>
        <w:rPr>
          <w:rFonts w:ascii="Book Antiqua" w:hAnsi="Book Antiqua"/>
          <w:sz w:val="20"/>
        </w:rPr>
        <w:t xml:space="preserve">, since the stretching of the fabric of space, which produced the ZPE, was uniform. </w:t>
      </w:r>
    </w:p>
    <w:p w:rsidR="00651826" w:rsidRPr="007F73AB" w:rsidRDefault="00651826" w:rsidP="00EE535C">
      <w:pPr>
        <w:pStyle w:val="NoSpacing"/>
        <w:ind w:firstLine="720"/>
        <w:jc w:val="both"/>
        <w:rPr>
          <w:rFonts w:ascii="Book Antiqua" w:hAnsi="Book Antiqua"/>
          <w:sz w:val="20"/>
        </w:rPr>
      </w:pPr>
    </w:p>
    <w:p w:rsidR="00EE535C" w:rsidRPr="007F73AB" w:rsidRDefault="00EE535C" w:rsidP="00EE535C">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69"/>
        <w:gridCol w:w="3581"/>
      </w:tblGrid>
      <w:tr w:rsidR="00EE535C" w:rsidRPr="007F73AB" w:rsidTr="000E32B9">
        <w:trPr>
          <w:trHeight w:val="3176"/>
          <w:jc w:val="center"/>
        </w:trPr>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1855854" cy="1855854"/>
                  <wp:effectExtent l="19050" t="0" r="0" b="0"/>
                  <wp:docPr id="76" name="il_fi" descr="http://www.spiritualliving.net/straw%20glass%20sma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iritualliving.net/straw%20glass%20smalll.jpg"/>
                          <pic:cNvPicPr>
                            <a:picLocks noChangeAspect="1" noChangeArrowheads="1"/>
                          </pic:cNvPicPr>
                        </pic:nvPicPr>
                        <pic:blipFill>
                          <a:blip r:embed="rId9" cstate="print"/>
                          <a:srcRect/>
                          <a:stretch>
                            <a:fillRect/>
                          </a:stretch>
                        </pic:blipFill>
                        <pic:spPr bwMode="auto">
                          <a:xfrm>
                            <a:off x="0" y="0"/>
                            <a:ext cx="1856743" cy="1856743"/>
                          </a:xfrm>
                          <a:prstGeom prst="rect">
                            <a:avLst/>
                          </a:prstGeom>
                          <a:noFill/>
                          <a:ln w="9525">
                            <a:noFill/>
                            <a:miter lim="800000"/>
                            <a:headEnd/>
                            <a:tailEnd/>
                          </a:ln>
                        </pic:spPr>
                      </pic:pic>
                    </a:graphicData>
                  </a:graphic>
                </wp:inline>
              </w:drawing>
            </w:r>
          </w:p>
        </w:tc>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2117111" cy="1858627"/>
                  <wp:effectExtent l="19050" t="0" r="0" b="0"/>
                  <wp:docPr id="75" name="il_fi" descr="http://sci-toys.com/scitoys/scitoys/light/permanent_rainbows/refra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i-toys.com/scitoys/scitoys/light/permanent_rainbows/refraction.gif"/>
                          <pic:cNvPicPr>
                            <a:picLocks noChangeAspect="1" noChangeArrowheads="1"/>
                          </pic:cNvPicPr>
                        </pic:nvPicPr>
                        <pic:blipFill>
                          <a:blip r:embed="rId10" cstate="print"/>
                          <a:srcRect r="20332"/>
                          <a:stretch>
                            <a:fillRect/>
                          </a:stretch>
                        </pic:blipFill>
                        <pic:spPr bwMode="auto">
                          <a:xfrm flipH="1">
                            <a:off x="0" y="0"/>
                            <a:ext cx="2123452" cy="1864194"/>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sz w:val="20"/>
        </w:rPr>
      </w:pPr>
    </w:p>
    <w:p w:rsidR="00EE535C" w:rsidRPr="00F479C6" w:rsidRDefault="00EE535C" w:rsidP="00A3114D">
      <w:pPr>
        <w:pStyle w:val="NoSpacing"/>
        <w:rPr>
          <w:rFonts w:ascii="Book Antiqua" w:hAnsi="Book Antiqua"/>
          <w:i/>
          <w:sz w:val="18"/>
          <w:szCs w:val="18"/>
        </w:rPr>
      </w:pPr>
      <w:r w:rsidRPr="00262DE1">
        <w:rPr>
          <w:rFonts w:ascii="Book Antiqua" w:hAnsi="Book Antiqua"/>
          <w:b/>
          <w:i/>
          <w:sz w:val="18"/>
          <w:szCs w:val="18"/>
        </w:rPr>
        <w:t>Figure 2:</w:t>
      </w:r>
      <w:r w:rsidRPr="00F479C6">
        <w:rPr>
          <w:rFonts w:ascii="Book Antiqua" w:hAnsi="Book Antiqua"/>
          <w:i/>
          <w:sz w:val="18"/>
          <w:szCs w:val="18"/>
        </w:rPr>
        <w:t xml:space="preserve"> Light is “bent” as it goes from air to water. The wavelengths crowd together in the denser medium (water) as they travel more slowly. In the diagram illustrating the wavefronts, the right side of the wavefront hits the water first and slows while the left side travels further at a faster speed bending the wave-front and causing them to ‘bunch up’ in the water.</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order to understand what is happening in space, then, it must first be noted that, as the photon travels through space and its speed declines, Maxwell’s equations demonstrate that the photon’s energy is maintained.  The photon’s energy is shown by its wavelength </w:t>
      </w:r>
      <w:r w:rsidR="00276CA2">
        <w:rPr>
          <w:rFonts w:ascii="Book Antiqua" w:hAnsi="Book Antiqua"/>
          <w:sz w:val="20"/>
        </w:rPr>
        <w:t>(</w:t>
      </w:r>
      <w:r w:rsidRPr="00276CA2">
        <w:rPr>
          <w:rFonts w:ascii="Book Antiqua" w:hAnsi="Book Antiqua"/>
          <w:sz w:val="20"/>
        </w:rPr>
        <w:t>which is its color</w:t>
      </w:r>
      <w:r w:rsidR="00276CA2">
        <w:rPr>
          <w:rFonts w:ascii="Book Antiqua" w:hAnsi="Book Antiqua"/>
          <w:sz w:val="20"/>
        </w:rPr>
        <w:t>)</w:t>
      </w:r>
      <w:r w:rsidRPr="007F73AB">
        <w:rPr>
          <w:rFonts w:ascii="Book Antiqua" w:hAnsi="Book Antiqua"/>
          <w:sz w:val="20"/>
        </w:rPr>
        <w:t>. If its energy is maintained, despite its speed, this means that the photon’s wavelength</w:t>
      </w:r>
      <w:r w:rsidR="00276CA2">
        <w:rPr>
          <w:rFonts w:ascii="Book Antiqua" w:hAnsi="Book Antiqua"/>
          <w:sz w:val="20"/>
        </w:rPr>
        <w:t>,</w:t>
      </w:r>
      <w:r w:rsidRPr="007F73AB">
        <w:rPr>
          <w:rFonts w:ascii="Book Antiqua" w:hAnsi="Book Antiqua"/>
          <w:sz w:val="20"/>
        </w:rPr>
        <w:t xml:space="preserve"> and hence its color</w:t>
      </w:r>
      <w:r w:rsidR="00276CA2">
        <w:rPr>
          <w:rFonts w:ascii="Book Antiqua" w:hAnsi="Book Antiqua"/>
          <w:sz w:val="20"/>
        </w:rPr>
        <w:t>,</w:t>
      </w:r>
      <w:r w:rsidRPr="007F73AB">
        <w:rPr>
          <w:rFonts w:ascii="Book Antiqua" w:hAnsi="Book Antiqua"/>
          <w:sz w:val="20"/>
        </w:rPr>
        <w:t xml:space="preserve"> remains unchanged.  (There is such a slight change of wavelength in the water when the straw is inserted that we don’t really see the change in color.)</w:t>
      </w:r>
    </w:p>
    <w:p w:rsidR="00EE535C" w:rsidRPr="007F73AB" w:rsidRDefault="00EE535C" w:rsidP="00EE535C">
      <w:pPr>
        <w:pStyle w:val="NoSpacing"/>
        <w:ind w:firstLine="720"/>
        <w:jc w:val="both"/>
        <w:rPr>
          <w:rFonts w:ascii="Book Antiqua" w:hAnsi="Book Antiqua"/>
          <w:sz w:val="20"/>
        </w:rPr>
      </w:pPr>
    </w:p>
    <w:p w:rsidR="006919E5" w:rsidRDefault="006919E5" w:rsidP="006919E5">
      <w:pPr>
        <w:pStyle w:val="NoSpacing"/>
        <w:ind w:firstLine="720"/>
        <w:jc w:val="both"/>
        <w:rPr>
          <w:rFonts w:ascii="Book Antiqua" w:hAnsi="Book Antiqua"/>
          <w:sz w:val="20"/>
        </w:rPr>
      </w:pPr>
      <w:r w:rsidRPr="007F73AB">
        <w:rPr>
          <w:rFonts w:ascii="Book Antiqua" w:hAnsi="Book Antiqua"/>
          <w:sz w:val="20"/>
        </w:rPr>
        <w:t xml:space="preserve">Instead, it is the photon’s frequency that changes in proportion to the speed. It is rather like a long series of freight cars being pulled by a locomotive that is slowing down (see Figure 3).  The size of the individual cars (the wavelength) does not change, but the number of cars passing the observer in a given amount of time (the frequency) </w:t>
      </w:r>
      <w:r w:rsidR="008372ED">
        <w:rPr>
          <w:rFonts w:ascii="Book Antiqua" w:hAnsi="Book Antiqua"/>
          <w:sz w:val="20"/>
        </w:rPr>
        <w:t>gets less</w:t>
      </w:r>
      <w:r w:rsidRPr="007F73AB">
        <w:rPr>
          <w:rFonts w:ascii="Book Antiqua" w:hAnsi="Book Antiqua"/>
          <w:sz w:val="20"/>
        </w:rPr>
        <w:t xml:space="preserve">.  </w:t>
      </w:r>
    </w:p>
    <w:p w:rsidR="00514AEC" w:rsidRDefault="00514AEC" w:rsidP="00EE535C">
      <w:pPr>
        <w:pStyle w:val="NoSpacing"/>
        <w:ind w:firstLine="720"/>
        <w:jc w:val="both"/>
        <w:rPr>
          <w:rFonts w:ascii="Book Antiqua" w:hAnsi="Book Antiqua"/>
          <w:sz w:val="20"/>
        </w:rPr>
      </w:pPr>
    </w:p>
    <w:p w:rsidR="006919E5" w:rsidRDefault="006919E5" w:rsidP="00276CA2">
      <w:pPr>
        <w:pStyle w:val="NoSpacing"/>
        <w:ind w:firstLine="720"/>
        <w:jc w:val="both"/>
        <w:rPr>
          <w:rFonts w:ascii="Book Antiqua" w:hAnsi="Book Antiqua"/>
          <w:sz w:val="20"/>
        </w:rPr>
      </w:pPr>
      <w:r w:rsidRPr="007F73AB">
        <w:rPr>
          <w:rFonts w:ascii="Book Antiqua" w:hAnsi="Book Antiqua"/>
          <w:sz w:val="20"/>
        </w:rPr>
        <w:t xml:space="preserve">Light from far distant </w:t>
      </w:r>
      <w:r w:rsidR="00276CA2">
        <w:rPr>
          <w:rFonts w:ascii="Book Antiqua" w:hAnsi="Book Antiqua"/>
          <w:sz w:val="20"/>
        </w:rPr>
        <w:t>objects behaves in the same way.</w:t>
      </w:r>
      <w:r w:rsidRPr="007F73AB">
        <w:rPr>
          <w:rFonts w:ascii="Book Antiqua" w:hAnsi="Book Antiqua"/>
          <w:sz w:val="20"/>
        </w:rPr>
        <w:t xml:space="preserve">  Because the ZPE is increasing homogeneously throughout the whole cosmos, then the whole long train of waves is slowing simultaneously. There is no difference in the medium in the path of the light ray. At any instant, the medium is uniform along the whole length of the ray. Therefore the horizontal distance</w:t>
      </w:r>
      <w:r w:rsidR="00276CA2">
        <w:rPr>
          <w:rFonts w:ascii="Book Antiqua" w:hAnsi="Book Antiqua"/>
          <w:sz w:val="20"/>
        </w:rPr>
        <w:t xml:space="preserve"> </w:t>
      </w:r>
      <w:r w:rsidRPr="007F73AB">
        <w:rPr>
          <w:rFonts w:ascii="Book Antiqua" w:hAnsi="Book Antiqua"/>
          <w:sz w:val="20"/>
        </w:rPr>
        <w:t>between the wave crests remains the same. Only the frequency, the number of waves passing a given point in a unit of time, will drop.</w:t>
      </w:r>
    </w:p>
    <w:p w:rsidR="006919E5" w:rsidRPr="007F73AB" w:rsidRDefault="006919E5"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cs="Arial"/>
          <w:sz w:val="18"/>
          <w:szCs w:val="18"/>
        </w:rPr>
      </w:pPr>
      <w:r w:rsidRPr="007F73AB">
        <w:rPr>
          <w:rFonts w:ascii="Book Antiqua" w:hAnsi="Book Antiqua" w:cs="Arial"/>
          <w:noProof/>
          <w:sz w:val="20"/>
        </w:rPr>
        <w:lastRenderedPageBreak/>
        <w:drawing>
          <wp:inline distT="0" distB="0" distL="0" distR="0">
            <wp:extent cx="3658085" cy="1874904"/>
            <wp:effectExtent l="19050" t="0" r="0" b="0"/>
            <wp:docPr id="113" name="il_fi" descr="http://www.taipeitimes.com/images/2012/09/06/thumbs/p15-12090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ipeitimes.com/images/2012/09/06/thumbs/p15-120906-a2.jpg"/>
                    <pic:cNvPicPr>
                      <a:picLocks noChangeAspect="1" noChangeArrowheads="1"/>
                    </pic:cNvPicPr>
                  </pic:nvPicPr>
                  <pic:blipFill>
                    <a:blip r:embed="rId11" cstate="print"/>
                    <a:srcRect t="7219" r="1333" b="16196"/>
                    <a:stretch>
                      <a:fillRect/>
                    </a:stretch>
                  </pic:blipFill>
                  <pic:spPr bwMode="auto">
                    <a:xfrm>
                      <a:off x="0" y="0"/>
                      <a:ext cx="3658085" cy="1874904"/>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cs="Arial"/>
          <w:sz w:val="18"/>
          <w:szCs w:val="18"/>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3:</w:t>
      </w:r>
      <w:r w:rsidRPr="00F479C6">
        <w:rPr>
          <w:rFonts w:ascii="Book Antiqua" w:hAnsi="Book Antiqua"/>
          <w:i/>
          <w:sz w:val="18"/>
          <w:szCs w:val="18"/>
        </w:rPr>
        <w:t xml:space="preserve"> A long train with cars of equal length. As it slows down, the number of cars passing an observer per second also drops in proportion. This is the frequency. However, the length of each car remains the same. This is like the wavelength of a beam of light traveling across the universe with increasing ZPE strength. The whole beam is slowing simultaneously so the wavelength remains unchanged, but the number of waves passing per second, (the frequency), drops.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space, through time, all the changes in </w:t>
      </w:r>
      <w:r w:rsidRPr="000E1FA4">
        <w:rPr>
          <w:rFonts w:ascii="Book Antiqua" w:hAnsi="Book Antiqua"/>
          <w:sz w:val="20"/>
        </w:rPr>
        <w:t>the ZPE occur</w:t>
      </w:r>
      <w:r w:rsidRPr="007F73AB">
        <w:rPr>
          <w:rFonts w:ascii="Book Antiqua" w:hAnsi="Book Antiqua"/>
          <w:sz w:val="20"/>
        </w:rPr>
        <w:t xml:space="preserve"> simultaneously throughout all of the cosmos, so that different mediums and hence different velocities are not present at the same time.  Even extremely long wave-trains, such as those from distant quasars, are slowing simultaneously throughout the cosmos</w:t>
      </w:r>
      <w:r w:rsidRPr="007F73AB">
        <w:rPr>
          <w:rFonts w:ascii="Book Antiqua" w:hAnsi="Book Antiqua"/>
          <w:b/>
          <w:sz w:val="20"/>
        </w:rPr>
        <w:t xml:space="preserve"> </w:t>
      </w:r>
      <w:r w:rsidRPr="007F73AB">
        <w:rPr>
          <w:rFonts w:ascii="Book Antiqua" w:hAnsi="Book Antiqua"/>
          <w:sz w:val="20"/>
        </w:rPr>
        <w:t>so there is no bunching up effect. Just as the cars on the freight train are not changing their length as the train slows, there is no refracting or bending of light with changes in the Zero Point Energy.</w:t>
      </w:r>
      <w:r w:rsidR="00BD5931" w:rsidRPr="00BD5931">
        <w:rPr>
          <w:rFonts w:ascii="Book Antiqua" w:hAnsi="Book Antiqua"/>
          <w:sz w:val="20"/>
        </w:rPr>
        <w:t xml:space="preserve"> </w:t>
      </w:r>
      <w:r w:rsidR="00BD5931">
        <w:rPr>
          <w:rFonts w:ascii="Book Antiqua" w:hAnsi="Book Antiqua"/>
          <w:sz w:val="20"/>
        </w:rPr>
        <w:t>(Note:  to avoid apparent contradiction, a local increase in ZPE strength does occur around massive bodies. It is because of this increase in ZPE strength locally that light rays are ‘bent’ in gravitational fields. This is discussed fully in the context of mass and gravitation in Chapter 4 and for relativity</w:t>
      </w:r>
      <w:r w:rsidR="002E6622">
        <w:rPr>
          <w:rFonts w:ascii="Book Antiqua" w:hAnsi="Book Antiqua"/>
          <w:sz w:val="20"/>
        </w:rPr>
        <w:t xml:space="preserve"> theory</w:t>
      </w:r>
      <w:r w:rsidR="00BD5931">
        <w:rPr>
          <w:rFonts w:ascii="Book Antiqua" w:hAnsi="Book Antiqua"/>
          <w:sz w:val="20"/>
        </w:rPr>
        <w:t xml:space="preserve"> in Chapter 7</w:t>
      </w:r>
      <w:r w:rsidR="00E8509C">
        <w:rPr>
          <w:rFonts w:ascii="Book Antiqua" w:hAnsi="Book Antiqua"/>
          <w:sz w:val="20"/>
        </w:rPr>
        <w:t>)</w:t>
      </w:r>
      <w:r w:rsidR="002E6622">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p>
    <w:p w:rsidR="00EE535C" w:rsidRPr="00415F0E" w:rsidRDefault="00EE535C" w:rsidP="00EE535C">
      <w:pPr>
        <w:pStyle w:val="NoSpacing"/>
        <w:numPr>
          <w:ilvl w:val="0"/>
          <w:numId w:val="3"/>
        </w:numPr>
        <w:jc w:val="both"/>
        <w:rPr>
          <w:rFonts w:ascii="Book Antiqua" w:hAnsi="Book Antiqua"/>
          <w:b/>
          <w:sz w:val="20"/>
        </w:rPr>
      </w:pPr>
      <w:r w:rsidRPr="00415F0E">
        <w:rPr>
          <w:rFonts w:ascii="Book Antiqua" w:hAnsi="Book Antiqua"/>
          <w:b/>
          <w:sz w:val="20"/>
        </w:rPr>
        <w:t>The ZPE and Planck’s Constant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According to Planck’s 1911 analysis, the strength of the Zero Point Energy is measured by what is now called Planck’s constant</w:t>
      </w:r>
      <w:proofErr w:type="gramStart"/>
      <w:r w:rsidRPr="007F73AB">
        <w:rPr>
          <w:rFonts w:ascii="Book Antiqua" w:hAnsi="Book Antiqua"/>
          <w:sz w:val="20"/>
        </w:rPr>
        <w:t xml:space="preserve">, </w:t>
      </w:r>
      <m:oMath>
        <w:proofErr w:type="gramEnd"/>
        <m:r>
          <w:rPr>
            <w:rFonts w:ascii="Cambria Math" w:hAnsi="Cambria Math"/>
            <w:sz w:val="18"/>
            <w:szCs w:val="18"/>
          </w:rPr>
          <m:t>h</m:t>
        </m:r>
      </m:oMath>
      <w:r w:rsidRPr="007F73AB">
        <w:rPr>
          <w:rFonts w:ascii="Book Antiqua" w:hAnsi="Book Antiqua"/>
          <w:sz w:val="20"/>
        </w:rPr>
        <w:t xml:space="preserve">. The greater the ZPE strength, the higher is the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xml:space="preserve">; the less the ZPE strength, the lower is the value of </w:t>
      </w:r>
      <m:oMath>
        <m:r>
          <w:rPr>
            <w:rFonts w:ascii="Cambria Math" w:hAnsi="Cambria Math"/>
            <w:sz w:val="18"/>
            <w:szCs w:val="18"/>
          </w:rPr>
          <m:t>h</m:t>
        </m:r>
      </m:oMath>
      <w:r w:rsidRPr="007F73AB">
        <w:rPr>
          <w:rFonts w:ascii="Book Antiqua" w:hAnsi="Book Antiqua"/>
          <w:sz w:val="20"/>
        </w:rPr>
        <w:t xml:space="preserve">.  </w:t>
      </w:r>
      <w:r w:rsidR="00415F0E">
        <w:rPr>
          <w:rFonts w:ascii="Book Antiqua" w:hAnsi="Book Antiqua"/>
          <w:sz w:val="20"/>
        </w:rPr>
        <w:t>Because of this,</w:t>
      </w:r>
      <w:r w:rsidRPr="007F73AB">
        <w:rPr>
          <w:rFonts w:ascii="Book Antiqua" w:hAnsi="Book Antiqua"/>
          <w:sz w:val="20"/>
        </w:rPr>
        <w:t xml:space="preserve"> </w:t>
      </w:r>
      <m:oMath>
        <m:r>
          <w:rPr>
            <w:rFonts w:ascii="Cambria Math" w:hAnsi="Cambria Math"/>
            <w:sz w:val="18"/>
            <w:szCs w:val="18"/>
          </w:rPr>
          <m:t>h</m:t>
        </m:r>
      </m:oMath>
      <w:r w:rsidRPr="007F73AB">
        <w:rPr>
          <w:rFonts w:ascii="Book Antiqua" w:hAnsi="Book Antiqua"/>
          <w:sz w:val="20"/>
        </w:rPr>
        <w:t xml:space="preserve"> is a measure of quantum uncertainty, which depends on the ZPE </w:t>
      </w:r>
      <w:proofErr w:type="gramStart"/>
      <w:r w:rsidRPr="007F73AB">
        <w:rPr>
          <w:rFonts w:ascii="Book Antiqua" w:hAnsi="Book Antiqua"/>
          <w:sz w:val="20"/>
        </w:rPr>
        <w:t>strength.</w:t>
      </w:r>
      <w:proofErr w:type="gramEnd"/>
      <w:r w:rsidRPr="007F73AB">
        <w:rPr>
          <w:rFonts w:ascii="Book Antiqua" w:hAnsi="Book Antiqua"/>
          <w:sz w:val="20"/>
        </w:rPr>
        <w:t xml:space="preserve">  Because </w:t>
      </w:r>
      <m:oMath>
        <m:r>
          <w:rPr>
            <w:rFonts w:ascii="Cambria Math" w:hAnsi="Cambria Math"/>
            <w:sz w:val="18"/>
            <w:szCs w:val="18"/>
          </w:rPr>
          <m:t>h</m:t>
        </m:r>
      </m:oMath>
      <w:r w:rsidRPr="007F73AB">
        <w:rPr>
          <w:rFonts w:ascii="Book Antiqua" w:hAnsi="Book Antiqua"/>
          <w:sz w:val="20"/>
        </w:rPr>
        <w:t xml:space="preserve"> is a measure of the ZPE, and the speed of light drops in inverse proportion as the ZPE increases, Planck’s constant, </w:t>
      </w:r>
      <m:oMath>
        <m:r>
          <w:rPr>
            <w:rFonts w:ascii="Book Antiqua" w:hAnsi="Cambria Math"/>
            <w:sz w:val="18"/>
            <w:szCs w:val="18"/>
          </w:rPr>
          <m:t>h</m:t>
        </m:r>
      </m:oMath>
      <w:r w:rsidRPr="007F73AB">
        <w:rPr>
          <w:rFonts w:ascii="Book Antiqua" w:hAnsi="Book Antiqua"/>
          <w:sz w:val="20"/>
        </w:rPr>
        <w:t xml:space="preserve">, multiplied by the speed of light </w:t>
      </w:r>
      <m:oMath>
        <m:r>
          <w:rPr>
            <w:rFonts w:ascii="Cambria Math" w:hAnsi="Cambria Math"/>
            <w:sz w:val="18"/>
            <w:szCs w:val="18"/>
          </w:rPr>
          <m:t>c</m:t>
        </m:r>
      </m:oMath>
      <w:r w:rsidRPr="007F73AB">
        <w:rPr>
          <w:rFonts w:ascii="Book Antiqua" w:hAnsi="Book Antiqua"/>
          <w:sz w:val="20"/>
        </w:rPr>
        <w:t>, is always an absolute constant. A simple example can be shown with the number “</w:t>
      </w:r>
      <m:oMath>
        <m:r>
          <w:rPr>
            <w:rFonts w:ascii="Cambria Math" w:hAnsi="Book Antiqua"/>
            <w:sz w:val="18"/>
            <w:szCs w:val="18"/>
          </w:rPr>
          <m:t>12</m:t>
        </m:r>
      </m:oMath>
      <w:r w:rsidRPr="007F73AB">
        <w:rPr>
          <w:rFonts w:ascii="Book Antiqua" w:hAnsi="Book Antiqua"/>
          <w:sz w:val="20"/>
        </w:rPr>
        <w:t xml:space="preserve">.”  The total of </w:t>
      </w:r>
      <m:oMath>
        <m:r>
          <w:rPr>
            <w:rFonts w:ascii="Cambria Math" w:hAnsi="Book Antiqua"/>
            <w:sz w:val="18"/>
            <w:szCs w:val="18"/>
          </w:rPr>
          <m:t>12</m:t>
        </m:r>
      </m:oMath>
      <w:r w:rsidRPr="007F73AB">
        <w:rPr>
          <w:rFonts w:ascii="Book Antiqua" w:hAnsi="Book Antiqua"/>
          <w:sz w:val="20"/>
        </w:rPr>
        <w:t xml:space="preserve"> will remain constant whether we get there </w:t>
      </w:r>
      <w:proofErr w:type="gramStart"/>
      <w:r w:rsidRPr="007F73AB">
        <w:rPr>
          <w:rFonts w:ascii="Book Antiqua" w:hAnsi="Book Antiqua"/>
          <w:sz w:val="20"/>
        </w:rPr>
        <w:t xml:space="preserve">by </w:t>
      </w:r>
      <m:oMath>
        <w:proofErr w:type="gramEnd"/>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7F73AB">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7F73AB">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7F73AB">
        <w:rPr>
          <w:rFonts w:ascii="Book Antiqua" w:hAnsi="Book Antiqua"/>
          <w:sz w:val="20"/>
        </w:rPr>
        <w:t xml:space="preserve">.  </w:t>
      </w:r>
      <w:proofErr w:type="gramStart"/>
      <w:r w:rsidRPr="007F73AB">
        <w:rPr>
          <w:rFonts w:ascii="Book Antiqua" w:hAnsi="Book Antiqua"/>
          <w:sz w:val="20"/>
        </w:rPr>
        <w:t xml:space="preserve">In the same way,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can remain constant if </w:t>
      </w:r>
      <m:oMath>
        <m:r>
          <w:rPr>
            <w:rFonts w:ascii="Book Antiqua" w:hAnsi="Cambria Math"/>
            <w:sz w:val="18"/>
            <w:szCs w:val="18"/>
          </w:rPr>
          <m:t>h</m:t>
        </m:r>
      </m:oMath>
      <w:r w:rsidRPr="007F73AB">
        <w:rPr>
          <w:rFonts w:ascii="Book Antiqua" w:hAnsi="Book Antiqua"/>
          <w:sz w:val="20"/>
        </w:rPr>
        <w:t xml:space="preserve"> increases at the same time</w:t>
      </w:r>
      <w:r w:rsidR="006919E5">
        <w:rPr>
          <w:rFonts w:ascii="Book Antiqua" w:hAnsi="Book Antiqua"/>
          <w:sz w:val="20"/>
        </w:rPr>
        <w:t xml:space="preserve"> that</w:t>
      </w:r>
      <w:r w:rsidRPr="007F73AB">
        <w:rPr>
          <w:rFonts w:ascii="Book Antiqua" w:hAnsi="Book Antiqua"/>
          <w:sz w:val="20"/>
        </w:rPr>
        <w:t xml:space="preserve"> </w:t>
      </w:r>
      <m:oMath>
        <m:r>
          <w:rPr>
            <w:rFonts w:ascii="Cambria Math" w:hAnsi="Cambria Math"/>
            <w:sz w:val="18"/>
            <w:szCs w:val="18"/>
          </w:rPr>
          <m:t>c</m:t>
        </m:r>
      </m:oMath>
      <w:r w:rsidRPr="007F73AB">
        <w:rPr>
          <w:rFonts w:ascii="Book Antiqua" w:hAnsi="Book Antiqua"/>
          <w:sz w:val="20"/>
        </w:rPr>
        <w:t xml:space="preserve"> decreases, or vice versa.</w:t>
      </w:r>
      <w:proofErr w:type="gramEnd"/>
      <w:r w:rsidRPr="007F73AB">
        <w:rPr>
          <w:rFonts w:ascii="Book Antiqua" w:hAnsi="Book Antiqua"/>
          <w:sz w:val="20"/>
        </w:rPr>
        <w:t xml:space="preserve"> In other words, </w:t>
      </w:r>
      <m:oMath>
        <m:r>
          <w:rPr>
            <w:rFonts w:ascii="Book Antiqua" w:hAnsi="Cambria Math"/>
            <w:sz w:val="18"/>
            <w:szCs w:val="18"/>
          </w:rPr>
          <m:t>h</m:t>
        </m:r>
      </m:oMath>
      <w:r w:rsidRPr="007F73AB">
        <w:rPr>
          <w:rFonts w:ascii="Book Antiqua" w:hAnsi="Book Antiqua"/>
          <w:sz w:val="20"/>
        </w:rPr>
        <w:t xml:space="preserve"> is proportional to </w:t>
      </w:r>
      <m:oMath>
        <m:r>
          <w:rPr>
            <w:rFonts w:ascii="Cambria Math" w:hAnsi="Book Antiqua"/>
            <w:sz w:val="18"/>
            <w:szCs w:val="18"/>
          </w:rPr>
          <m:t>1/</m:t>
        </m:r>
        <m:r>
          <w:rPr>
            <w:rFonts w:ascii="Cambria Math" w:hAnsi="Cambria Math"/>
            <w:sz w:val="18"/>
            <w:szCs w:val="18"/>
          </w:rPr>
          <m:t>c</m:t>
        </m:r>
        <m:r>
          <w:rPr>
            <w:rFonts w:ascii="Cambria Math" w:hAnsi="Book Antiqua"/>
            <w:sz w:val="18"/>
            <w:szCs w:val="18"/>
          </w:rPr>
          <m:t xml:space="preserve"> </m:t>
        </m:r>
      </m:oMath>
      <w:r w:rsidRPr="007F73AB">
        <w:rPr>
          <w:rFonts w:ascii="Book Antiqua" w:hAnsi="Book Antiqua"/>
          <w:sz w:val="20"/>
        </w:rPr>
        <w:t xml:space="preserve">or </w:t>
      </w:r>
      <m:oMath>
        <m:r>
          <w:rPr>
            <w:rFonts w:ascii="Cambria Math" w:hAnsi="Cambria Math"/>
            <w:sz w:val="18"/>
            <w:szCs w:val="18"/>
          </w:rPr>
          <m:t>c</m:t>
        </m:r>
      </m:oMath>
      <w:r w:rsidRPr="007F73AB">
        <w:rPr>
          <w:rFonts w:ascii="Book Antiqua" w:hAnsi="Book Antiqua"/>
          <w:sz w:val="20"/>
        </w:rPr>
        <w:t xml:space="preserve"> is proportional </w:t>
      </w:r>
      <w:proofErr w:type="gramStart"/>
      <w:r w:rsidRPr="007F73AB">
        <w:rPr>
          <w:rFonts w:ascii="Book Antiqua" w:hAnsi="Book Antiqua"/>
          <w:sz w:val="20"/>
        </w:rPr>
        <w:t>to</w:t>
      </w:r>
      <w:r w:rsidR="00205A99">
        <w:rPr>
          <w:rFonts w:ascii="Book Antiqua" w:hAnsi="Book Antiqua"/>
          <w:sz w:val="20"/>
        </w:rPr>
        <w:t xml:space="preserve"> </w:t>
      </w:r>
      <m:oMath>
        <w:proofErr w:type="gramEnd"/>
        <m:r>
          <w:rPr>
            <w:rFonts w:ascii="Cambria Math" w:hAnsi="Book Antiqua"/>
            <w:sz w:val="18"/>
            <w:szCs w:val="18"/>
          </w:rPr>
          <m:t>1/</m:t>
        </m:r>
        <m:r>
          <w:rPr>
            <w:rFonts w:ascii="Cambria Math" w:hAnsi="Cambria Math"/>
            <w:sz w:val="18"/>
            <w:szCs w:val="18"/>
          </w:rPr>
          <m:t>h</m:t>
        </m:r>
      </m:oMath>
      <w:r w:rsidRPr="007F73AB">
        <w:rPr>
          <w:rFonts w:ascii="Book Antiqua" w:hAnsi="Book Antiqua"/>
          <w:sz w:val="20"/>
        </w:rPr>
        <w:t>. This conclusion is supported by observations out to the furthest reaches of space with an accuracy of parts per million.</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has implications for studies into the behavior of something called “the fine structure constant.”  The fine structure constant, called Alpha, </w:t>
      </w:r>
      <w:proofErr w:type="gramStart"/>
      <w:r w:rsidRPr="007F73AB">
        <w:rPr>
          <w:rFonts w:ascii="Book Antiqua" w:hAnsi="Book Antiqua"/>
          <w:sz w:val="20"/>
        </w:rPr>
        <w:t xml:space="preserve">or </w:t>
      </w:r>
      <m:oMath>
        <w:proofErr w:type="gramEnd"/>
        <m:r>
          <w:rPr>
            <w:rFonts w:ascii="Cambria Math" w:hAnsi="Cambria Math"/>
            <w:sz w:val="18"/>
            <w:szCs w:val="18"/>
          </w:rPr>
          <m:t>α</m:t>
        </m:r>
      </m:oMath>
      <w:r w:rsidRPr="007F73AB">
        <w:rPr>
          <w:rFonts w:ascii="Book Antiqua" w:hAnsi="Book Antiqua"/>
          <w:sz w:val="20"/>
        </w:rPr>
        <w:t xml:space="preserve">, is used in relation to the measurement of the wavelengths of light put out by the atoms of different elements. This constant contains the product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as part of its formulation. The fine structure constant has been examined recently by John Webb and others to see if the speed of light has changed [5]. Unfortunately, those doing the examination have adopted what is called a minimalist position in which only one constant in the group is considered to vary. They then look at the product</w:t>
      </w:r>
      <m:oMath>
        <m:r>
          <w:rPr>
            <w:rFonts w:ascii="Cambria Math" w:hAnsi="Book Antiqua"/>
            <w:sz w:val="18"/>
            <w:szCs w:val="18"/>
          </w:rPr>
          <m:t xml:space="preserve"> </m:t>
        </m:r>
        <m:r>
          <w:rPr>
            <w:rFonts w:ascii="Cambria Math" w:hAnsi="Cambria Math"/>
            <w:sz w:val="18"/>
            <w:szCs w:val="18"/>
          </w:rPr>
          <m:t>hc</m:t>
        </m:r>
      </m:oMath>
      <w:r w:rsidRPr="007F73AB">
        <w:rPr>
          <w:rFonts w:ascii="Book Antiqua" w:hAnsi="Book Antiqua"/>
          <w:sz w:val="20"/>
        </w:rPr>
        <w:t xml:space="preserve">, and, because that has remained constant over astronomical time, the claim is made that the speed of light has not changed. </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What this ZPE research has shown is that quantities like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and the fine structure constant can themselves be invariant while, at the same time, their component parts may vary synchronously. Wesson was aware of just such a possibility. He wrote: </w:t>
      </w:r>
      <w:r w:rsidRPr="007F73AB">
        <w:rPr>
          <w:rFonts w:ascii="Book Antiqua" w:hAnsi="Book Antiqua"/>
          <w:i/>
          <w:sz w:val="20"/>
        </w:rPr>
        <w:t xml:space="preserve">"It is conceivable that the dimensionless numbers ... could be absolute constants, while the component parameters comprising them are variable. The possibility of such a conspiracy between the dimensional numbers was recognised by Dirac (see Harwit 1971)." </w:t>
      </w:r>
      <w:r w:rsidRPr="007F73AB">
        <w:rPr>
          <w:rFonts w:ascii="Book Antiqua" w:hAnsi="Book Antiqua"/>
          <w:sz w:val="20"/>
        </w:rPr>
        <w:t>[6]</w:t>
      </w:r>
      <w:r w:rsidRPr="007F73AB">
        <w:rPr>
          <w:rFonts w:ascii="Book Antiqua" w:hAnsi="Book Antiqua"/>
          <w:i/>
          <w:sz w:val="20"/>
        </w:rPr>
        <w:t xml:space="preserve"> </w:t>
      </w:r>
      <w:r w:rsidRPr="007F73AB">
        <w:rPr>
          <w:rFonts w:ascii="Book Antiqua" w:hAnsi="Book Antiqua"/>
          <w:sz w:val="20"/>
        </w:rPr>
        <w:t>Thus Paul Dirac, Martin Harwit and Paul Wesson have each recognized this possibility</w:t>
      </w:r>
      <w:r w:rsidR="00415F0E">
        <w:rPr>
          <w:rFonts w:ascii="Book Antiqua" w:hAnsi="Book Antiqua"/>
          <w:sz w:val="20"/>
        </w:rPr>
        <w:t>,</w:t>
      </w:r>
      <w:r w:rsidRPr="007F73AB">
        <w:rPr>
          <w:rFonts w:ascii="Book Antiqua" w:hAnsi="Book Antiqua"/>
          <w:sz w:val="20"/>
        </w:rPr>
        <w:t xml:space="preserve"> which has been ignored by many current researchers.</w:t>
      </w:r>
    </w:p>
    <w:p w:rsidR="00F06132" w:rsidRPr="007F73AB" w:rsidRDefault="00F06132"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Energy and Subatomic Masses</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Zero Point Energy also controls the mass of sub-atomic particles. This is discussed in Chapter 4. Subatomic particles are usually assumed to be charges without mass, and that some mechanism is needed to impart mass to them. It is for this purpose that the Higgs boson was postulated to exist. The energy from a cloud of Higgs bosons around each particle is supposed to impart mass to the particle on the basis of the equation </w:t>
      </w:r>
      <w:r w:rsidRPr="007F73AB">
        <w:rPr>
          <w:rFonts w:ascii="Book Antiqua" w:hAnsi="Book Antiqua"/>
          <w:i/>
          <w:sz w:val="20"/>
        </w:rPr>
        <w:t>E = mc</w:t>
      </w:r>
      <w:r w:rsidRPr="007F73AB">
        <w:rPr>
          <w:rFonts w:ascii="Book Antiqua" w:hAnsi="Book Antiqua"/>
          <w:i/>
          <w:sz w:val="20"/>
          <w:vertAlign w:val="superscript"/>
        </w:rPr>
        <w:t>2</w:t>
      </w:r>
      <w:r w:rsidRPr="007F73AB">
        <w:rPr>
          <w:rFonts w:ascii="Book Antiqua" w:hAnsi="Book Antiqua"/>
          <w:sz w:val="20"/>
        </w:rPr>
        <w:t>.</w:t>
      </w:r>
      <w:r w:rsidRPr="007F73AB">
        <w:rPr>
          <w:rFonts w:ascii="Book Antiqua" w:hAnsi="Book Antiqua"/>
          <w:sz w:val="20"/>
          <w:vertAlign w:val="superscript"/>
        </w:rPr>
        <w:t xml:space="preserve"> </w:t>
      </w:r>
      <w:r w:rsidRPr="007F73AB">
        <w:rPr>
          <w:rFonts w:ascii="Book Antiqua" w:hAnsi="Book Antiqua"/>
          <w:sz w:val="20"/>
        </w:rPr>
        <w:t>This, however, depends on how well these hypothesized Higgs bosons “stick” to the particle. But, as Wilczek, of the Massachusetts Institute of Technology, points out, nobody knows what governs the amount of “sticking” [7]. Although scientists at the CERN facility announced the discovery of a “Higgs-like particle,” on 4 July, 2012, there are some lingering doubts as to whether it does what the theoretical model wants it to</w:t>
      </w:r>
      <w:r w:rsidR="008534F5">
        <w:rPr>
          <w:rFonts w:ascii="Book Antiqua" w:hAnsi="Book Antiqua"/>
          <w:sz w:val="20"/>
        </w:rPr>
        <w:t xml:space="preserve"> do</w:t>
      </w:r>
      <w:r w:rsidRPr="007F73AB">
        <w:rPr>
          <w:rFonts w:ascii="Book Antiqua" w:hAnsi="Book Antiqua"/>
          <w:sz w:val="20"/>
        </w:rPr>
        <w:t xml:space="preserve"> [8].</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415F0E">
        <w:rPr>
          <w:rFonts w:ascii="Book Antiqua" w:hAnsi="Book Antiqua"/>
          <w:sz w:val="20"/>
        </w:rPr>
        <w:t xml:space="preserve">Whether or not </w:t>
      </w:r>
      <w:r w:rsidRPr="007F73AB">
        <w:rPr>
          <w:rFonts w:ascii="Book Antiqua" w:hAnsi="Book Antiqua"/>
          <w:sz w:val="20"/>
        </w:rPr>
        <w:t>the Higgs boson</w:t>
      </w:r>
      <w:r w:rsidR="00415F0E">
        <w:rPr>
          <w:rFonts w:ascii="Book Antiqua" w:hAnsi="Book Antiqua"/>
          <w:sz w:val="20"/>
        </w:rPr>
        <w:t xml:space="preserve"> even exists, SED physics does not need it to impart mass since it acknowledges the reality of the Zero Point Energy.   </w:t>
      </w:r>
      <w:r w:rsidRPr="007F73AB">
        <w:rPr>
          <w:rFonts w:ascii="Book Antiqua" w:hAnsi="Book Antiqua"/>
          <w:sz w:val="20"/>
        </w:rPr>
        <w:t>According to SED physics, the random battering of the ZPE waves imparts motion to the point charges that make up the various subatomic particles. This motion is a kinetic energy</w:t>
      </w:r>
      <w:r w:rsidR="00415F0E">
        <w:rPr>
          <w:rFonts w:ascii="Book Antiqua" w:hAnsi="Book Antiqua"/>
          <w:sz w:val="20"/>
        </w:rPr>
        <w:t>.</w:t>
      </w:r>
      <w:r w:rsidRPr="007F73AB">
        <w:rPr>
          <w:rFonts w:ascii="Book Antiqua" w:hAnsi="Book Antiqua"/>
          <w:sz w:val="20"/>
        </w:rPr>
        <w:t xml:space="preserve"> </w:t>
      </w:r>
      <w:r w:rsidR="00415F0E">
        <w:rPr>
          <w:rFonts w:ascii="Book Antiqua" w:hAnsi="Book Antiqua"/>
          <w:sz w:val="20"/>
        </w:rPr>
        <w:t>As</w:t>
      </w:r>
      <w:r w:rsidRPr="007F73AB">
        <w:rPr>
          <w:rFonts w:ascii="Book Antiqua" w:hAnsi="Book Antiqua"/>
          <w:sz w:val="20"/>
        </w:rPr>
        <w:t xml:space="preserve"> expressed by the famous </w:t>
      </w:r>
      <w:r w:rsidRPr="007F73AB">
        <w:rPr>
          <w:rFonts w:ascii="Book Antiqua" w:hAnsi="Book Antiqua"/>
          <w:i/>
          <w:sz w:val="20"/>
        </w:rPr>
        <w:t xml:space="preserve">E = </w:t>
      </w:r>
      <w:proofErr w:type="gramStart"/>
      <w:r w:rsidRPr="007F73AB">
        <w:rPr>
          <w:rFonts w:ascii="Book Antiqua" w:hAnsi="Book Antiqua"/>
          <w:i/>
          <w:sz w:val="20"/>
        </w:rPr>
        <w:t>mc</w:t>
      </w:r>
      <w:r w:rsidRPr="007F73AB">
        <w:rPr>
          <w:rFonts w:ascii="Book Antiqua" w:hAnsi="Book Antiqua"/>
          <w:i/>
          <w:sz w:val="20"/>
          <w:vertAlign w:val="superscript"/>
        </w:rPr>
        <w:t xml:space="preserve">2 </w:t>
      </w:r>
      <w:r w:rsidRPr="007F73AB">
        <w:rPr>
          <w:rFonts w:ascii="Book Antiqua" w:hAnsi="Book Antiqua"/>
          <w:sz w:val="20"/>
        </w:rPr>
        <w:t>,</w:t>
      </w:r>
      <w:proofErr w:type="gramEnd"/>
      <w:r w:rsidRPr="007F73AB">
        <w:rPr>
          <w:rFonts w:ascii="Book Antiqua" w:hAnsi="Book Antiqua"/>
          <w:sz w:val="20"/>
        </w:rPr>
        <w:t xml:space="preserve"> energy and mass are interconvertible.  It is this energy, then, which gives subatomic particles their mass. This has been quantified by Haisch, Rueda and Puthoff in a series of papers [9]. It therefore follows that if the ZPE strength increases, so, too does the rest-mass of all subatomic particles. The formula that emerges from the mathematical treatment of this phenomenon shows that the atomic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xml:space="preserve">, is proportional to the square of the ZPE strength, which is the same as the inverse square of the speed of light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This means that </w:t>
      </w:r>
      <m:oMath>
        <m:sSup>
          <m:sSupPr>
            <m:ctrlPr>
              <w:rPr>
                <w:rFonts w:ascii="Cambria Math" w:hAnsi="Book Antiqua"/>
                <w:i/>
                <w:sz w:val="18"/>
                <w:szCs w:val="18"/>
              </w:rPr>
            </m:ctrlPr>
          </m:sSupPr>
          <m:e>
            <m:r>
              <w:rPr>
                <w:rFonts w:ascii="Cambria Math" w:hAnsi="Cambria Math"/>
                <w:sz w:val="18"/>
                <w:szCs w:val="18"/>
              </w:rPr>
              <m:t>mc</m:t>
            </m:r>
          </m:e>
          <m:sup>
            <m:r>
              <w:rPr>
                <w:rFonts w:ascii="Cambria Math" w:hAnsi="Book Antiqua"/>
                <w:sz w:val="18"/>
                <w:szCs w:val="18"/>
              </w:rPr>
              <m:t>2</m:t>
            </m:r>
          </m:sup>
        </m:sSup>
      </m:oMath>
      <w:r w:rsidRPr="007F73AB">
        <w:rPr>
          <w:rFonts w:ascii="Book Antiqua" w:hAnsi="Book Antiqua"/>
          <w:sz w:val="20"/>
        </w:rPr>
        <w:t xml:space="preserve"> </w:t>
      </w:r>
      <w:r w:rsidR="00E84F17">
        <w:rPr>
          <w:rFonts w:ascii="Book Antiqua" w:hAnsi="Book Antiqua"/>
          <w:sz w:val="20"/>
        </w:rPr>
        <w:t xml:space="preserve">(and, therefore, energy itself) </w:t>
      </w:r>
      <w:r w:rsidRPr="007F73AB">
        <w:rPr>
          <w:rFonts w:ascii="Book Antiqua" w:hAnsi="Book Antiqua"/>
          <w:sz w:val="20"/>
        </w:rPr>
        <w:t xml:space="preserve">is a constant in the same way that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is a constant even if the ZPE strength is changing.</w:t>
      </w:r>
    </w:p>
    <w:p w:rsidR="00EE535C" w:rsidRPr="007F73AB" w:rsidRDefault="00EE535C" w:rsidP="00EE535C">
      <w:pPr>
        <w:pStyle w:val="NoSpacing"/>
        <w:ind w:firstLine="720"/>
        <w:jc w:val="both"/>
        <w:rPr>
          <w:rFonts w:ascii="Book Antiqua" w:hAnsi="Book Antiqua"/>
          <w:sz w:val="20"/>
        </w:rPr>
      </w:pPr>
    </w:p>
    <w:p w:rsidR="00E84F17"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can now be applied to electrons in orbits and nucleons in orbitals. The ZPE approach indicates the kinetic energy of all of these particles is conserved. The kinetic energy of these particles is given by </w:t>
      </w:r>
      <m:oMath>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xml:space="preserve"> where </w:t>
      </w:r>
      <m:oMath>
        <m:r>
          <w:rPr>
            <w:rFonts w:ascii="Cambria Math" w:hAnsi="Cambria Math"/>
            <w:sz w:val="18"/>
            <w:szCs w:val="18"/>
          </w:rPr>
          <m:t>v</m:t>
        </m:r>
        <m:r>
          <w:rPr>
            <w:rFonts w:ascii="Cambria Math" w:hAnsi="Book Antiqua"/>
            <w:sz w:val="18"/>
            <w:szCs w:val="18"/>
          </w:rPr>
          <m:t xml:space="preserve"> </m:t>
        </m:r>
      </m:oMath>
      <w:r w:rsidRPr="007F73AB">
        <w:rPr>
          <w:rFonts w:ascii="Book Antiqua" w:hAnsi="Book Antiqua"/>
          <w:sz w:val="20"/>
        </w:rPr>
        <w:t xml:space="preserve">is the tangential velocity. If </w:t>
      </w:r>
      <m:oMath>
        <m:r>
          <w:rPr>
            <w:rFonts w:ascii="Cambria Math" w:hAnsi="Cambria Math"/>
            <w:sz w:val="18"/>
            <w:szCs w:val="18"/>
          </w:rPr>
          <m:t>m</m:t>
        </m:r>
      </m:oMath>
      <w:r w:rsidRPr="007F73AB">
        <w:rPr>
          <w:rFonts w:ascii="Book Antiqua" w:hAnsi="Book Antiqua"/>
          <w:sz w:val="20"/>
        </w:rPr>
        <w:t xml:space="preserve"> varies as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it follows that </w:t>
      </w:r>
      <m:oMath>
        <m:r>
          <w:rPr>
            <w:rFonts w:ascii="Cambria Math" w:hAnsi="Cambria Math"/>
            <w:sz w:val="18"/>
            <w:szCs w:val="18"/>
          </w:rPr>
          <m:t>v</m:t>
        </m:r>
      </m:oMath>
      <w:r w:rsidRPr="007F73AB">
        <w:rPr>
          <w:rFonts w:ascii="Book Antiqua" w:hAnsi="Book Antiqua"/>
          <w:sz w:val="20"/>
        </w:rPr>
        <w:t xml:space="preserve"> must vary </w:t>
      </w:r>
      <w:proofErr w:type="gramStart"/>
      <w:r w:rsidRPr="007F73AB">
        <w:rPr>
          <w:rFonts w:ascii="Book Antiqua" w:hAnsi="Book Antiqua"/>
          <w:sz w:val="20"/>
        </w:rPr>
        <w:t xml:space="preserve">as </w:t>
      </w:r>
      <m:oMath>
        <w:proofErr w:type="gramEnd"/>
        <m:r>
          <w:rPr>
            <w:rFonts w:ascii="Cambria Math" w:hAnsi="Cambria Math"/>
            <w:sz w:val="18"/>
            <w:szCs w:val="18"/>
          </w:rPr>
          <m:t>c</m:t>
        </m:r>
      </m:oMath>
      <w:r w:rsidRPr="007F73AB">
        <w:rPr>
          <w:rFonts w:ascii="Book Antiqua" w:hAnsi="Book Antiqua"/>
          <w:i/>
          <w:sz w:val="20"/>
        </w:rPr>
        <w:t>,</w:t>
      </w:r>
      <w:r w:rsidRPr="007F73AB">
        <w:rPr>
          <w:rFonts w:ascii="Book Antiqua" w:hAnsi="Book Antiqua"/>
          <w:sz w:val="20"/>
        </w:rPr>
        <w:t xml:space="preserve"> if kinetic energy is conserved in the atomic environment. This means that when the ZPE strength was lower, and sub-atomic particle masses were lower, then their rate of movement was faster proportional to the speed of light. </w:t>
      </w:r>
      <w:r w:rsidR="00E84F17">
        <w:rPr>
          <w:rFonts w:ascii="Book Antiqua" w:hAnsi="Book Antiqua"/>
          <w:sz w:val="20"/>
        </w:rPr>
        <w:t xml:space="preserve"> In other words,</w:t>
      </w:r>
      <w:r w:rsidRPr="007F73AB">
        <w:rPr>
          <w:rFonts w:ascii="Book Antiqua" w:hAnsi="Book Antiqua"/>
          <w:sz w:val="20"/>
        </w:rPr>
        <w:t xml:space="preserve"> electrons orbit the nucleus of atoms </w:t>
      </w:r>
      <w:r w:rsidR="00E84F17">
        <w:rPr>
          <w:rFonts w:ascii="Book Antiqua" w:hAnsi="Book Antiqua"/>
          <w:sz w:val="20"/>
        </w:rPr>
        <w:t>at a rate</w:t>
      </w:r>
      <w:r w:rsidRPr="007F73AB">
        <w:rPr>
          <w:rFonts w:ascii="Book Antiqua" w:hAnsi="Book Antiqua"/>
          <w:sz w:val="20"/>
        </w:rPr>
        <w:t xml:space="preserve"> proportion</w:t>
      </w:r>
      <w:r w:rsidR="00E84F17">
        <w:rPr>
          <w:rFonts w:ascii="Book Antiqua" w:hAnsi="Book Antiqua"/>
          <w:sz w:val="20"/>
        </w:rPr>
        <w:t>al</w:t>
      </w:r>
      <w:r w:rsidRPr="007F73AB">
        <w:rPr>
          <w:rFonts w:ascii="Book Antiqua" w:hAnsi="Book Antiqua"/>
          <w:sz w:val="20"/>
        </w:rPr>
        <w:t xml:space="preserve"> to c.</w:t>
      </w:r>
      <w:r w:rsidR="002E6622">
        <w:rPr>
          <w:rFonts w:ascii="Book Antiqua" w:hAnsi="Book Antiqua"/>
          <w:sz w:val="20"/>
        </w:rPr>
        <w:t xml:space="preserve"> </w:t>
      </w:r>
    </w:p>
    <w:p w:rsidR="00E84F17" w:rsidRDefault="00E84F17"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w:t>
      </w:r>
      <w:r w:rsidR="008534F5">
        <w:rPr>
          <w:rFonts w:ascii="Book Antiqua" w:hAnsi="Book Antiqua"/>
          <w:sz w:val="20"/>
        </w:rPr>
        <w:t xml:space="preserve">also </w:t>
      </w:r>
      <w:r w:rsidRPr="007F73AB">
        <w:rPr>
          <w:rFonts w:ascii="Book Antiqua" w:hAnsi="Book Antiqua"/>
          <w:sz w:val="20"/>
        </w:rPr>
        <w:t xml:space="preserve">relates to the fine structure constant. One of the earliest definitions of the fine structure constant was that </w:t>
      </w:r>
      <w:r w:rsidRPr="007F73AB">
        <w:rPr>
          <w:rFonts w:ascii="Book Antiqua" w:hAnsi="Book Antiqua"/>
          <w:i/>
          <w:sz w:val="20"/>
        </w:rPr>
        <w:t>“it is the ratio of the velocity of the electron in the first Bohr orbit to the velocity of light in a vacuum.</w:t>
      </w:r>
      <w:r w:rsidRPr="007F73AB">
        <w:rPr>
          <w:rFonts w:ascii="Book Antiqua" w:hAnsi="Book Antiqua"/>
          <w:sz w:val="20"/>
        </w:rPr>
        <w:t>” [10]</w:t>
      </w:r>
      <w:r w:rsidRPr="007F73AB">
        <w:rPr>
          <w:rFonts w:ascii="Book Antiqua" w:hAnsi="Book Antiqua"/>
          <w:color w:val="FF0000"/>
          <w:sz w:val="20"/>
        </w:rPr>
        <w:t xml:space="preserve"> </w:t>
      </w:r>
      <w:r w:rsidRPr="007F73AB">
        <w:rPr>
          <w:rFonts w:ascii="Book Antiqua" w:hAnsi="Book Antiqua"/>
          <w:sz w:val="20"/>
        </w:rPr>
        <w:t xml:space="preserve">It has been proven that the fine structure constant is fixed to parts per million across the universe. Thus, any alteration in the properties of the vacuum affecting the speed of light must </w:t>
      </w:r>
      <w:r w:rsidR="00E84F17">
        <w:rPr>
          <w:rFonts w:ascii="Book Antiqua" w:hAnsi="Book Antiqua"/>
          <w:sz w:val="20"/>
        </w:rPr>
        <w:t>also and equally</w:t>
      </w:r>
      <w:r w:rsidRPr="007F73AB">
        <w:rPr>
          <w:rFonts w:ascii="Book Antiqua" w:hAnsi="Book Antiqua"/>
          <w:sz w:val="20"/>
        </w:rPr>
        <w:t xml:space="preserve"> affect the speed of electrons</w:t>
      </w:r>
      <w:r w:rsidR="002E6622">
        <w:rPr>
          <w:rFonts w:ascii="Book Antiqua" w:hAnsi="Book Antiqua"/>
          <w:sz w:val="20"/>
        </w:rPr>
        <w:t xml:space="preserve"> </w:t>
      </w:r>
      <w:r w:rsidRPr="007F73AB">
        <w:rPr>
          <w:rFonts w:ascii="Book Antiqua" w:hAnsi="Book Antiqua"/>
          <w:sz w:val="20"/>
        </w:rPr>
        <w:t>in their orbits</w:t>
      </w:r>
      <w:r w:rsidR="002E6622">
        <w:rPr>
          <w:rFonts w:ascii="Book Antiqua" w:hAnsi="Book Antiqua"/>
          <w:sz w:val="20"/>
        </w:rPr>
        <w:t xml:space="preserve">. </w:t>
      </w:r>
      <w:r w:rsidR="00E84F17">
        <w:rPr>
          <w:rFonts w:ascii="Book Antiqua" w:hAnsi="Book Antiqua"/>
          <w:sz w:val="20"/>
        </w:rPr>
        <w:t>T</w:t>
      </w:r>
      <w:r w:rsidR="002E6622">
        <w:rPr>
          <w:rFonts w:ascii="Book Antiqua" w:hAnsi="Book Antiqua"/>
          <w:sz w:val="20"/>
        </w:rPr>
        <w:t xml:space="preserve">he motion of all subatomic particles is </w:t>
      </w:r>
      <w:r w:rsidR="000056C0">
        <w:rPr>
          <w:rFonts w:ascii="Book Antiqua" w:hAnsi="Book Antiqua"/>
          <w:sz w:val="20"/>
        </w:rPr>
        <w:t xml:space="preserve">similarly </w:t>
      </w:r>
      <w:r w:rsidR="002E6622">
        <w:rPr>
          <w:rFonts w:ascii="Book Antiqua" w:hAnsi="Book Antiqua"/>
          <w:sz w:val="20"/>
        </w:rPr>
        <w:t>affected</w:t>
      </w:r>
      <w:r w:rsidR="000056C0">
        <w:rPr>
          <w:rFonts w:ascii="Book Antiqua" w:hAnsi="Book Antiqua"/>
          <w:sz w:val="20"/>
        </w:rPr>
        <w:t>.</w:t>
      </w:r>
      <w:r w:rsidRPr="007F73AB">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Measuring Time</w:t>
      </w:r>
    </w:p>
    <w:p w:rsidR="00EE535C" w:rsidRPr="007F73AB" w:rsidRDefault="00EE535C" w:rsidP="00EE535C">
      <w:pPr>
        <w:pStyle w:val="NoSpacing"/>
        <w:jc w:val="both"/>
        <w:rPr>
          <w:rFonts w:ascii="Book Antiqua" w:hAnsi="Book Antiqua"/>
          <w:b/>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In our daily lives, we measure time with clocks and calendars.  These are based on the movements of the earth in its rotation on its axis, the moon’s orbit </w:t>
      </w:r>
      <w:r w:rsidR="000036C3">
        <w:rPr>
          <w:rFonts w:ascii="Book Antiqua" w:hAnsi="Book Antiqua"/>
          <w:sz w:val="20"/>
        </w:rPr>
        <w:t>around</w:t>
      </w:r>
      <w:r w:rsidRPr="007F73AB">
        <w:rPr>
          <w:rFonts w:ascii="Book Antiqua" w:hAnsi="Book Antiqua"/>
          <w:sz w:val="20"/>
        </w:rPr>
        <w:t xml:space="preserve"> the earth, and the earth’s orbit </w:t>
      </w:r>
      <w:r w:rsidR="000036C3">
        <w:rPr>
          <w:rFonts w:ascii="Book Antiqua" w:hAnsi="Book Antiqua"/>
          <w:sz w:val="20"/>
        </w:rPr>
        <w:t>around</w:t>
      </w:r>
      <w:r w:rsidRPr="007F73AB">
        <w:rPr>
          <w:rFonts w:ascii="Book Antiqua" w:hAnsi="Book Antiqua"/>
          <w:sz w:val="20"/>
        </w:rPr>
        <w:t xml:space="preserve"> the sun.  This type of time-keeping is based on gravitationally controlled movements.  </w:t>
      </w:r>
      <w:r w:rsidR="000036C3">
        <w:rPr>
          <w:rFonts w:ascii="Book Antiqua" w:hAnsi="Book Antiqua"/>
          <w:sz w:val="20"/>
        </w:rPr>
        <w:t>It is shown in Chapters 4 and 7 that c</w:t>
      </w:r>
      <w:r w:rsidRPr="007F73AB">
        <w:rPr>
          <w:rFonts w:ascii="Book Antiqua" w:hAnsi="Book Antiqua"/>
          <w:sz w:val="20"/>
        </w:rPr>
        <w:t>hanges in the Zero Point Energy do not affect gravity</w:t>
      </w:r>
      <w:r w:rsidR="000036C3">
        <w:rPr>
          <w:rFonts w:ascii="Book Antiqua" w:hAnsi="Book Antiqua"/>
          <w:sz w:val="20"/>
        </w:rPr>
        <w:t>. Consequently</w:t>
      </w:r>
      <w:r w:rsidRPr="007F73AB">
        <w:rPr>
          <w:rFonts w:ascii="Book Antiqua" w:hAnsi="Book Antiqua"/>
          <w:sz w:val="20"/>
        </w:rPr>
        <w:t>,</w:t>
      </w:r>
      <w:r w:rsidR="000036C3">
        <w:rPr>
          <w:rFonts w:ascii="Book Antiqua" w:hAnsi="Book Antiqua"/>
          <w:sz w:val="20"/>
        </w:rPr>
        <w:t xml:space="preserve"> t</w:t>
      </w:r>
      <w:r w:rsidRPr="007F73AB">
        <w:rPr>
          <w:rFonts w:ascii="Book Antiqua" w:hAnsi="Book Antiqua"/>
          <w:sz w:val="20"/>
        </w:rPr>
        <w:t xml:space="preserve">ime </w:t>
      </w:r>
      <w:r w:rsidR="000036C3">
        <w:rPr>
          <w:rFonts w:ascii="Book Antiqua" w:hAnsi="Book Antiqua"/>
          <w:sz w:val="20"/>
        </w:rPr>
        <w:t>measured by gravitational methods has</w:t>
      </w:r>
      <w:r w:rsidRPr="007F73AB">
        <w:rPr>
          <w:rFonts w:ascii="Book Antiqua" w:hAnsi="Book Antiqua"/>
          <w:sz w:val="20"/>
        </w:rPr>
        <w:t xml:space="preserve"> been steady throughout history.  </w:t>
      </w:r>
    </w:p>
    <w:p w:rsidR="00EE535C" w:rsidRPr="007F73AB" w:rsidRDefault="00EE535C" w:rsidP="00EE535C">
      <w:pPr>
        <w:pStyle w:val="NoSpacing"/>
        <w:ind w:firstLine="360"/>
        <w:jc w:val="both"/>
        <w:rPr>
          <w:rFonts w:ascii="Book Antiqua" w:hAnsi="Book Antiqua"/>
          <w:sz w:val="20"/>
        </w:rPr>
      </w:pPr>
    </w:p>
    <w:p w:rsidR="00630F65" w:rsidRDefault="00EE535C" w:rsidP="004D4E88">
      <w:pPr>
        <w:pStyle w:val="NoSpacing"/>
        <w:ind w:firstLine="720"/>
        <w:jc w:val="both"/>
        <w:rPr>
          <w:rFonts w:ascii="Book Antiqua" w:hAnsi="Book Antiqua"/>
          <w:sz w:val="20"/>
        </w:rPr>
      </w:pPr>
      <w:r w:rsidRPr="007F73AB">
        <w:rPr>
          <w:rFonts w:ascii="Book Antiqua" w:hAnsi="Book Antiqua"/>
          <w:sz w:val="20"/>
        </w:rPr>
        <w:t xml:space="preserve">There is another form of timekeeping used by science.  It is based on atomic and subatomic actions and reactions.  The time it takes an electron to orbit a proton in a hydrogen atom, and the time it takes heavy elements to decay into their daughter elements, are examples of this type of measuring time.  </w:t>
      </w:r>
    </w:p>
    <w:p w:rsidR="00630F65" w:rsidRDefault="00630F65" w:rsidP="004D4E88">
      <w:pPr>
        <w:pStyle w:val="NoSpacing"/>
        <w:ind w:firstLine="720"/>
        <w:jc w:val="both"/>
        <w:rPr>
          <w:rFonts w:ascii="Book Antiqua" w:hAnsi="Book Antiqua"/>
          <w:sz w:val="20"/>
        </w:rPr>
      </w:pPr>
    </w:p>
    <w:p w:rsidR="00EE535C" w:rsidRPr="007F73AB" w:rsidRDefault="00630F65" w:rsidP="004D4E88">
      <w:pPr>
        <w:pStyle w:val="NoSpacing"/>
        <w:ind w:firstLine="720"/>
        <w:jc w:val="both"/>
        <w:rPr>
          <w:rFonts w:ascii="Book Antiqua" w:hAnsi="Book Antiqua"/>
          <w:sz w:val="20"/>
        </w:rPr>
      </w:pPr>
      <w:proofErr w:type="gramStart"/>
      <w:r>
        <w:rPr>
          <w:rFonts w:ascii="Book Antiqua" w:hAnsi="Book Antiqua"/>
          <w:sz w:val="20"/>
        </w:rPr>
        <w:t>So</w:t>
      </w:r>
      <w:r w:rsidR="00EE535C" w:rsidRPr="007F73AB">
        <w:rPr>
          <w:rFonts w:ascii="Book Antiqua" w:hAnsi="Book Antiqua"/>
          <w:sz w:val="20"/>
        </w:rPr>
        <w:t xml:space="preserve"> atomic and subatomic phenomena</w:t>
      </w:r>
      <w:r>
        <w:rPr>
          <w:rFonts w:ascii="Book Antiqua" w:hAnsi="Book Antiqua"/>
          <w:sz w:val="20"/>
        </w:rPr>
        <w:t>, including radioactive decay,</w:t>
      </w:r>
      <w:r w:rsidR="00EE535C" w:rsidRPr="007F73AB">
        <w:rPr>
          <w:rFonts w:ascii="Book Antiqua" w:hAnsi="Book Antiqua"/>
          <w:sz w:val="20"/>
        </w:rPr>
        <w:t xml:space="preserve"> are dependent upon the strength of the Zero Point Energy.</w:t>
      </w:r>
      <w:proofErr w:type="gramEnd"/>
      <w:r w:rsidR="00EE535C" w:rsidRPr="007F73AB">
        <w:rPr>
          <w:rFonts w:ascii="Book Antiqua" w:hAnsi="Book Antiqua"/>
          <w:sz w:val="20"/>
        </w:rPr>
        <w:t xml:space="preserve">  This means that all atomic clocks tick at a rate proportional to the speed of light or at a rate inversely proportional to the strength of the ZPE. This is discussed in Chapters 5 &amp; 8, with Chapter 9 discussing our solar system’s history in relation to a changing ZPE.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lastRenderedPageBreak/>
        <w:t>The observational evidence now becomes important. Data from the last 100 years indicates that Planck’s constant</w:t>
      </w:r>
      <w:proofErr w:type="gramStart"/>
      <w:r w:rsidRPr="007F73AB">
        <w:rPr>
          <w:rFonts w:ascii="Book Antiqua" w:hAnsi="Book Antiqua"/>
          <w:sz w:val="20"/>
        </w:rPr>
        <w:t xml:space="preserve">, </w:t>
      </w:r>
      <m:oMath>
        <w:proofErr w:type="gramEnd"/>
        <m:r>
          <w:rPr>
            <w:rFonts w:ascii="Book Antiqua" w:hAnsi="Cambria Math"/>
            <w:sz w:val="18"/>
            <w:szCs w:val="18"/>
          </w:rPr>
          <m:t>h</m:t>
        </m:r>
      </m:oMath>
      <w:r w:rsidRPr="007F73AB">
        <w:rPr>
          <w:rFonts w:ascii="Book Antiqua" w:hAnsi="Book Antiqua"/>
          <w:sz w:val="20"/>
        </w:rPr>
        <w:t xml:space="preserve">, and atomic masses, </w:t>
      </w:r>
      <m:oMath>
        <m:r>
          <w:rPr>
            <w:rFonts w:ascii="Cambria Math" w:hAnsi="Cambria Math"/>
            <w:sz w:val="18"/>
            <w:szCs w:val="18"/>
          </w:rPr>
          <m:t>m</m:t>
        </m:r>
      </m:oMath>
      <w:r w:rsidRPr="007F73AB">
        <w:rPr>
          <w:rFonts w:ascii="Book Antiqua" w:hAnsi="Book Antiqua"/>
          <w:sz w:val="20"/>
        </w:rPr>
        <w:t>, have increased. Conversely, the speed of light</w:t>
      </w:r>
      <w:proofErr w:type="gramStart"/>
      <w:r w:rsidRPr="007F73AB">
        <w:rPr>
          <w:rFonts w:ascii="Book Antiqua" w:hAnsi="Book Antiqua"/>
          <w:sz w:val="20"/>
        </w:rPr>
        <w:t xml:space="preserve">, </w:t>
      </w:r>
      <m:oMath>
        <w:proofErr w:type="gramEnd"/>
        <m:r>
          <w:rPr>
            <w:rFonts w:ascii="Cambria Math" w:hAnsi="Cambria Math"/>
            <w:sz w:val="18"/>
            <w:szCs w:val="18"/>
          </w:rPr>
          <m:t>c</m:t>
        </m:r>
      </m:oMath>
      <w:r w:rsidRPr="007F73AB">
        <w:rPr>
          <w:rFonts w:ascii="Book Antiqua" w:hAnsi="Book Antiqua"/>
          <w:sz w:val="20"/>
        </w:rPr>
        <w:t xml:space="preserve">, has decreased and the run-rate of atomic clocks, </w:t>
      </w:r>
      <m:oMath>
        <m:r>
          <w:rPr>
            <w:rFonts w:ascii="Cambria Math" w:hAnsi="Cambria Math"/>
            <w:sz w:val="18"/>
            <w:szCs w:val="18"/>
          </w:rPr>
          <m:t>t</m:t>
        </m:r>
      </m:oMath>
      <w:r w:rsidRPr="007F73AB">
        <w:rPr>
          <w:rFonts w:ascii="Book Antiqua" w:hAnsi="Book Antiqua"/>
          <w:sz w:val="20"/>
        </w:rPr>
        <w:t>, against the orbital clock has been slowing. The graphs of the recommended and internationally accepted values of these quantities are given in Figure 4. These graphs show a change in direction, or a flat point, occurred around 1970. That may be taken as evidence for a change in the direction of the Narlikar-Arp oscillation of the cosmos affecting ZPE strength</w:t>
      </w:r>
      <w:r w:rsidR="00BB64A9">
        <w:rPr>
          <w:rFonts w:ascii="Book Antiqua" w:hAnsi="Book Antiqua"/>
          <w:sz w:val="20"/>
        </w:rPr>
        <w:t xml:space="preserve"> [3]</w:t>
      </w:r>
      <w:r w:rsidRPr="007F73AB">
        <w:rPr>
          <w:rFonts w:ascii="Book Antiqua" w:hAnsi="Book Antiqua"/>
          <w:sz w:val="20"/>
        </w:rPr>
        <w:t>.</w:t>
      </w:r>
    </w:p>
    <w:p w:rsidR="00EE535C" w:rsidRDefault="00EE535C" w:rsidP="00EE535C">
      <w:pPr>
        <w:pStyle w:val="NoSpacing"/>
        <w:ind w:firstLine="360"/>
        <w:jc w:val="both"/>
        <w:rPr>
          <w:rFonts w:ascii="Book Antiqua" w:hAnsi="Book Antiqua"/>
          <w:sz w:val="20"/>
        </w:rPr>
      </w:pPr>
    </w:p>
    <w:p w:rsidR="00651826" w:rsidRPr="007F73AB" w:rsidRDefault="00651826" w:rsidP="00EE535C">
      <w:pPr>
        <w:pStyle w:val="NoSpacing"/>
        <w:ind w:firstLine="360"/>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66"/>
        <w:gridCol w:w="4416"/>
      </w:tblGrid>
      <w:tr w:rsidR="00EE535C" w:rsidRPr="007F73AB" w:rsidTr="000E32B9">
        <w:trPr>
          <w:jc w:val="center"/>
        </w:trPr>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1465" cy="2286000"/>
                  <wp:effectExtent l="19050" t="0" r="1235" b="0"/>
                  <wp:docPr id="285"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556246" cy="2290284"/>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86000"/>
                  <wp:effectExtent l="19050" t="0" r="9525" b="0"/>
                  <wp:docPr id="284"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42056" cy="2289146"/>
                          </a:xfrm>
                          <a:prstGeom prst="rect">
                            <a:avLst/>
                          </a:prstGeom>
                          <a:noFill/>
                          <a:ln w="9525">
                            <a:noFill/>
                            <a:miter lim="800000"/>
                            <a:headEnd/>
                            <a:tailEnd/>
                          </a:ln>
                        </pic:spPr>
                      </pic:pic>
                    </a:graphicData>
                  </a:graphic>
                </wp:inline>
              </w:drawing>
            </w:r>
          </w:p>
        </w:tc>
      </w:tr>
      <w:tr w:rsidR="00EE535C" w:rsidRPr="007F73AB" w:rsidTr="000E32B9">
        <w:trPr>
          <w:jc w:val="center"/>
        </w:trPr>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2700" cy="2238375"/>
                  <wp:effectExtent l="19050" t="0" r="0" b="0"/>
                  <wp:docPr id="28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552700" cy="2238375"/>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38375"/>
                  <wp:effectExtent l="19050" t="0" r="0" b="0"/>
                  <wp:docPr id="282"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rsidR="00EE535C" w:rsidRPr="007F73AB" w:rsidRDefault="00EE535C" w:rsidP="00EE535C">
      <w:pPr>
        <w:pStyle w:val="NoSpacing"/>
        <w:rPr>
          <w:rFonts w:ascii="Book Antiqua" w:hAnsi="Book Antiqua"/>
          <w:sz w:val="18"/>
          <w:szCs w:val="18"/>
        </w:rPr>
      </w:pPr>
    </w:p>
    <w:p w:rsidR="00EE535C" w:rsidRDefault="00EE535C" w:rsidP="00EE535C">
      <w:pPr>
        <w:pStyle w:val="NoSpacing"/>
        <w:rPr>
          <w:rFonts w:ascii="Book Antiqua" w:hAnsi="Book Antiqua"/>
          <w:i/>
          <w:sz w:val="18"/>
          <w:szCs w:val="18"/>
        </w:rPr>
      </w:pPr>
      <w:r w:rsidRPr="00262DE1">
        <w:rPr>
          <w:rFonts w:ascii="Book Antiqua" w:hAnsi="Book Antiqua"/>
          <w:b/>
          <w:i/>
          <w:sz w:val="18"/>
          <w:szCs w:val="18"/>
        </w:rPr>
        <w:t>Figure 4:</w:t>
      </w:r>
      <w:r w:rsidRPr="00F479C6">
        <w:rPr>
          <w:rFonts w:ascii="Book Antiqua" w:hAnsi="Book Antiqua"/>
          <w:i/>
          <w:sz w:val="18"/>
          <w:szCs w:val="18"/>
        </w:rPr>
        <w:t xml:space="preserve">  Clockwise from top left—Recommended values of Planck’s constant, </w:t>
      </w:r>
      <w:r w:rsidRPr="00F479C6">
        <w:rPr>
          <w:rFonts w:ascii="Book Antiqua" w:hAnsi="Book Antiqua"/>
          <w:sz w:val="18"/>
          <w:szCs w:val="18"/>
        </w:rPr>
        <w:t>h</w:t>
      </w:r>
      <w:r w:rsidRPr="00F479C6">
        <w:rPr>
          <w:rFonts w:ascii="Book Antiqua" w:hAnsi="Book Antiqua"/>
          <w:i/>
          <w:sz w:val="18"/>
          <w:szCs w:val="18"/>
        </w:rPr>
        <w:t xml:space="preserve">; electron rest mass, </w:t>
      </w:r>
      <w:r w:rsidRPr="00F479C6">
        <w:rPr>
          <w:rFonts w:ascii="Book Antiqua" w:hAnsi="Book Antiqua"/>
          <w:sz w:val="18"/>
          <w:szCs w:val="18"/>
        </w:rPr>
        <w:t>m</w:t>
      </w:r>
      <w:r w:rsidRPr="00F479C6">
        <w:rPr>
          <w:rFonts w:ascii="Book Antiqua" w:hAnsi="Book Antiqua"/>
          <w:i/>
          <w:sz w:val="18"/>
          <w:szCs w:val="18"/>
        </w:rPr>
        <w:t>; the run-rate of atomic clocks,</w:t>
      </w:r>
      <w:r w:rsidRPr="00F479C6">
        <w:rPr>
          <w:rFonts w:ascii="Book Antiqua" w:hAnsi="Book Antiqua"/>
          <w:sz w:val="18"/>
          <w:szCs w:val="18"/>
        </w:rPr>
        <w:t xml:space="preserve"> t</w:t>
      </w:r>
      <w:r w:rsidRPr="00F479C6">
        <w:rPr>
          <w:rFonts w:ascii="Book Antiqua" w:hAnsi="Book Antiqua"/>
          <w:i/>
          <w:sz w:val="18"/>
          <w:szCs w:val="18"/>
        </w:rPr>
        <w:t xml:space="preserve">, </w:t>
      </w:r>
      <w:r w:rsidR="000036C3" w:rsidRPr="00F479C6">
        <w:rPr>
          <w:rFonts w:ascii="Book Antiqua" w:hAnsi="Book Antiqua"/>
          <w:i/>
          <w:sz w:val="18"/>
          <w:szCs w:val="18"/>
        </w:rPr>
        <w:t>(</w:t>
      </w:r>
      <w:r w:rsidRPr="00F479C6">
        <w:rPr>
          <w:rFonts w:ascii="Book Antiqua" w:hAnsi="Book Antiqua"/>
          <w:i/>
          <w:sz w:val="18"/>
          <w:szCs w:val="18"/>
        </w:rPr>
        <w:t xml:space="preserve">with orbital time </w:t>
      </w:r>
      <w:r w:rsidR="000036C3" w:rsidRPr="00F479C6">
        <w:rPr>
          <w:rFonts w:ascii="Book Antiqua" w:hAnsi="Book Antiqua"/>
          <w:i/>
          <w:sz w:val="18"/>
          <w:szCs w:val="18"/>
        </w:rPr>
        <w:t xml:space="preserve">on the </w:t>
      </w:r>
      <w:r w:rsidRPr="00F479C6">
        <w:rPr>
          <w:rFonts w:ascii="Book Antiqua" w:hAnsi="Book Antiqua"/>
          <w:i/>
          <w:sz w:val="18"/>
          <w:szCs w:val="18"/>
        </w:rPr>
        <w:t>horizontal</w:t>
      </w:r>
      <w:r w:rsidR="000036C3" w:rsidRPr="00F479C6">
        <w:rPr>
          <w:rFonts w:ascii="Book Antiqua" w:hAnsi="Book Antiqua"/>
          <w:i/>
          <w:sz w:val="18"/>
          <w:szCs w:val="18"/>
        </w:rPr>
        <w:t xml:space="preserve"> axis)</w:t>
      </w:r>
      <w:r w:rsidRPr="00F479C6">
        <w:rPr>
          <w:rFonts w:ascii="Book Antiqua" w:hAnsi="Book Antiqua"/>
          <w:i/>
          <w:sz w:val="18"/>
          <w:szCs w:val="18"/>
        </w:rPr>
        <w:t xml:space="preserve">; and light-speed, </w:t>
      </w:r>
      <w:r w:rsidRPr="00F479C6">
        <w:rPr>
          <w:rFonts w:ascii="Book Antiqua" w:hAnsi="Book Antiqua"/>
          <w:sz w:val="18"/>
          <w:szCs w:val="18"/>
        </w:rPr>
        <w:t>c</w:t>
      </w:r>
      <w:r w:rsidRPr="00F479C6">
        <w:rPr>
          <w:rFonts w:ascii="Book Antiqua" w:hAnsi="Book Antiqua"/>
          <w:i/>
          <w:sz w:val="18"/>
          <w:szCs w:val="18"/>
        </w:rPr>
        <w:t>. All exhibit a change in direction near 1970.</w:t>
      </w:r>
    </w:p>
    <w:p w:rsidR="000E32B9" w:rsidRDefault="000E32B9" w:rsidP="00EE535C">
      <w:pPr>
        <w:pStyle w:val="NoSpacing"/>
        <w:rPr>
          <w:rFonts w:ascii="Book Antiqua" w:hAnsi="Book Antiqua"/>
          <w:i/>
          <w:sz w:val="18"/>
          <w:szCs w:val="18"/>
        </w:rPr>
      </w:pPr>
    </w:p>
    <w:p w:rsidR="000E32B9" w:rsidRDefault="000E32B9" w:rsidP="000E32B9">
      <w:pPr>
        <w:pStyle w:val="NormPara"/>
        <w:ind w:firstLine="720"/>
        <w:rPr>
          <w:sz w:val="20"/>
        </w:rPr>
      </w:pPr>
      <w:r w:rsidRPr="007F73AB">
        <w:rPr>
          <w:sz w:val="20"/>
        </w:rPr>
        <w:t xml:space="preserve">These data all point to a ZPE </w:t>
      </w:r>
      <w:r>
        <w:rPr>
          <w:sz w:val="20"/>
        </w:rPr>
        <w:t>which can change</w:t>
      </w:r>
      <w:r w:rsidRPr="007F73AB">
        <w:rPr>
          <w:sz w:val="20"/>
        </w:rPr>
        <w:t xml:space="preserve">.  However these graphs only go back a hundred years.  Can we go back further?  When the </w:t>
      </w:r>
      <w:proofErr w:type="gramStart"/>
      <w:r w:rsidRPr="007F73AB">
        <w:rPr>
          <w:sz w:val="20"/>
        </w:rPr>
        <w:t>speed of light observations are</w:t>
      </w:r>
      <w:proofErr w:type="gramEnd"/>
      <w:r w:rsidRPr="007F73AB">
        <w:rPr>
          <w:sz w:val="20"/>
        </w:rPr>
        <w:t xml:space="preserve"> studied in detail, as is done in Chapter 3, we can obtain data back over 300 years or so. The decline in the value of </w:t>
      </w:r>
      <m:oMath>
        <m:r>
          <w:rPr>
            <w:rFonts w:ascii="Cambria Math" w:hAnsi="Cambria Math"/>
            <w:szCs w:val="18"/>
          </w:rPr>
          <m:t>c</m:t>
        </m:r>
      </m:oMath>
      <w:r w:rsidRPr="007F73AB">
        <w:rPr>
          <w:sz w:val="20"/>
        </w:rPr>
        <w:t xml:space="preserve"> is generally noticed over that period, so the ZPE was increasing during that time. But given the history of our universe, 300 years is still not much time.  It is at this point we can look to the universe itself.  </w:t>
      </w:r>
    </w:p>
    <w:p w:rsidR="000E32B9" w:rsidRDefault="000E32B9" w:rsidP="000E32B9">
      <w:pPr>
        <w:pStyle w:val="NormPara"/>
        <w:ind w:firstLine="270"/>
        <w:rPr>
          <w:sz w:val="20"/>
        </w:rPr>
      </w:pPr>
    </w:p>
    <w:p w:rsidR="000E32B9" w:rsidRPr="007F73AB" w:rsidRDefault="000E32B9" w:rsidP="000E32B9">
      <w:pPr>
        <w:pStyle w:val="NormPara"/>
        <w:ind w:firstLine="720"/>
        <w:rPr>
          <w:sz w:val="20"/>
        </w:rPr>
      </w:pPr>
      <w:r w:rsidRPr="007F73AB">
        <w:rPr>
          <w:sz w:val="20"/>
        </w:rPr>
        <w:t xml:space="preserve">We know how atoms react to changes in the strength of the Zero Point Energy.  We also know that the farther out in space we look, the further back in time we are looking – </w:t>
      </w:r>
      <w:r>
        <w:rPr>
          <w:sz w:val="20"/>
        </w:rPr>
        <w:t>both are</w:t>
      </w:r>
      <w:r w:rsidRPr="007F73AB">
        <w:rPr>
          <w:sz w:val="20"/>
        </w:rPr>
        <w:t xml:space="preserve"> linear progression</w:t>
      </w:r>
      <w:r>
        <w:rPr>
          <w:sz w:val="20"/>
        </w:rPr>
        <w:t>s</w:t>
      </w:r>
      <w:r w:rsidRPr="007F73AB">
        <w:rPr>
          <w:sz w:val="20"/>
        </w:rPr>
        <w:t xml:space="preserve">.  So, by looking out into space, we can track atomic behavior, and that tells us how strong the ZPE was at </w:t>
      </w:r>
      <w:r>
        <w:rPr>
          <w:sz w:val="20"/>
        </w:rPr>
        <w:t xml:space="preserve">any </w:t>
      </w:r>
      <w:r w:rsidRPr="007F73AB">
        <w:rPr>
          <w:sz w:val="20"/>
        </w:rPr>
        <w:t xml:space="preserve">given point in time.  </w:t>
      </w:r>
    </w:p>
    <w:p w:rsidR="000D0122" w:rsidRPr="007F73AB" w:rsidRDefault="000D0122" w:rsidP="00EE535C">
      <w:pPr>
        <w:pStyle w:val="NormPara"/>
        <w:ind w:firstLine="270"/>
        <w:rPr>
          <w:sz w:val="20"/>
        </w:rPr>
      </w:pPr>
    </w:p>
    <w:p w:rsidR="00EE535C" w:rsidRPr="007F73AB" w:rsidRDefault="00EE535C" w:rsidP="00EE535C">
      <w:pPr>
        <w:pStyle w:val="NormPara"/>
        <w:numPr>
          <w:ilvl w:val="0"/>
          <w:numId w:val="3"/>
        </w:numPr>
        <w:rPr>
          <w:b/>
          <w:sz w:val="20"/>
        </w:rPr>
      </w:pPr>
      <w:r w:rsidRPr="007F73AB">
        <w:rPr>
          <w:b/>
          <w:sz w:val="20"/>
        </w:rPr>
        <w:lastRenderedPageBreak/>
        <w:t xml:space="preserve">The ZPE and the Redshift </w:t>
      </w:r>
    </w:p>
    <w:p w:rsidR="00EE535C" w:rsidRPr="007F73AB" w:rsidRDefault="00EE535C" w:rsidP="00EE535C">
      <w:pPr>
        <w:pStyle w:val="NormPara"/>
        <w:ind w:firstLine="270"/>
        <w:rPr>
          <w:sz w:val="20"/>
        </w:rPr>
      </w:pPr>
    </w:p>
    <w:p w:rsidR="00EE535C" w:rsidRPr="007F73AB" w:rsidRDefault="008677B0" w:rsidP="004D4E88">
      <w:pPr>
        <w:pStyle w:val="NormPara"/>
        <w:ind w:firstLine="720"/>
        <w:rPr>
          <w:sz w:val="20"/>
        </w:rPr>
      </w:pPr>
      <w:r>
        <w:rPr>
          <w:sz w:val="20"/>
        </w:rPr>
        <w:t>A</w:t>
      </w:r>
      <w:r w:rsidRPr="008677B0">
        <w:rPr>
          <w:sz w:val="20"/>
        </w:rPr>
        <w:t>n electron orbiting a proton will be radiating energy.</w:t>
      </w:r>
      <w:r>
        <w:rPr>
          <w:sz w:val="20"/>
        </w:rPr>
        <w:t xml:space="preserve">  This presents a problem in classical physics.  </w:t>
      </w:r>
      <w:r w:rsidR="00EE535C" w:rsidRPr="008677B0">
        <w:rPr>
          <w:sz w:val="20"/>
        </w:rPr>
        <w:t xml:space="preserve"> </w:t>
      </w:r>
      <w:r>
        <w:rPr>
          <w:sz w:val="20"/>
        </w:rPr>
        <w:t xml:space="preserve">If the electron radiates energy then it must, </w:t>
      </w:r>
      <w:proofErr w:type="gramStart"/>
      <w:r>
        <w:rPr>
          <w:sz w:val="20"/>
        </w:rPr>
        <w:t xml:space="preserve">at </w:t>
      </w:r>
      <w:r w:rsidR="00EE535C" w:rsidRPr="008677B0">
        <w:rPr>
          <w:sz w:val="20"/>
        </w:rPr>
        <w:t xml:space="preserve"> some</w:t>
      </w:r>
      <w:proofErr w:type="gramEnd"/>
      <w:r w:rsidR="00EE535C" w:rsidRPr="008677B0">
        <w:rPr>
          <w:sz w:val="20"/>
        </w:rPr>
        <w:t xml:space="preserve"> point, spiral into the nucleus.</w:t>
      </w:r>
      <w:r w:rsidR="00EE535C" w:rsidRPr="007F73AB">
        <w:rPr>
          <w:sz w:val="20"/>
        </w:rPr>
        <w:t xml:space="preserve"> This does not happen. QED physics simply invokes the action of quantum laws</w:t>
      </w:r>
      <w:r w:rsidR="00515175">
        <w:rPr>
          <w:sz w:val="20"/>
        </w:rPr>
        <w:t xml:space="preserve"> to prevent it from happening</w:t>
      </w:r>
      <w:r w:rsidR="00EE535C" w:rsidRPr="007F73AB">
        <w:rPr>
          <w:sz w:val="20"/>
        </w:rPr>
        <w:t xml:space="preserve">. But the actual reason why it does not happen comes from SED physics.  </w:t>
      </w:r>
    </w:p>
    <w:p w:rsidR="00EE535C" w:rsidRPr="007F73AB" w:rsidRDefault="00EE535C" w:rsidP="00EE535C">
      <w:pPr>
        <w:pStyle w:val="NormPara"/>
        <w:ind w:firstLine="270"/>
        <w:rPr>
          <w:sz w:val="20"/>
        </w:rPr>
      </w:pPr>
    </w:p>
    <w:p w:rsidR="00EE535C" w:rsidRPr="007F73AB" w:rsidRDefault="00EE535C" w:rsidP="004D4E88">
      <w:pPr>
        <w:pStyle w:val="Els-body-text"/>
        <w:ind w:firstLine="720"/>
        <w:rPr>
          <w:rFonts w:ascii="Book Antiqua" w:hAnsi="Book Antiqua"/>
          <w:color w:val="000000"/>
        </w:rPr>
      </w:pPr>
      <w:r w:rsidRPr="007F73AB">
        <w:rPr>
          <w:rFonts w:ascii="Book Antiqua" w:hAnsi="Book Antiqua"/>
        </w:rPr>
        <w:t>According to the SED approach, classical physics is correct in considering the electron to be radiating energy, but this must be coupled with the effects of the</w:t>
      </w:r>
      <w:r w:rsidR="008677B0">
        <w:rPr>
          <w:rFonts w:ascii="Book Antiqua" w:hAnsi="Book Antiqua"/>
        </w:rPr>
        <w:t xml:space="preserve"> real</w:t>
      </w:r>
      <w:r w:rsidRPr="007F73AB">
        <w:rPr>
          <w:rFonts w:ascii="Book Antiqua" w:hAnsi="Book Antiqua"/>
        </w:rPr>
        <w:t xml:space="preserve"> ZPE. The energy that electrons radiate as they orbit their protons can be calculated, along with the energy that these electrons absorb from the ZPE. Quantitative analyses were done, and the results were summarized by de la Pena who stated that</w:t>
      </w:r>
      <w:r w:rsidRPr="007F73AB">
        <w:rPr>
          <w:rFonts w:ascii="Book Antiqua" w:hAnsi="Book Antiqua"/>
          <w:color w:val="000000"/>
        </w:rPr>
        <w:t xml:space="preserve"> “</w:t>
      </w:r>
      <w:r w:rsidRPr="007F73AB">
        <w:rPr>
          <w:rFonts w:ascii="Book Antiqua" w:hAnsi="Book Antiqua"/>
          <w:i/>
          <w:iCs/>
          <w:color w:val="000000"/>
        </w:rPr>
        <w:t xml:space="preserve">Boyer and Claverie &amp; Diner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7F73AB">
        <w:rPr>
          <w:rFonts w:ascii="Book Antiqua" w:hAnsi="Book Antiqua"/>
          <w:iCs/>
        </w:rPr>
        <w:t>[11]</w:t>
      </w:r>
    </w:p>
    <w:p w:rsidR="00EE535C" w:rsidRPr="007F73AB" w:rsidRDefault="00EE535C" w:rsidP="00EE535C">
      <w:pPr>
        <w:pStyle w:val="NormPara"/>
        <w:ind w:firstLine="270"/>
        <w:rPr>
          <w:color w:val="000000"/>
          <w:sz w:val="20"/>
        </w:rPr>
      </w:pPr>
    </w:p>
    <w:p w:rsidR="00EE535C" w:rsidRPr="007F73AB" w:rsidRDefault="00EE535C" w:rsidP="00EE535C">
      <w:pPr>
        <w:pStyle w:val="NormPara"/>
        <w:ind w:firstLine="270"/>
        <w:rPr>
          <w:i/>
          <w:iCs/>
          <w:sz w:val="20"/>
        </w:rPr>
      </w:pPr>
      <w:r w:rsidRPr="007F73AB">
        <w:rPr>
          <w:color w:val="000000"/>
          <w:sz w:val="20"/>
        </w:rPr>
        <w:tab/>
      </w:r>
      <w:r w:rsidRPr="007F73AB">
        <w:rPr>
          <w:sz w:val="20"/>
        </w:rPr>
        <w:t xml:space="preserve">In 1987 Puthoff examined this further in an SED context. His conclusion carries unusual significance. It reads: </w:t>
      </w:r>
      <w:r w:rsidRPr="007F73AB">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7F73AB">
        <w:rPr>
          <w:sz w:val="20"/>
        </w:rPr>
        <w:t xml:space="preserve"> [12]. Thus </w:t>
      </w:r>
      <w:r w:rsidR="008677B0">
        <w:rPr>
          <w:sz w:val="20"/>
        </w:rPr>
        <w:t xml:space="preserve">it appears that </w:t>
      </w:r>
      <w:r w:rsidRPr="007F73AB">
        <w:rPr>
          <w:sz w:val="20"/>
        </w:rPr>
        <w:t>the very existence of atomic structures depends on this</w:t>
      </w:r>
      <w:r w:rsidR="008A12AD">
        <w:rPr>
          <w:sz w:val="20"/>
        </w:rPr>
        <w:t xml:space="preserve"> seething sea of</w:t>
      </w:r>
      <w:r w:rsidRPr="007F73AB">
        <w:rPr>
          <w:sz w:val="20"/>
        </w:rPr>
        <w:t xml:space="preserve"> ZPE</w:t>
      </w:r>
      <w:r w:rsidR="008A12AD">
        <w:rPr>
          <w:sz w:val="20"/>
        </w:rPr>
        <w:t xml:space="preserve"> to maintain them. </w:t>
      </w:r>
      <w:r w:rsidRPr="007F73AB">
        <w:rPr>
          <w:sz w:val="20"/>
        </w:rPr>
        <w:t xml:space="preserve">Without </w:t>
      </w:r>
      <w:r w:rsidR="008A12AD">
        <w:rPr>
          <w:sz w:val="20"/>
        </w:rPr>
        <w:t>the ZPE</w:t>
      </w:r>
      <w:r w:rsidRPr="007F73AB">
        <w:rPr>
          <w:sz w:val="20"/>
        </w:rPr>
        <w:t xml:space="preserve">, all matter in the cosmos would collapse. </w:t>
      </w:r>
      <w:proofErr w:type="gramStart"/>
      <w:r w:rsidRPr="007F73AB">
        <w:rPr>
          <w:sz w:val="20"/>
        </w:rPr>
        <w:t xml:space="preserve">Articles in </w:t>
      </w:r>
      <w:r w:rsidR="008677B0">
        <w:rPr>
          <w:sz w:val="20"/>
        </w:rPr>
        <w:t>“</w:t>
      </w:r>
      <w:r w:rsidRPr="007F73AB">
        <w:rPr>
          <w:sz w:val="20"/>
        </w:rPr>
        <w:t>New Scientist</w:t>
      </w:r>
      <w:r w:rsidR="008677B0">
        <w:rPr>
          <w:sz w:val="20"/>
        </w:rPr>
        <w:t>”</w:t>
      </w:r>
      <w:r w:rsidRPr="007F73AB">
        <w:rPr>
          <w:sz w:val="20"/>
        </w:rPr>
        <w:t xml:space="preserve"> discussed this in July 1987 and July 1990 under the heading </w:t>
      </w:r>
      <w:r w:rsidRPr="007F73AB">
        <w:rPr>
          <w:i/>
          <w:iCs/>
          <w:sz w:val="20"/>
        </w:rPr>
        <w:t>“Why atoms don’t collapse.”</w:t>
      </w:r>
      <w:proofErr w:type="gramEnd"/>
      <w:r w:rsidRPr="007F73AB">
        <w:rPr>
          <w:i/>
          <w:iCs/>
          <w:sz w:val="20"/>
        </w:rPr>
        <w:t xml:space="preserve"> </w:t>
      </w:r>
    </w:p>
    <w:p w:rsidR="00EE535C" w:rsidRPr="007F73AB" w:rsidRDefault="00EE535C" w:rsidP="00EE535C">
      <w:pPr>
        <w:pStyle w:val="NormPara"/>
        <w:ind w:firstLine="270"/>
        <w:rPr>
          <w:i/>
          <w:iCs/>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Puthoff’s equations also demonstrate that the ZPE controls the angular momentum in atomic orbits. This appears in the equation of angular momentum as the </w:t>
      </w:r>
      <w:proofErr w:type="gramStart"/>
      <w:r w:rsidRPr="007F73AB">
        <w:rPr>
          <w:rFonts w:ascii="Book Antiqua" w:hAnsi="Book Antiqua"/>
          <w:sz w:val="20"/>
        </w:rPr>
        <w:t xml:space="preserve">quantity </w:t>
      </w:r>
      <m:oMath>
        <w:proofErr w:type="gramEnd"/>
        <m:r>
          <w:rPr>
            <w:rFonts w:ascii="Cambria Math" w:hAnsi="Cambria Math"/>
            <w:sz w:val="18"/>
            <w:szCs w:val="18"/>
          </w:rPr>
          <m:t>h</m:t>
        </m:r>
      </m:oMath>
      <w:r w:rsidRPr="007F73AB">
        <w:rPr>
          <w:rFonts w:ascii="Book Antiqua" w:hAnsi="Book Antiqua"/>
          <w:sz w:val="20"/>
        </w:rPr>
        <w:t xml:space="preserve">, or Planck’s constant. As the ZPE strength increases with time, so, too, does the numerical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and with it the angular momentum of every atomic orbit. This means that atomic orbits gain energy as the ZPE strength increases. However, it has been long established that electron orbits resist changes until a threshold of energy has been passed.  What is happening is that the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of the electron is steadily increasing as the ZPE strength increases. Since the kinetic energy of the electron is conserved with these changes, and since this energy is equal to</w:t>
      </w:r>
      <m:oMath>
        <m:r>
          <w:rPr>
            <w:rFonts w:ascii="Cambria Math" w:hAnsi="Book Antiqua"/>
            <w:sz w:val="18"/>
            <w:szCs w:val="18"/>
          </w:rPr>
          <m:t xml:space="preserve"> </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this means that the velocity of the electron in its orbit must decrease. The velocity of the electron decreases until it is too slow to stay in orbit. It then falls</w:t>
      </w:r>
      <w:r w:rsidRPr="007F73AB">
        <w:rPr>
          <w:rFonts w:ascii="Book Antiqua" w:hAnsi="Book Antiqua"/>
          <w:color w:val="000000"/>
          <w:sz w:val="20"/>
        </w:rPr>
        <w:t xml:space="preserve"> towards the nucleus because of electrostatic attraction. This attraction results in an increased acceleration which means that it picks up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As its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xml:space="preserve">, increases, since it now has a greater mass, </w:t>
      </w:r>
      <m:oMath>
        <m:r>
          <w:rPr>
            <w:rFonts w:ascii="Cambria Math" w:hAnsi="Cambria Math" w:cs="Courier New"/>
            <w:color w:val="000000"/>
            <w:sz w:val="18"/>
            <w:szCs w:val="18"/>
          </w:rPr>
          <m:t>m</m:t>
        </m:r>
      </m:oMath>
      <w:r w:rsidRPr="007F73AB">
        <w:rPr>
          <w:rFonts w:ascii="Book Antiqua" w:hAnsi="Book Antiqua"/>
          <w:color w:val="000000"/>
          <w:sz w:val="20"/>
        </w:rPr>
        <w:t xml:space="preserve">, and greater value for </w:t>
      </w:r>
      <m:oMath>
        <m:r>
          <w:rPr>
            <w:rFonts w:ascii="Cambria Math" w:hAnsi="Cambria Math" w:cs="Courier New"/>
            <w:color w:val="000000"/>
            <w:sz w:val="18"/>
            <w:szCs w:val="18"/>
          </w:rPr>
          <m:t>h</m:t>
        </m:r>
      </m:oMath>
      <w:r w:rsidRPr="007F73AB">
        <w:rPr>
          <w:rFonts w:ascii="Book Antiqua" w:hAnsi="Book Antiqua"/>
          <w:color w:val="000000"/>
          <w:sz w:val="20"/>
        </w:rPr>
        <w:t>, it now has more energy than in its previous orbit. For this reason, the ZPE must build up to a certain level to force the electron to go to an orbit</w:t>
      </w:r>
      <w:r w:rsidRPr="007F73AB">
        <w:rPr>
          <w:rFonts w:ascii="Book Antiqua" w:hAnsi="Book Antiqua"/>
          <w:sz w:val="20"/>
        </w:rPr>
        <w:t xml:space="preserve"> with numerically higher energy. Because the ZPE is the same throughout the universe, all atoms will jump to a higher energy state at the same time.  Since the </w:t>
      </w:r>
      <w:r w:rsidR="00AE6E0F">
        <w:rPr>
          <w:rFonts w:ascii="Book Antiqua" w:hAnsi="Book Antiqua"/>
          <w:sz w:val="20"/>
        </w:rPr>
        <w:t xml:space="preserve">electron orbitals in </w:t>
      </w:r>
      <w:r w:rsidRPr="007F73AB">
        <w:rPr>
          <w:rFonts w:ascii="Book Antiqua" w:hAnsi="Book Antiqua"/>
          <w:sz w:val="20"/>
        </w:rPr>
        <w:t xml:space="preserve">atoms do not change gradually, along with the ZPE, but resist change until a jump is forced upon them, we refer to these specific energy values as being “quantized.”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Any atom of any element can emit light.  Visible light is a small part of the entire electromagnetic spectrum.  The wavelengths go from ‘long and lazy’ to very short and very energetic.  In the color spectrum, the red end has the longer and less energetic wavelengths while the blue end has the shorter and more energetic wavelengths.  An atom emits light when an electron is forced out of its proper place in regard to the nucleus and then snaps back into that place.  The energy it took to force it out is released when it snaps back – and it is released</w:t>
      </w:r>
      <w:r w:rsidR="008677B0">
        <w:rPr>
          <w:rFonts w:ascii="Book Antiqua" w:hAnsi="Book Antiqua"/>
          <w:sz w:val="20"/>
        </w:rPr>
        <w:t>,</w:t>
      </w:r>
      <w:r w:rsidRPr="007F73AB">
        <w:rPr>
          <w:rFonts w:ascii="Book Antiqua" w:hAnsi="Book Antiqua"/>
          <w:sz w:val="20"/>
        </w:rPr>
        <w:t xml:space="preserve"> or emitted</w:t>
      </w:r>
      <w:r w:rsidR="008677B0">
        <w:rPr>
          <w:rFonts w:ascii="Book Antiqua" w:hAnsi="Book Antiqua"/>
          <w:sz w:val="20"/>
        </w:rPr>
        <w:t>,</w:t>
      </w:r>
      <w:r w:rsidRPr="007F73AB">
        <w:rPr>
          <w:rFonts w:ascii="Book Antiqua" w:hAnsi="Book Antiqua"/>
          <w:sz w:val="20"/>
        </w:rPr>
        <w:t xml:space="preserve"> as a photon of light.  Light from any element can be identified because each element emits light with its own distinct signature. The emission results in a particular pattern of lines at specific places on the spectrum. For bright lines of specific colors, it is called an emission spectrum. For dark lines in the same position, it is </w:t>
      </w:r>
      <w:r w:rsidR="008677B0">
        <w:rPr>
          <w:rFonts w:ascii="Book Antiqua" w:hAnsi="Book Antiqua"/>
          <w:sz w:val="20"/>
        </w:rPr>
        <w:t xml:space="preserve">called </w:t>
      </w:r>
      <w:r w:rsidRPr="007F73AB">
        <w:rPr>
          <w:rFonts w:ascii="Book Antiqua" w:hAnsi="Book Antiqua"/>
          <w:sz w:val="20"/>
        </w:rPr>
        <w:t>an absorption spectrum. The result is something like the bar codes we see on products.  In the same way a bar code identifies the product, the series of bright (or dark) lines identifies the element which released the light.  This is how we know what elements are in stars. For example, the 'bar-codes' or 'spectral lines' of hydrogen, helium, mercury and uranium are illustrated in Figure 5. These are emission lines.</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lastRenderedPageBreak/>
        <w:drawing>
          <wp:inline distT="0" distB="0" distL="0" distR="0">
            <wp:extent cx="5190725" cy="3226446"/>
            <wp:effectExtent l="19050" t="0" r="0" b="0"/>
            <wp:docPr id="371"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5202838" cy="323397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b/>
          <w:i/>
          <w:sz w:val="18"/>
          <w:szCs w:val="18"/>
        </w:rPr>
      </w:pPr>
      <w:r w:rsidRPr="00262DE1">
        <w:rPr>
          <w:rFonts w:ascii="Book Antiqua" w:hAnsi="Book Antiqua"/>
          <w:b/>
          <w:i/>
          <w:sz w:val="18"/>
          <w:szCs w:val="18"/>
        </w:rPr>
        <w:t>Figure 5:</w:t>
      </w:r>
      <w:r w:rsidRPr="00F479C6">
        <w:rPr>
          <w:rFonts w:ascii="Book Antiqua" w:hAnsi="Book Antiqua"/>
          <w:i/>
          <w:sz w:val="18"/>
          <w:szCs w:val="18"/>
        </w:rPr>
        <w:t xml:space="preserve"> The characteristic spectral lines of hydrogen, helium, mercury and uranium (going from top to bottom). These are spectral lines in which an atom has emitted the light of a given wavelength. The corresponding black spectral lines for the same element occur at the same place in the rainbow spectrum, but are dark because the same atom has absorbed light of the same wavelength.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Here on earth there is a standard for each of the ‘bar codes’ produced by light from the various elements.  However, the farther out in space we go, the more these identifiable bar codes become shifted to the red end of the spectrum.  The same patterns exist, so we know what the elements are, but they are not at the ‘right’ place on the color spectrum. They are shifted towards the red end of the spectrum as shown in Figure 6 for absorption lines.</w:t>
      </w:r>
    </w:p>
    <w:p w:rsidR="00CE0014" w:rsidRDefault="00CE0014" w:rsidP="004D4E88">
      <w:pPr>
        <w:pStyle w:val="Els-body-text"/>
        <w:ind w:firstLine="720"/>
        <w:rPr>
          <w:rFonts w:ascii="Book Antiqua" w:hAnsi="Book Antiqua"/>
        </w:rPr>
      </w:pP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The standard explanation for this “redshift,” or longer wavelength for a given line, is that the universe is expanding at an ever-faster rate and so the result is a stretching out of the light waves.  Since the length </w:t>
      </w:r>
      <w:r w:rsidR="004D4E88" w:rsidRPr="007F73AB">
        <w:rPr>
          <w:rFonts w:ascii="Book Antiqua" w:hAnsi="Book Antiqua"/>
        </w:rPr>
        <w:t>of the waves determines the color they produce, the theory is that this stretching then produces longer and longer waves the farther out we see, and thus redder and redder shifts.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076825" cy="1200150"/>
            <wp:effectExtent l="19050" t="0" r="9525" b="0"/>
            <wp:docPr id="370"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flipH="1">
                      <a:off x="0" y="0"/>
                      <a:ext cx="5076825" cy="1200150"/>
                    </a:xfrm>
                    <a:prstGeom prst="rect">
                      <a:avLst/>
                    </a:prstGeom>
                    <a:noFill/>
                    <a:ln w="9525">
                      <a:noFill/>
                      <a:miter lim="800000"/>
                      <a:headEnd/>
                      <a:tailEnd/>
                    </a:ln>
                  </pic:spPr>
                </pic:pic>
              </a:graphicData>
            </a:graphic>
          </wp:inline>
        </w:drawing>
      </w:r>
    </w:p>
    <w:p w:rsidR="00EE535C" w:rsidRPr="007F73AB" w:rsidRDefault="00EE535C" w:rsidP="00EE535C">
      <w:pPr>
        <w:pStyle w:val="NoSpacing"/>
        <w:rPr>
          <w:rFonts w:ascii="Book Antiqua" w:hAnsi="Book Antiqua"/>
          <w:sz w:val="20"/>
        </w:rPr>
      </w:pPr>
    </w:p>
    <w:p w:rsidR="00EE535C" w:rsidRPr="00F479C6" w:rsidRDefault="00EE535C" w:rsidP="00694908">
      <w:pPr>
        <w:pStyle w:val="NoSpacing"/>
        <w:jc w:val="center"/>
        <w:rPr>
          <w:rFonts w:ascii="Book Antiqua" w:hAnsi="Book Antiqua"/>
          <w:i/>
          <w:sz w:val="18"/>
          <w:szCs w:val="18"/>
        </w:rPr>
      </w:pPr>
      <w:r w:rsidRPr="00262DE1">
        <w:rPr>
          <w:rFonts w:ascii="Book Antiqua" w:hAnsi="Book Antiqua"/>
          <w:b/>
          <w:i/>
          <w:sz w:val="18"/>
          <w:szCs w:val="18"/>
        </w:rPr>
        <w:t>Figure 6:</w:t>
      </w:r>
      <w:r w:rsidRPr="00F479C6">
        <w:rPr>
          <w:rFonts w:ascii="Book Antiqua" w:hAnsi="Book Antiqua"/>
          <w:i/>
          <w:sz w:val="18"/>
          <w:szCs w:val="18"/>
        </w:rPr>
        <w:t xml:space="preserve"> The shifting of spectral lines towards the red </w:t>
      </w:r>
      <w:r w:rsidR="00694908">
        <w:rPr>
          <w:rFonts w:ascii="Book Antiqua" w:hAnsi="Book Antiqua"/>
          <w:i/>
          <w:sz w:val="18"/>
          <w:szCs w:val="18"/>
        </w:rPr>
        <w:t xml:space="preserve">or long wavelength </w:t>
      </w:r>
      <w:r w:rsidRPr="00F479C6">
        <w:rPr>
          <w:rFonts w:ascii="Book Antiqua" w:hAnsi="Book Antiqua"/>
          <w:i/>
          <w:sz w:val="18"/>
          <w:szCs w:val="18"/>
        </w:rPr>
        <w:t>end of the spectrum</w:t>
      </w:r>
      <w:r w:rsidR="00AA6214">
        <w:rPr>
          <w:rFonts w:ascii="Book Antiqua" w:hAnsi="Book Antiqua"/>
          <w:i/>
          <w:sz w:val="18"/>
          <w:szCs w:val="18"/>
        </w:rPr>
        <w:t xml:space="preserve"> (right on this diagram)</w:t>
      </w:r>
      <w:r w:rsidRPr="00F479C6">
        <w:rPr>
          <w:rFonts w:ascii="Book Antiqua" w:hAnsi="Book Antiqua"/>
          <w:i/>
          <w:sz w:val="18"/>
          <w:szCs w:val="18"/>
        </w:rPr>
        <w:t xml:space="preserve"> is called the redshift.</w:t>
      </w:r>
    </w:p>
    <w:p w:rsidR="006919E5" w:rsidRPr="007F73AB" w:rsidRDefault="006919E5" w:rsidP="00EE535C">
      <w:pPr>
        <w:pStyle w:val="NoSpacing"/>
        <w:rPr>
          <w:rFonts w:ascii="Book Antiqua" w:hAnsi="Book Antiqua"/>
          <w:sz w:val="18"/>
          <w:szCs w:val="18"/>
        </w:rPr>
      </w:pPr>
    </w:p>
    <w:p w:rsidR="00EE535C" w:rsidRPr="007F73AB" w:rsidRDefault="00EE535C" w:rsidP="004D4E88">
      <w:pPr>
        <w:pStyle w:val="NoSpacing"/>
        <w:jc w:val="both"/>
        <w:rPr>
          <w:rFonts w:ascii="Book Antiqua" w:hAnsi="Book Antiqua"/>
          <w:sz w:val="20"/>
        </w:rPr>
      </w:pPr>
      <w:r w:rsidRPr="007F73AB">
        <w:rPr>
          <w:rFonts w:ascii="Book Antiqua" w:hAnsi="Book Antiqua"/>
          <w:sz w:val="20"/>
        </w:rPr>
        <w:t xml:space="preserve">.  </w:t>
      </w:r>
      <w:r w:rsidR="004D4E88" w:rsidRPr="007F73AB">
        <w:rPr>
          <w:rFonts w:ascii="Book Antiqua" w:hAnsi="Book Antiqua"/>
          <w:sz w:val="20"/>
        </w:rPr>
        <w:tab/>
      </w:r>
      <w:r w:rsidRPr="007F73AB">
        <w:rPr>
          <w:rFonts w:ascii="Book Antiqua" w:hAnsi="Book Antiqua"/>
          <w:sz w:val="20"/>
        </w:rPr>
        <w:t>There are problems with this theory.  If the fabric of space itself were stretching, thus lengthening out the light waves themselves, as shown in Figure 7, then the black lines</w:t>
      </w:r>
      <w:r w:rsidR="00CE0014">
        <w:rPr>
          <w:rFonts w:ascii="Book Antiqua" w:hAnsi="Book Antiqua"/>
          <w:sz w:val="20"/>
        </w:rPr>
        <w:t xml:space="preserve"> (or bright lines)</w:t>
      </w:r>
      <w:r w:rsidRPr="007F73AB">
        <w:rPr>
          <w:rFonts w:ascii="Book Antiqua" w:hAnsi="Book Antiqua"/>
          <w:sz w:val="20"/>
        </w:rPr>
        <w:t xml:space="preserve"> in the ‘bar codes’ should also become wider and perhaps fuzzier in appearance.  This does not happen; the</w:t>
      </w:r>
      <w:r w:rsidR="00CE0014">
        <w:rPr>
          <w:rFonts w:ascii="Book Antiqua" w:hAnsi="Book Antiqua"/>
          <w:sz w:val="20"/>
        </w:rPr>
        <w:t>se</w:t>
      </w:r>
      <w:r w:rsidRPr="007F73AB">
        <w:rPr>
          <w:rFonts w:ascii="Book Antiqua" w:hAnsi="Book Antiqua"/>
          <w:sz w:val="20"/>
        </w:rPr>
        <w:t xml:space="preserve"> lines remain thin and sharp regardless of distance.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lastRenderedPageBreak/>
        <w:drawing>
          <wp:inline distT="0" distB="0" distL="0" distR="0">
            <wp:extent cx="3733800" cy="2257425"/>
            <wp:effectExtent l="19050" t="0" r="0" b="0"/>
            <wp:docPr id="409"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a:stretch>
                      <a:fillRect/>
                    </a:stretch>
                  </pic:blipFill>
                  <pic:spPr bwMode="auto">
                    <a:xfrm>
                      <a:off x="0" y="0"/>
                      <a:ext cx="3733800" cy="225742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i/>
          <w:sz w:val="20"/>
        </w:rPr>
      </w:pPr>
      <w:r w:rsidRPr="00262DE1">
        <w:rPr>
          <w:rFonts w:ascii="Book Antiqua" w:hAnsi="Book Antiqua"/>
          <w:b/>
          <w:i/>
          <w:sz w:val="18"/>
          <w:szCs w:val="18"/>
        </w:rPr>
        <w:t>Figure 7:</w:t>
      </w:r>
      <w:r w:rsidRPr="00F479C6">
        <w:rPr>
          <w:rFonts w:ascii="Book Antiqua" w:hAnsi="Book Antiqua"/>
          <w:i/>
          <w:sz w:val="18"/>
          <w:szCs w:val="18"/>
        </w:rPr>
        <w:t xml:space="preserve"> In the top diagram, a wave is drawn on a piece of unstretched elastic fabric. Then in the bottom diagram, the fabric is stretched. As it does so, the wavelength is stretched proportionally. This is how it is proposed that expanding the fabric of space causes the redshift. The problem is that this would also broaden the </w:t>
      </w:r>
      <w:r w:rsidR="00C12558" w:rsidRPr="00F479C6">
        <w:rPr>
          <w:rFonts w:ascii="Book Antiqua" w:hAnsi="Book Antiqua"/>
          <w:i/>
          <w:sz w:val="18"/>
          <w:szCs w:val="18"/>
        </w:rPr>
        <w:t xml:space="preserve">elemental </w:t>
      </w:r>
      <w:r w:rsidRPr="00F479C6">
        <w:rPr>
          <w:rFonts w:ascii="Book Antiqua" w:hAnsi="Book Antiqua"/>
          <w:i/>
          <w:sz w:val="18"/>
          <w:szCs w:val="18"/>
        </w:rPr>
        <w:t xml:space="preserve">spectral lines </w:t>
      </w:r>
      <w:r w:rsidR="00C12558" w:rsidRPr="00F479C6">
        <w:rPr>
          <w:rFonts w:ascii="Book Antiqua" w:hAnsi="Book Antiqua"/>
          <w:i/>
          <w:sz w:val="18"/>
          <w:szCs w:val="18"/>
        </w:rPr>
        <w:t>(whether black or colored),</w:t>
      </w:r>
      <w:r w:rsidRPr="00F479C6">
        <w:rPr>
          <w:rFonts w:ascii="Book Antiqua" w:hAnsi="Book Antiqua"/>
          <w:i/>
          <w:sz w:val="18"/>
          <w:szCs w:val="18"/>
        </w:rPr>
        <w:t xml:space="preserve"> but they stay thin</w:t>
      </w:r>
      <w:r w:rsidRPr="00F479C6">
        <w:rPr>
          <w:rFonts w:ascii="Book Antiqua" w:hAnsi="Book Antiqua"/>
          <w:i/>
          <w:sz w:val="20"/>
        </w:rPr>
        <w:t>.</w:t>
      </w:r>
    </w:p>
    <w:p w:rsidR="00947595" w:rsidRPr="007F73AB" w:rsidRDefault="00947595" w:rsidP="00EE535C">
      <w:pPr>
        <w:pStyle w:val="NoSpacing"/>
        <w:ind w:firstLine="720"/>
        <w:jc w:val="both"/>
        <w:rPr>
          <w:rFonts w:ascii="Book Antiqua" w:hAnsi="Book Antiqua"/>
          <w:sz w:val="20"/>
        </w:rPr>
      </w:pPr>
    </w:p>
    <w:p w:rsidR="00CE0014" w:rsidRPr="007F73AB" w:rsidRDefault="00CE0014" w:rsidP="00CE0014">
      <w:pPr>
        <w:pStyle w:val="NoSpacing"/>
        <w:ind w:firstLine="720"/>
        <w:jc w:val="both"/>
        <w:rPr>
          <w:rFonts w:ascii="Book Antiqua" w:hAnsi="Book Antiqua"/>
          <w:sz w:val="20"/>
        </w:rPr>
      </w:pPr>
      <w:r w:rsidRPr="007F73AB">
        <w:rPr>
          <w:rFonts w:ascii="Book Antiqua" w:hAnsi="Book Antiqua"/>
          <w:sz w:val="20"/>
        </w:rPr>
        <w:t>In addition, if the redshift were due to the universe stretching, the measurements should show a smooth progression toward the red end of the spectrum.  But that is not what the astronomer William Tifft discovered. Others, who initially disagreed with him, later ended up supporting something he found:  the measurements of the redshift are quantized [13].  They come in groups, with jumps in between.  If we consider the reaction of atoms to an increasing ZPE, we can see why this happens.  It has nothing to do with any universal expansion at all. When the atom reacts to the change in the ZPE by shifting to a higher energy state for each orbit, the light it emits is more energetic (when electrons jump from one orbit to another), and hence bluer, than before. Therefore, as we go back in time to a lower ZPE strength, the light emitted from atoms would be redder or less energetic. Furthermore, this would occur in steps or be “quantized.” Astronomy sees precisely this phenomenon, a quantized redshift. Space would be expected to expand smoothly and uniformly, not in jumps. So the quantized redshift is further evidence against th</w:t>
      </w:r>
      <w:r w:rsidR="00C12558">
        <w:rPr>
          <w:rFonts w:ascii="Book Antiqua" w:hAnsi="Book Antiqua"/>
          <w:sz w:val="20"/>
        </w:rPr>
        <w:t>e standard</w:t>
      </w:r>
      <w:r w:rsidRPr="007F73AB">
        <w:rPr>
          <w:rFonts w:ascii="Book Antiqua" w:hAnsi="Book Antiqua"/>
          <w:sz w:val="20"/>
        </w:rPr>
        <w:t xml:space="preserve"> explanation.</w:t>
      </w:r>
    </w:p>
    <w:p w:rsidR="00CE0014" w:rsidRDefault="00CE0014"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other alternative explanation of the redshift is that it is due to a Doppler effect of the galaxies themselves racing away from each other. The further away a galaxy is, the faster it is moving away from us. The effect is shown in Fig. 8.</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625419" cy="1275550"/>
            <wp:effectExtent l="19050" t="0" r="0" b="0"/>
            <wp:docPr id="408" name="il_fi" descr="http://astro.unl.edu/naap/esp/graphics/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unl.edu/naap/esp/graphics/doppler.png"/>
                    <pic:cNvPicPr>
                      <a:picLocks noChangeAspect="1" noChangeArrowheads="1"/>
                    </pic:cNvPicPr>
                  </pic:nvPicPr>
                  <pic:blipFill>
                    <a:blip r:embed="rId19" cstate="print"/>
                    <a:srcRect/>
                    <a:stretch>
                      <a:fillRect/>
                    </a:stretch>
                  </pic:blipFill>
                  <pic:spPr bwMode="auto">
                    <a:xfrm>
                      <a:off x="0" y="0"/>
                      <a:ext cx="5648135" cy="1280701"/>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8:</w:t>
      </w:r>
      <w:r w:rsidRPr="00F479C6">
        <w:rPr>
          <w:rFonts w:ascii="Book Antiqua" w:hAnsi="Book Antiqua"/>
          <w:i/>
          <w:sz w:val="18"/>
          <w:szCs w:val="18"/>
        </w:rPr>
        <w:t xml:space="preserve"> The Doppler </w:t>
      </w:r>
      <w:proofErr w:type="gramStart"/>
      <w:r w:rsidRPr="00F479C6">
        <w:rPr>
          <w:rFonts w:ascii="Book Antiqua" w:hAnsi="Book Antiqua"/>
          <w:i/>
          <w:sz w:val="18"/>
          <w:szCs w:val="18"/>
        </w:rPr>
        <w:t>effect</w:t>
      </w:r>
      <w:proofErr w:type="gramEnd"/>
      <w:r w:rsidRPr="00F479C6">
        <w:rPr>
          <w:rFonts w:ascii="Book Antiqua" w:hAnsi="Book Antiqua"/>
          <w:i/>
          <w:sz w:val="18"/>
          <w:szCs w:val="18"/>
        </w:rPr>
        <w:t>. Light waves coming forward from a moving source ‘bunch up’ ahead of it and are shortened. Light waves moving back from the source trail out behind and are lengthened - giving a redshift.</w:t>
      </w:r>
    </w:p>
    <w:p w:rsidR="00EE535C" w:rsidRPr="007F73AB" w:rsidRDefault="00EE535C" w:rsidP="00EE535C">
      <w:pPr>
        <w:pStyle w:val="NoSpacing"/>
        <w:jc w:val="both"/>
        <w:rPr>
          <w:rFonts w:ascii="Book Antiqua" w:hAnsi="Book Antiqua"/>
          <w:sz w:val="20"/>
        </w:rPr>
      </w:pPr>
      <w:r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In considering the validity of the Doppler shift proposal, Tifft also pointed out that the quantum jump in the redshift sometimes went right through individual galaxies</w:t>
      </w:r>
      <w:r w:rsidR="00A604C4">
        <w:rPr>
          <w:rFonts w:ascii="Book Antiqua" w:hAnsi="Book Antiqua"/>
          <w:sz w:val="20"/>
        </w:rPr>
        <w:t xml:space="preserve"> [14-16]</w:t>
      </w:r>
      <w:r w:rsidRPr="007F73AB">
        <w:rPr>
          <w:rFonts w:ascii="Book Antiqua" w:hAnsi="Book Antiqua"/>
          <w:sz w:val="20"/>
        </w:rPr>
        <w:t xml:space="preserve">. But a jump in redshift is </w:t>
      </w:r>
      <w:r w:rsidR="00B82CBB">
        <w:rPr>
          <w:rFonts w:ascii="Book Antiqua" w:hAnsi="Book Antiqua"/>
          <w:sz w:val="20"/>
        </w:rPr>
        <w:t xml:space="preserve">often considered to be </w:t>
      </w:r>
      <w:r w:rsidRPr="007F73AB">
        <w:rPr>
          <w:rFonts w:ascii="Book Antiqua" w:hAnsi="Book Antiqua"/>
          <w:sz w:val="20"/>
        </w:rPr>
        <w:t xml:space="preserve">a jump in speed away from the observer. So in these cases where the redshift jump goes through the middle of a galaxy, </w:t>
      </w:r>
      <w:r w:rsidR="00810634">
        <w:rPr>
          <w:rFonts w:ascii="Book Antiqua" w:hAnsi="Book Antiqua"/>
          <w:sz w:val="20"/>
        </w:rPr>
        <w:t>any</w:t>
      </w:r>
      <w:r w:rsidRPr="007F73AB">
        <w:rPr>
          <w:rFonts w:ascii="Book Antiqua" w:hAnsi="Book Antiqua"/>
          <w:sz w:val="20"/>
        </w:rPr>
        <w:t xml:space="preserve"> change in speed between the two halves of the galaxy would tear the galaxy apart</w:t>
      </w:r>
      <w:r w:rsidR="00D27351">
        <w:rPr>
          <w:rFonts w:ascii="Book Antiqua" w:hAnsi="Book Antiqua"/>
          <w:sz w:val="20"/>
        </w:rPr>
        <w:t>. There is no</w:t>
      </w:r>
      <w:r w:rsidRPr="007F73AB">
        <w:rPr>
          <w:rFonts w:ascii="Book Antiqua" w:hAnsi="Book Antiqua"/>
          <w:sz w:val="20"/>
        </w:rPr>
        <w:t xml:space="preserve"> evidence of disruption</w:t>
      </w:r>
      <w:r w:rsidR="00D27351">
        <w:rPr>
          <w:rFonts w:ascii="Book Antiqua" w:hAnsi="Book Antiqua"/>
          <w:sz w:val="20"/>
        </w:rPr>
        <w:t xml:space="preserve"> occurring in those galaxies</w:t>
      </w:r>
      <w:r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addition, if the redshift was </w:t>
      </w:r>
      <w:r w:rsidR="00810634">
        <w:rPr>
          <w:rFonts w:ascii="Book Antiqua" w:hAnsi="Book Antiqua"/>
          <w:sz w:val="20"/>
        </w:rPr>
        <w:t xml:space="preserve">due to the </w:t>
      </w:r>
      <w:r w:rsidRPr="007F73AB">
        <w:rPr>
          <w:rFonts w:ascii="Book Antiqua" w:hAnsi="Book Antiqua"/>
          <w:sz w:val="20"/>
        </w:rPr>
        <w:t xml:space="preserve">Doppler effect of galaxies moving away from each other, then that means that motion of the galaxies would also have to be quantized. This means that galaxy motions would be like cars moving down a highway only at multiples of, say, 10 miles per hour. In other words, even if the accelerator was flat to the boards, the car would only travel at 10 mph, then 20, then 30, then 40, etc, and no other speed. This is impossible. </w:t>
      </w:r>
      <w:r w:rsidR="00810634">
        <w:rPr>
          <w:rFonts w:ascii="Book Antiqua" w:hAnsi="Book Antiqua"/>
          <w:sz w:val="20"/>
        </w:rPr>
        <w:t>T</w:t>
      </w:r>
      <w:r w:rsidRPr="007F73AB">
        <w:rPr>
          <w:rFonts w:ascii="Book Antiqua" w:hAnsi="Book Antiqua"/>
          <w:sz w:val="20"/>
        </w:rPr>
        <w:t xml:space="preserve">he conclusion is that the redshift is not due to galaxy motion, space expansion or a Doppler effect. </w:t>
      </w:r>
      <w:r w:rsidR="00810634">
        <w:rPr>
          <w:rFonts w:ascii="Book Antiqua" w:hAnsi="Book Antiqua"/>
          <w:sz w:val="20"/>
        </w:rPr>
        <w:t>(</w:t>
      </w:r>
      <w:r w:rsidRPr="007F73AB">
        <w:rPr>
          <w:rFonts w:ascii="Book Antiqua" w:hAnsi="Book Antiqua"/>
          <w:sz w:val="20"/>
        </w:rPr>
        <w:t xml:space="preserve">Note that there are genuine Doppler effects. Appendix C </w:t>
      </w:r>
      <w:r w:rsidR="0063736F">
        <w:rPr>
          <w:rFonts w:ascii="Book Antiqua" w:hAnsi="Book Antiqua"/>
          <w:sz w:val="20"/>
        </w:rPr>
        <w:t>discusses these when the ZPE changes, and the effect</w:t>
      </w:r>
      <w:r w:rsidRPr="007F73AB">
        <w:rPr>
          <w:rFonts w:ascii="Book Antiqua" w:hAnsi="Book Antiqua"/>
          <w:sz w:val="20"/>
        </w:rPr>
        <w:t xml:space="preserve"> on the Doppler equation.</w:t>
      </w:r>
      <w:r w:rsidR="00810634">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There is one other observation of importance. Tifft noted that in some areas of the sky, the redshift of some galaxies in that region had actually reduced or got bluer by one quantum jump over a period of 15 years</w:t>
      </w:r>
      <w:r w:rsidR="00A604C4">
        <w:rPr>
          <w:rFonts w:ascii="Book Antiqua" w:hAnsi="Book Antiqua"/>
          <w:sz w:val="20"/>
        </w:rPr>
        <w:t xml:space="preserve"> [13]</w:t>
      </w:r>
      <w:r w:rsidRPr="007F73AB">
        <w:rPr>
          <w:rFonts w:ascii="Book Antiqua" w:hAnsi="Book Antiqua"/>
          <w:sz w:val="20"/>
        </w:rPr>
        <w:t>. This is impossible on an expanding universe proposition</w:t>
      </w:r>
      <w:r w:rsidR="009E42A4">
        <w:rPr>
          <w:rFonts w:ascii="Book Antiqua" w:hAnsi="Book Antiqua"/>
          <w:sz w:val="20"/>
        </w:rPr>
        <w:t>, and even more unlikely if the expansion of the cosmos is accelerating as some cosmologists claim</w:t>
      </w:r>
      <w:r w:rsidRPr="007F73AB">
        <w:rPr>
          <w:rFonts w:ascii="Book Antiqua" w:hAnsi="Book Antiqua"/>
          <w:sz w:val="20"/>
        </w:rPr>
        <w:t>. Even Arp’s explanation</w:t>
      </w:r>
      <w:r w:rsidR="009E42A4">
        <w:rPr>
          <w:rFonts w:ascii="Book Antiqua" w:hAnsi="Book Antiqua"/>
          <w:sz w:val="20"/>
        </w:rPr>
        <w:t xml:space="preserve"> of the redshift</w:t>
      </w:r>
      <w:r w:rsidRPr="007F73AB">
        <w:rPr>
          <w:rFonts w:ascii="Book Antiqua" w:hAnsi="Book Antiqua"/>
          <w:sz w:val="20"/>
        </w:rPr>
        <w:t xml:space="preserve"> did not anticipate this. However, it is just what would be expected if the redshift was due to a ZPE that was increasing with time from an initially low value back in the past at the inception of the cosmos.</w:t>
      </w:r>
      <w:r w:rsidR="0024097D">
        <w:rPr>
          <w:rFonts w:ascii="Book Antiqua" w:hAnsi="Book Antiqua"/>
          <w:sz w:val="20"/>
        </w:rPr>
        <w:t xml:space="preserve"> </w:t>
      </w:r>
      <w:r w:rsidR="00810634">
        <w:rPr>
          <w:rFonts w:ascii="Book Antiqua" w:hAnsi="Book Antiqua"/>
          <w:sz w:val="20"/>
        </w:rPr>
        <w:t>The</w:t>
      </w:r>
      <w:r w:rsidR="0024097D">
        <w:rPr>
          <w:rFonts w:ascii="Book Antiqua" w:hAnsi="Book Antiqua"/>
          <w:sz w:val="20"/>
        </w:rPr>
        <w:t xml:space="preserve"> </w:t>
      </w:r>
      <w:r w:rsidR="009E42A4">
        <w:rPr>
          <w:rFonts w:ascii="Book Antiqua" w:hAnsi="Book Antiqua"/>
          <w:sz w:val="20"/>
        </w:rPr>
        <w:t xml:space="preserve">ZPE </w:t>
      </w:r>
      <w:r w:rsidR="0024097D">
        <w:rPr>
          <w:rFonts w:ascii="Book Antiqua" w:hAnsi="Book Antiqua"/>
          <w:sz w:val="20"/>
        </w:rPr>
        <w:t>model predicts some redshifts will actually reduce by one quantum over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While other evidence is presented in Chapter 5, these </w:t>
      </w:r>
      <w:r w:rsidR="00810634">
        <w:rPr>
          <w:rFonts w:ascii="Book Antiqua" w:hAnsi="Book Antiqua"/>
          <w:sz w:val="20"/>
        </w:rPr>
        <w:t>observations</w:t>
      </w:r>
      <w:r w:rsidRPr="007F73AB">
        <w:rPr>
          <w:rFonts w:ascii="Book Antiqua" w:hAnsi="Book Antiqua"/>
          <w:sz w:val="20"/>
        </w:rPr>
        <w:t xml:space="preserve"> indicate that the redshift </w:t>
      </w:r>
      <w:r w:rsidR="00810634">
        <w:rPr>
          <w:rFonts w:ascii="Book Antiqua" w:hAnsi="Book Antiqua"/>
          <w:sz w:val="20"/>
        </w:rPr>
        <w:t>is probably</w:t>
      </w:r>
      <w:r w:rsidRPr="007F73AB">
        <w:rPr>
          <w:rFonts w:ascii="Book Antiqua" w:hAnsi="Book Antiqua"/>
          <w:sz w:val="20"/>
        </w:rPr>
        <w:t xml:space="preserve"> a measure of the strength of the ZPE</w:t>
      </w:r>
      <w:r w:rsidR="00810634">
        <w:rPr>
          <w:rFonts w:ascii="Book Antiqua" w:hAnsi="Book Antiqua"/>
          <w:sz w:val="20"/>
        </w:rPr>
        <w:t>;</w:t>
      </w:r>
      <w:r w:rsidRPr="007F73AB">
        <w:rPr>
          <w:rFonts w:ascii="Book Antiqua" w:hAnsi="Book Antiqua"/>
          <w:sz w:val="20"/>
        </w:rPr>
        <w:t xml:space="preserve"> </w:t>
      </w:r>
      <w:r w:rsidR="00810634">
        <w:rPr>
          <w:rFonts w:ascii="Book Antiqua" w:hAnsi="Book Antiqua"/>
          <w:sz w:val="20"/>
        </w:rPr>
        <w:t>t</w:t>
      </w:r>
      <w:r w:rsidRPr="007F73AB">
        <w:rPr>
          <w:rFonts w:ascii="Book Antiqua" w:hAnsi="Book Antiqua"/>
          <w:sz w:val="20"/>
        </w:rPr>
        <w:t xml:space="preserve">he lower the ZPE strength, the redder the light emitted by atoms. </w:t>
      </w:r>
      <w:r w:rsidR="00810634">
        <w:rPr>
          <w:rFonts w:ascii="Book Antiqua" w:hAnsi="Book Antiqua"/>
          <w:sz w:val="20"/>
        </w:rPr>
        <w:t>This means</w:t>
      </w:r>
      <w:r w:rsidRPr="007F73AB">
        <w:rPr>
          <w:rFonts w:ascii="Book Antiqua" w:hAnsi="Book Antiqua"/>
          <w:sz w:val="20"/>
        </w:rPr>
        <w:t xml:space="preserve"> the redshift of most astronomical objects gives us data on ZPE behavior back to the origin of the cosmos. This, then, allows us to accept the usual graph of astronomers of redshift against distance as describing the behavior of the ZPE with both time and distance.</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Plasma Physics and the Zero Point Energy</w:t>
      </w:r>
    </w:p>
    <w:p w:rsidR="00E070BB" w:rsidRDefault="00E070BB" w:rsidP="00E070BB">
      <w:pPr>
        <w:pStyle w:val="NoSpacing"/>
        <w:ind w:left="360"/>
        <w:jc w:val="both"/>
        <w:rPr>
          <w:rFonts w:ascii="Book Antiqua" w:hAnsi="Book Antiqua"/>
          <w:b/>
          <w:sz w:val="20"/>
        </w:rPr>
      </w:pPr>
    </w:p>
    <w:p w:rsidR="00E070BB" w:rsidRPr="007F73AB" w:rsidRDefault="00E070BB" w:rsidP="003454BA">
      <w:pPr>
        <w:pStyle w:val="NoSpacing"/>
        <w:ind w:firstLine="720"/>
        <w:jc w:val="both"/>
        <w:rPr>
          <w:rFonts w:ascii="Book Antiqua" w:hAnsi="Book Antiqua"/>
          <w:b/>
          <w:sz w:val="20"/>
        </w:rPr>
      </w:pPr>
      <w:r w:rsidRPr="007F73AB">
        <w:rPr>
          <w:rFonts w:ascii="Book Antiqua" w:hAnsi="Book Antiqua"/>
          <w:sz w:val="20"/>
        </w:rPr>
        <w:t xml:space="preserve">There are three states of matter that </w:t>
      </w:r>
      <w:r w:rsidR="0063736F">
        <w:rPr>
          <w:rFonts w:ascii="Book Antiqua" w:hAnsi="Book Antiqua"/>
          <w:sz w:val="20"/>
        </w:rPr>
        <w:t xml:space="preserve">most </w:t>
      </w:r>
      <w:r w:rsidRPr="007F73AB">
        <w:rPr>
          <w:rFonts w:ascii="Book Antiqua" w:hAnsi="Book Antiqua"/>
          <w:sz w:val="20"/>
        </w:rPr>
        <w:t>are familiar</w:t>
      </w:r>
      <w:r w:rsidR="0063736F">
        <w:rPr>
          <w:rFonts w:ascii="Book Antiqua" w:hAnsi="Book Antiqua"/>
          <w:sz w:val="20"/>
        </w:rPr>
        <w:t xml:space="preserve"> with</w:t>
      </w:r>
      <w:r w:rsidRPr="007F73AB">
        <w:rPr>
          <w:rFonts w:ascii="Book Antiqua" w:hAnsi="Book Antiqua"/>
          <w:sz w:val="20"/>
        </w:rPr>
        <w:t>:  solid, liquid and gas.  But a fourth state of matter</w:t>
      </w:r>
      <w:r w:rsidR="0063736F">
        <w:rPr>
          <w:rFonts w:ascii="Book Antiqua" w:hAnsi="Book Antiqua"/>
          <w:sz w:val="20"/>
        </w:rPr>
        <w:t xml:space="preserve"> also</w:t>
      </w:r>
      <w:r w:rsidRPr="007F73AB">
        <w:rPr>
          <w:rFonts w:ascii="Book Antiqua" w:hAnsi="Book Antiqua"/>
          <w:sz w:val="20"/>
        </w:rPr>
        <w:t xml:space="preserve"> </w:t>
      </w:r>
      <w:r w:rsidR="0063736F">
        <w:rPr>
          <w:rFonts w:ascii="Book Antiqua" w:hAnsi="Book Antiqua"/>
          <w:sz w:val="20"/>
        </w:rPr>
        <w:t>exists</w:t>
      </w:r>
      <w:r w:rsidRPr="007F73AB">
        <w:rPr>
          <w:rFonts w:ascii="Book Antiqua" w:hAnsi="Book Antiqua"/>
          <w:sz w:val="20"/>
        </w:rPr>
        <w:t xml:space="preserve">:  plasma.  </w:t>
      </w:r>
      <w:proofErr w:type="gramStart"/>
      <w:r w:rsidRPr="007F73AB">
        <w:rPr>
          <w:rFonts w:ascii="Book Antiqua" w:hAnsi="Book Antiqua"/>
          <w:sz w:val="20"/>
        </w:rPr>
        <w:t>A plasma</w:t>
      </w:r>
      <w:proofErr w:type="gramEnd"/>
      <w:r w:rsidRPr="007F73AB">
        <w:rPr>
          <w:rFonts w:ascii="Book Antiqua" w:hAnsi="Book Antiqua"/>
          <w:sz w:val="20"/>
        </w:rPr>
        <w:t xml:space="preserve"> is formed when one or more electrons are stripped off atoms in a gas.  An atom with too few electrons is an ion, and carries a positive charge.  The free electrons carry a negative charge. This is illustrated in Figure 9.</w:t>
      </w:r>
      <w:r w:rsidR="00810634">
        <w:rPr>
          <w:rFonts w:ascii="Book Antiqua" w:hAnsi="Book Antiqua"/>
          <w:sz w:val="20"/>
        </w:rPr>
        <w:t xml:space="preserve"> </w:t>
      </w:r>
    </w:p>
    <w:p w:rsidR="00EE535C" w:rsidRPr="007F73AB" w:rsidRDefault="00EE535C" w:rsidP="00EE535C">
      <w:pPr>
        <w:pStyle w:val="NoSpacing"/>
        <w:jc w:val="both"/>
        <w:rPr>
          <w:rFonts w:ascii="Book Antiqua" w:hAnsi="Book Antiqua"/>
          <w:b/>
          <w:sz w:val="20"/>
        </w:rPr>
      </w:pPr>
    </w:p>
    <w:p w:rsidR="00EE535C" w:rsidRPr="007F73AB" w:rsidRDefault="00D44329"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858160" cy="2604887"/>
            <wp:effectExtent l="19050" t="0" r="0" b="0"/>
            <wp:docPr id="1" name="Picture 1" descr="http://www.nasa.gov/images/content/147515main_phases_large.jpg"/>
            <wp:cNvGraphicFramePr/>
            <a:graphic xmlns:a="http://schemas.openxmlformats.org/drawingml/2006/main">
              <a:graphicData uri="http://schemas.openxmlformats.org/drawingml/2006/picture">
                <pic:pic xmlns:pic="http://schemas.openxmlformats.org/drawingml/2006/picture">
                  <pic:nvPicPr>
                    <pic:cNvPr id="109573" name="Picture 5" descr="http://www.nasa.gov/images/content/147515main_phases_large.jpg"/>
                    <pic:cNvPicPr>
                      <a:picLocks noChangeAspect="1" noChangeArrowheads="1"/>
                    </pic:cNvPicPr>
                  </pic:nvPicPr>
                  <pic:blipFill>
                    <a:blip r:embed="rId20" cstate="print"/>
                    <a:srcRect t="43875"/>
                    <a:stretch>
                      <a:fillRect/>
                    </a:stretch>
                  </pic:blipFill>
                  <pic:spPr bwMode="auto">
                    <a:xfrm>
                      <a:off x="0" y="0"/>
                      <a:ext cx="6871114" cy="2609807"/>
                    </a:xfrm>
                    <a:prstGeom prst="rect">
                      <a:avLst/>
                    </a:prstGeom>
                    <a:noFill/>
                  </pic:spPr>
                </pic:pic>
              </a:graphicData>
            </a:graphic>
          </wp:inline>
        </w:drawing>
      </w:r>
    </w:p>
    <w:p w:rsidR="00EE535C" w:rsidRPr="007F73AB" w:rsidRDefault="00EE535C" w:rsidP="00EE535C">
      <w:pPr>
        <w:pStyle w:val="NoSpacing"/>
        <w:ind w:firstLine="360"/>
        <w:jc w:val="both"/>
        <w:rPr>
          <w:rFonts w:ascii="Book Antiqua" w:hAnsi="Book Antiqua"/>
          <w:sz w:val="20"/>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9:</w:t>
      </w:r>
      <w:r w:rsidRPr="00F479C6">
        <w:rPr>
          <w:rFonts w:ascii="Book Antiqua" w:hAnsi="Book Antiqua"/>
          <w:i/>
          <w:sz w:val="18"/>
          <w:szCs w:val="18"/>
        </w:rPr>
        <w:t xml:space="preserve"> If either the available energy or the temperature increases, a substance will change from solid, to liquid to gas and then to plasma. In this sequence, water starts as solid ice, </w:t>
      </w:r>
      <w:proofErr w:type="gramStart"/>
      <w:r w:rsidRPr="00F479C6">
        <w:rPr>
          <w:rFonts w:ascii="Book Antiqua" w:hAnsi="Book Antiqua"/>
          <w:i/>
          <w:sz w:val="18"/>
          <w:szCs w:val="18"/>
        </w:rPr>
        <w:t>then</w:t>
      </w:r>
      <w:proofErr w:type="gramEnd"/>
      <w:r w:rsidRPr="00F479C6">
        <w:rPr>
          <w:rFonts w:ascii="Book Antiqua" w:hAnsi="Book Antiqua"/>
          <w:i/>
          <w:sz w:val="18"/>
          <w:szCs w:val="18"/>
        </w:rPr>
        <w:t xml:space="preserve"> becomes liquid water, then gaseous steam, and finally plasma, as electrons are stripped off </w:t>
      </w:r>
      <w:r w:rsidR="0063736F">
        <w:rPr>
          <w:rFonts w:ascii="Book Antiqua" w:hAnsi="Book Antiqua"/>
          <w:i/>
          <w:sz w:val="18"/>
          <w:szCs w:val="18"/>
        </w:rPr>
        <w:t xml:space="preserve">their </w:t>
      </w:r>
      <w:r w:rsidRPr="00F479C6">
        <w:rPr>
          <w:rFonts w:ascii="Book Antiqua" w:hAnsi="Book Antiqua"/>
          <w:i/>
          <w:sz w:val="18"/>
          <w:szCs w:val="18"/>
        </w:rPr>
        <w:t>atoms</w:t>
      </w:r>
      <w:r w:rsidR="0063736F">
        <w:rPr>
          <w:rFonts w:ascii="Book Antiqua" w:hAnsi="Book Antiqua"/>
          <w:i/>
          <w:sz w:val="18"/>
          <w:szCs w:val="18"/>
        </w:rPr>
        <w:t>.</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  When the positive ions or the negative electrons are in motion, they form electric currents.  Electric </w:t>
      </w:r>
      <w:r w:rsidR="009E0387">
        <w:rPr>
          <w:rFonts w:ascii="Book Antiqua" w:hAnsi="Book Antiqua"/>
          <w:sz w:val="20"/>
        </w:rPr>
        <w:t xml:space="preserve">currents come from moving charges, </w:t>
      </w:r>
      <w:r w:rsidR="00810634">
        <w:rPr>
          <w:rFonts w:ascii="Book Antiqua" w:hAnsi="Book Antiqua"/>
          <w:sz w:val="20"/>
        </w:rPr>
        <w:t>and all</w:t>
      </w:r>
      <w:r w:rsidR="009E0387">
        <w:rPr>
          <w:rFonts w:ascii="Book Antiqua" w:hAnsi="Book Antiqua"/>
          <w:sz w:val="20"/>
        </w:rPr>
        <w:t xml:space="preserve"> electric currents have circling magnetic fields</w:t>
      </w:r>
      <w:r w:rsidRPr="007F73AB">
        <w:rPr>
          <w:rFonts w:ascii="Book Antiqua" w:hAnsi="Book Antiqua"/>
          <w:sz w:val="20"/>
        </w:rPr>
        <w:t xml:space="preserve">.  </w:t>
      </w:r>
      <w:r w:rsidR="00810634">
        <w:rPr>
          <w:rFonts w:ascii="Book Antiqua" w:hAnsi="Book Antiqua"/>
          <w:sz w:val="20"/>
        </w:rPr>
        <w:t>An electric current does not require all the atoms involved to be ionized -- if only 1%</w:t>
      </w:r>
      <w:r w:rsidR="00810634" w:rsidRPr="007F73AB">
        <w:rPr>
          <w:rFonts w:ascii="Book Antiqua" w:hAnsi="Book Antiqua"/>
          <w:sz w:val="20"/>
        </w:rPr>
        <w:t xml:space="preserve"> of the atoms in a gas </w:t>
      </w:r>
      <w:r w:rsidR="00810634">
        <w:rPr>
          <w:rFonts w:ascii="Book Antiqua" w:hAnsi="Book Antiqua"/>
          <w:sz w:val="20"/>
        </w:rPr>
        <w:t>are</w:t>
      </w:r>
      <w:r w:rsidR="00810634" w:rsidRPr="007F73AB">
        <w:rPr>
          <w:rFonts w:ascii="Book Antiqua" w:hAnsi="Book Antiqua"/>
          <w:sz w:val="20"/>
        </w:rPr>
        <w:t xml:space="preserve"> ionized</w:t>
      </w:r>
      <w:r w:rsidR="00810634">
        <w:rPr>
          <w:rFonts w:ascii="Book Antiqua" w:hAnsi="Book Antiqua"/>
          <w:sz w:val="20"/>
        </w:rPr>
        <w:t>,</w:t>
      </w:r>
      <w:r w:rsidR="00810634" w:rsidRPr="007F73AB">
        <w:rPr>
          <w:rFonts w:ascii="Book Antiqua" w:hAnsi="Book Antiqua"/>
          <w:sz w:val="20"/>
        </w:rPr>
        <w:t xml:space="preserve"> the entire gas </w:t>
      </w:r>
      <w:r w:rsidR="00810634">
        <w:rPr>
          <w:rFonts w:ascii="Book Antiqua" w:hAnsi="Book Antiqua"/>
          <w:sz w:val="20"/>
        </w:rPr>
        <w:t>will</w:t>
      </w:r>
      <w:r w:rsidR="00810634" w:rsidRPr="007F73AB">
        <w:rPr>
          <w:rFonts w:ascii="Book Antiqua" w:hAnsi="Book Antiqua"/>
          <w:sz w:val="20"/>
        </w:rPr>
        <w:t xml:space="preserve"> behave as </w:t>
      </w:r>
      <w:proofErr w:type="gramStart"/>
      <w:r w:rsidR="00810634" w:rsidRPr="007F73AB">
        <w:rPr>
          <w:rFonts w:ascii="Book Antiqua" w:hAnsi="Book Antiqua"/>
          <w:sz w:val="20"/>
        </w:rPr>
        <w:t>a plasma</w:t>
      </w:r>
      <w:proofErr w:type="gramEnd"/>
      <w:r w:rsidR="00810634" w:rsidRPr="007F73AB">
        <w:rPr>
          <w:rFonts w:ascii="Book Antiqua" w:hAnsi="Book Antiqua"/>
          <w:sz w:val="20"/>
        </w:rPr>
        <w:t>.</w:t>
      </w:r>
    </w:p>
    <w:p w:rsidR="00B82CBB" w:rsidRDefault="00B82CBB"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lastRenderedPageBreak/>
        <w:t xml:space="preserve">Because of the confining magnetic fields, plasmas typically form either filaments or sheets.  They always have electric currents, magnetic fields and voltage differences associated with them. As a consequence of this, the behavior </w:t>
      </w:r>
      <w:proofErr w:type="gramStart"/>
      <w:r w:rsidRPr="007F73AB">
        <w:rPr>
          <w:rFonts w:ascii="Book Antiqua" w:hAnsi="Book Antiqua"/>
          <w:sz w:val="20"/>
        </w:rPr>
        <w:t>of  plasmas</w:t>
      </w:r>
      <w:proofErr w:type="gramEnd"/>
      <w:r w:rsidRPr="007F73AB">
        <w:rPr>
          <w:rFonts w:ascii="Book Antiqua" w:hAnsi="Book Antiqua"/>
          <w:sz w:val="20"/>
        </w:rPr>
        <w:t xml:space="preserve"> will be influenced by the strength of the ZPE. Because the ZPE strength controls the electromagnetic properties of the vacuum, a study is made in Chapter 6 of what would have happened electrically and magnetically with a lower ZPE in the past. The analysis shows that electric currents would be intrinsically stronger, voltages intrinsically greater and capacitances lower while resistances remain unchanged. These changes have some important consequences, particularly in the realm of plasma physics.</w:t>
      </w:r>
    </w:p>
    <w:p w:rsidR="00EE535C" w:rsidRPr="007F73AB" w:rsidRDefault="00EE535C" w:rsidP="00EE535C">
      <w:pPr>
        <w:pStyle w:val="NoSpacing"/>
        <w:jc w:val="both"/>
        <w:rPr>
          <w:rFonts w:ascii="Book Antiqua" w:hAnsi="Book Antiqua"/>
          <w:sz w:val="20"/>
        </w:rPr>
      </w:pPr>
    </w:p>
    <w:p w:rsidR="00630F65" w:rsidRPr="00521E54" w:rsidRDefault="00EE535C" w:rsidP="00630F65">
      <w:pPr>
        <w:pStyle w:val="NoSpacing"/>
        <w:rPr>
          <w:rFonts w:ascii="Book Antiqua" w:hAnsi="Book Antiqua"/>
          <w:sz w:val="20"/>
        </w:rPr>
      </w:pPr>
      <w:r w:rsidRPr="007F73AB">
        <w:rPr>
          <w:rFonts w:ascii="Book Antiqua" w:hAnsi="Book Antiqua"/>
          <w:sz w:val="20"/>
        </w:rPr>
        <w:t>Plasma physics has recently opened up new vistas in astronomy based on the interaction of electric and magnetic fields in plasma filaments and sheets [1</w:t>
      </w:r>
      <w:r w:rsidR="00A604C4">
        <w:rPr>
          <w:rFonts w:ascii="Book Antiqua" w:hAnsi="Book Antiqua"/>
          <w:sz w:val="20"/>
        </w:rPr>
        <w:t>7</w:t>
      </w:r>
      <w:r w:rsidRPr="007F73AB">
        <w:rPr>
          <w:rFonts w:ascii="Book Antiqua" w:hAnsi="Book Antiqua"/>
          <w:sz w:val="20"/>
        </w:rPr>
        <w:t xml:space="preserve">]. Experiments and simulations with plasma in the laboratory have shown that interacting plasma filaments will form, in miniature, the whole sequence of galaxy types that we see out in space (see Fig. 10). </w:t>
      </w:r>
      <w:r w:rsidR="00630F65" w:rsidRPr="00521E54">
        <w:rPr>
          <w:rFonts w:ascii="Book Antiqua" w:hAnsi="Book Antiqua"/>
          <w:sz w:val="20"/>
        </w:rPr>
        <w:t xml:space="preserve">Since plasma interactions scale in a manner proportional to size, these laboratory results can be upscaled to cosmic dimensions. </w:t>
      </w:r>
    </w:p>
    <w:p w:rsidR="00630F65" w:rsidRDefault="00630F65" w:rsidP="00630F65">
      <w:pPr>
        <w:pStyle w:val="NoSpacing"/>
        <w:ind w:firstLine="720"/>
        <w:jc w:val="both"/>
        <w:rPr>
          <w:rFonts w:ascii="Book Antiqua" w:hAnsi="Book Antiqua"/>
          <w:sz w:val="20"/>
        </w:rPr>
      </w:pPr>
    </w:p>
    <w:p w:rsidR="00630F65" w:rsidRDefault="00630F65" w:rsidP="00630F65">
      <w:pPr>
        <w:pStyle w:val="NoSpacing"/>
        <w:ind w:firstLine="720"/>
        <w:jc w:val="both"/>
        <w:rPr>
          <w:rFonts w:ascii="Book Antiqua" w:hAnsi="Book Antiqua"/>
          <w:sz w:val="20"/>
        </w:rPr>
      </w:pPr>
      <w:r w:rsidRPr="007F73AB">
        <w:rPr>
          <w:rFonts w:ascii="Book Antiqua" w:hAnsi="Book Antiqua"/>
          <w:sz w:val="20"/>
        </w:rPr>
        <w:t xml:space="preserve">Plasma filaments are extremely unstable.  Any disturbance in the magnetic field around them will cause them to twist, bend, or pinch.  An easy to see example of this is lightning. Lightning is </w:t>
      </w:r>
      <w:proofErr w:type="gramStart"/>
      <w:r w:rsidRPr="007F73AB">
        <w:rPr>
          <w:rFonts w:ascii="Book Antiqua" w:hAnsi="Book Antiqua"/>
          <w:sz w:val="20"/>
        </w:rPr>
        <w:t>a plasma</w:t>
      </w:r>
      <w:proofErr w:type="gramEnd"/>
      <w:r w:rsidRPr="007F73AB">
        <w:rPr>
          <w:rFonts w:ascii="Book Antiqua" w:hAnsi="Book Antiqua"/>
          <w:sz w:val="20"/>
        </w:rPr>
        <w:t xml:space="preserve"> and it can be seen forking, twisting, and occasionally even rolling.  </w:t>
      </w:r>
      <w:r w:rsidRPr="00521E54">
        <w:rPr>
          <w:rFonts w:ascii="Book Antiqua" w:hAnsi="Book Antiqua"/>
          <w:sz w:val="20"/>
        </w:rPr>
        <w:t xml:space="preserve">When a cosmic plasma filament pinches, a star </w:t>
      </w:r>
      <w:r>
        <w:rPr>
          <w:rFonts w:ascii="Book Antiqua" w:hAnsi="Book Antiqua"/>
          <w:sz w:val="20"/>
        </w:rPr>
        <w:t xml:space="preserve">can </w:t>
      </w:r>
      <w:r w:rsidRPr="00521E54">
        <w:rPr>
          <w:rFonts w:ascii="Book Antiqua" w:hAnsi="Book Antiqua"/>
          <w:sz w:val="20"/>
        </w:rPr>
        <w:t>form at the pinch.</w:t>
      </w:r>
      <w:r w:rsidRPr="007F73AB">
        <w:rPr>
          <w:rFonts w:ascii="Book Antiqua" w:hAnsi="Book Antiqua"/>
          <w:sz w:val="20"/>
        </w:rPr>
        <w:t xml:space="preserve">  This is seen in such formations as the Bug and Ant Nebulas (Figure 11).  Gravity is not ne</w:t>
      </w:r>
      <w:r w:rsidR="00C5469B">
        <w:rPr>
          <w:rFonts w:ascii="Book Antiqua" w:hAnsi="Book Antiqua"/>
          <w:sz w:val="20"/>
        </w:rPr>
        <w:t>eded in this case</w:t>
      </w:r>
      <w:r w:rsidRPr="007F73AB">
        <w:rPr>
          <w:rFonts w:ascii="Book Antiqua" w:hAnsi="Book Antiqua"/>
          <w:sz w:val="20"/>
        </w:rPr>
        <w:t>.</w:t>
      </w:r>
      <w:r>
        <w:rPr>
          <w:rFonts w:ascii="Book Antiqua" w:hAnsi="Book Antiqua"/>
          <w:sz w:val="20"/>
        </w:rPr>
        <w:t xml:space="preserve">  </w:t>
      </w:r>
      <w:r w:rsidRPr="007F73AB">
        <w:rPr>
          <w:rFonts w:ascii="Book Antiqua" w:hAnsi="Book Antiqua"/>
          <w:sz w:val="20"/>
        </w:rPr>
        <w:t>Chapter 6 discusses this</w:t>
      </w:r>
      <w:r>
        <w:rPr>
          <w:rFonts w:ascii="Book Antiqua" w:hAnsi="Book Antiqua"/>
          <w:sz w:val="20"/>
        </w:rPr>
        <w:t>.</w:t>
      </w:r>
    </w:p>
    <w:p w:rsidR="0063736F" w:rsidRPr="007F73AB" w:rsidRDefault="0063736F" w:rsidP="00630F65">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673744" cy="2958353"/>
            <wp:effectExtent l="19050" t="0" r="0" b="0"/>
            <wp:docPr id="418" name="il_fi" descr="http://www.thunderbolts.info/tpod/2004/images/040913plasma-gala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4/images/040913plasma-galaxy.jpg"/>
                    <pic:cNvPicPr>
                      <a:picLocks noChangeAspect="1" noChangeArrowheads="1"/>
                    </pic:cNvPicPr>
                  </pic:nvPicPr>
                  <pic:blipFill>
                    <a:blip r:embed="rId21" cstate="print"/>
                    <a:srcRect t="63068" r="1587"/>
                    <a:stretch>
                      <a:fillRect/>
                    </a:stretch>
                  </pic:blipFill>
                  <pic:spPr bwMode="auto">
                    <a:xfrm>
                      <a:off x="0" y="0"/>
                      <a:ext cx="6676723" cy="2959674"/>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sz w:val="18"/>
          <w:szCs w:val="18"/>
        </w:rPr>
      </w:pPr>
      <w:r w:rsidRPr="00262DE1">
        <w:rPr>
          <w:rFonts w:ascii="Book Antiqua" w:hAnsi="Book Antiqua"/>
          <w:b/>
          <w:i/>
          <w:sz w:val="18"/>
          <w:szCs w:val="18"/>
        </w:rPr>
        <w:t>Figure 10:</w:t>
      </w:r>
      <w:r w:rsidRPr="00F479C6">
        <w:rPr>
          <w:rFonts w:ascii="Book Antiqua" w:hAnsi="Book Antiqua"/>
          <w:i/>
          <w:sz w:val="18"/>
          <w:szCs w:val="18"/>
        </w:rPr>
        <w:t xml:space="preserve"> The formation of miniature galaxies in the lab by two interacting plasma filaments. In this set of illustrations we are looking down the long axis of the filaments</w:t>
      </w:r>
      <w:r w:rsidR="005E236E" w:rsidRPr="00F479C6">
        <w:rPr>
          <w:rFonts w:ascii="Book Antiqua" w:hAnsi="Book Antiqua"/>
          <w:i/>
          <w:sz w:val="18"/>
          <w:szCs w:val="18"/>
        </w:rPr>
        <w:t xml:space="preserve"> at the point where the two filaments interact</w:t>
      </w:r>
      <w:r w:rsidRPr="00F479C6">
        <w:rPr>
          <w:rFonts w:ascii="Book Antiqua" w:hAnsi="Book Antiqua"/>
          <w:i/>
          <w:sz w:val="18"/>
          <w:szCs w:val="18"/>
        </w:rPr>
        <w:t>. Experiments used up to 12 interacting filaments</w:t>
      </w:r>
      <w:r w:rsidRPr="007F73AB">
        <w:rPr>
          <w:rFonts w:ascii="Book Antiqua" w:hAnsi="Book Antiqua"/>
          <w:sz w:val="18"/>
          <w:szCs w:val="18"/>
        </w:rPr>
        <w:t>.</w:t>
      </w:r>
    </w:p>
    <w:p w:rsidR="00521E54" w:rsidRDefault="00521E54" w:rsidP="00893B02">
      <w:pPr>
        <w:pStyle w:val="NoSpacing"/>
        <w:ind w:firstLine="720"/>
        <w:jc w:val="both"/>
        <w:rPr>
          <w:rFonts w:ascii="Book Antiqua" w:hAnsi="Book Antiqua"/>
          <w:sz w:val="20"/>
        </w:rPr>
      </w:pPr>
    </w:p>
    <w:p w:rsidR="00C5469B" w:rsidRDefault="00C5469B" w:rsidP="00C5469B">
      <w:pPr>
        <w:pStyle w:val="NoSpacing"/>
        <w:ind w:firstLine="720"/>
        <w:jc w:val="both"/>
        <w:rPr>
          <w:rFonts w:ascii="Book Antiqua" w:hAnsi="Book Antiqua"/>
          <w:sz w:val="20"/>
        </w:rPr>
      </w:pPr>
      <w:r>
        <w:rPr>
          <w:rFonts w:ascii="Book Antiqua" w:hAnsi="Book Antiqua"/>
          <w:sz w:val="20"/>
        </w:rPr>
        <w:t>Both g</w:t>
      </w:r>
      <w:r w:rsidRPr="007F73AB">
        <w:rPr>
          <w:rFonts w:ascii="Book Antiqua" w:hAnsi="Book Antiqua"/>
          <w:sz w:val="20"/>
        </w:rPr>
        <w:t>ravitationally based astronomy</w:t>
      </w:r>
      <w:r>
        <w:rPr>
          <w:rFonts w:ascii="Book Antiqua" w:hAnsi="Book Antiqua"/>
          <w:sz w:val="20"/>
        </w:rPr>
        <w:t xml:space="preserve"> and</w:t>
      </w:r>
      <w:r w:rsidRPr="007F73AB">
        <w:rPr>
          <w:rFonts w:ascii="Book Antiqua" w:hAnsi="Book Antiqua"/>
          <w:sz w:val="20"/>
        </w:rPr>
        <w:t xml:space="preserve"> plasma physics consider the universe to have begun as </w:t>
      </w:r>
      <w:proofErr w:type="gramStart"/>
      <w:r w:rsidRPr="007F73AB">
        <w:rPr>
          <w:rFonts w:ascii="Book Antiqua" w:hAnsi="Book Antiqua"/>
          <w:sz w:val="20"/>
        </w:rPr>
        <w:t>a plasma</w:t>
      </w:r>
      <w:proofErr w:type="gramEnd"/>
      <w:r w:rsidRPr="007F73AB">
        <w:rPr>
          <w:rFonts w:ascii="Book Antiqua" w:hAnsi="Book Antiqua"/>
          <w:sz w:val="20"/>
        </w:rPr>
        <w:t xml:space="preserve">.  Gravitational physics then </w:t>
      </w:r>
      <w:r>
        <w:rPr>
          <w:rFonts w:ascii="Book Antiqua" w:hAnsi="Book Antiqua"/>
          <w:sz w:val="20"/>
        </w:rPr>
        <w:t>postulates</w:t>
      </w:r>
      <w:r w:rsidRPr="007F73AB">
        <w:rPr>
          <w:rFonts w:ascii="Book Antiqua" w:hAnsi="Book Antiqua"/>
          <w:sz w:val="20"/>
        </w:rPr>
        <w:t xml:space="preserve"> this plasma </w:t>
      </w:r>
      <w:r>
        <w:rPr>
          <w:rFonts w:ascii="Book Antiqua" w:hAnsi="Book Antiqua"/>
          <w:sz w:val="20"/>
        </w:rPr>
        <w:t>cooled</w:t>
      </w:r>
      <w:r w:rsidRPr="007F73AB">
        <w:rPr>
          <w:rFonts w:ascii="Book Antiqua" w:hAnsi="Book Antiqua"/>
          <w:sz w:val="20"/>
        </w:rPr>
        <w:t xml:space="preserve"> so that neutral atoms form, after which gravity </w:t>
      </w:r>
      <w:r>
        <w:rPr>
          <w:rFonts w:ascii="Book Antiqua" w:hAnsi="Book Antiqua"/>
          <w:sz w:val="20"/>
        </w:rPr>
        <w:t>acted</w:t>
      </w:r>
      <w:r w:rsidRPr="007F73AB">
        <w:rPr>
          <w:rFonts w:ascii="Book Antiqua" w:hAnsi="Book Antiqua"/>
          <w:sz w:val="20"/>
        </w:rPr>
        <w:t xml:space="preserve"> on </w:t>
      </w:r>
      <w:r>
        <w:rPr>
          <w:rFonts w:ascii="Book Antiqua" w:hAnsi="Book Antiqua"/>
          <w:sz w:val="20"/>
        </w:rPr>
        <w:t xml:space="preserve">the atoms </w:t>
      </w:r>
      <w:r w:rsidRPr="007F73AB">
        <w:rPr>
          <w:rFonts w:ascii="Book Antiqua" w:hAnsi="Book Antiqua"/>
          <w:sz w:val="20"/>
        </w:rPr>
        <w:t xml:space="preserve">to form galaxies, stars and planets over long eons of time. Gravitational astronomy has difficulty in accounting for the fact that fully formed galaxies involved in massive star-formation episodes are present at the most distant reaches of the universe, and therefore remarkably soon after the inception of the cosmos. </w:t>
      </w:r>
    </w:p>
    <w:p w:rsidR="006919E5" w:rsidRPr="007F73AB" w:rsidRDefault="006919E5" w:rsidP="00EE535C">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6"/>
        <w:gridCol w:w="5346"/>
      </w:tblGrid>
      <w:tr w:rsidR="00EE535C" w:rsidRPr="007F73AB" w:rsidTr="0063736F">
        <w:trPr>
          <w:jc w:val="center"/>
        </w:trPr>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lastRenderedPageBreak/>
              <w:drawing>
                <wp:inline distT="0" distB="0" distL="0" distR="0">
                  <wp:extent cx="3008459" cy="2289948"/>
                  <wp:effectExtent l="19050" t="0" r="1441" b="0"/>
                  <wp:docPr id="417"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014480" cy="2294531"/>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drawing>
                <wp:inline distT="0" distB="0" distL="0" distR="0">
                  <wp:extent cx="3234693" cy="2289842"/>
                  <wp:effectExtent l="19050" t="0" r="3807" b="0"/>
                  <wp:docPr id="416"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235523" cy="2290429"/>
                          </a:xfrm>
                          <a:prstGeom prst="rect">
                            <a:avLst/>
                          </a:prstGeom>
                          <a:noFill/>
                          <a:ln w="9525">
                            <a:noFill/>
                            <a:miter lim="800000"/>
                            <a:headEnd/>
                            <a:tailEnd/>
                          </a:ln>
                        </pic:spPr>
                      </pic:pic>
                    </a:graphicData>
                  </a:graphic>
                </wp:inline>
              </w:drawing>
            </w:r>
          </w:p>
        </w:tc>
      </w:tr>
      <w:tr w:rsidR="00EE535C" w:rsidRPr="007F73AB" w:rsidTr="0063736F">
        <w:trPr>
          <w:jc w:val="center"/>
        </w:trPr>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005919" cy="2243738"/>
                  <wp:effectExtent l="19050" t="0" r="3981" b="0"/>
                  <wp:docPr id="415"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016325" cy="2251505"/>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204676" cy="2243738"/>
                  <wp:effectExtent l="19050" t="0" r="0" b="0"/>
                  <wp:docPr id="414"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211485" cy="2248505"/>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color w:val="FF0000"/>
          <w:sz w:val="20"/>
        </w:rPr>
      </w:pPr>
    </w:p>
    <w:p w:rsidR="00EE535C" w:rsidRPr="00262DE1" w:rsidRDefault="00EE535C" w:rsidP="00EE535C">
      <w:pPr>
        <w:pStyle w:val="NoSpacing"/>
        <w:rPr>
          <w:rFonts w:ascii="Book Antiqua" w:hAnsi="Book Antiqua"/>
          <w:i/>
          <w:sz w:val="18"/>
          <w:szCs w:val="18"/>
        </w:rPr>
      </w:pPr>
      <w:r w:rsidRPr="00262DE1">
        <w:rPr>
          <w:rFonts w:ascii="Book Antiqua" w:hAnsi="Book Antiqua"/>
          <w:b/>
          <w:i/>
          <w:sz w:val="18"/>
          <w:szCs w:val="18"/>
        </w:rPr>
        <w:t>Figure 11:</w:t>
      </w:r>
      <w:r w:rsidRPr="00262DE1">
        <w:rPr>
          <w:rFonts w:ascii="Book Antiqua" w:hAnsi="Book Antiqua"/>
          <w:i/>
          <w:sz w:val="18"/>
          <w:szCs w:val="18"/>
        </w:rPr>
        <w:t xml:space="preserve"> Examples of plasma filaments undergoing a pinch with stars formed at the focus of the pinch. </w:t>
      </w:r>
      <w:r w:rsidRPr="00262DE1">
        <w:rPr>
          <w:rFonts w:ascii="Book Antiqua" w:hAnsi="Book Antiqua"/>
          <w:b/>
          <w:i/>
          <w:sz w:val="18"/>
          <w:szCs w:val="18"/>
        </w:rPr>
        <w:t>Top Left</w:t>
      </w:r>
      <w:r w:rsidRPr="00262DE1">
        <w:rPr>
          <w:rFonts w:ascii="Book Antiqua" w:hAnsi="Book Antiqua"/>
          <w:i/>
          <w:sz w:val="18"/>
          <w:szCs w:val="18"/>
        </w:rPr>
        <w:t xml:space="preserve">: Ant Nebula Mz3 in Norma. </w:t>
      </w:r>
      <w:r w:rsidRPr="00262DE1">
        <w:rPr>
          <w:rFonts w:ascii="Book Antiqua" w:hAnsi="Book Antiqua"/>
          <w:b/>
          <w:i/>
          <w:sz w:val="18"/>
          <w:szCs w:val="18"/>
        </w:rPr>
        <w:t>Top Right:</w:t>
      </w:r>
      <w:r w:rsidRPr="00262DE1">
        <w:rPr>
          <w:rFonts w:ascii="Book Antiqua" w:hAnsi="Book Antiqua"/>
          <w:i/>
          <w:sz w:val="18"/>
          <w:szCs w:val="18"/>
        </w:rPr>
        <w:t xml:space="preserve"> Bug nebula NGC 6302 in Scorpius. </w:t>
      </w:r>
      <w:r w:rsidRPr="00262DE1">
        <w:rPr>
          <w:rFonts w:ascii="Book Antiqua" w:hAnsi="Book Antiqua"/>
          <w:b/>
          <w:i/>
          <w:sz w:val="18"/>
          <w:szCs w:val="18"/>
        </w:rPr>
        <w:t>Bottom Left:</w:t>
      </w:r>
      <w:r w:rsidRPr="00262DE1">
        <w:rPr>
          <w:rFonts w:ascii="Book Antiqua" w:hAnsi="Book Antiqua"/>
          <w:i/>
          <w:sz w:val="18"/>
          <w:szCs w:val="18"/>
        </w:rPr>
        <w:t xml:space="preserve"> Double Balloon nebula in Sagittarius. </w:t>
      </w:r>
      <w:proofErr w:type="gramStart"/>
      <w:r w:rsidRPr="00262DE1">
        <w:rPr>
          <w:rFonts w:ascii="Book Antiqua" w:hAnsi="Book Antiqua"/>
          <w:b/>
          <w:i/>
          <w:sz w:val="18"/>
          <w:szCs w:val="18"/>
        </w:rPr>
        <w:t>Bottom Right:</w:t>
      </w:r>
      <w:r w:rsidRPr="00262DE1">
        <w:rPr>
          <w:rFonts w:ascii="Book Antiqua" w:hAnsi="Book Antiqua"/>
          <w:i/>
          <w:sz w:val="18"/>
          <w:szCs w:val="18"/>
        </w:rPr>
        <w:t xml:space="preserve"> The Butterfly Wing nebula M2-9 in Ophiuchus.</w:t>
      </w:r>
      <w:proofErr w:type="gramEnd"/>
    </w:p>
    <w:p w:rsidR="00EE535C" w:rsidRPr="007F73AB" w:rsidRDefault="00EE535C" w:rsidP="00EE535C">
      <w:pPr>
        <w:pStyle w:val="NoSpacing"/>
        <w:ind w:firstLine="720"/>
        <w:jc w:val="both"/>
        <w:rPr>
          <w:rFonts w:ascii="Book Antiqua" w:hAnsi="Book Antiqua"/>
          <w:sz w:val="20"/>
        </w:rPr>
      </w:pPr>
    </w:p>
    <w:p w:rsidR="0045265A" w:rsidRDefault="0045265A" w:rsidP="00521E54">
      <w:pPr>
        <w:pStyle w:val="NoSpacing"/>
        <w:ind w:firstLine="360"/>
        <w:jc w:val="both"/>
        <w:rPr>
          <w:rFonts w:ascii="Book Antiqua" w:hAnsi="Book Antiqua"/>
          <w:sz w:val="20"/>
        </w:rPr>
      </w:pPr>
    </w:p>
    <w:p w:rsidR="00521E54" w:rsidRPr="007F73AB" w:rsidRDefault="0045265A" w:rsidP="00A4752B">
      <w:pPr>
        <w:pStyle w:val="NoSpacing"/>
        <w:ind w:firstLine="720"/>
        <w:jc w:val="both"/>
        <w:rPr>
          <w:rFonts w:ascii="Book Antiqua" w:hAnsi="Book Antiqua"/>
          <w:sz w:val="20"/>
        </w:rPr>
      </w:pPr>
      <w:r>
        <w:rPr>
          <w:rFonts w:ascii="Book Antiqua" w:hAnsi="Book Antiqua"/>
          <w:sz w:val="20"/>
        </w:rPr>
        <w:t>By way of contrast,</w:t>
      </w:r>
      <w:r w:rsidR="00521E54" w:rsidRPr="007F73AB">
        <w:rPr>
          <w:rFonts w:ascii="Book Antiqua" w:hAnsi="Book Antiqua"/>
          <w:sz w:val="20"/>
        </w:rPr>
        <w:t xml:space="preserve"> work with plasma filaments in the lab has shown us that the structures we see in the cosmos could easily be formed by plasma interactions while the universe was still in a plasma state. </w:t>
      </w:r>
      <w:r>
        <w:rPr>
          <w:rFonts w:ascii="Book Antiqua" w:hAnsi="Book Antiqua"/>
          <w:sz w:val="20"/>
        </w:rPr>
        <w:t xml:space="preserve">Plasma interactions in the lab are very fast.  In the early universe, they would have been much faster </w:t>
      </w:r>
      <w:r w:rsidR="00521E54" w:rsidRPr="007F73AB">
        <w:rPr>
          <w:rFonts w:ascii="Book Antiqua" w:hAnsi="Book Antiqua"/>
          <w:sz w:val="20"/>
        </w:rPr>
        <w:t xml:space="preserve">because the ZPE was very low. As a result, the rapid formation of galaxies and </w:t>
      </w:r>
      <w:r>
        <w:rPr>
          <w:rFonts w:ascii="Book Antiqua" w:hAnsi="Book Antiqua"/>
          <w:sz w:val="20"/>
        </w:rPr>
        <w:t>would be expected</w:t>
      </w:r>
      <w:r w:rsidR="00521E54" w:rsidRPr="007F73AB">
        <w:rPr>
          <w:rFonts w:ascii="Book Antiqua" w:hAnsi="Book Antiqua"/>
          <w:sz w:val="20"/>
        </w:rPr>
        <w:t xml:space="preserve">, and the evidence presented by the early cosmos is </w:t>
      </w:r>
      <w:r>
        <w:rPr>
          <w:rFonts w:ascii="Book Antiqua" w:hAnsi="Book Antiqua"/>
          <w:sz w:val="20"/>
        </w:rPr>
        <w:t>no surprise</w:t>
      </w:r>
      <w:r w:rsidR="00521E54" w:rsidRPr="007F73AB">
        <w:rPr>
          <w:rFonts w:ascii="Book Antiqua" w:hAnsi="Book Antiqua"/>
          <w:sz w:val="20"/>
        </w:rPr>
        <w:t xml:space="preserve">. This is explored further in Chapters 6 </w:t>
      </w:r>
      <w:proofErr w:type="gramStart"/>
      <w:r w:rsidR="00521E54" w:rsidRPr="007F73AB">
        <w:rPr>
          <w:rFonts w:ascii="Book Antiqua" w:hAnsi="Book Antiqua"/>
          <w:sz w:val="20"/>
        </w:rPr>
        <w:t>and  9</w:t>
      </w:r>
      <w:proofErr w:type="gramEnd"/>
      <w:r w:rsidR="00521E54" w:rsidRPr="007F73AB">
        <w:rPr>
          <w:rFonts w:ascii="Book Antiqua" w:hAnsi="Book Antiqua"/>
          <w:sz w:val="20"/>
        </w:rPr>
        <w:t>.</w:t>
      </w:r>
    </w:p>
    <w:p w:rsidR="00996EDA" w:rsidRPr="007F73AB" w:rsidRDefault="00996EDA" w:rsidP="00996EDA">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Biology and the Zero Point Energy</w:t>
      </w:r>
    </w:p>
    <w:p w:rsidR="00EE535C" w:rsidRPr="007F73AB" w:rsidRDefault="00EE535C" w:rsidP="00EE535C">
      <w:pPr>
        <w:pStyle w:val="NoSpacing"/>
        <w:ind w:firstLine="720"/>
        <w:jc w:val="both"/>
        <w:rPr>
          <w:rFonts w:ascii="Book Antiqua" w:hAnsi="Book Antiqua"/>
          <w:sz w:val="20"/>
        </w:rPr>
      </w:pPr>
    </w:p>
    <w:p w:rsidR="005E236E" w:rsidRDefault="0045265A" w:rsidP="00A4752B">
      <w:pPr>
        <w:pStyle w:val="NoSpacing"/>
        <w:ind w:firstLine="720"/>
        <w:jc w:val="both"/>
        <w:rPr>
          <w:rFonts w:ascii="Book Antiqua" w:hAnsi="Book Antiqua"/>
          <w:sz w:val="20"/>
        </w:rPr>
      </w:pPr>
      <w:r>
        <w:rPr>
          <w:rFonts w:ascii="Book Antiqua" w:hAnsi="Book Antiqua"/>
          <w:sz w:val="20"/>
        </w:rPr>
        <w:t xml:space="preserve">Fossils of giant plant and animal life have long been a puzzle to paleontologists.  </w:t>
      </w:r>
      <w:r w:rsidR="00EE535C" w:rsidRPr="00DE2ACC">
        <w:rPr>
          <w:rFonts w:ascii="Book Antiqua" w:hAnsi="Book Antiqua"/>
          <w:sz w:val="20"/>
        </w:rPr>
        <w:t xml:space="preserve">How did they attain these sizes?  </w:t>
      </w:r>
      <w:r>
        <w:rPr>
          <w:rFonts w:ascii="Book Antiqua" w:hAnsi="Book Antiqua"/>
          <w:sz w:val="20"/>
        </w:rPr>
        <w:t>The answer may again lie in the different conditions early life experienced.  B</w:t>
      </w:r>
      <w:r w:rsidRPr="00DE2ACC">
        <w:rPr>
          <w:rFonts w:ascii="Book Antiqua" w:hAnsi="Book Antiqua"/>
          <w:sz w:val="20"/>
        </w:rPr>
        <w:t xml:space="preserve">ecause many </w:t>
      </w:r>
      <w:r>
        <w:rPr>
          <w:rFonts w:ascii="Book Antiqua" w:hAnsi="Book Antiqua"/>
          <w:sz w:val="20"/>
        </w:rPr>
        <w:t xml:space="preserve">biologic </w:t>
      </w:r>
      <w:r w:rsidRPr="00DE2ACC">
        <w:rPr>
          <w:rFonts w:ascii="Book Antiqua" w:hAnsi="Book Antiqua"/>
          <w:sz w:val="20"/>
        </w:rPr>
        <w:t xml:space="preserve">systems function </w:t>
      </w:r>
      <w:r>
        <w:rPr>
          <w:rFonts w:ascii="Book Antiqua" w:hAnsi="Book Antiqua"/>
          <w:sz w:val="20"/>
        </w:rPr>
        <w:t>via</w:t>
      </w:r>
      <w:r w:rsidRPr="00DE2ACC">
        <w:rPr>
          <w:rFonts w:ascii="Book Antiqua" w:hAnsi="Book Antiqua"/>
          <w:sz w:val="20"/>
        </w:rPr>
        <w:t xml:space="preserve"> bio-electro-magnetism</w:t>
      </w:r>
      <w:r>
        <w:rPr>
          <w:rFonts w:ascii="Book Antiqua" w:hAnsi="Book Antiqua"/>
          <w:sz w:val="20"/>
        </w:rPr>
        <w:t>, c</w:t>
      </w:r>
      <w:r w:rsidR="00EE535C" w:rsidRPr="00DE2ACC">
        <w:rPr>
          <w:rFonts w:ascii="Book Antiqua" w:hAnsi="Book Antiqua"/>
          <w:sz w:val="20"/>
        </w:rPr>
        <w:t xml:space="preserve">hanges </w:t>
      </w:r>
      <w:r>
        <w:rPr>
          <w:rFonts w:ascii="Book Antiqua" w:hAnsi="Book Antiqua"/>
          <w:sz w:val="20"/>
        </w:rPr>
        <w:t>of</w:t>
      </w:r>
      <w:r w:rsidR="00EE535C" w:rsidRPr="00DE2ACC">
        <w:rPr>
          <w:rFonts w:ascii="Book Antiqua" w:hAnsi="Book Antiqua"/>
          <w:sz w:val="20"/>
        </w:rPr>
        <w:t xml:space="preserve"> the electric and magnetic properties of the vacuum </w:t>
      </w:r>
      <w:r>
        <w:rPr>
          <w:rFonts w:ascii="Book Antiqua" w:hAnsi="Book Antiqua"/>
          <w:sz w:val="20"/>
        </w:rPr>
        <w:t>would have affected them</w:t>
      </w:r>
      <w:r w:rsidR="00EE535C" w:rsidRPr="00DE2ACC">
        <w:rPr>
          <w:rFonts w:ascii="Book Antiqua" w:hAnsi="Book Antiqua"/>
          <w:sz w:val="20"/>
        </w:rPr>
        <w:t>. For example, the nervous system of all fauna is effectively the transmission of an electric current. The outcome is that the rate of transmission of the</w:t>
      </w:r>
      <w:r w:rsidR="00DE2ACC" w:rsidRPr="00DE2ACC">
        <w:rPr>
          <w:rFonts w:ascii="Book Antiqua" w:hAnsi="Book Antiqua"/>
          <w:sz w:val="20"/>
        </w:rPr>
        <w:t xml:space="preserve"> nerve </w:t>
      </w:r>
      <w:r w:rsidR="005E236E" w:rsidRPr="00DE2ACC">
        <w:rPr>
          <w:rFonts w:ascii="Book Antiqua" w:hAnsi="Book Antiqua"/>
          <w:sz w:val="20"/>
        </w:rPr>
        <w:t xml:space="preserve">impulses as an electric current is dependent upon the capacitance of the system. This </w:t>
      </w:r>
      <w:r>
        <w:rPr>
          <w:rFonts w:ascii="Book Antiqua" w:hAnsi="Book Antiqua"/>
          <w:sz w:val="20"/>
        </w:rPr>
        <w:t>was</w:t>
      </w:r>
      <w:r w:rsidR="005E236E" w:rsidRPr="00DE2ACC">
        <w:rPr>
          <w:rFonts w:ascii="Book Antiqua" w:hAnsi="Book Antiqua"/>
          <w:sz w:val="20"/>
        </w:rPr>
        <w:t xml:space="preserve"> lower when the ZPE </w:t>
      </w:r>
      <w:r>
        <w:rPr>
          <w:rFonts w:ascii="Book Antiqua" w:hAnsi="Book Antiqua"/>
          <w:sz w:val="20"/>
        </w:rPr>
        <w:t xml:space="preserve">was </w:t>
      </w:r>
      <w:r w:rsidR="005E236E" w:rsidRPr="00DE2ACC">
        <w:rPr>
          <w:rFonts w:ascii="Book Antiqua" w:hAnsi="Book Antiqua"/>
          <w:sz w:val="20"/>
        </w:rPr>
        <w:t xml:space="preserve">lower, and voltages </w:t>
      </w:r>
      <w:r>
        <w:rPr>
          <w:rFonts w:ascii="Book Antiqua" w:hAnsi="Book Antiqua"/>
          <w:sz w:val="20"/>
        </w:rPr>
        <w:t>were</w:t>
      </w:r>
      <w:r w:rsidR="005E236E" w:rsidRPr="00DE2ACC">
        <w:rPr>
          <w:rFonts w:ascii="Book Antiqua" w:hAnsi="Book Antiqua"/>
          <w:sz w:val="20"/>
        </w:rPr>
        <w:t xml:space="preserve"> higher, so currents </w:t>
      </w:r>
      <w:r>
        <w:rPr>
          <w:rFonts w:ascii="Book Antiqua" w:hAnsi="Book Antiqua"/>
          <w:sz w:val="20"/>
        </w:rPr>
        <w:t>would have been</w:t>
      </w:r>
      <w:r w:rsidR="005E236E" w:rsidRPr="00DE2ACC">
        <w:rPr>
          <w:rFonts w:ascii="Book Antiqua" w:hAnsi="Book Antiqua"/>
          <w:sz w:val="20"/>
        </w:rPr>
        <w:t xml:space="preserve"> transmitted more quickly.</w:t>
      </w:r>
    </w:p>
    <w:p w:rsidR="00DE2ACC" w:rsidRPr="00DE2ACC" w:rsidRDefault="00DE2ACC" w:rsidP="005E236E">
      <w:pPr>
        <w:pStyle w:val="NoSpacing"/>
        <w:ind w:firstLine="360"/>
        <w:jc w:val="both"/>
        <w:rPr>
          <w:rFonts w:ascii="Book Antiqua" w:hAnsi="Book Antiqua"/>
          <w:sz w:val="20"/>
        </w:rPr>
      </w:pP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 </w:t>
      </w: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lastRenderedPageBreak/>
        <w:drawing>
          <wp:inline distT="0" distB="0" distL="0" distR="0">
            <wp:extent cx="4253272" cy="4579684"/>
            <wp:effectExtent l="19050" t="0" r="0" b="0"/>
            <wp:docPr id="435"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4264880" cy="4592183"/>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262DE1" w:rsidRDefault="00EE535C" w:rsidP="004B6882">
      <w:pPr>
        <w:pStyle w:val="NoSpacing"/>
        <w:jc w:val="center"/>
        <w:rPr>
          <w:rFonts w:ascii="Book Antiqua" w:hAnsi="Book Antiqua"/>
          <w:i/>
          <w:sz w:val="18"/>
          <w:szCs w:val="18"/>
        </w:rPr>
      </w:pPr>
      <w:r w:rsidRPr="00262DE1">
        <w:rPr>
          <w:rFonts w:ascii="Book Antiqua" w:hAnsi="Book Antiqua"/>
          <w:b/>
          <w:i/>
          <w:sz w:val="18"/>
          <w:szCs w:val="18"/>
        </w:rPr>
        <w:t>Figure 12:</w:t>
      </w:r>
      <w:r w:rsidRPr="00262DE1">
        <w:rPr>
          <w:rFonts w:ascii="Book Antiqua" w:hAnsi="Book Antiqua"/>
          <w:i/>
          <w:sz w:val="18"/>
          <w:szCs w:val="18"/>
        </w:rPr>
        <w:t xml:space="preserve"> Gigantism in the fossil record. </w:t>
      </w:r>
      <w:proofErr w:type="gramStart"/>
      <w:r w:rsidRPr="00262DE1">
        <w:rPr>
          <w:rFonts w:ascii="Book Antiqua" w:hAnsi="Book Antiqua"/>
          <w:i/>
          <w:sz w:val="18"/>
          <w:szCs w:val="18"/>
        </w:rPr>
        <w:t>(a) sea-scorpion, (b) a trilobite, (c) dragonfly, and (d) millipede.</w:t>
      </w:r>
      <w:proofErr w:type="gramEnd"/>
    </w:p>
    <w:p w:rsidR="00EE535C" w:rsidRDefault="00EE535C" w:rsidP="00613E74">
      <w:pPr>
        <w:pStyle w:val="NoSpacing"/>
        <w:jc w:val="both"/>
        <w:rPr>
          <w:rFonts w:ascii="Book Antiqua" w:hAnsi="Book Antiqua"/>
          <w:sz w:val="20"/>
        </w:rPr>
      </w:pPr>
    </w:p>
    <w:p w:rsidR="00EE535C" w:rsidRPr="007F73AB" w:rsidRDefault="005429CE" w:rsidP="00EE535C">
      <w:pPr>
        <w:pStyle w:val="NoSpacing"/>
        <w:ind w:firstLine="720"/>
        <w:jc w:val="both"/>
        <w:rPr>
          <w:rFonts w:ascii="Book Antiqua" w:hAnsi="Book Antiqua"/>
          <w:sz w:val="20"/>
        </w:rPr>
      </w:pPr>
      <w:r w:rsidRPr="007F73AB">
        <w:rPr>
          <w:rFonts w:ascii="Book Antiqua" w:hAnsi="Book Antiqua"/>
          <w:sz w:val="20"/>
        </w:rPr>
        <w:t xml:space="preserve">This would allow creatures like scorpions, which today only attain a </w:t>
      </w:r>
      <w:r w:rsidR="00E60FD1">
        <w:rPr>
          <w:rFonts w:ascii="Book Antiqua" w:hAnsi="Book Antiqua"/>
          <w:sz w:val="20"/>
        </w:rPr>
        <w:t xml:space="preserve">maximum </w:t>
      </w:r>
      <w:r w:rsidRPr="007F73AB">
        <w:rPr>
          <w:rFonts w:ascii="Book Antiqua" w:hAnsi="Book Antiqua"/>
          <w:sz w:val="20"/>
        </w:rPr>
        <w:t xml:space="preserve">size of about a foot (30 centimeters), to attain sizes ranging up to 8.5 feet and still be a functional entity. We see sea scorpions </w:t>
      </w:r>
      <w:r w:rsidR="00E60FD1" w:rsidRPr="007F73AB">
        <w:rPr>
          <w:rFonts w:ascii="Book Antiqua" w:hAnsi="Book Antiqua"/>
          <w:sz w:val="20"/>
        </w:rPr>
        <w:t xml:space="preserve">of these sizes </w:t>
      </w:r>
      <w:r w:rsidRPr="007F73AB">
        <w:rPr>
          <w:rFonts w:ascii="Book Antiqua" w:hAnsi="Book Antiqua"/>
          <w:sz w:val="20"/>
        </w:rPr>
        <w:t xml:space="preserve">in the fossil record (see Figure 12). </w:t>
      </w:r>
      <w:r w:rsidR="00E60FD1">
        <w:rPr>
          <w:rFonts w:ascii="Book Antiqua" w:hAnsi="Book Antiqua"/>
          <w:sz w:val="20"/>
        </w:rPr>
        <w:t>Fossils contain</w:t>
      </w:r>
      <w:r w:rsidR="00EE535C" w:rsidRPr="007F73AB">
        <w:rPr>
          <w:rFonts w:ascii="Book Antiqua" w:hAnsi="Book Antiqua"/>
          <w:sz w:val="20"/>
        </w:rPr>
        <w:t xml:space="preserve"> giant millipedes over 2 meters long (6.6 feet) and huge dragonflies with wingspans up to 75 centimeters (2.5 feet) and weighing ½ kilogram (1 pound). </w:t>
      </w:r>
      <w:r w:rsidR="00E60FD1">
        <w:rPr>
          <w:rFonts w:ascii="Book Antiqua" w:hAnsi="Book Antiqua"/>
          <w:sz w:val="20"/>
        </w:rPr>
        <w:t>It was t</w:t>
      </w:r>
      <w:r w:rsidR="00EE535C" w:rsidRPr="007F73AB">
        <w:rPr>
          <w:rFonts w:ascii="Book Antiqua" w:hAnsi="Book Antiqua"/>
          <w:sz w:val="20"/>
        </w:rPr>
        <w:t xml:space="preserve">he low </w:t>
      </w:r>
      <w:proofErr w:type="gramStart"/>
      <w:r w:rsidR="00EE535C" w:rsidRPr="007F73AB">
        <w:rPr>
          <w:rFonts w:ascii="Book Antiqua" w:hAnsi="Book Antiqua"/>
          <w:sz w:val="20"/>
        </w:rPr>
        <w:t xml:space="preserve">ZPE </w:t>
      </w:r>
      <w:r w:rsidR="00E60FD1">
        <w:rPr>
          <w:rFonts w:ascii="Book Antiqua" w:hAnsi="Book Antiqua"/>
          <w:sz w:val="20"/>
        </w:rPr>
        <w:t xml:space="preserve"> that</w:t>
      </w:r>
      <w:proofErr w:type="gramEnd"/>
      <w:r w:rsidR="00E60FD1">
        <w:rPr>
          <w:rFonts w:ascii="Book Antiqua" w:hAnsi="Book Antiqua"/>
          <w:sz w:val="20"/>
        </w:rPr>
        <w:t xml:space="preserve"> </w:t>
      </w:r>
      <w:r w:rsidR="00EE535C" w:rsidRPr="007F73AB">
        <w:rPr>
          <w:rFonts w:ascii="Book Antiqua" w:hAnsi="Book Antiqua"/>
          <w:sz w:val="20"/>
        </w:rPr>
        <w:t>made this possible. As the ZPE strength built up, so did capacitances, and the rate of nerve transmission dropped. Ultimately, it was only the smaller forms that survived</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w:t>
      </w:r>
    </w:p>
    <w:p w:rsidR="00EE535C" w:rsidRDefault="00ED313B" w:rsidP="00EE535C">
      <w:pPr>
        <w:pStyle w:val="NoSpacing"/>
        <w:ind w:firstLine="720"/>
        <w:jc w:val="both"/>
        <w:rPr>
          <w:rFonts w:ascii="Book Antiqua" w:hAnsi="Book Antiqua"/>
          <w:sz w:val="20"/>
        </w:rPr>
      </w:pPr>
      <w:r>
        <w:rPr>
          <w:rFonts w:ascii="Book Antiqua" w:hAnsi="Book Antiqua"/>
          <w:sz w:val="20"/>
        </w:rPr>
        <w:t>Given today’s ZPE strength, s</w:t>
      </w:r>
      <w:r w:rsidR="00EE535C" w:rsidRPr="007F73AB">
        <w:rPr>
          <w:rFonts w:ascii="Book Antiqua" w:hAnsi="Book Antiqua"/>
          <w:sz w:val="20"/>
        </w:rPr>
        <w:t xml:space="preserve">ome of the largest of </w:t>
      </w:r>
      <w:r>
        <w:rPr>
          <w:rFonts w:ascii="Book Antiqua" w:hAnsi="Book Antiqua"/>
          <w:sz w:val="20"/>
        </w:rPr>
        <w:t>the dinosaurs</w:t>
      </w:r>
      <w:r w:rsidR="00EE535C" w:rsidRPr="007F73AB">
        <w:rPr>
          <w:rFonts w:ascii="Book Antiqua" w:hAnsi="Book Antiqua"/>
          <w:sz w:val="20"/>
        </w:rPr>
        <w:t xml:space="preserve">, like Apatosaurus, would take 40 seconds to transmit a message from his tail to his brain, and another 40 seconds </w:t>
      </w:r>
      <w:r w:rsidR="0002542B">
        <w:rPr>
          <w:rFonts w:ascii="Book Antiqua" w:hAnsi="Book Antiqua"/>
          <w:sz w:val="20"/>
        </w:rPr>
        <w:t xml:space="preserve">for the tail </w:t>
      </w:r>
      <w:r w:rsidR="00EE535C" w:rsidRPr="007F73AB">
        <w:rPr>
          <w:rFonts w:ascii="Book Antiqua" w:hAnsi="Book Antiqua"/>
          <w:sz w:val="20"/>
        </w:rPr>
        <w:t>to receive a response</w:t>
      </w:r>
      <w:r>
        <w:rPr>
          <w:rFonts w:ascii="Book Antiqua" w:hAnsi="Book Antiqua"/>
          <w:sz w:val="20"/>
        </w:rPr>
        <w:t>.</w:t>
      </w:r>
      <w:r w:rsidR="00EE535C" w:rsidRPr="007F73AB">
        <w:rPr>
          <w:rFonts w:ascii="Book Antiqua" w:hAnsi="Book Antiqua"/>
          <w:sz w:val="20"/>
        </w:rPr>
        <w:t xml:space="preserve"> [1</w:t>
      </w:r>
      <w:r w:rsidR="00A604C4">
        <w:rPr>
          <w:rFonts w:ascii="Book Antiqua" w:hAnsi="Book Antiqua"/>
          <w:sz w:val="20"/>
        </w:rPr>
        <w:t>8</w:t>
      </w:r>
      <w:r w:rsidR="00EE535C" w:rsidRPr="007F73AB">
        <w:rPr>
          <w:rFonts w:ascii="Book Antiqua" w:hAnsi="Book Antiqua"/>
          <w:sz w:val="20"/>
        </w:rPr>
        <w:t xml:space="preserve">]. </w:t>
      </w:r>
      <w:proofErr w:type="gramStart"/>
      <w:r w:rsidR="00EE535C" w:rsidRPr="007F73AB">
        <w:rPr>
          <w:rFonts w:ascii="Book Antiqua" w:hAnsi="Book Antiqua"/>
          <w:sz w:val="20"/>
        </w:rPr>
        <w:t>This</w:t>
      </w:r>
      <w:proofErr w:type="gramEnd"/>
      <w:r w:rsidR="00EE535C" w:rsidRPr="007F73AB">
        <w:rPr>
          <w:rFonts w:ascii="Book Antiqua" w:hAnsi="Book Antiqua"/>
          <w:sz w:val="20"/>
        </w:rPr>
        <w:t xml:space="preserve"> would make survival difficult. </w:t>
      </w:r>
      <w:r>
        <w:rPr>
          <w:rFonts w:ascii="Book Antiqua" w:hAnsi="Book Antiqua"/>
          <w:sz w:val="20"/>
        </w:rPr>
        <w:t>A</w:t>
      </w:r>
      <w:r w:rsidR="00EE535C" w:rsidRPr="007F73AB">
        <w:rPr>
          <w:rFonts w:ascii="Book Antiqua" w:hAnsi="Book Antiqua"/>
          <w:sz w:val="20"/>
        </w:rPr>
        <w:t xml:space="preserve"> significantly lower ZPE, </w:t>
      </w:r>
      <w:r>
        <w:rPr>
          <w:rFonts w:ascii="Book Antiqua" w:hAnsi="Book Antiqua"/>
          <w:sz w:val="20"/>
        </w:rPr>
        <w:t xml:space="preserve">however, as </w:t>
      </w:r>
      <w:r w:rsidR="00EE535C" w:rsidRPr="007F73AB">
        <w:rPr>
          <w:rFonts w:ascii="Book Antiqua" w:hAnsi="Book Antiqua"/>
          <w:sz w:val="20"/>
        </w:rPr>
        <w:t xml:space="preserve">suggested by the redshift curve, </w:t>
      </w:r>
      <w:r>
        <w:rPr>
          <w:rFonts w:ascii="Book Antiqua" w:hAnsi="Book Antiqua"/>
          <w:sz w:val="20"/>
        </w:rPr>
        <w:t xml:space="preserve">would allow </w:t>
      </w:r>
      <w:r w:rsidR="00EE535C" w:rsidRPr="007F73AB">
        <w:rPr>
          <w:rFonts w:ascii="Book Antiqua" w:hAnsi="Book Antiqua"/>
          <w:sz w:val="20"/>
        </w:rPr>
        <w:t xml:space="preserve">the messages could go and return in about one tenth of a second. Apatosaurus, and those like him, would </w:t>
      </w:r>
      <w:r w:rsidR="0002542B">
        <w:rPr>
          <w:rFonts w:ascii="Book Antiqua" w:hAnsi="Book Antiqua"/>
          <w:sz w:val="20"/>
        </w:rPr>
        <w:t>have been</w:t>
      </w:r>
      <w:r w:rsidR="00EE535C" w:rsidRPr="007F73AB">
        <w:rPr>
          <w:rFonts w:ascii="Book Antiqua" w:hAnsi="Book Antiqua"/>
          <w:sz w:val="20"/>
        </w:rPr>
        <w:t xml:space="preserve"> efficient beasts</w:t>
      </w:r>
      <w:r w:rsidR="0002542B">
        <w:rPr>
          <w:rFonts w:ascii="Book Antiqua" w:hAnsi="Book Antiqua"/>
          <w:sz w:val="20"/>
        </w:rPr>
        <w:t>.</w:t>
      </w:r>
      <w:r w:rsidR="00EE535C" w:rsidRPr="007F73AB">
        <w:rPr>
          <w:rFonts w:ascii="Book Antiqua" w:hAnsi="Book Antiqua"/>
          <w:sz w:val="20"/>
        </w:rPr>
        <w:t xml:space="preserve"> </w:t>
      </w:r>
    </w:p>
    <w:p w:rsidR="00551CD1" w:rsidRPr="007F73AB" w:rsidRDefault="00551CD1"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sz w:val="20"/>
        </w:rPr>
      </w:pPr>
      <w:r w:rsidRPr="007F73AB">
        <w:rPr>
          <w:rFonts w:ascii="Book Antiqua" w:hAnsi="Book Antiqua"/>
          <w:b/>
          <w:sz w:val="20"/>
        </w:rPr>
        <w:t>Gigantism in Plants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Gigantism in plants can also be attributed to a lower Zero Point Energy.  Photosynthesis is the conversion of light, water, and some chemicals into living materials and stored energy. This process is affected by the number of photons of light the plant is receiving, their energy, and by the</w:t>
      </w:r>
      <w:r w:rsidR="0002542B">
        <w:rPr>
          <w:rFonts w:ascii="Book Antiqua" w:hAnsi="Book Antiqua"/>
          <w:sz w:val="20"/>
        </w:rPr>
        <w:t xml:space="preserve"> total</w:t>
      </w:r>
      <w:r w:rsidRPr="007F73AB">
        <w:rPr>
          <w:rFonts w:ascii="Book Antiqua" w:hAnsi="Book Antiqua"/>
          <w:sz w:val="20"/>
        </w:rPr>
        <w:t xml:space="preserve"> light intensity or brightness.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lastRenderedPageBreak/>
        <w:t xml:space="preserve"> </w:t>
      </w: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When the ZPE was lower, the overall light intensity or brightness of the sun, stars and other light sources was unchanged. In other words, the sun and stars would still appear to be as bright to us back then as they are now. </w:t>
      </w:r>
      <w:r w:rsidR="0002542B">
        <w:rPr>
          <w:rFonts w:ascii="Book Antiqua" w:hAnsi="Book Antiqua"/>
          <w:sz w:val="20"/>
        </w:rPr>
        <w:t>This was</w:t>
      </w:r>
      <w:r w:rsidRPr="007F73AB">
        <w:rPr>
          <w:rFonts w:ascii="Book Antiqua" w:hAnsi="Book Antiqua"/>
          <w:sz w:val="20"/>
        </w:rPr>
        <w:t xml:space="preserve"> because they were emitting more photons of light per second</w:t>
      </w:r>
      <w:r w:rsidR="0002542B">
        <w:rPr>
          <w:rFonts w:ascii="Book Antiqua" w:hAnsi="Book Antiqua"/>
          <w:sz w:val="20"/>
        </w:rPr>
        <w:t>,</w:t>
      </w:r>
      <w:r w:rsidRPr="007F73AB">
        <w:rPr>
          <w:rFonts w:ascii="Book Antiqua" w:hAnsi="Book Antiqua"/>
          <w:sz w:val="20"/>
        </w:rPr>
        <w:t xml:space="preserve"> </w:t>
      </w:r>
      <w:r w:rsidR="0002542B">
        <w:rPr>
          <w:rFonts w:ascii="Book Antiqua" w:hAnsi="Book Antiqua"/>
          <w:sz w:val="20"/>
        </w:rPr>
        <w:t>but</w:t>
      </w:r>
      <w:r w:rsidRPr="007F73AB">
        <w:rPr>
          <w:rFonts w:ascii="Book Antiqua" w:hAnsi="Book Antiqua"/>
          <w:sz w:val="20"/>
        </w:rPr>
        <w:t xml:space="preserve"> each photon ha</w:t>
      </w:r>
      <w:r w:rsidR="0002542B">
        <w:rPr>
          <w:rFonts w:ascii="Book Antiqua" w:hAnsi="Book Antiqua"/>
          <w:sz w:val="20"/>
        </w:rPr>
        <w:t>d</w:t>
      </w:r>
      <w:r w:rsidRPr="007F73AB">
        <w:rPr>
          <w:rFonts w:ascii="Book Antiqua" w:hAnsi="Book Antiqua"/>
          <w:sz w:val="20"/>
        </w:rPr>
        <w:t xml:space="preserve"> a lower brightness. </w:t>
      </w:r>
      <w:r w:rsidR="0002542B">
        <w:rPr>
          <w:rFonts w:ascii="Book Antiqua" w:hAnsi="Book Antiqua"/>
          <w:sz w:val="20"/>
        </w:rPr>
        <w:t xml:space="preserve"> The combination of t</w:t>
      </w:r>
      <w:r w:rsidRPr="007F73AB">
        <w:rPr>
          <w:rFonts w:ascii="Book Antiqua" w:hAnsi="Book Antiqua"/>
          <w:sz w:val="20"/>
        </w:rPr>
        <w:t xml:space="preserve">he increased number of photons </w:t>
      </w:r>
      <w:r w:rsidR="0002542B">
        <w:rPr>
          <w:rFonts w:ascii="Book Antiqua" w:hAnsi="Book Antiqua"/>
          <w:sz w:val="20"/>
        </w:rPr>
        <w:t>and</w:t>
      </w:r>
      <w:r w:rsidRPr="007F73AB">
        <w:rPr>
          <w:rFonts w:ascii="Book Antiqua" w:hAnsi="Book Antiqua"/>
          <w:sz w:val="20"/>
        </w:rPr>
        <w:t xml:space="preserve"> the lower intrinsic brightness of each photon</w:t>
      </w:r>
      <w:r w:rsidR="0002542B">
        <w:rPr>
          <w:rFonts w:ascii="Book Antiqua" w:hAnsi="Book Antiqua"/>
          <w:sz w:val="20"/>
        </w:rPr>
        <w:t xml:space="preserve"> resulted in the same total brightness then that we have today</w:t>
      </w:r>
      <w:r w:rsidRPr="007F73AB">
        <w:rPr>
          <w:rFonts w:ascii="Book Antiqua" w:hAnsi="Book Antiqua"/>
          <w:sz w:val="20"/>
        </w:rPr>
        <w:t xml:space="preserve">. </w:t>
      </w:r>
    </w:p>
    <w:p w:rsidR="00FF0259" w:rsidRDefault="00FF0259" w:rsidP="00EE535C">
      <w:pPr>
        <w:pStyle w:val="NoSpacing"/>
        <w:ind w:firstLine="720"/>
        <w:jc w:val="both"/>
        <w:rPr>
          <w:rFonts w:ascii="Book Antiqua" w:hAnsi="Book Antiqua"/>
          <w:sz w:val="20"/>
        </w:rPr>
      </w:pPr>
    </w:p>
    <w:p w:rsidR="00FF0259" w:rsidRPr="007F73AB" w:rsidRDefault="00FF0259" w:rsidP="00FF0259">
      <w:pPr>
        <w:pStyle w:val="NoSpacing"/>
        <w:ind w:firstLine="720"/>
        <w:jc w:val="both"/>
        <w:rPr>
          <w:rFonts w:ascii="Book Antiqua" w:hAnsi="Book Antiqua"/>
          <w:sz w:val="20"/>
        </w:rPr>
      </w:pPr>
      <w:r w:rsidRPr="007F73AB">
        <w:rPr>
          <w:rFonts w:ascii="Book Antiqua" w:hAnsi="Book Antiqua"/>
          <w:sz w:val="20"/>
        </w:rPr>
        <w:t xml:space="preserve">The brightness of a light wave or photon is determined by the amplitude or height of the wave. </w:t>
      </w:r>
      <w:r w:rsidR="0002542B">
        <w:rPr>
          <w:rFonts w:ascii="Book Antiqua" w:hAnsi="Book Antiqua"/>
          <w:sz w:val="20"/>
        </w:rPr>
        <w:t>The</w:t>
      </w:r>
      <w:r w:rsidRPr="007F73AB">
        <w:rPr>
          <w:rFonts w:ascii="Book Antiqua" w:hAnsi="Book Antiqua"/>
          <w:sz w:val="20"/>
        </w:rPr>
        <w:t xml:space="preserve"> basic formula in such cases states that for any given wave, the square of the wave amplitude (or height) multiplied by the wave velocity is a constant [1</w:t>
      </w:r>
      <w:r w:rsidR="00A604C4">
        <w:rPr>
          <w:rFonts w:ascii="Book Antiqua" w:hAnsi="Book Antiqua"/>
          <w:sz w:val="20"/>
        </w:rPr>
        <w:t>9</w:t>
      </w:r>
      <w:r w:rsidRPr="007F73AB">
        <w:rPr>
          <w:rFonts w:ascii="Book Antiqua" w:hAnsi="Book Antiqua"/>
          <w:sz w:val="20"/>
        </w:rPr>
        <w:t xml:space="preserve">]. So initially, when the speed (the velocity) of light was high, the heights or amplitudes of these light waves had to be quite small. Thus the amplitude changes with speed. As the speed of light reduced, the heights or amplitudes of these light waves </w:t>
      </w:r>
      <w:proofErr w:type="gramStart"/>
      <w:r w:rsidRPr="007F73AB">
        <w:rPr>
          <w:rFonts w:ascii="Book Antiqua" w:hAnsi="Book Antiqua"/>
          <w:sz w:val="20"/>
        </w:rPr>
        <w:t>increased  (</w:t>
      </w:r>
      <w:proofErr w:type="gramEnd"/>
      <w:r w:rsidRPr="007F73AB">
        <w:rPr>
          <w:rFonts w:ascii="Book Antiqua" w:hAnsi="Book Antiqua"/>
          <w:sz w:val="20"/>
        </w:rPr>
        <w:t xml:space="preserve">see Figure 13). </w:t>
      </w:r>
      <w:r w:rsidR="0002542B">
        <w:rPr>
          <w:rFonts w:ascii="Book Antiqua" w:hAnsi="Book Antiqua"/>
          <w:sz w:val="20"/>
        </w:rPr>
        <w:t xml:space="preserve"> Note that the wave lengths themselves did not change.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3749697" cy="3142770"/>
            <wp:effectExtent l="19050" t="0" r="3153" b="0"/>
            <wp:docPr id="442"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758858" cy="3150449"/>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rPr>
          <w:rFonts w:ascii="Book Antiqua" w:hAnsi="Book Antiqua"/>
          <w:sz w:val="20"/>
        </w:rPr>
      </w:pPr>
    </w:p>
    <w:p w:rsidR="00EE535C" w:rsidRPr="00262DE1" w:rsidRDefault="00EE535C" w:rsidP="00EE535C">
      <w:pPr>
        <w:pStyle w:val="NoSpacing"/>
        <w:rPr>
          <w:rFonts w:ascii="Book Antiqua" w:hAnsi="Book Antiqua"/>
          <w:i/>
          <w:sz w:val="18"/>
          <w:szCs w:val="18"/>
        </w:rPr>
      </w:pPr>
      <w:r w:rsidRPr="00262DE1">
        <w:rPr>
          <w:rFonts w:ascii="Book Antiqua" w:hAnsi="Book Antiqua"/>
          <w:b/>
          <w:i/>
          <w:sz w:val="18"/>
          <w:szCs w:val="18"/>
        </w:rPr>
        <w:t>Figure 13:</w:t>
      </w:r>
      <w:r w:rsidRPr="00262DE1">
        <w:rPr>
          <w:rFonts w:ascii="Book Antiqua" w:hAnsi="Book Antiqua"/>
          <w:i/>
          <w:sz w:val="18"/>
          <w:szCs w:val="18"/>
        </w:rPr>
        <w:t xml:space="preserve">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EE535C" w:rsidRPr="007F73AB" w:rsidRDefault="00EE535C" w:rsidP="00EE535C">
      <w:pPr>
        <w:pStyle w:val="NoSpacing"/>
        <w:ind w:firstLine="720"/>
        <w:jc w:val="both"/>
        <w:rPr>
          <w:rFonts w:ascii="Book Antiqua" w:hAnsi="Book Antiqua"/>
          <w:sz w:val="20"/>
        </w:rPr>
      </w:pPr>
    </w:p>
    <w:p w:rsidR="00EE535C" w:rsidRDefault="00045A66" w:rsidP="004D4E88">
      <w:pPr>
        <w:pStyle w:val="Els-body-text"/>
        <w:ind w:firstLine="720"/>
        <w:rPr>
          <w:rFonts w:ascii="Book Antiqua" w:hAnsi="Book Antiqua"/>
        </w:rPr>
      </w:pPr>
      <w:r>
        <w:rPr>
          <w:rFonts w:ascii="Book Antiqua" w:hAnsi="Book Antiqua"/>
        </w:rPr>
        <w:t xml:space="preserve">Because the wavelengths remained the same, the color of the light remained the same.  This also means the energy stayed the same.  But because plants in earlier eras had more photons reaching them in any given amount of time, albeit of less individual intensity, they were able to photosynthesize the incoming energy more completely and thus were able to grow faster and to greater heights. </w:t>
      </w:r>
      <w:r w:rsidR="00EE535C" w:rsidRPr="007F73AB">
        <w:rPr>
          <w:rFonts w:ascii="Book Antiqua" w:hAnsi="Book Antiqua"/>
        </w:rPr>
        <w:t xml:space="preserve"> All these matters are explored in full detail in Chapter 10, with some additional detail about wave amplitudes in Chapter 2 and Appendix B.</w:t>
      </w:r>
    </w:p>
    <w:p w:rsidR="004B6882" w:rsidRDefault="004B6882" w:rsidP="004D4E88">
      <w:pPr>
        <w:pStyle w:val="Els-body-text"/>
        <w:ind w:firstLine="720"/>
        <w:rPr>
          <w:rFonts w:ascii="Book Antiqua" w:hAnsi="Book Antiqua"/>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Zero Point Energy and Relativity</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Finally, the SED approach using the Zero Point Energy can be shown to produce the same effects as Einstein’s relativity, but without any of the restrictive postulates that relativity requires. Furthermore it can be done with intuitive concepts and high school mathematics.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The basic postulates of relativity have recently been called into question. One is relativity’s contention that there is no absolute reference frame anywhere in the universe; everything is merely relative. The discovery of the Cosmic </w:t>
      </w:r>
      <w:r w:rsidRPr="007F73AB">
        <w:rPr>
          <w:rFonts w:ascii="Book Antiqua" w:hAnsi="Book Antiqua"/>
          <w:sz w:val="20"/>
        </w:rPr>
        <w:lastRenderedPageBreak/>
        <w:t>Microwave Background Radiation (CMBR) in 1964 changed that. This radiation is coming uniformly from all directions in space and has provided an absolute rest frame against which the actual velocity of the solar system, as well as our galaxy, and our whole Local Group of galaxies can be measured.</w:t>
      </w:r>
      <w:r w:rsidR="00E66BCC">
        <w:rPr>
          <w:rFonts w:ascii="Book Antiqua" w:hAnsi="Book Antiqua"/>
          <w:sz w:val="20"/>
        </w:rPr>
        <w:t xml:space="preserve"> The CMB radiation is slightly “warmer” in the direction of travel and slightly “cooler” in the opposite direction due to a genuine Doppler effect.</w:t>
      </w:r>
    </w:p>
    <w:p w:rsidR="00EE535C" w:rsidRPr="007F73AB" w:rsidRDefault="004D4E88" w:rsidP="00EE535C">
      <w:pPr>
        <w:pStyle w:val="NoSpacing"/>
        <w:ind w:firstLine="720"/>
        <w:jc w:val="both"/>
        <w:rPr>
          <w:rFonts w:ascii="Book Antiqua" w:hAnsi="Book Antiqua"/>
          <w:sz w:val="20"/>
        </w:rPr>
      </w:pPr>
      <w:r w:rsidRPr="007F73AB">
        <w:rPr>
          <w:rFonts w:ascii="Book Antiqua" w:hAnsi="Book Antiqua"/>
          <w:sz w:val="20"/>
        </w:rPr>
        <w:tab/>
      </w:r>
      <w:r w:rsidR="00E66BCC">
        <w:rPr>
          <w:rFonts w:ascii="Book Antiqua" w:hAnsi="Book Antiqua"/>
          <w:sz w:val="20"/>
        </w:rPr>
        <w:t xml:space="preserve"> </w:t>
      </w:r>
    </w:p>
    <w:p w:rsidR="00EE535C" w:rsidRPr="007F73AB" w:rsidRDefault="00EE535C" w:rsidP="004D4E88">
      <w:pPr>
        <w:pStyle w:val="NormPara"/>
        <w:ind w:firstLine="720"/>
        <w:rPr>
          <w:rStyle w:val="Emphasis"/>
          <w:i w:val="0"/>
          <w:color w:val="FF0000"/>
          <w:sz w:val="20"/>
        </w:rPr>
      </w:pPr>
      <w:r w:rsidRPr="007F73AB">
        <w:rPr>
          <w:sz w:val="20"/>
        </w:rPr>
        <w:t xml:space="preserve">In his book </w:t>
      </w:r>
      <w:r w:rsidRPr="007F73AB">
        <w:rPr>
          <w:b/>
          <w:sz w:val="20"/>
        </w:rPr>
        <w:t>Astrophysical Concepts</w:t>
      </w:r>
      <w:r w:rsidRPr="007F73AB">
        <w:rPr>
          <w:sz w:val="20"/>
        </w:rPr>
        <w:t xml:space="preserve">, Martin Harwit writes about the CMBR and states: </w:t>
      </w:r>
      <w:r w:rsidRPr="007F73AB">
        <w:rPr>
          <w:rStyle w:val="Emphasis"/>
          <w:sz w:val="20"/>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A604C4">
        <w:rPr>
          <w:rStyle w:val="Emphasis"/>
          <w:i w:val="0"/>
          <w:sz w:val="20"/>
        </w:rPr>
        <w:t>[</w:t>
      </w:r>
      <w:r w:rsidR="00A604C4" w:rsidRPr="00A604C4">
        <w:rPr>
          <w:rStyle w:val="Emphasis"/>
          <w:i w:val="0"/>
          <w:sz w:val="20"/>
        </w:rPr>
        <w:t>20</w:t>
      </w:r>
      <w:r w:rsidRPr="00A604C4">
        <w:rPr>
          <w:rStyle w:val="Emphasis"/>
          <w:i w:val="0"/>
          <w:sz w:val="20"/>
        </w:rPr>
        <w:t>]</w:t>
      </w:r>
    </w:p>
    <w:p w:rsidR="00EE535C" w:rsidRPr="007F73AB" w:rsidRDefault="00EE535C" w:rsidP="00EE535C">
      <w:pPr>
        <w:pStyle w:val="NormPara"/>
        <w:ind w:firstLine="270"/>
        <w:rPr>
          <w:rStyle w:val="Emphasis"/>
          <w:i w:val="0"/>
          <w:sz w:val="20"/>
        </w:rPr>
      </w:pPr>
    </w:p>
    <w:p w:rsidR="00EE535C" w:rsidRPr="007F73AB" w:rsidRDefault="00EE535C" w:rsidP="004D4E88">
      <w:pPr>
        <w:pStyle w:val="NormPara"/>
        <w:ind w:firstLine="720"/>
        <w:rPr>
          <w:sz w:val="20"/>
        </w:rPr>
      </w:pPr>
      <w:r w:rsidRPr="007F73AB">
        <w:rPr>
          <w:rStyle w:val="Emphasis"/>
          <w:sz w:val="20"/>
        </w:rPr>
        <w:t xml:space="preserve">  </w:t>
      </w:r>
      <w:r w:rsidRPr="007F73AB">
        <w:rPr>
          <w:sz w:val="20"/>
        </w:rPr>
        <w:t xml:space="preserve">Harwit then goes on to salvage what he can for relativity by saying </w:t>
      </w:r>
      <w:r w:rsidRPr="007F73AB">
        <w:rPr>
          <w:rStyle w:val="Emphasis"/>
          <w:sz w:val="20"/>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195904">
        <w:rPr>
          <w:rStyle w:val="Emphasis"/>
          <w:i w:val="0"/>
          <w:sz w:val="20"/>
        </w:rPr>
        <w:t>[</w:t>
      </w:r>
      <w:r w:rsidR="00A604C4" w:rsidRPr="00195904">
        <w:rPr>
          <w:rStyle w:val="Emphasis"/>
          <w:i w:val="0"/>
          <w:sz w:val="20"/>
        </w:rPr>
        <w:t>20</w:t>
      </w:r>
      <w:r w:rsidRPr="00195904">
        <w:rPr>
          <w:rStyle w:val="Emphasis"/>
          <w:i w:val="0"/>
          <w:sz w:val="20"/>
        </w:rPr>
        <w:t>]</w:t>
      </w:r>
      <w:r w:rsidRPr="007F73AB">
        <w:rPr>
          <w:rStyle w:val="Emphasis"/>
          <w:sz w:val="20"/>
        </w:rPr>
        <w:t xml:space="preserve"> </w:t>
      </w:r>
      <w:r w:rsidRPr="00946D6B">
        <w:rPr>
          <w:rStyle w:val="Emphasis"/>
          <w:i w:val="0"/>
          <w:sz w:val="20"/>
        </w:rPr>
        <w:t>Since Martin</w:t>
      </w:r>
      <w:r w:rsidRPr="007F73AB">
        <w:rPr>
          <w:rStyle w:val="Emphasis"/>
          <w:sz w:val="20"/>
        </w:rPr>
        <w:t xml:space="preserve"> </w:t>
      </w:r>
      <w:r w:rsidRPr="007F73AB">
        <w:rPr>
          <w:sz w:val="20"/>
        </w:rPr>
        <w:t>Harwit is correct, this implies that relativity needs a re-assessment. The presence of the ZPE allows another alternative to be considered in addition to those already suggested by other investigators.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One illustration of what the ZPE approach can offer </w:t>
      </w:r>
      <w:r w:rsidR="00045A66">
        <w:rPr>
          <w:rFonts w:ascii="Book Antiqua" w:hAnsi="Book Antiqua"/>
          <w:sz w:val="20"/>
        </w:rPr>
        <w:t>has to do with</w:t>
      </w:r>
      <w:r w:rsidRPr="007F73AB">
        <w:rPr>
          <w:rFonts w:ascii="Book Antiqua" w:hAnsi="Book Antiqua"/>
          <w:sz w:val="20"/>
        </w:rPr>
        <w:t xml:space="preserve"> the bending of light in a gravitational field. </w:t>
      </w:r>
      <w:r w:rsidR="00045A66">
        <w:rPr>
          <w:rFonts w:ascii="Book Antiqua" w:hAnsi="Book Antiqua"/>
          <w:sz w:val="20"/>
        </w:rPr>
        <w:t>G</w:t>
      </w:r>
      <w:r w:rsidRPr="007F73AB">
        <w:rPr>
          <w:rFonts w:ascii="Book Antiqua" w:hAnsi="Book Antiqua"/>
          <w:sz w:val="20"/>
        </w:rPr>
        <w:t>ravitational field</w:t>
      </w:r>
      <w:r w:rsidR="00045A66">
        <w:rPr>
          <w:rFonts w:ascii="Book Antiqua" w:hAnsi="Book Antiqua"/>
          <w:sz w:val="20"/>
        </w:rPr>
        <w:t>s</w:t>
      </w:r>
      <w:r w:rsidRPr="007F73AB">
        <w:rPr>
          <w:rFonts w:ascii="Book Antiqua" w:hAnsi="Book Antiqua"/>
          <w:sz w:val="20"/>
        </w:rPr>
        <w:t xml:space="preserve"> </w:t>
      </w:r>
      <w:r w:rsidR="00045A66">
        <w:rPr>
          <w:rFonts w:ascii="Book Antiqua" w:hAnsi="Book Antiqua"/>
          <w:sz w:val="20"/>
        </w:rPr>
        <w:t>are</w:t>
      </w:r>
      <w:r w:rsidRPr="007F73AB">
        <w:rPr>
          <w:rFonts w:ascii="Book Antiqua" w:hAnsi="Book Antiqua"/>
          <w:sz w:val="20"/>
        </w:rPr>
        <w:t xml:space="preserve"> associated with massive objects</w:t>
      </w:r>
      <w:r w:rsidR="00045A66">
        <w:rPr>
          <w:rFonts w:ascii="Book Antiqua" w:hAnsi="Book Antiqua"/>
          <w:sz w:val="20"/>
        </w:rPr>
        <w:t>.  But even</w:t>
      </w:r>
      <w:r w:rsidRPr="007F73AB">
        <w:rPr>
          <w:rFonts w:ascii="Book Antiqua" w:hAnsi="Book Antiqua"/>
          <w:sz w:val="20"/>
        </w:rPr>
        <w:t xml:space="preserve"> massive objects are made up of sub-atomic particles. These particles are undergoing the jitter motion caused by the Zero Point Energy. Each particle is charged, since even a neutron can be considered to be made up of a proton and an electron bound together. Alternately, it can be asserted that all matter is made up of charged quarks and these are “jittered” by the ZPE.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It has been known from classical electrodynamics that a charged particle being “jittered” or changing direction gives off a secondary radiation. This secondary radiation then locally boosts the ZPE strength in </w:t>
      </w:r>
      <w:r w:rsidR="00045A66">
        <w:rPr>
          <w:rFonts w:ascii="Book Antiqua" w:hAnsi="Book Antiqua"/>
          <w:sz w:val="20"/>
        </w:rPr>
        <w:t>its</w:t>
      </w:r>
      <w:r w:rsidRPr="007F73AB">
        <w:rPr>
          <w:rFonts w:ascii="Book Antiqua" w:hAnsi="Book Antiqua"/>
          <w:sz w:val="20"/>
        </w:rPr>
        <w:t xml:space="preserve"> vicinity. </w:t>
      </w:r>
      <w:r w:rsidR="00045A66">
        <w:rPr>
          <w:rFonts w:ascii="Book Antiqua" w:hAnsi="Book Antiqua"/>
          <w:sz w:val="20"/>
        </w:rPr>
        <w:t>This results in</w:t>
      </w:r>
      <w:r w:rsidRPr="007F73AB">
        <w:rPr>
          <w:rFonts w:ascii="Book Antiqua" w:hAnsi="Book Antiqua"/>
          <w:sz w:val="20"/>
        </w:rPr>
        <w:t xml:space="preserve"> a stronger ZPE in the immediate locality of massive objects. A stronger ZPE results in a slower speed of light. It is in this instance we can go back to the illustration of a straw in water appearing to be broken at the surface of the water.  In the presence of massive objects, where the ZPE is locally stronger, there are two different mediums present in the path of the light ray. The light ray is bent as it goes through this denser medium. This is the reason light will be bent in the presence of large astronomical objects.  There is no need for the strange geometric property of space-time that Einstein needed</w:t>
      </w:r>
      <w:r w:rsidR="00946D6B">
        <w:rPr>
          <w:rFonts w:ascii="Book Antiqua" w:hAnsi="Book Antiqua"/>
          <w:sz w:val="20"/>
        </w:rPr>
        <w:t>.</w:t>
      </w:r>
      <w:r w:rsidRPr="007F73AB">
        <w:rPr>
          <w:rFonts w:ascii="Book Antiqua" w:hAnsi="Book Antiqua"/>
          <w:sz w:val="20"/>
        </w:rPr>
        <w:t xml:space="preserve"> A fuller discussion of many items of importance to both special and general relativity occurs in Chapter 7. An extended technical summary of all this research is given in Chapter 11.</w:t>
      </w:r>
    </w:p>
    <w:p w:rsidR="00EE535C" w:rsidRDefault="00EE535C" w:rsidP="00EE535C">
      <w:pPr>
        <w:rPr>
          <w:rFonts w:ascii="Book Antiqua" w:hAnsi="Book Antiqua"/>
          <w:b/>
        </w:rPr>
      </w:pPr>
    </w:p>
    <w:p w:rsidR="00A4752B" w:rsidRPr="007F73AB" w:rsidRDefault="00A4752B" w:rsidP="00EE535C">
      <w:pPr>
        <w:rPr>
          <w:rFonts w:ascii="Book Antiqua" w:hAnsi="Book Antiqua"/>
          <w:b/>
        </w:rPr>
      </w:pPr>
    </w:p>
    <w:p w:rsidR="00EE535C" w:rsidRPr="007F73AB" w:rsidRDefault="00EE535C" w:rsidP="00EE535C">
      <w:pPr>
        <w:rPr>
          <w:rFonts w:ascii="Book Antiqua" w:hAnsi="Book Antiqua"/>
          <w:b/>
          <w:i/>
        </w:rPr>
      </w:pPr>
      <w:r w:rsidRPr="007F73AB">
        <w:rPr>
          <w:rFonts w:ascii="Book Antiqua" w:hAnsi="Book Antiqua"/>
          <w:b/>
        </w:rPr>
        <w:t xml:space="preserve">References </w:t>
      </w:r>
      <w:r w:rsidRPr="007F73AB">
        <w:rPr>
          <w:rFonts w:ascii="Book Antiqua" w:hAnsi="Book Antiqua"/>
          <w:b/>
          <w:i/>
        </w:rPr>
        <w:t xml:space="preserve">– </w:t>
      </w:r>
      <w:r w:rsidRPr="007F73AB">
        <w:rPr>
          <w:rFonts w:ascii="Book Antiqua" w:hAnsi="Book Antiqua"/>
          <w:i/>
        </w:rPr>
        <w:t>All URL’s retrieved 9/13/12</w:t>
      </w:r>
    </w:p>
    <w:p w:rsidR="00EE535C" w:rsidRPr="007F73AB" w:rsidRDefault="00EE535C" w:rsidP="00EE535C">
      <w:pPr>
        <w:rPr>
          <w:rFonts w:ascii="Book Antiqua" w:hAnsi="Book Antiqua"/>
          <w:b/>
          <w:sz w:val="16"/>
          <w:szCs w:val="16"/>
        </w:rPr>
      </w:pP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[1] M. Planck, </w:t>
      </w:r>
      <w:r w:rsidRPr="007F73AB">
        <w:rPr>
          <w:rFonts w:ascii="Book Antiqua" w:hAnsi="Book Antiqua"/>
          <w:i/>
          <w:sz w:val="16"/>
          <w:szCs w:val="16"/>
        </w:rPr>
        <w:t>Verhandlungen der Deutschen Physikalischen Gesellschaft</w:t>
      </w:r>
      <w:r w:rsidRPr="007F73AB">
        <w:rPr>
          <w:rFonts w:ascii="Book Antiqua" w:hAnsi="Book Antiqua"/>
          <w:sz w:val="16"/>
          <w:szCs w:val="16"/>
        </w:rPr>
        <w:t xml:space="preserve"> </w:t>
      </w:r>
      <w:r w:rsidRPr="007F73AB">
        <w:rPr>
          <w:rFonts w:ascii="Book Antiqua" w:hAnsi="Book Antiqua"/>
          <w:b/>
          <w:bCs/>
          <w:sz w:val="16"/>
          <w:szCs w:val="16"/>
        </w:rPr>
        <w:t xml:space="preserve">13 </w:t>
      </w:r>
      <w:r w:rsidRPr="007F73AB">
        <w:rPr>
          <w:rFonts w:ascii="Book Antiqua" w:hAnsi="Book Antiqua"/>
          <w:sz w:val="16"/>
          <w:szCs w:val="16"/>
        </w:rPr>
        <w:t>(1911), p.138.</w:t>
      </w:r>
    </w:p>
    <w:p w:rsidR="00EE535C" w:rsidRPr="007F73AB" w:rsidRDefault="00EE535C" w:rsidP="00EE535C">
      <w:pPr>
        <w:rPr>
          <w:rFonts w:ascii="Book Antiqua" w:hAnsi="Book Antiqua"/>
          <w:sz w:val="16"/>
          <w:szCs w:val="16"/>
        </w:rPr>
      </w:pPr>
      <w:r w:rsidRPr="007F73AB">
        <w:rPr>
          <w:rFonts w:ascii="Book Antiqua" w:hAnsi="Book Antiqua"/>
          <w:sz w:val="16"/>
          <w:szCs w:val="16"/>
        </w:rPr>
        <w:t>[2] L. de Broglie</w:t>
      </w:r>
      <w:r w:rsidRPr="007F73AB">
        <w:rPr>
          <w:rFonts w:ascii="Book Antiqua" w:hAnsi="Book Antiqua"/>
          <w:i/>
          <w:sz w:val="16"/>
          <w:szCs w:val="16"/>
        </w:rPr>
        <w:t>, New Perspectives in Physics</w:t>
      </w:r>
      <w:r w:rsidRPr="007F73AB">
        <w:rPr>
          <w:rFonts w:ascii="Book Antiqua" w:hAnsi="Book Antiqua"/>
          <w:sz w:val="16"/>
          <w:szCs w:val="16"/>
        </w:rPr>
        <w:t>, Basic Books Publishing Co., New York, 1962.</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[3] </w:t>
      </w:r>
      <w:r w:rsidR="002F274A" w:rsidRPr="005627CB">
        <w:rPr>
          <w:rFonts w:ascii="Book Antiqua" w:hAnsi="Book Antiqua"/>
          <w:sz w:val="16"/>
          <w:szCs w:val="16"/>
        </w:rPr>
        <w:t>J</w:t>
      </w:r>
      <w:r w:rsidR="002F274A">
        <w:rPr>
          <w:rFonts w:ascii="Book Antiqua" w:hAnsi="Book Antiqua"/>
          <w:sz w:val="16"/>
          <w:szCs w:val="16"/>
        </w:rPr>
        <w:t>.</w:t>
      </w:r>
      <w:r w:rsidR="002F274A" w:rsidRPr="005627CB">
        <w:rPr>
          <w:rFonts w:ascii="Book Antiqua" w:hAnsi="Book Antiqua"/>
          <w:sz w:val="16"/>
          <w:szCs w:val="16"/>
        </w:rPr>
        <w:t xml:space="preserve"> Narlikar &amp; H</w:t>
      </w:r>
      <w:r w:rsidR="002F274A">
        <w:rPr>
          <w:rFonts w:ascii="Book Antiqua" w:hAnsi="Book Antiqua"/>
          <w:sz w:val="16"/>
          <w:szCs w:val="16"/>
        </w:rPr>
        <w:t>.</w:t>
      </w:r>
      <w:r w:rsidR="002F274A" w:rsidRPr="005627CB">
        <w:rPr>
          <w:rFonts w:ascii="Book Antiqua" w:hAnsi="Book Antiqua"/>
          <w:sz w:val="16"/>
          <w:szCs w:val="16"/>
        </w:rPr>
        <w:t xml:space="preserve"> Arp, </w:t>
      </w:r>
      <w:r w:rsidR="002F274A">
        <w:rPr>
          <w:rFonts w:ascii="Book Antiqua" w:hAnsi="Book Antiqua"/>
          <w:sz w:val="16"/>
          <w:szCs w:val="16"/>
        </w:rPr>
        <w:t>“Flat Spacetime Cosmology: A Unified Framework for Extragalactic Redshifts”</w:t>
      </w:r>
      <w:r w:rsidR="002F274A" w:rsidRPr="005627CB">
        <w:rPr>
          <w:rFonts w:ascii="Book Antiqua" w:hAnsi="Book Antiqua"/>
          <w:i/>
          <w:iCs/>
          <w:sz w:val="16"/>
          <w:szCs w:val="16"/>
        </w:rPr>
        <w:t xml:space="preserve">Astrophysical Journal </w:t>
      </w:r>
      <w:r w:rsidR="002F274A" w:rsidRPr="005627CB">
        <w:rPr>
          <w:rFonts w:ascii="Book Antiqua" w:hAnsi="Book Antiqua"/>
          <w:b/>
          <w:bCs/>
          <w:sz w:val="16"/>
          <w:szCs w:val="16"/>
        </w:rPr>
        <w:t>405</w:t>
      </w:r>
      <w:r w:rsidR="002F274A" w:rsidRPr="005627CB">
        <w:rPr>
          <w:rFonts w:ascii="Book Antiqua" w:hAnsi="Book Antiqua"/>
          <w:sz w:val="16"/>
          <w:szCs w:val="16"/>
        </w:rPr>
        <w:t>:</w:t>
      </w:r>
      <w:r w:rsidR="002F274A">
        <w:rPr>
          <w:rFonts w:ascii="Book Antiqua" w:hAnsi="Book Antiqua"/>
          <w:sz w:val="16"/>
          <w:szCs w:val="16"/>
        </w:rPr>
        <w:t>1, pp.</w:t>
      </w:r>
      <w:r w:rsidR="002F274A" w:rsidRPr="005627CB">
        <w:rPr>
          <w:rFonts w:ascii="Book Antiqua" w:hAnsi="Book Antiqua"/>
          <w:sz w:val="16"/>
          <w:szCs w:val="16"/>
        </w:rPr>
        <w:t>51</w:t>
      </w:r>
      <w:r w:rsidR="002F274A">
        <w:rPr>
          <w:rFonts w:ascii="Book Antiqua" w:hAnsi="Book Antiqua"/>
          <w:sz w:val="16"/>
          <w:szCs w:val="16"/>
        </w:rPr>
        <w:t xml:space="preserve">-56, (March 1, </w:t>
      </w:r>
      <w:r w:rsidR="002F274A" w:rsidRPr="005627CB">
        <w:rPr>
          <w:rFonts w:ascii="Book Antiqua" w:hAnsi="Book Antiqua"/>
          <w:sz w:val="16"/>
          <w:szCs w:val="16"/>
        </w:rPr>
        <w:t>1993).</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[4] H. E. Puthoff, </w:t>
      </w:r>
      <w:r w:rsidRPr="007F73AB">
        <w:rPr>
          <w:rFonts w:ascii="Book Antiqua" w:hAnsi="Book Antiqua"/>
          <w:i/>
          <w:sz w:val="16"/>
          <w:szCs w:val="16"/>
        </w:rPr>
        <w:t>Phys. Rev. A</w:t>
      </w:r>
      <w:r w:rsidRPr="007F73AB">
        <w:rPr>
          <w:rFonts w:ascii="Book Antiqua" w:hAnsi="Book Antiqua"/>
          <w:sz w:val="16"/>
          <w:szCs w:val="16"/>
        </w:rPr>
        <w:t xml:space="preserve"> </w:t>
      </w:r>
      <w:r w:rsidRPr="007F73AB">
        <w:rPr>
          <w:rFonts w:ascii="Book Antiqua" w:hAnsi="Book Antiqua"/>
          <w:b/>
          <w:sz w:val="16"/>
          <w:szCs w:val="16"/>
        </w:rPr>
        <w:t>40</w:t>
      </w:r>
      <w:r w:rsidRPr="007F73AB">
        <w:rPr>
          <w:rFonts w:ascii="Book Antiqua" w:hAnsi="Book Antiqua"/>
          <w:sz w:val="16"/>
          <w:szCs w:val="16"/>
        </w:rPr>
        <w:t xml:space="preserve"> (9):4857 (1989).</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[5] M. Brooks, 'Operation Alpha', </w:t>
      </w:r>
      <w:r w:rsidRPr="007F73AB">
        <w:rPr>
          <w:rFonts w:ascii="Book Antiqua" w:hAnsi="Book Antiqua"/>
          <w:i/>
          <w:sz w:val="16"/>
          <w:szCs w:val="16"/>
        </w:rPr>
        <w:t>New Scientist</w:t>
      </w:r>
      <w:r w:rsidRPr="007F73AB">
        <w:rPr>
          <w:rFonts w:ascii="Book Antiqua" w:hAnsi="Book Antiqua"/>
          <w:sz w:val="16"/>
          <w:szCs w:val="16"/>
        </w:rPr>
        <w:t>, 23 Oct. 2010, p33-35.</w:t>
      </w:r>
    </w:p>
    <w:p w:rsidR="00EE535C" w:rsidRPr="007F73AB" w:rsidRDefault="00EE535C" w:rsidP="00EE535C">
      <w:pPr>
        <w:pStyle w:val="Default"/>
        <w:rPr>
          <w:rFonts w:ascii="Book Antiqua" w:hAnsi="Book Antiqua"/>
          <w:sz w:val="16"/>
          <w:szCs w:val="16"/>
          <w:u w:val="single"/>
        </w:rPr>
      </w:pPr>
      <w:proofErr w:type="gramStart"/>
      <w:r w:rsidRPr="007F73AB">
        <w:rPr>
          <w:rFonts w:ascii="Book Antiqua" w:hAnsi="Book Antiqua"/>
          <w:sz w:val="16"/>
          <w:szCs w:val="16"/>
        </w:rPr>
        <w:t xml:space="preserve">[6] P. S. Wesson, </w:t>
      </w:r>
      <w:r w:rsidRPr="007F73AB">
        <w:rPr>
          <w:rFonts w:ascii="Book Antiqua" w:hAnsi="Book Antiqua"/>
          <w:i/>
          <w:sz w:val="16"/>
          <w:szCs w:val="16"/>
        </w:rPr>
        <w:t>Cosmology and Geophysics</w:t>
      </w:r>
      <w:r w:rsidRPr="007F73AB">
        <w:rPr>
          <w:rFonts w:ascii="Book Antiqua" w:hAnsi="Book Antiqua"/>
          <w:b/>
          <w:sz w:val="16"/>
          <w:szCs w:val="16"/>
        </w:rPr>
        <w:t xml:space="preserve">, </w:t>
      </w:r>
      <w:r w:rsidRPr="007F73AB">
        <w:rPr>
          <w:rFonts w:ascii="Book Antiqua" w:hAnsi="Book Antiqua"/>
          <w:sz w:val="16"/>
          <w:szCs w:val="16"/>
        </w:rPr>
        <w:t>p. 122, Adam Hilger Ltd, Bristol (1978).</w:t>
      </w:r>
      <w:proofErr w:type="gramEnd"/>
    </w:p>
    <w:p w:rsidR="00EE535C" w:rsidRPr="007F73AB" w:rsidRDefault="00EE535C" w:rsidP="00EE535C">
      <w:pPr>
        <w:pStyle w:val="Default"/>
        <w:rPr>
          <w:rFonts w:ascii="Book Antiqua" w:hAnsi="Book Antiqua"/>
          <w:sz w:val="16"/>
          <w:szCs w:val="16"/>
        </w:rPr>
      </w:pPr>
      <w:proofErr w:type="gramStart"/>
      <w:r w:rsidRPr="007F73AB">
        <w:rPr>
          <w:rFonts w:ascii="Book Antiqua" w:hAnsi="Book Antiqua"/>
          <w:sz w:val="16"/>
          <w:szCs w:val="16"/>
        </w:rPr>
        <w:t xml:space="preserve">[7] M. Chown, </w:t>
      </w:r>
      <w:r w:rsidRPr="007F73AB">
        <w:rPr>
          <w:rFonts w:ascii="Book Antiqua" w:hAnsi="Book Antiqua"/>
          <w:i/>
          <w:sz w:val="16"/>
          <w:szCs w:val="16"/>
        </w:rPr>
        <w:t>New Scientist</w:t>
      </w:r>
      <w:r w:rsidRPr="007F73AB">
        <w:rPr>
          <w:rFonts w:ascii="Book Antiqua" w:hAnsi="Book Antiqua"/>
          <w:sz w:val="16"/>
          <w:szCs w:val="16"/>
        </w:rPr>
        <w:t>, pp.22-25, (3 Feb, 2001).</w:t>
      </w:r>
      <w:proofErr w:type="gramEnd"/>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[8] Science Editor</w:t>
      </w:r>
      <w:proofErr w:type="gramStart"/>
      <w:r w:rsidRPr="007F73AB">
        <w:rPr>
          <w:rFonts w:ascii="Book Antiqua" w:hAnsi="Book Antiqua"/>
          <w:sz w:val="16"/>
          <w:szCs w:val="16"/>
        </w:rPr>
        <w:t>,“</w:t>
      </w:r>
      <w:proofErr w:type="gramEnd"/>
      <w:r w:rsidRPr="007F73AB">
        <w:rPr>
          <w:rFonts w:ascii="Book Antiqua" w:hAnsi="Book Antiqua"/>
          <w:sz w:val="16"/>
          <w:szCs w:val="16"/>
        </w:rPr>
        <w:t xml:space="preserve">Beyond the Higgs,” </w:t>
      </w:r>
      <w:r w:rsidRPr="007F73AB">
        <w:rPr>
          <w:rFonts w:ascii="Book Antiqua" w:hAnsi="Book Antiqua"/>
          <w:i/>
          <w:sz w:val="16"/>
          <w:szCs w:val="16"/>
        </w:rPr>
        <w:t>New Scientist</w:t>
      </w:r>
      <w:r w:rsidRPr="007F73AB">
        <w:rPr>
          <w:rFonts w:ascii="Book Antiqua" w:hAnsi="Book Antiqua"/>
          <w:sz w:val="16"/>
          <w:szCs w:val="16"/>
        </w:rPr>
        <w:t xml:space="preserve"> No.2873, pp. 6-9, (14 July, 2012).</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[9] B. Haisch, A. Rueda, H. E. Puthoff, </w:t>
      </w:r>
      <w:r w:rsidRPr="007F73AB">
        <w:rPr>
          <w:rFonts w:ascii="Book Antiqua" w:hAnsi="Book Antiqua"/>
          <w:i/>
          <w:iCs/>
          <w:sz w:val="16"/>
          <w:szCs w:val="16"/>
        </w:rPr>
        <w:t xml:space="preserve">Phys. Rev. A </w:t>
      </w:r>
      <w:r w:rsidRPr="007F73AB">
        <w:rPr>
          <w:rFonts w:ascii="Book Antiqua" w:hAnsi="Book Antiqua"/>
          <w:b/>
          <w:bCs/>
          <w:sz w:val="16"/>
          <w:szCs w:val="16"/>
        </w:rPr>
        <w:t xml:space="preserve">49, </w:t>
      </w:r>
      <w:r w:rsidRPr="007F73AB">
        <w:rPr>
          <w:rFonts w:ascii="Book Antiqua" w:hAnsi="Book Antiqua"/>
          <w:bCs/>
          <w:sz w:val="16"/>
          <w:szCs w:val="16"/>
        </w:rPr>
        <w:t xml:space="preserve">p. </w:t>
      </w:r>
      <w:r w:rsidRPr="007F73AB">
        <w:rPr>
          <w:rFonts w:ascii="Book Antiqua" w:hAnsi="Book Antiqua"/>
          <w:sz w:val="16"/>
          <w:szCs w:val="16"/>
        </w:rPr>
        <w:t>678-694 (1994).</w:t>
      </w:r>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[10] See NIST website</w:t>
      </w:r>
      <w:r w:rsidRPr="007F73AB">
        <w:rPr>
          <w:rFonts w:ascii="Book Antiqua" w:hAnsi="Book Antiqua"/>
          <w:i/>
          <w:sz w:val="16"/>
          <w:szCs w:val="16"/>
        </w:rPr>
        <w:t xml:space="preserve"> </w:t>
      </w:r>
      <w:hyperlink r:id="rId28" w:history="1">
        <w:r w:rsidRPr="007F73AB">
          <w:rPr>
            <w:rStyle w:val="Hyperlink"/>
            <w:rFonts w:ascii="Book Antiqua" w:hAnsi="Book Antiqua"/>
            <w:i/>
            <w:szCs w:val="16"/>
          </w:rPr>
          <w:t>http://physics.nist.gov/cuu/Constants/alpha.html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 xml:space="preserve">[11] L. de la Pena, ‘Stochastic Electrodynamics: Its Development, Present Situation, And Perspectives,’ in </w:t>
      </w:r>
      <w:r w:rsidRPr="007F73AB">
        <w:rPr>
          <w:rFonts w:ascii="Book Antiqua" w:hAnsi="Book Antiqua"/>
          <w:i/>
          <w:sz w:val="16"/>
          <w:szCs w:val="16"/>
        </w:rPr>
        <w:t xml:space="preserve"> Stochastic Processes Applied to Physics and other Related Fields</w:t>
      </w:r>
      <w:r w:rsidRPr="007F73AB">
        <w:rPr>
          <w:rFonts w:ascii="Book Antiqua" w:hAnsi="Book Antiqua"/>
          <w:sz w:val="16"/>
          <w:szCs w:val="16"/>
        </w:rPr>
        <w:t xml:space="preserve">, B. Gomez et al. eds., pp. 428-451, (World Scientific Publishing Co. Pty. Ltd, 1983). </w:t>
      </w:r>
    </w:p>
    <w:p w:rsidR="00EE535C" w:rsidRPr="007F73AB" w:rsidRDefault="00EE535C" w:rsidP="00EE535C">
      <w:pPr>
        <w:pStyle w:val="NoSpacing"/>
        <w:rPr>
          <w:rFonts w:ascii="Book Antiqua" w:hAnsi="Book Antiqua"/>
          <w:sz w:val="16"/>
          <w:szCs w:val="16"/>
        </w:rPr>
      </w:pPr>
      <w:proofErr w:type="gramStart"/>
      <w:r w:rsidRPr="007F73AB">
        <w:rPr>
          <w:rFonts w:ascii="Book Antiqua" w:hAnsi="Book Antiqua"/>
          <w:sz w:val="16"/>
          <w:szCs w:val="16"/>
        </w:rPr>
        <w:t xml:space="preserve">[12] H. E. Puthoff, </w:t>
      </w:r>
      <w:r w:rsidRPr="007F73AB">
        <w:rPr>
          <w:rFonts w:ascii="Book Antiqua" w:hAnsi="Book Antiqua"/>
          <w:i/>
          <w:sz w:val="16"/>
          <w:szCs w:val="16"/>
        </w:rPr>
        <w:t>Phys. Rev. D</w:t>
      </w:r>
      <w:r w:rsidRPr="007F73AB">
        <w:rPr>
          <w:rFonts w:ascii="Book Antiqua" w:hAnsi="Book Antiqua"/>
          <w:sz w:val="16"/>
          <w:szCs w:val="16"/>
        </w:rPr>
        <w:t xml:space="preserve">, </w:t>
      </w:r>
      <w:r w:rsidRPr="007F73AB">
        <w:rPr>
          <w:rFonts w:ascii="Book Antiqua" w:hAnsi="Book Antiqua"/>
          <w:b/>
          <w:sz w:val="16"/>
          <w:szCs w:val="16"/>
        </w:rPr>
        <w:t>35</w:t>
      </w:r>
      <w:r w:rsidRPr="007F73AB">
        <w:rPr>
          <w:rFonts w:ascii="Book Antiqua" w:hAnsi="Book Antiqua"/>
          <w:sz w:val="16"/>
          <w:szCs w:val="16"/>
        </w:rPr>
        <w:t>:10 (1987) 3266.</w:t>
      </w:r>
      <w:proofErr w:type="gramEnd"/>
    </w:p>
    <w:p w:rsidR="00EE535C" w:rsidRDefault="00EE535C" w:rsidP="00EE535C">
      <w:pPr>
        <w:pStyle w:val="NoSpacing"/>
        <w:rPr>
          <w:rFonts w:ascii="Book Antiqua" w:hAnsi="Book Antiqua"/>
          <w:sz w:val="16"/>
          <w:szCs w:val="16"/>
        </w:rPr>
      </w:pPr>
      <w:r w:rsidRPr="007F73AB">
        <w:rPr>
          <w:rFonts w:ascii="Book Antiqua" w:hAnsi="Book Antiqua"/>
          <w:sz w:val="16"/>
          <w:szCs w:val="16"/>
        </w:rPr>
        <w:t xml:space="preserve">[13] For example see W. G. Tifft, </w:t>
      </w:r>
      <w:r w:rsidRPr="007F73AB">
        <w:rPr>
          <w:rFonts w:ascii="Book Antiqua" w:hAnsi="Book Antiqua"/>
          <w:i/>
          <w:iCs/>
          <w:sz w:val="16"/>
          <w:szCs w:val="16"/>
        </w:rPr>
        <w:t>Astrophysical Journal</w:t>
      </w:r>
      <w:r w:rsidRPr="007F73AB">
        <w:rPr>
          <w:rFonts w:ascii="Book Antiqua" w:hAnsi="Book Antiqua"/>
          <w:sz w:val="16"/>
          <w:szCs w:val="16"/>
        </w:rPr>
        <w:t xml:space="preserve">, </w:t>
      </w:r>
      <w:r w:rsidRPr="007F73AB">
        <w:rPr>
          <w:rFonts w:ascii="Book Antiqua" w:hAnsi="Book Antiqua"/>
          <w:b/>
          <w:bCs/>
          <w:sz w:val="16"/>
          <w:szCs w:val="16"/>
        </w:rPr>
        <w:t>382</w:t>
      </w:r>
      <w:r w:rsidRPr="007F73AB">
        <w:rPr>
          <w:rFonts w:ascii="Book Antiqua" w:hAnsi="Book Antiqua"/>
          <w:sz w:val="16"/>
          <w:szCs w:val="16"/>
        </w:rPr>
        <w:t>:396 (1991).</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14</w:t>
      </w:r>
      <w:r w:rsidRPr="005627CB">
        <w:rPr>
          <w:rFonts w:ascii="Book Antiqua" w:hAnsi="Book Antiqua"/>
          <w:sz w:val="16"/>
          <w:szCs w:val="16"/>
        </w:rPr>
        <w:t xml:space="preserve">]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w:t>
      </w:r>
      <w:r w:rsidRPr="005627CB">
        <w:rPr>
          <w:rFonts w:ascii="Book Antiqua" w:hAnsi="Book Antiqua"/>
          <w:sz w:val="16"/>
          <w:szCs w:val="16"/>
        </w:rPr>
        <w:t xml:space="preserve">5]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1A7F3B" w:rsidRPr="007F73AB" w:rsidRDefault="001A7F3B" w:rsidP="00EE535C">
      <w:pPr>
        <w:pStyle w:val="NoSpacing"/>
        <w:rPr>
          <w:rFonts w:ascii="Book Antiqua" w:hAnsi="Book Antiqua"/>
          <w:sz w:val="16"/>
          <w:szCs w:val="16"/>
        </w:rPr>
      </w:pPr>
      <w:r>
        <w:rPr>
          <w:rFonts w:ascii="Book Antiqua" w:hAnsi="Book Antiqua"/>
          <w:sz w:val="16"/>
          <w:szCs w:val="16"/>
        </w:rPr>
        <w:t xml:space="preserve">[16] </w:t>
      </w:r>
      <w:r w:rsidRPr="005627CB">
        <w:rPr>
          <w:rFonts w:ascii="Book Antiqua" w:hAnsi="Book Antiqua"/>
          <w:sz w:val="16"/>
          <w:szCs w:val="16"/>
        </w:rPr>
        <w:t xml:space="preserve">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:377 (1977).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[1</w:t>
      </w:r>
      <w:r w:rsidR="00195904">
        <w:rPr>
          <w:rFonts w:ascii="Book Antiqua" w:hAnsi="Book Antiqua"/>
          <w:sz w:val="16"/>
          <w:szCs w:val="16"/>
        </w:rPr>
        <w:t>7</w:t>
      </w:r>
      <w:r w:rsidRPr="007F73AB">
        <w:rPr>
          <w:rFonts w:ascii="Book Antiqua" w:hAnsi="Book Antiqua"/>
          <w:sz w:val="16"/>
          <w:szCs w:val="16"/>
        </w:rPr>
        <w:t xml:space="preserve">] A. L. Peratt, </w:t>
      </w:r>
      <w:r w:rsidRPr="007F73AB">
        <w:rPr>
          <w:rFonts w:ascii="Book Antiqua" w:hAnsi="Book Antiqua"/>
          <w:i/>
          <w:sz w:val="16"/>
          <w:szCs w:val="16"/>
        </w:rPr>
        <w:t>IEEE Transactions On Plasma Science</w:t>
      </w:r>
      <w:r w:rsidRPr="007F73AB">
        <w:rPr>
          <w:rFonts w:ascii="Book Antiqua" w:hAnsi="Book Antiqua"/>
          <w:sz w:val="16"/>
          <w:szCs w:val="16"/>
        </w:rPr>
        <w:t xml:space="preserve">, </w:t>
      </w:r>
      <w:r w:rsidRPr="007F73AB">
        <w:rPr>
          <w:rFonts w:ascii="Book Antiqua" w:hAnsi="Book Antiqua"/>
          <w:b/>
          <w:sz w:val="16"/>
          <w:szCs w:val="16"/>
        </w:rPr>
        <w:t>PS-14</w:t>
      </w:r>
      <w:r w:rsidRPr="007F73AB">
        <w:rPr>
          <w:rFonts w:ascii="Book Antiqua" w:hAnsi="Book Antiqua"/>
          <w:sz w:val="16"/>
          <w:szCs w:val="16"/>
        </w:rPr>
        <w:t>(6), pp. 763-</w:t>
      </w:r>
      <w:proofErr w:type="gramStart"/>
      <w:r w:rsidRPr="007F73AB">
        <w:rPr>
          <w:rFonts w:ascii="Book Antiqua" w:hAnsi="Book Antiqua"/>
          <w:sz w:val="16"/>
          <w:szCs w:val="16"/>
        </w:rPr>
        <w:t>778  (</w:t>
      </w:r>
      <w:proofErr w:type="gramEnd"/>
      <w:r w:rsidRPr="007F73AB">
        <w:rPr>
          <w:rFonts w:ascii="Book Antiqua" w:hAnsi="Book Antiqua"/>
          <w:sz w:val="16"/>
          <w:szCs w:val="16"/>
        </w:rPr>
        <w:t xml:space="preserve">December 1986). Also A. L. Peratt, </w:t>
      </w:r>
      <w:r w:rsidRPr="007F73AB">
        <w:rPr>
          <w:rFonts w:ascii="Book Antiqua" w:hAnsi="Book Antiqua"/>
          <w:i/>
          <w:sz w:val="16"/>
          <w:szCs w:val="16"/>
        </w:rPr>
        <w:t>Physics of the Plasma Universe</w:t>
      </w:r>
      <w:r w:rsidRPr="007F73AB">
        <w:rPr>
          <w:rFonts w:ascii="Book Antiqua" w:hAnsi="Book Antiqua"/>
          <w:sz w:val="16"/>
          <w:szCs w:val="16"/>
        </w:rPr>
        <w:t>, Chapter 4 Section 4.6.3 (Springer-Verlag, 1992).</w:t>
      </w:r>
    </w:p>
    <w:p w:rsidR="00EE535C" w:rsidRPr="007F73AB" w:rsidRDefault="00EE535C" w:rsidP="00EE535C">
      <w:pPr>
        <w:pStyle w:val="NoSpacing"/>
        <w:rPr>
          <w:rFonts w:ascii="Book Antiqua" w:hAnsi="Book Antiqua"/>
          <w:i/>
          <w:color w:val="FF0000"/>
          <w:sz w:val="16"/>
          <w:szCs w:val="16"/>
          <w:u w:val="single"/>
        </w:rPr>
      </w:pPr>
      <w:r w:rsidRPr="007F73AB">
        <w:rPr>
          <w:rFonts w:ascii="Book Antiqua" w:hAnsi="Book Antiqua"/>
          <w:sz w:val="16"/>
          <w:szCs w:val="16"/>
        </w:rPr>
        <w:t>[1</w:t>
      </w:r>
      <w:r w:rsidR="00195904">
        <w:rPr>
          <w:rFonts w:ascii="Book Antiqua" w:hAnsi="Book Antiqua"/>
          <w:sz w:val="16"/>
          <w:szCs w:val="16"/>
        </w:rPr>
        <w:t>8</w:t>
      </w:r>
      <w:r w:rsidRPr="007F73AB">
        <w:rPr>
          <w:rFonts w:ascii="Book Antiqua" w:hAnsi="Book Antiqua"/>
          <w:sz w:val="16"/>
          <w:szCs w:val="16"/>
        </w:rPr>
        <w:t xml:space="preserve">] D. Colman, “Body Size </w:t>
      </w:r>
      <w:proofErr w:type="gramStart"/>
      <w:r w:rsidRPr="007F73AB">
        <w:rPr>
          <w:rFonts w:ascii="Book Antiqua" w:hAnsi="Book Antiqua"/>
          <w:sz w:val="16"/>
          <w:szCs w:val="16"/>
        </w:rPr>
        <w:t>In</w:t>
      </w:r>
      <w:proofErr w:type="gramEnd"/>
      <w:r w:rsidRPr="007F73AB">
        <w:rPr>
          <w:rFonts w:ascii="Book Antiqua" w:hAnsi="Book Antiqua"/>
          <w:sz w:val="16"/>
          <w:szCs w:val="16"/>
        </w:rPr>
        <w:t xml:space="preserve"> Herbivorous Dinosaurs,” </w:t>
      </w:r>
      <w:hyperlink r:id="rId29" w:history="1">
        <w:r w:rsidRPr="007F73AB">
          <w:rPr>
            <w:rStyle w:val="Hyperlink"/>
            <w:rFonts w:ascii="Book Antiqua" w:hAnsi="Book Antiqua"/>
            <w:i/>
            <w:szCs w:val="16"/>
          </w:rPr>
          <w:t>http://www.mni.mcgill.ca/media/publications/neuroscienceletter/june09/colman/</w:t>
        </w:r>
      </w:hyperlink>
    </w:p>
    <w:p w:rsidR="00EE535C" w:rsidRPr="007F73AB" w:rsidRDefault="00EE535C" w:rsidP="00EE535C">
      <w:pPr>
        <w:pStyle w:val="NoSpacing"/>
        <w:jc w:val="both"/>
        <w:rPr>
          <w:rFonts w:ascii="Book Antiqua" w:hAnsi="Book Antiqua"/>
          <w:i/>
          <w:color w:val="FF0000"/>
          <w:sz w:val="16"/>
          <w:szCs w:val="16"/>
        </w:rPr>
      </w:pPr>
      <w:r w:rsidRPr="007F73AB">
        <w:rPr>
          <w:rFonts w:ascii="Book Antiqua" w:hAnsi="Book Antiqua"/>
          <w:sz w:val="16"/>
          <w:szCs w:val="16"/>
        </w:rPr>
        <w:t>[1</w:t>
      </w:r>
      <w:r w:rsidR="00195904">
        <w:rPr>
          <w:rFonts w:ascii="Book Antiqua" w:hAnsi="Book Antiqua"/>
          <w:sz w:val="16"/>
          <w:szCs w:val="16"/>
        </w:rPr>
        <w:t>9</w:t>
      </w:r>
      <w:r w:rsidRPr="007F73AB">
        <w:rPr>
          <w:rFonts w:ascii="Book Antiqua" w:hAnsi="Book Antiqua"/>
          <w:sz w:val="16"/>
          <w:szCs w:val="16"/>
        </w:rPr>
        <w:t xml:space="preserve">] F. A. Jenkins and H. E. White, </w:t>
      </w:r>
      <w:r w:rsidRPr="007F73AB">
        <w:rPr>
          <w:rFonts w:ascii="Book Antiqua" w:hAnsi="Book Antiqua"/>
          <w:i/>
          <w:sz w:val="16"/>
          <w:szCs w:val="16"/>
        </w:rPr>
        <w:t>Fundamentals of Optics</w:t>
      </w:r>
      <w:r w:rsidRPr="007F73AB">
        <w:rPr>
          <w:rFonts w:ascii="Book Antiqua" w:hAnsi="Book Antiqua"/>
          <w:sz w:val="16"/>
          <w:szCs w:val="16"/>
        </w:rPr>
        <w:t xml:space="preserve">, pp. 414, 481,  </w:t>
      </w:r>
    </w:p>
    <w:p w:rsidR="00EE535C" w:rsidRPr="007F73AB" w:rsidRDefault="00EE535C" w:rsidP="00EE535C">
      <w:pPr>
        <w:pStyle w:val="NoSpacing"/>
        <w:jc w:val="both"/>
        <w:rPr>
          <w:rFonts w:ascii="Book Antiqua" w:hAnsi="Book Antiqua"/>
          <w:sz w:val="16"/>
          <w:szCs w:val="16"/>
        </w:rPr>
      </w:pPr>
      <w:r w:rsidRPr="007F73AB">
        <w:rPr>
          <w:rFonts w:ascii="Book Antiqua" w:hAnsi="Book Antiqua"/>
          <w:sz w:val="16"/>
          <w:szCs w:val="16"/>
        </w:rPr>
        <w:lastRenderedPageBreak/>
        <w:t>McGraw-Hill, New York, 1957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w:t>
      </w:r>
      <w:r w:rsidR="00195904">
        <w:rPr>
          <w:rFonts w:ascii="Book Antiqua" w:hAnsi="Book Antiqua"/>
          <w:sz w:val="16"/>
          <w:szCs w:val="16"/>
        </w:rPr>
        <w:t>20</w:t>
      </w:r>
      <w:r w:rsidRPr="007F73AB">
        <w:rPr>
          <w:rFonts w:ascii="Book Antiqua" w:hAnsi="Book Antiqua"/>
          <w:sz w:val="16"/>
          <w:szCs w:val="16"/>
        </w:rPr>
        <w:t xml:space="preserve">] M. Harwit, </w:t>
      </w:r>
      <w:r w:rsidRPr="007F73AB">
        <w:rPr>
          <w:rFonts w:ascii="Book Antiqua" w:hAnsi="Book Antiqua"/>
          <w:i/>
          <w:sz w:val="16"/>
          <w:szCs w:val="16"/>
        </w:rPr>
        <w:t>Astrophysical Concepts,</w:t>
      </w:r>
      <w:r w:rsidRPr="007F73AB">
        <w:rPr>
          <w:rFonts w:ascii="Book Antiqua" w:hAnsi="Book Antiqua"/>
          <w:sz w:val="16"/>
          <w:szCs w:val="16"/>
        </w:rPr>
        <w:t xml:space="preserve"> p. 178 (Springer-Verlag, 1988).</w:t>
      </w:r>
    </w:p>
    <w:p w:rsidR="00EE535C" w:rsidRPr="007F73AB" w:rsidRDefault="00EE535C" w:rsidP="00EE535C">
      <w:pPr>
        <w:pStyle w:val="Default"/>
        <w:rPr>
          <w:rFonts w:ascii="Book Antiqua" w:hAnsi="Book Antiqua"/>
          <w:sz w:val="16"/>
          <w:szCs w:val="16"/>
        </w:rPr>
      </w:pPr>
    </w:p>
    <w:p w:rsidR="00EE535C" w:rsidRPr="007F73AB" w:rsidRDefault="00EE535C" w:rsidP="00EE535C">
      <w:pPr>
        <w:pStyle w:val="Default"/>
        <w:rPr>
          <w:rFonts w:ascii="Book Antiqua" w:hAnsi="Book Antiqua"/>
          <w:b/>
          <w:sz w:val="20"/>
          <w:szCs w:val="20"/>
        </w:rPr>
      </w:pPr>
      <w:r w:rsidRPr="007F73AB">
        <w:rPr>
          <w:rFonts w:ascii="Book Antiqua" w:hAnsi="Book Antiqua"/>
          <w:b/>
          <w:sz w:val="20"/>
          <w:szCs w:val="20"/>
        </w:rPr>
        <w:t xml:space="preserve">Figure References </w:t>
      </w:r>
      <w:r w:rsidRPr="007F73AB">
        <w:rPr>
          <w:rFonts w:ascii="Book Antiqua" w:hAnsi="Book Antiqua"/>
          <w:i/>
          <w:sz w:val="20"/>
          <w:szCs w:val="20"/>
        </w:rPr>
        <w:t>– All URL’s retrieved 9/13/12.</w:t>
      </w:r>
    </w:p>
    <w:p w:rsidR="00EE535C" w:rsidRPr="007F73AB" w:rsidRDefault="00EE535C" w:rsidP="00EE535C">
      <w:pPr>
        <w:pStyle w:val="Default"/>
        <w:rPr>
          <w:rFonts w:ascii="Book Antiqua" w:hAnsi="Book Antiqua"/>
          <w:b/>
          <w:sz w:val="16"/>
          <w:szCs w:val="16"/>
        </w:rPr>
      </w:pP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 xml:space="preserve">Figure 1: The Fabric of Space. </w:t>
      </w:r>
      <w:hyperlink r:id="rId30" w:history="1">
        <w:r w:rsidRPr="007F73AB">
          <w:rPr>
            <w:rStyle w:val="Hyperlink"/>
            <w:rFonts w:ascii="Book Antiqua" w:hAnsi="Book Antiqua"/>
            <w:i/>
            <w:szCs w:val="16"/>
          </w:rPr>
          <w:t>http://members.wolfram.com/jeffb/visualization/stringtheory.shtml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Straw in Water. </w:t>
      </w:r>
      <w:hyperlink r:id="rId31" w:history="1">
        <w:r w:rsidRPr="007F73AB">
          <w:rPr>
            <w:rStyle w:val="Hyperlink"/>
            <w:rFonts w:ascii="Book Antiqua" w:hAnsi="Book Antiqua"/>
            <w:i/>
            <w:szCs w:val="16"/>
          </w:rPr>
          <w:t>http://www.sciencemadesimple.co.uk/page72g.html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Wavefronts crowding together. </w:t>
      </w:r>
      <w:hyperlink r:id="rId32" w:history="1">
        <w:r w:rsidRPr="007F73AB">
          <w:rPr>
            <w:rStyle w:val="Hyperlink"/>
            <w:rFonts w:ascii="Book Antiqua" w:hAnsi="Book Antiqua"/>
            <w:i/>
            <w:szCs w:val="16"/>
          </w:rPr>
          <w:t>http://sci-toys.com/scitoys/scitoys/light/permanent_rainbows/permanent_rainbows.html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3: Long train with cars of fixed size. </w:t>
      </w:r>
      <w:hyperlink r:id="rId33" w:history="1">
        <w:r w:rsidRPr="007F73AB">
          <w:rPr>
            <w:rStyle w:val="Hyperlink"/>
            <w:rFonts w:ascii="Book Antiqua" w:hAnsi="Book Antiqua"/>
            <w:i/>
            <w:szCs w:val="16"/>
          </w:rPr>
          <w:t>http://www.taipeitimes.com/News/biz/archives/2012/09/06/2003542059</w:t>
        </w:r>
      </w:hyperlink>
    </w:p>
    <w:p w:rsidR="00EE535C" w:rsidRPr="007F73AB" w:rsidRDefault="00EE535C" w:rsidP="00EE535C">
      <w:pPr>
        <w:pStyle w:val="reference"/>
        <w:rPr>
          <w:i/>
          <w:szCs w:val="16"/>
        </w:rPr>
      </w:pPr>
      <w:r w:rsidRPr="007F73AB">
        <w:rPr>
          <w:color w:val="000000"/>
          <w:szCs w:val="16"/>
        </w:rPr>
        <w:t xml:space="preserve">Figure 5: Spectral lines of hydrogen, helium, mercury and uranium. </w:t>
      </w:r>
      <w:hyperlink r:id="rId34" w:history="1">
        <w:r w:rsidRPr="007F73AB">
          <w:rPr>
            <w:rStyle w:val="Hyperlink"/>
            <w:i/>
            <w:szCs w:val="16"/>
          </w:rPr>
          <w:t>http://www.19thpsalm.org/Ch01/index.html</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6: Redshift of spectral lines. </w:t>
      </w:r>
      <w:hyperlink r:id="rId35" w:history="1">
        <w:r w:rsidRPr="007F73AB">
          <w:rPr>
            <w:rStyle w:val="Hyperlink"/>
            <w:rFonts w:ascii="Book Antiqua" w:hAnsi="Book Antiqua"/>
            <w:i/>
            <w:szCs w:val="16"/>
          </w:rPr>
          <w:t>http://en.wikipedia.org/wiki/File:Redshift.png</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7: Stretching of wavelengths as the fabric of space is stretched. </w:t>
      </w:r>
      <w:hyperlink r:id="rId36" w:history="1">
        <w:r w:rsidRPr="007F73AB">
          <w:rPr>
            <w:rStyle w:val="Hyperlink"/>
            <w:rFonts w:ascii="Book Antiqua" w:hAnsi="Book Antiqua"/>
            <w:i/>
            <w:szCs w:val="16"/>
          </w:rPr>
          <w:t>http://www.astrobio.nau.edu/~koerner/ast180/lectures/lec23.html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8: Doppler Effect stretches wavelengths. </w:t>
      </w:r>
      <w:hyperlink r:id="rId37" w:history="1">
        <w:r w:rsidRPr="007F73AB">
          <w:rPr>
            <w:rStyle w:val="Hyperlink"/>
            <w:rFonts w:ascii="Book Antiqua" w:hAnsi="Book Antiqua"/>
            <w:i/>
            <w:szCs w:val="16"/>
          </w:rPr>
          <w:t>http://astro.unl.edu/naap/esp/dopplereffect.html</w:t>
        </w:r>
      </w:hyperlink>
    </w:p>
    <w:p w:rsidR="0037376E" w:rsidRPr="007F73AB" w:rsidRDefault="0037376E" w:rsidP="00EE535C">
      <w:pPr>
        <w:pStyle w:val="Default"/>
        <w:rPr>
          <w:rFonts w:ascii="Book Antiqua" w:hAnsi="Book Antiqua"/>
          <w:sz w:val="16"/>
          <w:szCs w:val="16"/>
        </w:rPr>
      </w:pPr>
      <w:r w:rsidRPr="007F73AB">
        <w:rPr>
          <w:rFonts w:ascii="Book Antiqua" w:hAnsi="Book Antiqua"/>
          <w:sz w:val="16"/>
          <w:szCs w:val="16"/>
        </w:rPr>
        <w:t xml:space="preserve">Figure 9: The four states of matter: solid, liquid, gas, plasma. </w:t>
      </w:r>
      <w:r w:rsidRPr="007F73AB">
        <w:rPr>
          <w:rFonts w:ascii="Book Antiqua" w:hAnsi="Book Antiqua"/>
          <w:i/>
          <w:sz w:val="16"/>
          <w:szCs w:val="16"/>
        </w:rPr>
        <w:t>http://www.nasa.gov/mission_pages/themis/auroras/sun_earth_connect.html</w:t>
      </w: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Figure 10: Miniature galaxy formation from plasma filaments.</w:t>
      </w:r>
    </w:p>
    <w:p w:rsidR="00EE535C" w:rsidRPr="007F73AB" w:rsidRDefault="00241D2F" w:rsidP="00EE535C">
      <w:pPr>
        <w:pStyle w:val="Default"/>
        <w:rPr>
          <w:rFonts w:ascii="Book Antiqua" w:hAnsi="Book Antiqua"/>
          <w:i/>
          <w:sz w:val="16"/>
          <w:szCs w:val="16"/>
        </w:rPr>
      </w:pPr>
      <w:hyperlink r:id="rId38" w:history="1">
        <w:r w:rsidR="00EE535C" w:rsidRPr="007F73AB">
          <w:rPr>
            <w:rStyle w:val="Hyperlink"/>
            <w:rFonts w:ascii="Book Antiqua" w:hAnsi="Book Antiqua"/>
            <w:i/>
            <w:szCs w:val="16"/>
          </w:rPr>
          <w:t>http://www.thunderbolts.info/tpod/2006/arch06/060602plasma-galaxy.htm</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Figure 11 Top Left: Ant Nebula Mz3 in Norma. </w:t>
      </w:r>
      <w:hyperlink r:id="rId39" w:history="1">
        <w:r w:rsidRPr="007F73AB">
          <w:rPr>
            <w:rStyle w:val="Hyperlink"/>
            <w:rFonts w:ascii="Book Antiqua" w:hAnsi="Book Antiqua"/>
            <w:szCs w:val="16"/>
          </w:rPr>
          <w:t>http://hubblesite.org/gallery/album/pr2001005a/</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Top Right: Bug nebula NGC 6302 in Scorpius.</w:t>
      </w:r>
    </w:p>
    <w:p w:rsidR="00EE535C" w:rsidRPr="007F73AB" w:rsidRDefault="00241D2F" w:rsidP="00EE535C">
      <w:pPr>
        <w:rPr>
          <w:rFonts w:ascii="Book Antiqua" w:hAnsi="Book Antiqua"/>
          <w:sz w:val="16"/>
          <w:szCs w:val="16"/>
        </w:rPr>
      </w:pPr>
      <w:hyperlink r:id="rId40" w:history="1">
        <w:r w:rsidR="00EE535C" w:rsidRPr="007F73AB">
          <w:rPr>
            <w:rStyle w:val="Hyperlink"/>
            <w:rFonts w:ascii="Book Antiqua" w:hAnsi="Book Antiqua"/>
            <w:szCs w:val="16"/>
          </w:rPr>
          <w:t>http://www.nasa.gov/mission_pages/hubble/multimedia/ero/ero_ngc6302.html</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Left: Double balloon nebula in Sagittarius.</w:t>
      </w:r>
    </w:p>
    <w:p w:rsidR="00EE535C" w:rsidRPr="007F73AB" w:rsidRDefault="00241D2F" w:rsidP="00EE535C">
      <w:pPr>
        <w:rPr>
          <w:rStyle w:val="Hyperlink"/>
          <w:rFonts w:ascii="Book Antiqua" w:hAnsi="Book Antiqua"/>
          <w:bCs/>
          <w:szCs w:val="16"/>
        </w:rPr>
      </w:pPr>
      <w:hyperlink r:id="rId41" w:history="1">
        <w:r w:rsidR="00EE535C" w:rsidRPr="007F73AB">
          <w:rPr>
            <w:rStyle w:val="Hyperlink"/>
            <w:rFonts w:ascii="Book Antiqua" w:hAnsi="Book Antiqua"/>
            <w:bCs/>
            <w:szCs w:val="16"/>
          </w:rPr>
          <w:t>http://hubblesite.org/newscenter/archive/releases/1997/38/image/f/</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Right: Butterfly wing nebula M2-9 in Ophiuchus.</w:t>
      </w:r>
    </w:p>
    <w:p w:rsidR="00EE535C" w:rsidRPr="007F73AB" w:rsidRDefault="00241D2F" w:rsidP="00EE535C">
      <w:pPr>
        <w:rPr>
          <w:rFonts w:ascii="Book Antiqua" w:hAnsi="Book Antiqua"/>
          <w:sz w:val="16"/>
          <w:szCs w:val="16"/>
        </w:rPr>
      </w:pPr>
      <w:hyperlink r:id="rId42" w:history="1">
        <w:r w:rsidR="00EE535C" w:rsidRPr="007F73AB">
          <w:rPr>
            <w:rStyle w:val="Hyperlink"/>
            <w:rFonts w:ascii="Book Antiqua" w:hAnsi="Book Antiqua"/>
            <w:szCs w:val="16"/>
          </w:rPr>
          <w:t>http://www.spacetelescope.org/projects/fits_liberator/fitsimages/danny_lacrue_11/</w:t>
        </w:r>
      </w:hyperlink>
    </w:p>
    <w:p w:rsidR="00EE535C" w:rsidRPr="007F73AB" w:rsidRDefault="00EE535C" w:rsidP="00EE535C">
      <w:pPr>
        <w:pStyle w:val="NoSpacing"/>
        <w:rPr>
          <w:rFonts w:ascii="Book Antiqua" w:hAnsi="Book Antiqua"/>
          <w:i/>
          <w:sz w:val="16"/>
          <w:szCs w:val="16"/>
        </w:rPr>
      </w:pPr>
      <w:r w:rsidRPr="007F73AB">
        <w:rPr>
          <w:rFonts w:ascii="Book Antiqua" w:hAnsi="Book Antiqua"/>
          <w:sz w:val="16"/>
          <w:szCs w:val="16"/>
        </w:rPr>
        <w:t xml:space="preserve">Figure 12: Size comparison of Paleozoic Fauna. </w:t>
      </w:r>
      <w:r w:rsidRPr="007F73AB">
        <w:rPr>
          <w:rFonts w:ascii="Book Antiqua" w:hAnsi="Book Antiqua"/>
          <w:i/>
          <w:sz w:val="16"/>
          <w:szCs w:val="16"/>
        </w:rPr>
        <w:t xml:space="preserve"> </w:t>
      </w:r>
      <w:hyperlink r:id="rId43" w:history="1">
        <w:r w:rsidRPr="007F73AB">
          <w:rPr>
            <w:rStyle w:val="Hyperlink"/>
            <w:rFonts w:ascii="Book Antiqua" w:hAnsi="Book Antiqua"/>
            <w:i/>
            <w:szCs w:val="16"/>
          </w:rPr>
          <w:t>http://written-in-stone-seen-through-my-lens.blogspot.com/2012/06/eurypterid-eurypterus-remipes-is_29.html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 xml:space="preserve">Figure 13: Wave amplitude differences. </w:t>
      </w:r>
      <w:hyperlink r:id="rId44" w:history="1">
        <w:r w:rsidRPr="007F73AB">
          <w:rPr>
            <w:rStyle w:val="Hyperlink"/>
            <w:rFonts w:ascii="Book Antiqua" w:hAnsi="Book Antiqua"/>
            <w:i/>
            <w:szCs w:val="16"/>
          </w:rPr>
          <w:t>http://www.nasa.gov/missions/science/f_interference.html</w:t>
        </w:r>
      </w:hyperlink>
    </w:p>
    <w:p w:rsidR="00EE535C" w:rsidRPr="007F73AB" w:rsidRDefault="00EE535C" w:rsidP="00EE535C">
      <w:pPr>
        <w:pStyle w:val="NoSpacing"/>
        <w:rPr>
          <w:rFonts w:ascii="Book Antiqua" w:hAnsi="Book Antiqua" w:cs="BookAntiqua"/>
          <w:i/>
          <w:color w:val="FF0000"/>
          <w:sz w:val="16"/>
          <w:szCs w:val="16"/>
        </w:rPr>
      </w:pPr>
    </w:p>
    <w:p w:rsidR="00EE535C" w:rsidRPr="005825EA" w:rsidRDefault="00EE535C" w:rsidP="00EE535C">
      <w:pPr>
        <w:pStyle w:val="Default"/>
        <w:jc w:val="center"/>
        <w:rPr>
          <w:rFonts w:ascii="Book Antiqua" w:hAnsi="Book Antiqua"/>
          <w:b/>
          <w:sz w:val="28"/>
          <w:szCs w:val="28"/>
        </w:rPr>
      </w:pPr>
      <w:r w:rsidRPr="005825EA">
        <w:rPr>
          <w:rFonts w:ascii="Book Antiqua" w:hAnsi="Book Antiqua"/>
          <w:b/>
          <w:sz w:val="28"/>
          <w:szCs w:val="28"/>
        </w:rPr>
        <w:t>*  *  *  *  *  *  *</w:t>
      </w:r>
    </w:p>
    <w:p w:rsidR="00A01808" w:rsidRDefault="00A01808">
      <w:pPr>
        <w:widowControl/>
        <w:spacing w:after="200" w:line="276" w:lineRule="auto"/>
        <w:rPr>
          <w:rFonts w:ascii="Book Antiqua" w:hAnsi="Book Antiqua"/>
          <w:lang w:val="en-US"/>
        </w:rPr>
      </w:pPr>
      <w:r>
        <w:rPr>
          <w:rFonts w:ascii="Book Antiqua" w:hAnsi="Book Antiqua"/>
        </w:rPr>
        <w:br w:type="page"/>
      </w:r>
    </w:p>
    <w:p w:rsidR="00AC4336" w:rsidRPr="00115CF5" w:rsidRDefault="00AC4336" w:rsidP="00FF3454">
      <w:pPr>
        <w:pStyle w:val="Default"/>
        <w:jc w:val="center"/>
        <w:rPr>
          <w:rFonts w:ascii="Book Antiqua" w:hAnsi="Book Antiqua"/>
          <w:b/>
        </w:rPr>
      </w:pPr>
      <w:r w:rsidRPr="00115CF5">
        <w:rPr>
          <w:rFonts w:ascii="Book Antiqua" w:hAnsi="Book Antiqua"/>
          <w:b/>
        </w:rPr>
        <w:lastRenderedPageBreak/>
        <w:t xml:space="preserve">Chapter 1: </w:t>
      </w:r>
      <w:r w:rsidRPr="00FF3454">
        <w:rPr>
          <w:rFonts w:ascii="Book Antiqua" w:hAnsi="Book Antiqua"/>
          <w:b/>
          <w:i/>
        </w:rPr>
        <w:t xml:space="preserve">Exploring </w:t>
      </w:r>
      <w:proofErr w:type="gramStart"/>
      <w:r w:rsidRPr="00FF3454">
        <w:rPr>
          <w:rFonts w:ascii="Book Antiqua" w:hAnsi="Book Antiqua"/>
          <w:b/>
          <w:i/>
        </w:rPr>
        <w:t>The</w:t>
      </w:r>
      <w:proofErr w:type="gramEnd"/>
      <w:r w:rsidRPr="00FF3454">
        <w:rPr>
          <w:rFonts w:ascii="Book Antiqua" w:hAnsi="Book Antiqua"/>
          <w:b/>
          <w:i/>
        </w:rPr>
        <w:t xml:space="preserve"> Vacuum</w:t>
      </w:r>
    </w:p>
    <w:p w:rsidR="00AC4336" w:rsidRPr="00115CF5" w:rsidRDefault="00AC4336" w:rsidP="00FF3454">
      <w:pPr>
        <w:pStyle w:val="Default"/>
        <w:rPr>
          <w:rFonts w:ascii="Book Antiqua" w:hAnsi="Book Antiqua"/>
          <w:b/>
          <w:sz w:val="20"/>
          <w:szCs w:val="20"/>
          <w:u w:val="single"/>
        </w:rPr>
      </w:pPr>
    </w:p>
    <w:p w:rsidR="00AC4336" w:rsidRDefault="00AC4336" w:rsidP="00C14B61">
      <w:pPr>
        <w:pStyle w:val="Heading1"/>
        <w:numPr>
          <w:ilvl w:val="0"/>
          <w:numId w:val="67"/>
        </w:numPr>
        <w:spacing w:before="0" w:line="240" w:lineRule="atLeast"/>
        <w:rPr>
          <w:rFonts w:ascii="Book Antiqua" w:hAnsi="Book Antiqua" w:cs="Times New Roman"/>
          <w:sz w:val="20"/>
          <w:szCs w:val="20"/>
        </w:rPr>
      </w:pPr>
      <w:r w:rsidRPr="00115CF5">
        <w:rPr>
          <w:rFonts w:ascii="Book Antiqua" w:hAnsi="Book Antiqua" w:cs="Times New Roman"/>
          <w:sz w:val="20"/>
          <w:szCs w:val="20"/>
        </w:rPr>
        <w:t xml:space="preserve">Introduction to the Zero Point Energy (ZPE) </w:t>
      </w:r>
    </w:p>
    <w:p w:rsidR="00C14B61" w:rsidRPr="00C14B61" w:rsidRDefault="00C14B61" w:rsidP="00C14B61">
      <w:pPr>
        <w:pStyle w:val="ListParagraph"/>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Concepts of a Vacuum</w:t>
      </w:r>
    </w:p>
    <w:p w:rsidR="00AC4336" w:rsidRPr="00115CF5" w:rsidRDefault="00AC4336" w:rsidP="00AC4336">
      <w:pPr>
        <w:pStyle w:val="NoSpacing"/>
        <w:jc w:val="both"/>
        <w:rPr>
          <w:rFonts w:ascii="Book Antiqua" w:hAnsi="Book Antiqua"/>
          <w:sz w:val="20"/>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The early perception of a ‘vacuum’ is that it was a void, or emptiness, or ‘nothingness.’  However, during the 20</w:t>
      </w:r>
      <w:r w:rsidRPr="00115CF5">
        <w:rPr>
          <w:rFonts w:ascii="Book Antiqua" w:hAnsi="Book Antiqua"/>
          <w:sz w:val="20"/>
          <w:vertAlign w:val="superscript"/>
        </w:rPr>
        <w:t>th</w:t>
      </w:r>
      <w:r w:rsidRPr="00115CF5">
        <w:rPr>
          <w:rFonts w:ascii="Book Antiqua" w:hAnsi="Book Antiqua"/>
          <w:sz w:val="20"/>
        </w:rPr>
        <w:t xml:space="preserve"> century, our knowledge of what comprises a vacuum, especially the vacuum of space, took a considerable leap forward.  The old idea of a vacuum is now referred to as a ‘bare vacuum.’  But, as science has learned more about the properties of space, a new description has become necessary, one which physicists call the ‘physical vacuum.’</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To understand the difference between these two definitions, imagine you have a perfectly sealed container. First remove all solids and liquids and gases from it so that no atoms or molecules remain. There is now a bare</w:t>
      </w:r>
      <w:r w:rsidRPr="00115CF5">
        <w:rPr>
          <w:rFonts w:ascii="Book Antiqua" w:hAnsi="Book Antiqua"/>
          <w:color w:val="FF0000"/>
          <w:sz w:val="20"/>
        </w:rPr>
        <w:t xml:space="preserve"> </w:t>
      </w:r>
      <w:r w:rsidRPr="00115CF5">
        <w:rPr>
          <w:rFonts w:ascii="Book Antiqua" w:hAnsi="Book Antiqua"/>
          <w:sz w:val="20"/>
        </w:rPr>
        <w:t xml:space="preserve">vacuum in the container. This 17th century concept gave rise to the definition of a vacuum as a totally empty volume of space. It was later discovered that this vacuum would not transmit sound but would transmit light and all other wavelengths of the electromagnetic spectrum ranging from the very short wavelength gamma rays, down to radio and longer wavelengths.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Late in the 19th century, it was realized that the vacuum could still contain heat or thermal radiation. If our container with the vacuum is then perfectly insulated so no heat can get in or out, and if it is cooled to absolute zero, or about </w:t>
      </w:r>
      <w:proofErr w:type="gramStart"/>
      <w:r w:rsidRPr="00115CF5">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115CF5">
        <w:rPr>
          <w:rFonts w:ascii="Book Antiqua" w:hAnsi="Book Antiqua"/>
          <w:sz w:val="20"/>
        </w:rPr>
        <w:t xml:space="preserve">,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discovered to be a universal phenomenon, uniform, all-pervasive, and penetrating every atomic structure throughout the cosmos. The existence of the ZPE was not suspected until the early 20th century for the same reason that we are unaware of the atmospheric pressure of 14 pounds per square inch (or 1 kilogram per square centimeter) that is imposed upon our bodies. There is a perfect balance within us and without. Similarly, the radiation pressures of the ZPE are everywhere balanced in our bodies and measuring devices.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Historical Prelude</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Default="00AC4336" w:rsidP="004D4E88">
      <w:pPr>
        <w:pStyle w:val="NoSpacing"/>
        <w:ind w:firstLine="720"/>
        <w:jc w:val="both"/>
        <w:rPr>
          <w:rFonts w:ascii="Book Antiqua" w:hAnsi="Book Antiqua"/>
          <w:sz w:val="20"/>
        </w:rPr>
      </w:pPr>
      <w:r w:rsidRPr="00115CF5">
        <w:rPr>
          <w:rFonts w:ascii="Book Antiqua" w:hAnsi="Book Antiqua"/>
          <w:sz w:val="20"/>
        </w:rPr>
        <w:t>The existence of the ZPE began to be perceived in the late 19th century with experiments conducted with something called a black-body. A small hole in an opaque cavity at any given temperature will emit radiation.  A perfectly black body w</w:t>
      </w:r>
      <w:r w:rsidR="00F52A20">
        <w:rPr>
          <w:rFonts w:ascii="Book Antiqua" w:hAnsi="Book Antiqua"/>
          <w:sz w:val="20"/>
        </w:rPr>
        <w:t>ill</w:t>
      </w:r>
      <w:r w:rsidRPr="00115CF5">
        <w:rPr>
          <w:rFonts w:ascii="Book Antiqua" w:hAnsi="Book Antiqua"/>
          <w:sz w:val="20"/>
        </w:rPr>
        <w:t xml:space="preserve"> emit the same radiation at </w:t>
      </w:r>
      <w:r w:rsidR="00F52A20">
        <w:rPr>
          <w:rFonts w:ascii="Book Antiqua" w:hAnsi="Book Antiqua"/>
          <w:sz w:val="20"/>
        </w:rPr>
        <w:t>the same</w:t>
      </w:r>
      <w:r w:rsidRPr="00115CF5">
        <w:rPr>
          <w:rFonts w:ascii="Book Antiqua" w:hAnsi="Book Antiqua"/>
          <w:sz w:val="20"/>
        </w:rPr>
        <w:t xml:space="preserve"> temperature</w:t>
      </w:r>
      <w:r w:rsidR="00F52A20">
        <w:rPr>
          <w:rFonts w:ascii="Book Antiqua" w:hAnsi="Book Antiqua"/>
          <w:sz w:val="20"/>
        </w:rPr>
        <w:t xml:space="preserve"> as the opaque cavity</w:t>
      </w:r>
      <w:r w:rsidRPr="00115CF5">
        <w:rPr>
          <w:rFonts w:ascii="Book Antiqua" w:hAnsi="Book Antiqua"/>
          <w:sz w:val="20"/>
        </w:rPr>
        <w:t xml:space="preserve">.  </w:t>
      </w:r>
      <w:r w:rsidR="00F52A20">
        <w:rPr>
          <w:rFonts w:ascii="Book Antiqua" w:hAnsi="Book Antiqua"/>
          <w:sz w:val="20"/>
        </w:rPr>
        <w:t>R</w:t>
      </w:r>
      <w:r w:rsidRPr="00115CF5">
        <w:rPr>
          <w:rFonts w:ascii="Book Antiqua" w:hAnsi="Book Antiqua"/>
          <w:sz w:val="20"/>
        </w:rPr>
        <w:t xml:space="preserve">adiation from such a source is called black-body radiation. In 1893, Wilhelm Wien derived a formula describing the distribution of black body radiant energy density (the energy per unit volume) with wavelength. This was experimentally confirmed.  However, he found the formula deviated a little from the experimental results at long wavelengths. In 1899, Otto Lummer and Ernst Pringsheim were able to conduct extremely accurate experiments with a cavity radiator over a range of temperatures to determine if the discrepancy was real. </w:t>
      </w:r>
      <w:r w:rsidR="00837356" w:rsidRPr="00115CF5">
        <w:rPr>
          <w:rFonts w:ascii="Book Antiqua" w:hAnsi="Book Antiqua"/>
          <w:sz w:val="20"/>
        </w:rPr>
        <w:t>Figure 1 shows the precise behavior of black body radiation with temperature.</w:t>
      </w:r>
    </w:p>
    <w:p w:rsidR="00871114" w:rsidRDefault="00871114" w:rsidP="004D4E88">
      <w:pPr>
        <w:pStyle w:val="NoSpacing"/>
        <w:ind w:firstLine="720"/>
        <w:jc w:val="both"/>
        <w:rPr>
          <w:rFonts w:ascii="Book Antiqua" w:hAnsi="Book Antiqua"/>
          <w:sz w:val="20"/>
        </w:rPr>
      </w:pPr>
    </w:p>
    <w:p w:rsidR="00871114" w:rsidRPr="00115CF5" w:rsidRDefault="00871114" w:rsidP="00871114">
      <w:pPr>
        <w:pStyle w:val="NoSpacing"/>
        <w:ind w:firstLine="720"/>
        <w:jc w:val="both"/>
        <w:rPr>
          <w:rFonts w:ascii="Book Antiqua" w:hAnsi="Book Antiqua"/>
          <w:sz w:val="20"/>
        </w:rPr>
      </w:pPr>
      <w:r w:rsidRPr="00115CF5">
        <w:rPr>
          <w:rFonts w:ascii="Book Antiqua" w:hAnsi="Book Antiqua"/>
          <w:sz w:val="20"/>
        </w:rPr>
        <w:t>The data did indicate that Wien’s formula deviated slightly at long wavelengths. This small deviation was confirmed by similar experiments done by Ferdinand Kurlbaum and Heinrich Rubens. Seeking to find a reason for this deviation, in 1900 Lord Rayleigh and James Jeans, using classical physics,  tried to theoretically derive a mathematical equation explaining the black body radiation curve.   Instead of being able to describe the experimental results accurately, however, the graph of their equation climbed dramatically at short wavelengths indicating huge amounts of short wavelength radiation. This theoretical result was called the ‘ultraviolet catastrophe’. It presented a crisis: classical theory seemed unable to account for these data. At this point, then, problems were showing up at both the short wavelength and the long wavelength end of the curve. The curves for the analyses of Rayleigh-Jeans, Planck (and observation), and Wien are shown in Figure 2.</w:t>
      </w:r>
    </w:p>
    <w:p w:rsidR="00871114" w:rsidRPr="00115CF5" w:rsidRDefault="00871114" w:rsidP="004D4E88">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drawing>
          <wp:inline distT="0" distB="0" distL="0" distR="0">
            <wp:extent cx="4124325" cy="1990725"/>
            <wp:effectExtent l="19050" t="0" r="9525" b="0"/>
            <wp:docPr id="461" name="il_fi" descr="http://spaceflight.esa.int/impress/text/education/Images/Glossary/GlossaryImage%2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paceflight.esa.int/impress/text/education/Images/Glossary/GlossaryImage%20049.png"/>
                    <pic:cNvPicPr>
                      <a:picLocks noChangeAspect="1" noChangeArrowheads="1"/>
                    </pic:cNvPicPr>
                  </pic:nvPicPr>
                  <pic:blipFill>
                    <a:blip r:embed="rId45" cstate="print"/>
                    <a:srcRect/>
                    <a:stretch>
                      <a:fillRect/>
                    </a:stretch>
                  </pic:blipFill>
                  <pic:spPr bwMode="auto">
                    <a:xfrm>
                      <a:off x="0" y="0"/>
                      <a:ext cx="4124325" cy="1990725"/>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b/>
          <w:i/>
          <w:sz w:val="20"/>
        </w:rPr>
      </w:pPr>
    </w:p>
    <w:p w:rsidR="00AC4336" w:rsidRPr="003D26E9" w:rsidRDefault="00AC4336" w:rsidP="00AC4336">
      <w:pPr>
        <w:pStyle w:val="NoSpacing"/>
        <w:rPr>
          <w:rFonts w:ascii="Book Antiqua" w:hAnsi="Book Antiqua"/>
          <w:i/>
          <w:sz w:val="18"/>
          <w:szCs w:val="18"/>
        </w:rPr>
      </w:pPr>
      <w:r w:rsidRPr="003D26E9">
        <w:rPr>
          <w:rFonts w:ascii="Book Antiqua" w:hAnsi="Book Antiqua"/>
          <w:b/>
          <w:i/>
          <w:sz w:val="18"/>
          <w:szCs w:val="18"/>
        </w:rPr>
        <w:t>Figure 1:</w:t>
      </w:r>
      <w:r w:rsidRPr="003D26E9">
        <w:rPr>
          <w:rFonts w:ascii="Book Antiqua" w:hAnsi="Book Antiqua"/>
          <w:i/>
          <w:sz w:val="18"/>
          <w:szCs w:val="18"/>
        </w:rPr>
        <w:t xml:space="preserve"> Typical Black Body radiation curves for three different temperatures. The wavelength is on the horizontal axis, while the intensity of the radiation is given vertically. With higher temperatures, the peak output moves to shorter wavelengths (left). Shorter wavelengths are more energetic.</w:t>
      </w:r>
    </w:p>
    <w:p w:rsidR="00AC4336" w:rsidRPr="00115CF5" w:rsidRDefault="00AC4336" w:rsidP="00AC4336">
      <w:pPr>
        <w:pStyle w:val="NoSpacing"/>
        <w:rPr>
          <w:rFonts w:ascii="Book Antiqua" w:hAnsi="Book Antiqua"/>
          <w:sz w:val="18"/>
          <w:szCs w:val="18"/>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3810000" cy="2066925"/>
            <wp:effectExtent l="19050" t="0" r="0" b="0"/>
            <wp:docPr id="460" name="il_fi" descr="http://www.kennislink.nl/upload/193600_276_1205417537548-79872_276_1022530650861-herschepp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ennislink.nl/upload/193600_276_1205417537548-79872_276_1022530650861-herschepping2.jpg"/>
                    <pic:cNvPicPr>
                      <a:picLocks noChangeAspect="1" noChangeArrowheads="1"/>
                    </pic:cNvPicPr>
                  </pic:nvPicPr>
                  <pic:blipFill>
                    <a:blip r:embed="rId46" cstate="print">
                      <a:lum/>
                    </a:blip>
                    <a:srcRect l="3085" b="10667"/>
                    <a:stretch>
                      <a:fillRect/>
                    </a:stretch>
                  </pic:blipFill>
                  <pic:spPr bwMode="auto">
                    <a:xfrm>
                      <a:off x="0" y="0"/>
                      <a:ext cx="3810000" cy="2066925"/>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b/>
          <w:i/>
          <w:sz w:val="20"/>
        </w:rPr>
      </w:pPr>
    </w:p>
    <w:p w:rsidR="00AC4336" w:rsidRPr="003D26E9" w:rsidRDefault="00AC4336" w:rsidP="00AC4336">
      <w:pPr>
        <w:pStyle w:val="NoSpacing"/>
        <w:rPr>
          <w:rFonts w:ascii="Book Antiqua" w:hAnsi="Book Antiqua"/>
          <w:i/>
          <w:sz w:val="18"/>
          <w:szCs w:val="18"/>
        </w:rPr>
      </w:pPr>
      <w:r w:rsidRPr="003D26E9">
        <w:rPr>
          <w:rFonts w:ascii="Book Antiqua" w:hAnsi="Book Antiqua"/>
          <w:b/>
          <w:i/>
          <w:sz w:val="18"/>
          <w:szCs w:val="18"/>
        </w:rPr>
        <w:t>Figure 2:</w:t>
      </w:r>
      <w:r w:rsidRPr="003D26E9">
        <w:rPr>
          <w:rFonts w:ascii="Book Antiqua" w:hAnsi="Book Antiqua"/>
          <w:i/>
          <w:sz w:val="18"/>
          <w:szCs w:val="18"/>
        </w:rPr>
        <w:t xml:space="preserve"> Comparison of Black Body radiation curves at 5000 degrees. From right to left: Rayleigh-Jeans (blue), Planck and actual observation (red), and Wien (green</w:t>
      </w:r>
      <w:r w:rsidR="000E7C83">
        <w:rPr>
          <w:rFonts w:ascii="Book Antiqua" w:hAnsi="Book Antiqua"/>
          <w:i/>
          <w:sz w:val="18"/>
          <w:szCs w:val="18"/>
        </w:rPr>
        <w:t xml:space="preserve"> –</w:t>
      </w:r>
      <w:r w:rsidR="00C14B61">
        <w:rPr>
          <w:rFonts w:ascii="Book Antiqua" w:hAnsi="Book Antiqua"/>
          <w:i/>
          <w:sz w:val="18"/>
          <w:szCs w:val="18"/>
        </w:rPr>
        <w:t xml:space="preserve"> only just below Planck’s curve</w:t>
      </w:r>
      <w:r w:rsidRPr="003D26E9">
        <w:rPr>
          <w:rFonts w:ascii="Book Antiqua" w:hAnsi="Book Antiqua"/>
          <w:i/>
          <w:sz w:val="18"/>
          <w:szCs w:val="18"/>
        </w:rPr>
        <w:t xml:space="preserve">). The horizontal axis shows wavelengths with the vertical axis showing light intensity.  </w:t>
      </w:r>
    </w:p>
    <w:p w:rsidR="004D4E88"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r w:rsidRPr="00115CF5">
        <w:rPr>
          <w:rFonts w:ascii="Book Antiqua" w:hAnsi="Book Antiqua"/>
          <w:sz w:val="20"/>
        </w:rPr>
        <w:tab/>
      </w:r>
    </w:p>
    <w:p w:rsidR="00AC4336" w:rsidRPr="00115CF5" w:rsidRDefault="00AC4336" w:rsidP="004D4E88">
      <w:pPr>
        <w:pStyle w:val="NoSpacing"/>
        <w:ind w:left="360" w:firstLine="720"/>
        <w:jc w:val="both"/>
        <w:rPr>
          <w:rFonts w:ascii="Book Antiqua" w:hAnsi="Book Antiqua"/>
          <w:sz w:val="20"/>
        </w:rPr>
      </w:pPr>
      <w:r w:rsidRPr="00115CF5">
        <w:rPr>
          <w:rFonts w:ascii="Book Antiqua" w:hAnsi="Book Antiqua"/>
          <w:sz w:val="20"/>
        </w:rPr>
        <w:t xml:space="preserve">Then, in 1901, Max Planck derived a mathematical expression that fitted the most recent experimental curves for black body radiation. This formulation overcame the so-called ‘ultraviolet catastrophe’ at short wavelengths, as well as overcoming lesser problems with Wien’s formula at long wavelengths. Planck achieved this by hypothesizing that the energy states of point particle oscillators came in discrete units rather than being continuous. Thus radiation is not emitted in continuous amounts but in discrete bundles of energy which was then described by the product of the new constant </w:t>
      </w:r>
      <w:r w:rsidRPr="00115CF5">
        <w:rPr>
          <w:rFonts w:ascii="Book Antiqua" w:hAnsi="Book Antiqua"/>
          <w:i/>
          <w:iCs/>
          <w:sz w:val="20"/>
        </w:rPr>
        <w:t>‘h’</w:t>
      </w:r>
      <w:r w:rsidRPr="00115CF5">
        <w:rPr>
          <w:rFonts w:ascii="Book Antiqua" w:hAnsi="Book Antiqua"/>
          <w:sz w:val="20"/>
        </w:rPr>
        <w:t xml:space="preserve">, and the frequency, </w:t>
      </w:r>
      <w:r w:rsidRPr="00115CF5">
        <w:rPr>
          <w:rFonts w:ascii="Book Antiqua" w:hAnsi="Book Antiqua"/>
          <w:i/>
          <w:iCs/>
          <w:sz w:val="20"/>
        </w:rPr>
        <w:t>‘f’</w:t>
      </w:r>
      <w:r w:rsidRPr="00115CF5">
        <w:rPr>
          <w:rFonts w:ascii="Book Antiqua" w:hAnsi="Book Antiqua"/>
          <w:sz w:val="20"/>
        </w:rPr>
        <w:t xml:space="preserve">. However, as Kuhn noted, Planck was skeptical of the physical significance of his purely mathematical assumption and his constant </w:t>
      </w:r>
      <w:r w:rsidRPr="00115CF5">
        <w:rPr>
          <w:rFonts w:ascii="Book Antiqua" w:hAnsi="Book Antiqua"/>
          <w:i/>
          <w:iCs/>
          <w:sz w:val="20"/>
        </w:rPr>
        <w:t xml:space="preserve">‘h’ </w:t>
      </w:r>
      <w:r w:rsidRPr="00115CF5">
        <w:rPr>
          <w:rFonts w:ascii="Book Antiqua" w:hAnsi="Book Antiqua"/>
          <w:sz w:val="20"/>
        </w:rPr>
        <w:t xml:space="preserve">for over a decade [1]. At best, Planck felt it only applied to particle oscillators and their emitted radiation. This, then, was only a slight modification of Maxwell’s classical theory of radiation. </w:t>
      </w:r>
    </w:p>
    <w:p w:rsidR="00AC4336" w:rsidRPr="00115CF5" w:rsidRDefault="00AC4336" w:rsidP="00AC4336">
      <w:pPr>
        <w:pStyle w:val="NoSpacing"/>
        <w:jc w:val="both"/>
        <w:rPr>
          <w:rFonts w:ascii="Book Antiqua" w:hAnsi="Book Antiqua"/>
          <w:b/>
          <w:bCs/>
          <w:i/>
          <w:iCs/>
          <w:sz w:val="20"/>
        </w:rPr>
      </w:pPr>
    </w:p>
    <w:p w:rsidR="00AC4336" w:rsidRPr="00966F10"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966F10">
        <w:rPr>
          <w:rFonts w:ascii="Book Antiqua" w:hAnsi="Book Antiqua" w:cs="Times New Roman"/>
          <w:b w:val="0"/>
          <w:sz w:val="20"/>
          <w:szCs w:val="20"/>
        </w:rPr>
        <w:t>Planck and Einstein Infer the ZPE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Planck, dissatisfied, persisted with his analysis of the problem. By 1910 he had formulated what has become known as his second theory where he again derived the blackbody spectral formula. But this time he had an excellent reason for the presence of his constant, </w:t>
      </w:r>
      <w:r w:rsidRPr="00115CF5">
        <w:rPr>
          <w:rFonts w:ascii="Book Antiqua" w:hAnsi="Book Antiqua"/>
          <w:i/>
          <w:sz w:val="20"/>
        </w:rPr>
        <w:t>'h'</w:t>
      </w:r>
      <w:r w:rsidRPr="00115CF5">
        <w:rPr>
          <w:rFonts w:ascii="Book Antiqua" w:hAnsi="Book Antiqua"/>
          <w:sz w:val="20"/>
        </w:rPr>
        <w:t xml:space="preserve">. His equations, published in 1911, pointed directly to the existence of a </w:t>
      </w:r>
      <w:r w:rsidR="00966F10">
        <w:rPr>
          <w:rFonts w:ascii="Book Antiqua" w:hAnsi="Book Antiqua"/>
          <w:sz w:val="20"/>
        </w:rPr>
        <w:t xml:space="preserve">real </w:t>
      </w:r>
      <w:r w:rsidRPr="00115CF5">
        <w:rPr>
          <w:rFonts w:ascii="Book Antiqua" w:hAnsi="Book Antiqua"/>
          <w:sz w:val="20"/>
        </w:rPr>
        <w:lastRenderedPageBreak/>
        <w:t>zero-point energy [2]. Planck’s equation for the radiant energy density</w:t>
      </w:r>
      <w:proofErr w:type="gramStart"/>
      <w:r w:rsidRPr="00115CF5">
        <w:rPr>
          <w:rFonts w:ascii="Book Antiqua" w:hAnsi="Book Antiqua"/>
          <w:sz w:val="20"/>
        </w:rPr>
        <w:t xml:space="preserve">, </w:t>
      </w:r>
      <m:oMath>
        <w:proofErr w:type="gramEnd"/>
        <m:r>
          <w:rPr>
            <w:rFonts w:ascii="Cambria Math" w:hAnsi="Cambria Math"/>
            <w:sz w:val="18"/>
            <w:szCs w:val="18"/>
          </w:rPr>
          <m:t>ρ</m:t>
        </m:r>
      </m:oMath>
      <w:r w:rsidRPr="00115CF5">
        <w:rPr>
          <w:rFonts w:ascii="Book Antiqua" w:hAnsi="Book Antiqua"/>
          <w:sz w:val="20"/>
        </w:rPr>
        <w:t xml:space="preserve">, of a black body had the same temperature-dependent term as derived in his first theory. However it had an additional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hf</m:t>
        </m:r>
      </m:oMath>
      <w:r w:rsidRPr="00115CF5">
        <w:rPr>
          <w:rFonts w:ascii="Book Antiqua" w:hAnsi="Book Antiqua"/>
          <w:i/>
          <w:iCs/>
          <w:sz w:val="20"/>
        </w:rPr>
        <w:t xml:space="preserve"> </w:t>
      </w:r>
      <w:r w:rsidRPr="00115CF5">
        <w:rPr>
          <w:rFonts w:ascii="Book Antiqua" w:hAnsi="Book Antiqua"/>
          <w:sz w:val="20"/>
        </w:rPr>
        <w:t xml:space="preserve">term that was totally independent of temperature [see equation (1) below]. It indicated a uniform, isotropic background radiation existed.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w:r w:rsidRPr="00115CF5">
        <w:rPr>
          <w:rFonts w:ascii="Book Antiqua" w:hAnsi="Book Antiqua"/>
          <w:iCs/>
          <w:position w:val="-24"/>
          <w:sz w:val="20"/>
        </w:rPr>
        <w:object w:dxaOrig="3000" w:dyaOrig="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05pt;height:30.25pt" o:ole="">
            <v:imagedata r:id="rId47" o:title=""/>
          </v:shape>
          <o:OLEObject Type="Embed" ProgID="Equation.DSMT4" ShapeID="_x0000_i1025" DrawAspect="Content" ObjectID="_1438188837" r:id="rId48"/>
        </w:object>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
          <w:iCs/>
          <w:sz w:val="20"/>
        </w:rPr>
        <w:tab/>
      </w:r>
      <w:r w:rsidRPr="00115CF5">
        <w:rPr>
          <w:rFonts w:ascii="Book Antiqua" w:hAnsi="Book Antiqua"/>
          <w:i/>
          <w:sz w:val="20"/>
        </w:rPr>
        <w:t>(1)</w:t>
      </w:r>
    </w:p>
    <w:p w:rsidR="00AC4336" w:rsidRPr="00115CF5" w:rsidRDefault="00AC4336" w:rsidP="00AC4336">
      <w:pPr>
        <w:pStyle w:val="NoSpacing"/>
        <w:jc w:val="both"/>
        <w:rPr>
          <w:rFonts w:ascii="Book Antiqua" w:hAnsi="Book Antiqua"/>
          <w:sz w:val="20"/>
        </w:rPr>
      </w:pPr>
    </w:p>
    <w:p w:rsidR="00AC4336" w:rsidRDefault="00AC4336" w:rsidP="00AC4336">
      <w:pPr>
        <w:pStyle w:val="NoSpacing"/>
        <w:jc w:val="both"/>
        <w:rPr>
          <w:rFonts w:ascii="Book Antiqua" w:hAnsi="Book Antiqua"/>
          <w:sz w:val="20"/>
        </w:rPr>
      </w:pPr>
      <w:r w:rsidRPr="00115CF5">
        <w:rPr>
          <w:rFonts w:ascii="Book Antiqua" w:hAnsi="Book Antiqua"/>
          <w:sz w:val="20"/>
        </w:rPr>
        <w:tab/>
        <w:t xml:space="preserve">Here, </w:t>
      </w:r>
      <w:r w:rsidRPr="00115CF5">
        <w:rPr>
          <w:rFonts w:ascii="Book Antiqua" w:hAnsi="Book Antiqua"/>
          <w:i/>
          <w:sz w:val="20"/>
        </w:rPr>
        <w:t>f</w:t>
      </w:r>
      <w:r w:rsidRPr="00115CF5">
        <w:rPr>
          <w:rFonts w:ascii="Book Antiqua" w:hAnsi="Book Antiqua"/>
          <w:sz w:val="20"/>
        </w:rPr>
        <w:t xml:space="preserve"> is radiation frequency, </w:t>
      </w:r>
      <w:r w:rsidRPr="00115CF5">
        <w:rPr>
          <w:rFonts w:ascii="Book Antiqua" w:hAnsi="Book Antiqua"/>
          <w:i/>
          <w:iCs/>
          <w:sz w:val="20"/>
        </w:rPr>
        <w:t xml:space="preserve">c </w:t>
      </w:r>
      <w:r w:rsidRPr="00115CF5">
        <w:rPr>
          <w:rFonts w:ascii="Book Antiqua" w:hAnsi="Book Antiqua"/>
          <w:sz w:val="20"/>
        </w:rPr>
        <w:t xml:space="preserve">is light-speed, and </w:t>
      </w:r>
      <w:r w:rsidRPr="00115CF5">
        <w:rPr>
          <w:rFonts w:ascii="Book Antiqua" w:hAnsi="Book Antiqua"/>
          <w:i/>
          <w:iCs/>
          <w:sz w:val="20"/>
        </w:rPr>
        <w:t xml:space="preserve">k </w:t>
      </w:r>
      <w:r w:rsidRPr="00115CF5">
        <w:rPr>
          <w:rFonts w:ascii="Book Antiqua" w:hAnsi="Book Antiqua"/>
          <w:sz w:val="20"/>
        </w:rPr>
        <w:t xml:space="preserve">is Boltzmann’s constant. If the temperature, </w:t>
      </w:r>
      <w:r w:rsidRPr="00115CF5">
        <w:rPr>
          <w:rFonts w:ascii="Book Antiqua" w:hAnsi="Book Antiqua"/>
          <w:i/>
          <w:iCs/>
          <w:sz w:val="20"/>
        </w:rPr>
        <w:t>T</w:t>
      </w:r>
      <w:r w:rsidRPr="00115CF5">
        <w:rPr>
          <w:rFonts w:ascii="Book Antiqua" w:hAnsi="Book Antiqua"/>
          <w:sz w:val="20"/>
        </w:rPr>
        <w:t xml:space="preserve">, in (1) drops to zero, we are still left with the Zero Point term,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in the final set of square brackets. Since </w:t>
      </w:r>
      <w:r w:rsidRPr="00115CF5">
        <w:rPr>
          <w:rFonts w:ascii="Book Antiqua" w:hAnsi="Book Antiqua"/>
          <w:i/>
          <w:sz w:val="20"/>
        </w:rPr>
        <w:t>T</w:t>
      </w:r>
      <w:r w:rsidRPr="00115CF5">
        <w:rPr>
          <w:rFonts w:ascii="Book Antiqua" w:hAnsi="Book Antiqua"/>
          <w:sz w:val="20"/>
        </w:rPr>
        <w:t xml:space="preserve"> does not occur in that final term, this shows that it is independent of temperature. Planck’s constant, </w:t>
      </w:r>
      <w:r w:rsidRPr="00115CF5">
        <w:rPr>
          <w:rFonts w:ascii="Book Antiqua" w:hAnsi="Book Antiqua"/>
          <w:i/>
          <w:iCs/>
          <w:sz w:val="20"/>
        </w:rPr>
        <w:t>h</w:t>
      </w:r>
      <w:r w:rsidRPr="00115CF5">
        <w:rPr>
          <w:rFonts w:ascii="Book Antiqua" w:hAnsi="Book Antiqua"/>
          <w:sz w:val="20"/>
        </w:rPr>
        <w:t xml:space="preserve">, in this Zero Point term simply appears as a scale factor to align theory with experiment and no quantum interpretation is needed. Being a scale factor means that if the ZPE strength was greater, then the value of </w:t>
      </w:r>
      <w:r w:rsidRPr="00115CF5">
        <w:rPr>
          <w:rFonts w:ascii="Book Antiqua" w:hAnsi="Book Antiqua"/>
          <w:i/>
          <w:sz w:val="20"/>
        </w:rPr>
        <w:t>h</w:t>
      </w:r>
      <w:r w:rsidRPr="00115CF5">
        <w:rPr>
          <w:rFonts w:ascii="Book Antiqua" w:hAnsi="Book Antiqua"/>
          <w:sz w:val="20"/>
        </w:rPr>
        <w:t xml:space="preserve"> would be correspondingly larger. In this way, </w:t>
      </w:r>
      <w:r w:rsidRPr="00115CF5">
        <w:rPr>
          <w:rFonts w:ascii="Book Antiqua" w:hAnsi="Book Antiqua"/>
          <w:i/>
          <w:iCs/>
          <w:sz w:val="20"/>
        </w:rPr>
        <w:t xml:space="preserve">h </w:t>
      </w:r>
      <w:r w:rsidRPr="00115CF5">
        <w:rPr>
          <w:rFonts w:ascii="Book Antiqua" w:hAnsi="Book Antiqua"/>
          <w:sz w:val="20"/>
        </w:rPr>
        <w:t xml:space="preserve">turns out to be a measure of the strength of the ZPE. From (1), the energy density, </w:t>
      </w:r>
      <w:r w:rsidRPr="00115CF5">
        <w:rPr>
          <w:rFonts w:ascii="Book Antiqua" w:hAnsi="Book Antiqua"/>
          <w:i/>
          <w:sz w:val="20"/>
        </w:rPr>
        <w:t>U</w:t>
      </w:r>
      <w:r w:rsidRPr="00115CF5">
        <w:rPr>
          <w:rFonts w:ascii="Book Antiqua" w:hAnsi="Book Antiqua"/>
          <w:sz w:val="20"/>
        </w:rPr>
        <w:t xml:space="preserve">, of the ZPE is then given by multiplying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by the expression in the first set of square brackets, giving us (2)</w:t>
      </w:r>
    </w:p>
    <w:p w:rsidR="00871114" w:rsidRPr="00115CF5" w:rsidRDefault="00871114"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position w:val="-22"/>
          <w:sz w:val="20"/>
        </w:rPr>
        <w:object w:dxaOrig="1579" w:dyaOrig="580">
          <v:shape id="_x0000_i1026" type="#_x0000_t75" style="width:78.65pt;height:29.05pt" o:ole="">
            <v:imagedata r:id="rId49" o:title=""/>
          </v:shape>
          <o:OLEObject Type="Embed" ProgID="Equation.DSMT4" ShapeID="_x0000_i1026" DrawAspect="Content" ObjectID="_1438188838" r:id="rId50"/>
        </w:object>
      </w:r>
      <w:r w:rsidRPr="00115CF5">
        <w:rPr>
          <w:rFonts w:ascii="Book Antiqua" w:hAnsi="Book Antiqua"/>
          <w:sz w:val="20"/>
        </w:rPr>
        <w:t xml:space="preserve"> .</w:t>
      </w:r>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(2)</w:t>
      </w:r>
    </w:p>
    <w:p w:rsidR="00AC4336" w:rsidRPr="00115CF5" w:rsidRDefault="00AC4336" w:rsidP="00AC4336">
      <w:pPr>
        <w:pStyle w:val="NoSpacing"/>
        <w:jc w:val="center"/>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can also be written for wavelengths as well as frequencies.  The wavelength of light, or electromagnetic radiation, λ, is given by light-speed, </w:t>
      </w:r>
      <w:r w:rsidRPr="00115CF5">
        <w:rPr>
          <w:rFonts w:ascii="Book Antiqua" w:hAnsi="Book Antiqua"/>
          <w:i/>
          <w:sz w:val="20"/>
        </w:rPr>
        <w:t>c</w:t>
      </w:r>
      <w:r w:rsidRPr="00115CF5">
        <w:rPr>
          <w:rFonts w:ascii="Book Antiqua" w:hAnsi="Book Antiqua"/>
          <w:sz w:val="20"/>
        </w:rPr>
        <w:t xml:space="preserve">, divided by frequency, </w:t>
      </w:r>
      <w:r w:rsidRPr="00115CF5">
        <w:rPr>
          <w:rFonts w:ascii="Book Antiqua" w:hAnsi="Book Antiqua"/>
          <w:i/>
          <w:sz w:val="20"/>
        </w:rPr>
        <w:t>f</w:t>
      </w:r>
      <w:r w:rsidRPr="00115CF5">
        <w:rPr>
          <w:rFonts w:ascii="Book Antiqua" w:hAnsi="Book Antiqua"/>
          <w:sz w:val="20"/>
        </w:rPr>
        <w:t xml:space="preserve">. Therefore, the </w:t>
      </w:r>
      <m:oMath>
        <m:sSup>
          <m:sSupPr>
            <m:ctrlPr>
              <w:rPr>
                <w:rFonts w:ascii="Cambria Math" w:hAnsi="Book Antiqua"/>
                <w:i/>
                <w:sz w:val="18"/>
                <w:szCs w:val="18"/>
              </w:rPr>
            </m:ctrlPr>
          </m:sSupPr>
          <m:e>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c</m:t>
            </m:r>
            <m:r>
              <w:rPr>
                <w:rFonts w:ascii="Cambria Math" w:hAnsi="Book Antiqua"/>
                <w:sz w:val="18"/>
                <w:szCs w:val="18"/>
              </w:rPr>
              <m:t>)</m:t>
            </m:r>
          </m:e>
          <m:sup>
            <m:r>
              <w:rPr>
                <w:rFonts w:ascii="Cambria Math" w:hAnsi="Book Antiqua"/>
                <w:sz w:val="18"/>
                <w:szCs w:val="18"/>
              </w:rPr>
              <m:t>3</m:t>
            </m:r>
          </m:sup>
        </m:sSup>
      </m:oMath>
      <w:r w:rsidRPr="00115CF5">
        <w:rPr>
          <w:rFonts w:ascii="Book Antiqua" w:hAnsi="Book Antiqua"/>
          <w:sz w:val="20"/>
        </w:rPr>
        <w:t xml:space="preserve"> in (2) can be substituted with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3</m:t>
            </m:r>
          </m:sup>
        </m:sSup>
        <m:r>
          <w:rPr>
            <w:rFonts w:ascii="Cambria Math" w:hAnsi="Book Antiqua"/>
            <w:sz w:val="18"/>
            <w:szCs w:val="18"/>
          </w:rPr>
          <m:t>)</m:t>
        </m:r>
      </m:oMath>
      <w:r w:rsidRPr="00115CF5">
        <w:rPr>
          <w:rFonts w:ascii="Book Antiqua" w:hAnsi="Book Antiqua"/>
          <w:sz w:val="20"/>
        </w:rPr>
        <w:t xml:space="preserve">. Changing the variable from </w:t>
      </w:r>
      <w:r w:rsidRPr="00115CF5">
        <w:rPr>
          <w:rFonts w:ascii="Book Antiqua" w:hAnsi="Book Antiqua"/>
          <w:i/>
          <w:sz w:val="20"/>
        </w:rPr>
        <w:t>f</w:t>
      </w:r>
      <w:r w:rsidRPr="00115CF5">
        <w:rPr>
          <w:rFonts w:ascii="Book Antiqua" w:hAnsi="Book Antiqua"/>
          <w:sz w:val="20"/>
        </w:rPr>
        <w:t xml:space="preserve"> to λ means that we must also change the </w:t>
      </w:r>
      <w:r w:rsidRPr="00115CF5">
        <w:rPr>
          <w:rFonts w:ascii="Book Antiqua" w:hAnsi="Book Antiqua"/>
          <w:i/>
          <w:sz w:val="20"/>
        </w:rPr>
        <w:t>df</w:t>
      </w:r>
      <w:r w:rsidRPr="00115CF5">
        <w:rPr>
          <w:rFonts w:ascii="Book Antiqua" w:hAnsi="Book Antiqua"/>
          <w:sz w:val="20"/>
        </w:rPr>
        <w:t xml:space="preserve"> component. When these changes are made the result is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sz w:val="18"/>
          <w:szCs w:val="18"/>
        </w:rPr>
        <w:tab/>
      </w:r>
      <m:oMath>
        <m:r>
          <w:rPr>
            <w:rFonts w:ascii="Cambria Math" w:hAnsi="Cambria Math"/>
            <w:sz w:val="18"/>
            <w:szCs w:val="18"/>
          </w:rPr>
          <m:t>U</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m:t>
        </m:r>
        <m:r>
          <w:rPr>
            <w:rFonts w:ascii="Cambria Math" w:hAnsi="Cambria Math"/>
            <w:sz w:val="18"/>
            <w:szCs w:val="18"/>
          </w:rPr>
          <m:t>dλ</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m:t>
        </m:r>
        <m:r>
          <w:rPr>
            <w:rFonts w:ascii="Cambria Math" w:hAnsi="Cambria Math"/>
            <w:sz w:val="18"/>
            <w:szCs w:val="18"/>
          </w:rPr>
          <m:t>dλ</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(3)</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Inspired by th</w:t>
      </w:r>
      <w:r w:rsidR="00A53CB0">
        <w:rPr>
          <w:rFonts w:ascii="Book Antiqua" w:hAnsi="Book Antiqua"/>
          <w:sz w:val="20"/>
        </w:rPr>
        <w:t>ese</w:t>
      </w:r>
      <w:r w:rsidRPr="00115CF5">
        <w:rPr>
          <w:rFonts w:ascii="Book Antiqua" w:hAnsi="Book Antiqua"/>
          <w:sz w:val="20"/>
        </w:rPr>
        <w:t xml:space="preserve"> development</w:t>
      </w:r>
      <w:r w:rsidR="00A53CB0">
        <w:rPr>
          <w:rFonts w:ascii="Book Antiqua" w:hAnsi="Book Antiqua"/>
          <w:sz w:val="20"/>
        </w:rPr>
        <w:t>s</w:t>
      </w:r>
      <w:r w:rsidRPr="00115CF5">
        <w:rPr>
          <w:rFonts w:ascii="Book Antiqua" w:hAnsi="Book Antiqua"/>
          <w:sz w:val="20"/>
        </w:rPr>
        <w:t>, Albert Einstein and Otto Stern, in 1913, published an analysis of the interaction between matter and radiation using simple dipole oscillators to represent charged particles. Their approach was based firmly on classical physics [3]. Significantly, they concluded that if, for some reason, dipole oscillators were immersed in a zero-point energy, that is, if there was an irreducible energy of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’at absolute zero of temperature, </w:t>
      </w:r>
      <w:r w:rsidRPr="00115CF5">
        <w:rPr>
          <w:rFonts w:ascii="Book Antiqua" w:hAnsi="Book Antiqua"/>
          <w:i/>
          <w:sz w:val="20"/>
        </w:rPr>
        <w:t>the Planck radiation formula would result</w:t>
      </w:r>
      <w:r w:rsidRPr="00115CF5">
        <w:rPr>
          <w:rFonts w:ascii="Book Antiqua" w:hAnsi="Book Antiqua"/>
          <w:sz w:val="20"/>
        </w:rPr>
        <w:t xml:space="preserve"> </w:t>
      </w:r>
      <w:r w:rsidRPr="00115CF5">
        <w:rPr>
          <w:rFonts w:ascii="Book Antiqua" w:hAnsi="Book Antiqua"/>
          <w:i/>
          <w:sz w:val="20"/>
        </w:rPr>
        <w:t>without the need to invoke quantisation at all</w:t>
      </w:r>
      <w:r w:rsidRPr="00115CF5">
        <w:rPr>
          <w:rFonts w:ascii="Book Antiqua" w:hAnsi="Book Antiqua"/>
          <w:sz w:val="20"/>
        </w:rPr>
        <w:t>.</w:t>
      </w:r>
      <w:r w:rsidRPr="00115CF5">
        <w:rPr>
          <w:rFonts w:ascii="Book Antiqua" w:hAnsi="Book Antiqua"/>
          <w:color w:val="FF0000"/>
          <w:sz w:val="20"/>
        </w:rPr>
        <w:t xml:space="preserve"> </w:t>
      </w:r>
      <w:r w:rsidRPr="00115CF5">
        <w:rPr>
          <w:rFonts w:ascii="Book Antiqua" w:hAnsi="Book Antiqua"/>
          <w:sz w:val="20"/>
        </w:rPr>
        <w:t xml:space="preserve">[3] This conclusion has since been proved correct, as Timothy Boyer and others have made just such derivations [4]. Their calculations show the irreducible energy of each oscillator is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m:t>
        </m:r>
        <m:r>
          <w:rPr>
            <w:rFonts w:ascii="Cambria Math" w:hAnsi="Cambria Math"/>
            <w:sz w:val="18"/>
            <w:szCs w:val="18"/>
          </w:rPr>
          <m:t>hf</m:t>
        </m:r>
      </m:oMath>
      <w:r w:rsidRPr="00115CF5">
        <w:rPr>
          <w:rFonts w:ascii="Book Antiqua" w:hAnsi="Book Antiqua"/>
          <w:sz w:val="20"/>
        </w:rPr>
        <w:t xml:space="preserve">, as Planck and Nernst correctly deduced, rather than Einstein and Stern’s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 However, Einstein and Stern’s comments are still pertinent. </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Observational Proof for the ZPE</w:t>
      </w:r>
    </w:p>
    <w:p w:rsidR="00AC4336" w:rsidRPr="00115CF5" w:rsidRDefault="00AC4336" w:rsidP="00AC4336">
      <w:pPr>
        <w:rPr>
          <w:rFonts w:ascii="Book Antiqua" w:hAnsi="Book Antiqua"/>
        </w:rPr>
      </w:pPr>
    </w:p>
    <w:p w:rsidR="00AC4336" w:rsidRPr="00115CF5" w:rsidRDefault="00AC4336" w:rsidP="00A53CB0">
      <w:pPr>
        <w:pStyle w:val="NoSpacing"/>
        <w:ind w:firstLine="720"/>
        <w:jc w:val="both"/>
        <w:rPr>
          <w:rFonts w:ascii="Book Antiqua" w:hAnsi="Book Antiqua"/>
          <w:sz w:val="20"/>
        </w:rPr>
      </w:pPr>
      <w:r w:rsidRPr="00115CF5">
        <w:rPr>
          <w:rFonts w:ascii="Book Antiqua" w:hAnsi="Book Antiqua"/>
          <w:sz w:val="20"/>
        </w:rPr>
        <w:t xml:space="preserve">In 1916, Walther Nernst examined both the ZPE’s existence from Planck’s second theory along with Einstein and Stern’s proposal.  He then suggested that the universe may actually be filled with vast amounts of this zero-point radiation (ZPR) [5]. Nernst </w:t>
      </w:r>
      <w:r w:rsidR="00C929B6">
        <w:rPr>
          <w:rFonts w:ascii="Book Antiqua" w:hAnsi="Book Antiqua"/>
          <w:sz w:val="20"/>
        </w:rPr>
        <w:t>concluded that</w:t>
      </w:r>
      <w:r w:rsidRPr="00115CF5">
        <w:rPr>
          <w:rFonts w:ascii="Book Antiqua" w:hAnsi="Book Antiqua"/>
          <w:sz w:val="20"/>
        </w:rPr>
        <w:t xml:space="preserve"> this would require an intrinsic cosmological origin for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Up to this time the ZPE had only appeared in equations and theory, explaining black body radiation, but without any other observational proof.  Then, in 1925, the evidence was obtained, and the existence of the ZPE was confirmed. The chemist Robert Mulliken found this proof in the color spectrum of boron monoxide. As he analyzed the wavelengths of its spectral lines, he discovered a slight shift from the theoretical position that these lines would have had if the ZPE did not exist. Some years later, a similar shift of wavelength in the microwave region of the hydrogen spectrum was experimentally established by Willis Lamb and Robert Retherford using techniques developed for radar. Today, the Lamb shift of spectral lines, as it is now called, is quoted as an observational proof for the existence of the ZPE. The zero-point fields (ZPF) perturb an electron in an atom so that, when it makes a transition from one state to another, it emits light whose wavelength is shifted slightly from its expected value. Lamb stated these experimental results were </w:t>
      </w:r>
      <w:r w:rsidRPr="00115CF5">
        <w:rPr>
          <w:rFonts w:ascii="Book Antiqua" w:hAnsi="Book Antiqua"/>
          <w:i/>
          <w:sz w:val="20"/>
        </w:rPr>
        <w:t>“a proof that the [perfect] vacuum does not exist.”</w:t>
      </w:r>
      <w:r w:rsidRPr="00115CF5">
        <w:rPr>
          <w:rFonts w:ascii="Book Antiqua" w:hAnsi="Book Antiqua"/>
          <w:sz w:val="20"/>
        </w:rPr>
        <w:t xml:space="preserve"> [6]</w:t>
      </w: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lastRenderedPageBreak/>
        <w:t>Physics Makes a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It is at this point, in the mid-1920’s, that the direction of physics hung in the balance. Classical theory plus an intrinsic cosmological ZPE could account for all the observed phenomena, backed by Mulliken’s observational proof for the existence of the ZPE. The alternative was to follow Planck’s first theory without the ZPE term, and only considering </w:t>
      </w:r>
      <w:r w:rsidRPr="00115CF5">
        <w:rPr>
          <w:rFonts w:ascii="Book Antiqua" w:hAnsi="Book Antiqua"/>
          <w:i/>
          <w:sz w:val="20"/>
        </w:rPr>
        <w:t>h</w:t>
      </w:r>
      <w:r w:rsidRPr="00115CF5">
        <w:rPr>
          <w:rFonts w:ascii="Book Antiqua" w:hAnsi="Book Antiqua"/>
          <w:sz w:val="20"/>
        </w:rPr>
        <w:t xml:space="preserve"> as a purely theoretical entity. As it happened, four key papers were published in four years all of which used mathematical explorations of Planck’s first theory without the intrinsic ZPE. Those four papers swung the balance, and set physics on a course that led to the present-day Quantum Electro-Dynamics or QED. These four papers are as follows: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Louis de Broglie in 1924 proposed that, just as experiments indicate that light waves could sometimes behave as particles, or photons, depending on the measurement you make, so a particle under some circumstances might also behave as a wave. He proposed that the wavelength of a moving particle was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p</m:t>
        </m:r>
      </m:oMath>
      <w:r w:rsidRPr="00115CF5">
        <w:rPr>
          <w:rFonts w:ascii="Book Antiqua" w:hAnsi="Book Antiqua"/>
          <w:sz w:val="20"/>
        </w:rPr>
        <w:t xml:space="preserve"> where </w:t>
      </w:r>
      <w:r w:rsidRPr="00115CF5">
        <w:rPr>
          <w:rFonts w:ascii="Book Antiqua" w:hAnsi="Book Antiqua"/>
          <w:i/>
          <w:sz w:val="20"/>
        </w:rPr>
        <w:t>‘</w:t>
      </w:r>
      <m:oMath>
        <m:r>
          <w:rPr>
            <w:rFonts w:ascii="Cambria Math" w:hAnsi="Cambria Math"/>
            <w:sz w:val="18"/>
            <w:szCs w:val="18"/>
          </w:rPr>
          <m:t>p</m:t>
        </m:r>
      </m:oMath>
      <w:r w:rsidRPr="00115CF5">
        <w:rPr>
          <w:rFonts w:ascii="Book Antiqua" w:hAnsi="Book Antiqua"/>
          <w:i/>
          <w:sz w:val="20"/>
        </w:rPr>
        <w:t>’</w:t>
      </w:r>
      <w:r w:rsidRPr="00115CF5">
        <w:rPr>
          <w:rFonts w:ascii="Book Antiqua" w:hAnsi="Book Antiqua"/>
          <w:sz w:val="20"/>
        </w:rPr>
        <w:t xml:space="preserve"> is the particle momentum and </w:t>
      </w:r>
      <w:r w:rsidRPr="00115CF5">
        <w:rPr>
          <w:rFonts w:ascii="Book Antiqua" w:hAnsi="Book Antiqua"/>
          <w:i/>
          <w:sz w:val="20"/>
        </w:rPr>
        <w:t>‘</w:t>
      </w:r>
      <m:oMath>
        <m:r>
          <w:rPr>
            <w:rFonts w:ascii="Cambria Math" w:hAnsi="Cambria Math"/>
            <w:sz w:val="18"/>
            <w:szCs w:val="18"/>
          </w:rPr>
          <m:t>h</m:t>
        </m:r>
      </m:oMath>
      <w:r w:rsidRPr="00115CF5">
        <w:rPr>
          <w:rFonts w:ascii="Book Antiqua" w:hAnsi="Book Antiqua"/>
          <w:i/>
          <w:sz w:val="20"/>
        </w:rPr>
        <w:t>’</w:t>
      </w:r>
      <w:r w:rsidRPr="00115CF5">
        <w:rPr>
          <w:rFonts w:ascii="Book Antiqua" w:hAnsi="Book Antiqua"/>
          <w:sz w:val="20"/>
        </w:rPr>
        <w:t xml:space="preserve"> is Planck’s constant</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1925, Max Born, Werner Heisenberg and Pascual Jordan developed the initial form of QED quantum mechanics, with Paul Dirac formulating his own version after seeing an advance copy.</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1926, Erwin Schrödinger, after musing over the significance of de Broglie’s proposal for two years, proposed the wave-mechanical theory of the hydrogen atom from which the Schrödinger equation originated.</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Finally, in 1927, Heisenberg published his “Uncertainty Principle”.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 Heisenberg Uncertainty Principle (HUP) states that the uncertainty of time multiplied by the uncertainty of the energy of a particle is closely </w:t>
      </w:r>
      <w:r w:rsidRPr="00115CF5">
        <w:rPr>
          <w:rFonts w:ascii="Book Antiqua" w:hAnsi="Book Antiqua"/>
          <w:i/>
          <w:sz w:val="20"/>
        </w:rPr>
        <w:t>approximated</w:t>
      </w:r>
      <w:r w:rsidRPr="00115CF5">
        <w:rPr>
          <w:rFonts w:ascii="Book Antiqua" w:hAnsi="Book Antiqua"/>
          <w:sz w:val="20"/>
        </w:rPr>
        <w:t xml:space="preserve"> to Planck’s constant </w:t>
      </w:r>
      <w:r w:rsidRPr="00115CF5">
        <w:rPr>
          <w:rFonts w:ascii="Book Antiqua" w:hAnsi="Book Antiqua"/>
          <w:i/>
          <w:sz w:val="20"/>
        </w:rPr>
        <w:t>‘h’</w:t>
      </w:r>
      <w:r w:rsidRPr="00115CF5">
        <w:rPr>
          <w:rFonts w:ascii="Book Antiqua" w:hAnsi="Book Antiqua"/>
          <w:sz w:val="20"/>
        </w:rPr>
        <w:t xml:space="preserve"> divided by </w:t>
      </w:r>
      <m:oMath>
        <m:r>
          <w:rPr>
            <w:rFonts w:ascii="Cambria Math" w:hAnsi="Book Antiqua"/>
            <w:sz w:val="18"/>
            <w:szCs w:val="18"/>
          </w:rPr>
          <m:t>2</m:t>
        </m:r>
        <m:r>
          <w:rPr>
            <w:rFonts w:ascii="Cambria Math" w:hAnsi="Cambria Math"/>
            <w:sz w:val="18"/>
            <w:szCs w:val="18"/>
          </w:rPr>
          <m:t>π</m:t>
        </m:r>
      </m:oMath>
      <w:r w:rsidRPr="00115CF5">
        <w:rPr>
          <w:rFonts w:ascii="Book Antiqua" w:hAnsi="Book Antiqua"/>
          <w:sz w:val="20"/>
        </w:rPr>
        <w:t xml:space="preserve">. Similarly, the uncertainty of position of a particle multiplied by the uncertainty in the particle’s momentum is again </w:t>
      </w:r>
      <w:r w:rsidRPr="00115CF5">
        <w:rPr>
          <w:rFonts w:ascii="Book Antiqua" w:hAnsi="Book Antiqua"/>
          <w:i/>
          <w:sz w:val="20"/>
        </w:rPr>
        <w:t>approximately</w:t>
      </w:r>
      <w:r w:rsidRPr="00115CF5">
        <w:rPr>
          <w:rFonts w:ascii="Book Antiqua" w:hAnsi="Book Antiqua"/>
          <w:sz w:val="20"/>
        </w:rPr>
        <w:t xml:space="preserve"> equal to</w:t>
      </w:r>
      <m:oMath>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w:t>
      </w:r>
    </w:p>
    <w:p w:rsidR="00C9264F"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C9264F">
      <w:pPr>
        <w:pStyle w:val="NoSpacing"/>
        <w:ind w:firstLine="720"/>
        <w:jc w:val="both"/>
        <w:rPr>
          <w:rFonts w:ascii="Book Antiqua" w:hAnsi="Book Antiqua"/>
          <w:sz w:val="20"/>
        </w:rPr>
      </w:pPr>
      <w:r w:rsidRPr="00115CF5">
        <w:rPr>
          <w:rFonts w:ascii="Book Antiqua" w:hAnsi="Book Antiqua"/>
          <w:sz w:val="20"/>
        </w:rPr>
        <w:t xml:space="preserve">This quantum uncertainty, or indeterminacy, governed by the value of </w:t>
      </w:r>
      <w:r w:rsidRPr="00115CF5">
        <w:rPr>
          <w:rFonts w:ascii="Book Antiqua" w:hAnsi="Book Antiqua"/>
          <w:i/>
          <w:sz w:val="20"/>
        </w:rPr>
        <w:t>‘h’</w:t>
      </w:r>
      <w:r w:rsidRPr="00115CF5">
        <w:rPr>
          <w:rFonts w:ascii="Book Antiqua" w:hAnsi="Book Antiqua"/>
          <w:sz w:val="20"/>
        </w:rPr>
        <w:t xml:space="preserve">, imposes fundamental limitations on the precision with which a number of physical quantities associated with atomic processes can be measured. When the quantum condition from Planck’s first theory and the HUP are applied to atomic particles at absolute zero, theoretically each particle should have some residual motion, and hence energy. After a detailed treatment of the foregoing sketch, Eisberg and Resnick wrote </w:t>
      </w:r>
      <w:r w:rsidRPr="00115CF5">
        <w:rPr>
          <w:rFonts w:ascii="Book Antiqua" w:hAnsi="Book Antiqua"/>
          <w:i/>
          <w:sz w:val="20"/>
        </w:rPr>
        <w:t>“We conclude that there must be a zero-point energy because there must be a zero-point motion … the particle cannot have zero total energy.”</w:t>
      </w:r>
      <w:r w:rsidRPr="00115CF5">
        <w:rPr>
          <w:rFonts w:ascii="Book Antiqua" w:hAnsi="Book Antiqua"/>
          <w:sz w:val="20"/>
        </w:rPr>
        <w:t xml:space="preserve"> [7] Thus the Zero Point Energy became a part of the Quantum Electro Dynamic approach, but only theoretically and indirectly through the Heisenberg Uncertainty Principle. There is no physical mechanism invoked.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approach, which is now the standard Quantum Electro Dynamic model for the ZPE, is epitomized by the following comment: </w:t>
      </w:r>
      <w:r w:rsidRPr="00115CF5">
        <w:rPr>
          <w:rFonts w:ascii="Book Antiqua" w:hAnsi="Book Antiqua"/>
          <w:i/>
          <w:sz w:val="20"/>
        </w:rPr>
        <w:t>“As [this equation] shows, even the lowest state has some energy, the zero-point energy. Its presence is a purely quantum mechanical effect, and can be interpreted in terms of the uncertainty principle.”</w:t>
      </w:r>
      <w:r w:rsidRPr="00115CF5">
        <w:rPr>
          <w:rFonts w:ascii="Book Antiqua" w:hAnsi="Book Antiqua"/>
          <w:sz w:val="20"/>
        </w:rPr>
        <w:t xml:space="preserve"> [8] Essentially this explanation says the ZPE exists because quantum laws require it as an artifact of atomic particle existence. This was one reason why some physicists used to argue over whether the Zero Point Energy was a genuine entity or merely a mathematical construct since it had only appeared indirectly, via the Heisenberg Uncertainty Principle.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contrast, Planck’s second theory predicted the ZPE to be a real entity, intrinsic to the universe, and something that would potentially govern atomic behavior. This prediction was experimentally verified by Mulliken(1925) and Lamb (1947). But by the time Lamb performed his experiment, the QED approach was well on the way to being the ‘standard physics’ of the 20th century. Because of some other discoveries regarding electrons in the 1920’s, some felt the picture was nearly complete. Thus, in 1929, Paul Dirac said: </w:t>
      </w:r>
      <w:r w:rsidRPr="00115CF5">
        <w:rPr>
          <w:rFonts w:ascii="Book Antiqua" w:hAnsi="Book Antiqua"/>
          <w:i/>
          <w:sz w:val="20"/>
        </w:rPr>
        <w:t>“The underlying physical laws necessary for the mathematical theory of a large part of physics and the whole of chemistry are thus completely known.”</w:t>
      </w:r>
      <w:r w:rsidRPr="00115CF5">
        <w:rPr>
          <w:rFonts w:ascii="Book Antiqua" w:hAnsi="Book Antiqua"/>
          <w:sz w:val="20"/>
        </w:rPr>
        <w:t xml:space="preserve"> [9] This is somewhat reminiscent of a statement made by Charles H. Duell, commissioner of the U.S. Office of Patents in 1899:  </w:t>
      </w:r>
      <w:r w:rsidRPr="00115CF5">
        <w:rPr>
          <w:rFonts w:ascii="Book Antiqua" w:hAnsi="Book Antiqua"/>
          <w:i/>
          <w:sz w:val="20"/>
        </w:rPr>
        <w:t>“Everything that can be invented has been invented.”</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After Planck’s 1911 paper, experimental evidence had accumulated hinting at the existence of the ZPE.  Its fluctuations, however, cannot be observed above the atomic level. However, its effects can be seen in other areas.  For instance, the ZPE explains why cooling alone will never freeze liquid helium. Unless pressure is applied, these ZPE fluctuations prevent helium’s atoms from getting close enough to permit solidification. In electronic circuits, like </w:t>
      </w:r>
      <w:r w:rsidRPr="00115CF5">
        <w:rPr>
          <w:rFonts w:ascii="Book Antiqua" w:hAnsi="Book Antiqua"/>
          <w:sz w:val="20"/>
        </w:rPr>
        <w:lastRenderedPageBreak/>
        <w:t>microwave receivers, another problem arises because ZPE fluctuations cause a random ‘noise’ that places limits on the level to which signals can be amplified. The ‘noise’ can never be removed no matter how perfect the technology. Indeed, the suggestion has been made that this electronic 'noise' might be harnessed as an energy source.</w:t>
      </w:r>
    </w:p>
    <w:p w:rsidR="00AC4336" w:rsidRPr="00115CF5" w:rsidRDefault="00AC4336" w:rsidP="00AC4336">
      <w:pPr>
        <w:pStyle w:val="NoSpacing"/>
        <w:jc w:val="both"/>
        <w:rPr>
          <w:rFonts w:ascii="Book Antiqua" w:hAnsi="Book Antiqua"/>
          <w:i/>
          <w:sz w:val="20"/>
        </w:rPr>
      </w:pPr>
    </w:p>
    <w:p w:rsidR="00AC4336" w:rsidRPr="00115CF5" w:rsidRDefault="0079464D" w:rsidP="00AC4336">
      <w:pPr>
        <w:pStyle w:val="Heading2"/>
        <w:widowControl/>
        <w:numPr>
          <w:ilvl w:val="1"/>
          <w:numId w:val="9"/>
        </w:numPr>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 xml:space="preserve">De Broglie </w:t>
      </w:r>
      <w:r w:rsidR="00AC4336" w:rsidRPr="00115CF5">
        <w:rPr>
          <w:rFonts w:ascii="Book Antiqua" w:hAnsi="Book Antiqua" w:cs="Times New Roman"/>
          <w:b w:val="0"/>
          <w:sz w:val="20"/>
          <w:szCs w:val="20"/>
        </w:rPr>
        <w:t>Re-think</w:t>
      </w:r>
      <w:r>
        <w:rPr>
          <w:rFonts w:ascii="Book Antiqua" w:hAnsi="Book Antiqua" w:cs="Times New Roman"/>
          <w:b w:val="0"/>
          <w:sz w:val="20"/>
          <w:szCs w:val="20"/>
        </w:rPr>
        <w:t>s</w:t>
      </w:r>
      <w:r w:rsidR="00AC4336" w:rsidRPr="00115CF5">
        <w:rPr>
          <w:rFonts w:ascii="Book Antiqua" w:hAnsi="Book Antiqua" w:cs="Times New Roman"/>
          <w:b w:val="0"/>
          <w:sz w:val="20"/>
          <w:szCs w:val="20"/>
        </w:rPr>
        <w:t xml:space="preserve"> the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In 1962 Louis de Broglie published a book, </w:t>
      </w:r>
      <w:r w:rsidRPr="00115CF5">
        <w:rPr>
          <w:rFonts w:ascii="Book Antiqua" w:hAnsi="Book Antiqua"/>
          <w:b/>
          <w:i/>
          <w:sz w:val="20"/>
        </w:rPr>
        <w:t>‘New Perspectives in Physics’</w:t>
      </w:r>
      <w:r w:rsidRPr="00115CF5">
        <w:rPr>
          <w:rFonts w:ascii="Book Antiqua" w:hAnsi="Book Antiqua"/>
          <w:sz w:val="20"/>
        </w:rPr>
        <w:t>, in which he pointed out that serious consideration of Planck’s second theory, embracing classical theory with an intrinsic cosmological ZPE, had been widespread until around 1930 [10]. De Broglie’s work initiated a re-examination of Planck’s second theory. This re-examination showed that the quantum processes written about in the four papers which had swung physics in the direction of QED in the 1920’s, actually had viable explanations in terms of classical physics, as long as the real Zero Point Energy was included.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As a result of De Broglie’s book, Edward Nelson published a landmark paper in 1966. The abstract states in part: </w:t>
      </w:r>
      <w:r w:rsidRPr="00115CF5">
        <w:rPr>
          <w:rFonts w:ascii="Book Antiqua" w:hAnsi="Book Antiqua"/>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15CF5">
        <w:rPr>
          <w:rFonts w:ascii="Book Antiqua" w:hAnsi="Book Antiqua"/>
          <w:sz w:val="20"/>
        </w:rPr>
        <w:t xml:space="preserve"> [11] 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With this impetus, Boyer, in 1975, used classical physics plus the ZPE to demonstrate that the fluctuations caused by the Zero-Point Fields (ZPF) on the positions of particles are in exact agreement with quantum theory and Heisenberg’s Uncertainty Principle [12]. In this approach, the HUP is not merely the result of theoretical quantum laws. Instead, it is due to the continual battering of sub-atomic particles, and atoms themselves, by the impacting waves of the ZPE. This continual ‘jiggling’ at speeds close to the speed of light means it is virtually impossible to pinpoint both the position and momentum of a subatomic particle at any given instant in time.  This difficulty in pinpointing both at the same time is the reason leading to the Heisenberg Uncertainty Principle.  By way of contrast, the ZPE provides a reason for this indeterminate position and momentum, which is not just theoretical.  In this way, classical physics using the ZPE, offers explanations in reality which QED can only attempt to deal with in terms of theoretical quantum laws.</w:t>
      </w:r>
    </w:p>
    <w:p w:rsidR="00AC4336" w:rsidRPr="000323D6" w:rsidRDefault="00AC4336" w:rsidP="000323D6">
      <w:pPr>
        <w:pStyle w:val="NoSpacing"/>
        <w:rPr>
          <w:rFonts w:ascii="Book Antiqua" w:hAnsi="Book Antiqua"/>
          <w:sz w:val="20"/>
        </w:rPr>
      </w:pPr>
    </w:p>
    <w:p w:rsidR="00AC4336" w:rsidRPr="000323D6" w:rsidRDefault="00AC4336" w:rsidP="000323D6">
      <w:pPr>
        <w:pStyle w:val="NoSpacing"/>
        <w:jc w:val="both"/>
        <w:rPr>
          <w:rFonts w:ascii="Book Antiqua" w:hAnsi="Book Antiqua"/>
          <w:sz w:val="20"/>
        </w:rPr>
      </w:pPr>
      <w:r w:rsidRPr="000323D6">
        <w:rPr>
          <w:rFonts w:ascii="Book Antiqua" w:hAnsi="Book Antiqua"/>
          <w:sz w:val="20"/>
        </w:rPr>
        <w:tab/>
        <w:t xml:space="preserve">There was also the question of de Broglie’s proposal that matter could behave in a wave-like manner.  These wave-like characteristics were shown to exist in 1927 by Clinton Davisson and Lester Germer [13]. They found electrons were diffracted from single crystals in a way that only waves could be. That same year, George Thomson confirmed their discovery by obtaining similar diffraction patterns when passing electrons through powder and thin foils. The problem then was to explain how particles acquire wave-like characteristics; it was, and is, not sufficient to say that it is just a “law.” </w:t>
      </w:r>
    </w:p>
    <w:p w:rsidR="004D4E88" w:rsidRPr="000323D6" w:rsidRDefault="00AC4336" w:rsidP="000323D6">
      <w:pPr>
        <w:pStyle w:val="NoSpacing"/>
        <w:jc w:val="both"/>
        <w:rPr>
          <w:rFonts w:ascii="Book Antiqua" w:hAnsi="Book Antiqua"/>
          <w:sz w:val="20"/>
        </w:rPr>
      </w:pPr>
      <w:r w:rsidRPr="000323D6">
        <w:rPr>
          <w:rFonts w:ascii="Book Antiqua" w:hAnsi="Book Antiqua"/>
          <w:sz w:val="20"/>
        </w:rPr>
        <w:tab/>
      </w:r>
    </w:p>
    <w:p w:rsidR="00AC4336" w:rsidRPr="000323D6" w:rsidRDefault="00AC4336" w:rsidP="000323D6">
      <w:pPr>
        <w:pStyle w:val="NoSpacing"/>
        <w:ind w:firstLine="720"/>
        <w:jc w:val="both"/>
        <w:rPr>
          <w:rFonts w:ascii="Book Antiqua" w:hAnsi="Book Antiqua"/>
          <w:sz w:val="20"/>
        </w:rPr>
      </w:pPr>
      <w:r w:rsidRPr="000323D6">
        <w:rPr>
          <w:rFonts w:ascii="Book Antiqua" w:hAnsi="Book Antiqua"/>
          <w:sz w:val="20"/>
        </w:rPr>
        <w:t xml:space="preserve">The answer to this problem had come partly from de Broglie himself.  Like Planck, he had made a second, less well-known, proposal.  He suggested that the famous </w:t>
      </w:r>
      <w:r w:rsidRPr="000323D6">
        <w:rPr>
          <w:rFonts w:ascii="Book Antiqua" w:hAnsi="Book Antiqua"/>
          <w:i/>
          <w:sz w:val="20"/>
        </w:rPr>
        <w:t>E = mc</w:t>
      </w:r>
      <w:r w:rsidRPr="000323D6">
        <w:rPr>
          <w:rFonts w:ascii="Book Antiqua" w:hAnsi="Book Antiqua"/>
          <w:i/>
          <w:sz w:val="20"/>
          <w:vertAlign w:val="superscript"/>
        </w:rPr>
        <w:t>2</w:t>
      </w:r>
      <w:r w:rsidRPr="000323D6">
        <w:rPr>
          <w:rFonts w:ascii="Book Antiqua" w:hAnsi="Book Antiqua"/>
          <w:sz w:val="20"/>
        </w:rPr>
        <w:t xml:space="preserve"> and Planck’s </w:t>
      </w:r>
      <w:r w:rsidRPr="000323D6">
        <w:rPr>
          <w:rFonts w:ascii="Book Antiqua" w:hAnsi="Book Antiqua"/>
          <w:i/>
          <w:sz w:val="20"/>
        </w:rPr>
        <w:t>E = hf</w:t>
      </w:r>
      <w:r w:rsidRPr="000323D6">
        <w:rPr>
          <w:rFonts w:ascii="Book Antiqua" w:hAnsi="Book Antiqua"/>
          <w:sz w:val="20"/>
        </w:rPr>
        <w:t xml:space="preserve">, could be equated. In these equations, </w:t>
      </w:r>
      <w:r w:rsidRPr="000323D6">
        <w:rPr>
          <w:rFonts w:ascii="Book Antiqua" w:hAnsi="Book Antiqua"/>
          <w:i/>
          <w:iCs/>
          <w:sz w:val="20"/>
        </w:rPr>
        <w:t xml:space="preserve">‘E’ </w:t>
      </w:r>
      <w:r w:rsidRPr="000323D6">
        <w:rPr>
          <w:rFonts w:ascii="Book Antiqua" w:hAnsi="Book Antiqua"/>
          <w:sz w:val="20"/>
        </w:rPr>
        <w:t xml:space="preserve">is the energy of the particle of mass </w:t>
      </w:r>
      <w:r w:rsidRPr="000323D6">
        <w:rPr>
          <w:rFonts w:ascii="Book Antiqua" w:hAnsi="Book Antiqua"/>
          <w:i/>
          <w:iCs/>
          <w:sz w:val="20"/>
        </w:rPr>
        <w:t>‘m’</w:t>
      </w:r>
      <w:r w:rsidRPr="000323D6">
        <w:rPr>
          <w:rFonts w:ascii="Book Antiqua" w:hAnsi="Book Antiqua"/>
          <w:sz w:val="20"/>
        </w:rPr>
        <w:t xml:space="preserve">, and </w:t>
      </w:r>
      <w:r w:rsidRPr="000323D6">
        <w:rPr>
          <w:rFonts w:ascii="Book Antiqua" w:hAnsi="Book Antiqua"/>
          <w:i/>
          <w:iCs/>
          <w:sz w:val="20"/>
        </w:rPr>
        <w:t xml:space="preserve">‘c’ </w:t>
      </w:r>
      <w:r w:rsidRPr="000323D6">
        <w:rPr>
          <w:rFonts w:ascii="Book Antiqua" w:hAnsi="Book Antiqua"/>
          <w:sz w:val="20"/>
        </w:rPr>
        <w:t xml:space="preserve">is the speed of light. This gives a frequency, </w:t>
      </w:r>
      <w:r w:rsidRPr="000323D6">
        <w:rPr>
          <w:rFonts w:ascii="Book Antiqua" w:hAnsi="Book Antiqua"/>
          <w:i/>
          <w:sz w:val="20"/>
        </w:rPr>
        <w:t>f = mc</w:t>
      </w:r>
      <w:r w:rsidRPr="000323D6">
        <w:rPr>
          <w:rFonts w:ascii="Book Antiqua" w:hAnsi="Book Antiqua"/>
          <w:i/>
          <w:sz w:val="20"/>
          <w:vertAlign w:val="superscript"/>
        </w:rPr>
        <w:t>2</w:t>
      </w:r>
      <w:r w:rsidRPr="000323D6">
        <w:rPr>
          <w:rFonts w:ascii="Book Antiqua" w:hAnsi="Book Antiqua"/>
          <w:i/>
          <w:sz w:val="20"/>
        </w:rPr>
        <w:t>/h</w:t>
      </w:r>
      <w:r w:rsidRPr="000323D6">
        <w:rPr>
          <w:rFonts w:ascii="Book Antiqua" w:hAnsi="Book Antiqua"/>
          <w:sz w:val="20"/>
        </w:rPr>
        <w:t xml:space="preserve">, which is now called the Compton frequency. De Broglie felt that this frequency was an intrinsic oscillation of the charge of an electron or similar particle. If he had then identified the ZPE as the source of the oscillation, he would have been on his way to a solution. </w:t>
      </w:r>
    </w:p>
    <w:p w:rsidR="00A471B1" w:rsidRPr="000323D6" w:rsidRDefault="00A471B1" w:rsidP="000323D6">
      <w:pPr>
        <w:pStyle w:val="NoSpacing"/>
        <w:jc w:val="both"/>
        <w:rPr>
          <w:rFonts w:ascii="Book Antiqua" w:hAnsi="Book Antiqua"/>
          <w:sz w:val="20"/>
        </w:rPr>
      </w:pPr>
    </w:p>
    <w:p w:rsidR="00CB04AC" w:rsidRPr="000323D6" w:rsidRDefault="00AC4336" w:rsidP="000323D6">
      <w:pPr>
        <w:pStyle w:val="NoSpacing"/>
        <w:ind w:firstLine="720"/>
        <w:jc w:val="both"/>
        <w:rPr>
          <w:rFonts w:ascii="Book Antiqua" w:hAnsi="Book Antiqua"/>
          <w:sz w:val="20"/>
        </w:rPr>
      </w:pPr>
      <w:r w:rsidRPr="000323D6">
        <w:rPr>
          <w:rFonts w:ascii="Book Antiqua" w:hAnsi="Book Antiqua"/>
          <w:sz w:val="20"/>
        </w:rPr>
        <w:t xml:space="preserve">Haisch and Rueda note that the electron really does oscillate at the Compton frequency, when in its own rest frame, due to the ZPE. They note </w:t>
      </w:r>
      <w:r w:rsidRPr="000323D6">
        <w:rPr>
          <w:rFonts w:ascii="Book Antiqua" w:hAnsi="Book Antiqua"/>
          <w:i/>
          <w:iCs/>
          <w:sz w:val="20"/>
        </w:rPr>
        <w:t xml:space="preserve">“when you view the electron from a moving frame there is a beat frequency superimposed on this oscillation due to the Doppler shift. It turns out that this beat frequency proves to be exactly the de Broglie wavelength of a moving electron. … the ZPF drives the electron to undergo some kind of oscillation at the Compton frequency… and this is where and how the de Broglie wavelength originates due to Doppler shifts.” </w:t>
      </w:r>
      <w:r w:rsidRPr="000323D6">
        <w:rPr>
          <w:rFonts w:ascii="Book Antiqua" w:hAnsi="Book Antiqua"/>
          <w:sz w:val="20"/>
        </w:rPr>
        <w:t xml:space="preserve">[14] Thus the Compton frequency is due to the ZPE-imposed </w:t>
      </w:r>
      <w:r w:rsidRPr="000323D6">
        <w:rPr>
          <w:rFonts w:ascii="Book Antiqua" w:hAnsi="Book Antiqua"/>
          <w:sz w:val="20"/>
        </w:rPr>
        <w:lastRenderedPageBreak/>
        <w:t xml:space="preserve">oscillation of the particle at rest. </w:t>
      </w:r>
      <w:r w:rsidR="00946CF0" w:rsidRPr="000323D6">
        <w:rPr>
          <w:rFonts w:ascii="Book Antiqua" w:hAnsi="Book Antiqua"/>
          <w:sz w:val="20"/>
        </w:rPr>
        <w:t>The de Broglie wavelength results from both the motion of the</w:t>
      </w:r>
      <w:r w:rsidR="000323D6" w:rsidRPr="000323D6">
        <w:rPr>
          <w:rFonts w:ascii="Book Antiqua" w:hAnsi="Book Antiqua"/>
          <w:sz w:val="20"/>
        </w:rPr>
        <w:t xml:space="preserve"> particle and the oscillation, appearing as a “beat” phenomenon.</w:t>
      </w:r>
    </w:p>
    <w:p w:rsidR="00871114" w:rsidRPr="000323D6" w:rsidRDefault="00871114" w:rsidP="000323D6">
      <w:pPr>
        <w:pStyle w:val="NoSpacing"/>
        <w:rPr>
          <w:rFonts w:ascii="Book Antiqua" w:hAnsi="Book Antiqua"/>
          <w:sz w:val="20"/>
        </w:rPr>
      </w:pPr>
    </w:p>
    <w:p w:rsidR="000323D6" w:rsidRPr="000323D6" w:rsidRDefault="000323D6" w:rsidP="000323D6">
      <w:pPr>
        <w:pStyle w:val="NoSpacing"/>
        <w:rPr>
          <w:rFonts w:ascii="Book Antiqua" w:hAnsi="Book Antiqua"/>
          <w:i/>
          <w:sz w:val="20"/>
        </w:rPr>
      </w:pPr>
      <w:r w:rsidRPr="000323D6">
        <w:rPr>
          <w:rFonts w:ascii="Book Antiqua" w:hAnsi="Book Antiqua"/>
          <w:i/>
          <w:sz w:val="20"/>
        </w:rPr>
        <w:t>1.7 The Two Approaches to Modern Physics</w:t>
      </w:r>
    </w:p>
    <w:p w:rsidR="000323D6" w:rsidRDefault="000323D6" w:rsidP="00AC4336">
      <w:pPr>
        <w:pStyle w:val="NoSpacing"/>
        <w:ind w:firstLine="360"/>
        <w:jc w:val="both"/>
        <w:rPr>
          <w:rFonts w:ascii="Book Antiqua" w:hAnsi="Book Antiqua"/>
          <w:sz w:val="20"/>
        </w:rPr>
      </w:pPr>
    </w:p>
    <w:p w:rsidR="00AC4336" w:rsidRPr="00115CF5" w:rsidRDefault="00AC4336" w:rsidP="00AC4336">
      <w:pPr>
        <w:pStyle w:val="NoSpacing"/>
        <w:ind w:firstLine="360"/>
        <w:jc w:val="both"/>
        <w:rPr>
          <w:rFonts w:ascii="Book Antiqua" w:hAnsi="Book Antiqua"/>
          <w:sz w:val="20"/>
        </w:rPr>
      </w:pPr>
      <w:r w:rsidRPr="00115CF5">
        <w:rPr>
          <w:rFonts w:ascii="Book Antiqua" w:hAnsi="Book Antiqua"/>
          <w:sz w:val="20"/>
        </w:rPr>
        <w:t>Since the mid 1970’s a steady line of papers has been published using the ZPE approach.  This approach is now called Stochastic Electro-Dynamics (SED), in contrast to the more commonly used Quantum Electro-Dynamics (QED). Based on the existence of an all-pervading ZPE and a purely classical interpretation, SED physics has been able to derive and explain the black-body spectrum, Heisenberg’s Principle, the Schrödinger equation, and the wave-nature of sub-atomic matter. These were the exact factors that, interpreted without the ZPE, gave rise to QED concepts</w:t>
      </w:r>
      <w:r w:rsidR="002E073F">
        <w:rPr>
          <w:rFonts w:ascii="Book Antiqua" w:hAnsi="Book Antiqua"/>
          <w:sz w:val="20"/>
        </w:rPr>
        <w:t xml:space="preserve"> in the mid 1920’s</w:t>
      </w:r>
      <w:r w:rsidRPr="00115CF5">
        <w:rPr>
          <w:rFonts w:ascii="Book Antiqua" w:hAnsi="Book Antiqua"/>
          <w:sz w:val="20"/>
        </w:rPr>
        <w:t xml:space="preserve">. After considering some of the successes of SED physics, it was stated: </w:t>
      </w:r>
      <w:r w:rsidRPr="00115CF5">
        <w:rPr>
          <w:rFonts w:ascii="Book Antiqua" w:hAnsi="Book Antiqua"/>
          <w:i/>
          <w:iCs/>
          <w:sz w:val="20"/>
        </w:rPr>
        <w:t>“The most optimistic outcome of the SED approach would be to demonstrate that classical physics plus a classical electromagnetic ZPF [Zero Point Field]</w:t>
      </w:r>
      <w:r w:rsidRPr="00115CF5">
        <w:rPr>
          <w:rFonts w:ascii="Book Antiqua" w:hAnsi="Book Antiqua"/>
          <w:i/>
          <w:iCs/>
          <w:color w:val="FF0000"/>
          <w:sz w:val="20"/>
        </w:rPr>
        <w:t xml:space="preserve"> </w:t>
      </w:r>
      <w:r w:rsidRPr="00115CF5">
        <w:rPr>
          <w:rFonts w:ascii="Book Antiqua" w:hAnsi="Book Antiqua"/>
          <w:i/>
          <w:iCs/>
          <w:sz w:val="20"/>
        </w:rPr>
        <w:t xml:space="preserve">could successfully replicate all quantum phenomena.” </w:t>
      </w:r>
      <w:r w:rsidRPr="00115CF5">
        <w:rPr>
          <w:rFonts w:ascii="Book Antiqua" w:hAnsi="Book Antiqua"/>
          <w:sz w:val="20"/>
        </w:rPr>
        <w:t xml:space="preserve">[15] This requires SED to catch up with the 60-year head-start of QED physics, but </w:t>
      </w:r>
      <w:r w:rsidR="002E073F">
        <w:rPr>
          <w:rFonts w:ascii="Book Antiqua" w:hAnsi="Book Antiqua"/>
          <w:sz w:val="20"/>
        </w:rPr>
        <w:t xml:space="preserve">good </w:t>
      </w:r>
      <w:r w:rsidRPr="00115CF5">
        <w:rPr>
          <w:rFonts w:ascii="Book Antiqua" w:hAnsi="Book Antiqua"/>
          <w:sz w:val="20"/>
        </w:rPr>
        <w:t xml:space="preserve">progress is being made.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The current, and interesting, result is to allow many physical phenomena to have two explanations, one from QED</w:t>
      </w:r>
      <w:r w:rsidR="000323D6">
        <w:rPr>
          <w:rFonts w:ascii="Book Antiqua" w:hAnsi="Book Antiqua"/>
          <w:sz w:val="20"/>
        </w:rPr>
        <w:t xml:space="preserve"> physics</w:t>
      </w:r>
      <w:r w:rsidRPr="00115CF5">
        <w:rPr>
          <w:rFonts w:ascii="Book Antiqua" w:hAnsi="Book Antiqua"/>
          <w:sz w:val="20"/>
        </w:rPr>
        <w:t xml:space="preserve">, the other from SED physics.  Theoretically, the approach taken is simply a matter of choice, since the mathematical results are the same either way.  However, QED mathematics requires the use of infinities and zeroes – and in order to deal with them, QED requires “renormalization” techniques.  It is, as a result, entirely theoretical.  By way of contrast, SED physics is based upon empirical phenomena and much simpler mathematics.  SED is intuitively satisfying, whereas QED constantly challenges the imagination.  Nevertheless, </w:t>
      </w:r>
      <w:r w:rsidR="008A0643">
        <w:rPr>
          <w:rFonts w:ascii="Book Antiqua" w:hAnsi="Book Antiqua"/>
          <w:sz w:val="20"/>
        </w:rPr>
        <w:t xml:space="preserve">despite the fact that, today, </w:t>
      </w:r>
      <w:r w:rsidRPr="00115CF5">
        <w:rPr>
          <w:rFonts w:ascii="Book Antiqua" w:hAnsi="Book Antiqua"/>
          <w:sz w:val="20"/>
        </w:rPr>
        <w:t xml:space="preserve">SED </w:t>
      </w:r>
      <w:r w:rsidR="008A0643">
        <w:rPr>
          <w:rFonts w:ascii="Book Antiqua" w:hAnsi="Book Antiqua"/>
          <w:sz w:val="20"/>
        </w:rPr>
        <w:t>is a perfectly ‘respectable’ branch of physics, it</w:t>
      </w:r>
      <w:r w:rsidRPr="00115CF5">
        <w:rPr>
          <w:rFonts w:ascii="Book Antiqua" w:hAnsi="Book Antiqua"/>
          <w:sz w:val="20"/>
        </w:rPr>
        <w:t xml:space="preserve"> </w:t>
      </w:r>
      <w:r w:rsidR="008A0643">
        <w:rPr>
          <w:rFonts w:ascii="Book Antiqua" w:hAnsi="Book Antiqua"/>
          <w:sz w:val="20"/>
        </w:rPr>
        <w:t>is still the minority position. This is the situation</w:t>
      </w:r>
      <w:r w:rsidRPr="00115CF5">
        <w:rPr>
          <w:rFonts w:ascii="Book Antiqua" w:hAnsi="Book Antiqua"/>
          <w:sz w:val="20"/>
        </w:rPr>
        <w:t xml:space="preserve">, mainly because of the four papers accepted in the 1920’s </w:t>
      </w:r>
      <w:r w:rsidR="008A0643">
        <w:rPr>
          <w:rFonts w:ascii="Book Antiqua" w:hAnsi="Book Antiqua"/>
          <w:sz w:val="20"/>
        </w:rPr>
        <w:t xml:space="preserve">which led to QED physics, </w:t>
      </w:r>
      <w:r w:rsidRPr="00115CF5">
        <w:rPr>
          <w:rFonts w:ascii="Book Antiqua" w:hAnsi="Book Antiqua"/>
          <w:sz w:val="20"/>
        </w:rPr>
        <w:t>and the fact that it is QED physics which is taught in the universities around the world.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8"/>
        </w:numPr>
        <w:spacing w:before="0" w:after="120" w:line="240" w:lineRule="atLeast"/>
        <w:rPr>
          <w:rFonts w:ascii="Book Antiqua" w:hAnsi="Book Antiqua" w:cs="Times New Roman"/>
          <w:b w:val="0"/>
          <w:sz w:val="20"/>
          <w:szCs w:val="20"/>
        </w:rPr>
      </w:pPr>
      <w:r w:rsidRPr="00115CF5">
        <w:rPr>
          <w:rFonts w:ascii="Book Antiqua" w:hAnsi="Book Antiqua" w:cs="Times New Roman"/>
          <w:sz w:val="20"/>
          <w:szCs w:val="20"/>
        </w:rPr>
        <w:t>Two Approaches to ZPE Effects</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Basic SED Concepts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Zero Point Energy is thus an integral part of both QED and SED physics, although arising for conceptually different reasons.  Whereas standard QED physics considers the ZPE to be a purely theoretical construct, SED considers the vacuum at the atomic or sub-atomic level to inherently contain the turbulent sea of randomly fluctuating electro-magnetic fields or waves of the ZPE. These waves exist at all wavelengths longer than the Planck length cutoff, </w:t>
      </w:r>
      <w:r w:rsidRPr="00115CF5">
        <w:rPr>
          <w:rFonts w:ascii="Book Antiqua" w:hAnsi="Book Antiqua"/>
          <w:i/>
          <w:sz w:val="20"/>
        </w:rPr>
        <w:t>L</w:t>
      </w:r>
      <w:r w:rsidRPr="00115CF5">
        <w:rPr>
          <w:rFonts w:ascii="Book Antiqua" w:hAnsi="Book Antiqua"/>
          <w:i/>
          <w:sz w:val="20"/>
          <w:vertAlign w:val="subscript"/>
        </w:rPr>
        <w:t>p</w:t>
      </w:r>
      <w:r w:rsidRPr="00115CF5">
        <w:rPr>
          <w:rFonts w:ascii="Book Antiqua" w:hAnsi="Book Antiqua"/>
          <w:sz w:val="20"/>
        </w:rPr>
        <w:t>. At that length, about 10</w:t>
      </w:r>
      <w:r w:rsidRPr="00115CF5">
        <w:rPr>
          <w:rFonts w:ascii="Book Antiqua" w:hAnsi="Book Antiqua"/>
          <w:sz w:val="20"/>
          <w:vertAlign w:val="superscript"/>
        </w:rPr>
        <w:t>-33</w:t>
      </w:r>
      <w:r w:rsidRPr="00115CF5">
        <w:rPr>
          <w:rFonts w:ascii="Book Antiqua" w:hAnsi="Book Antiqua"/>
          <w:sz w:val="20"/>
        </w:rPr>
        <w:t xml:space="preserve"> centimeters, the vacuum breaks up and its structure becomes granular. As a result, electromagnetic waves whose wavelengths are shorter than or equal to the Planck length simply become absorbed into the fabric of space</w:t>
      </w:r>
      <w:r w:rsidR="000323D6">
        <w:rPr>
          <w:rFonts w:ascii="Book Antiqua" w:hAnsi="Book Antiqua"/>
          <w:sz w:val="20"/>
        </w:rPr>
        <w:t>;</w:t>
      </w:r>
      <w:r w:rsidRPr="00115CF5">
        <w:rPr>
          <w:rFonts w:ascii="Book Antiqua" w:hAnsi="Book Antiqua"/>
          <w:sz w:val="20"/>
        </w:rPr>
        <w:t xml:space="preserve"> the vacuum itself provides a natural cutoff wavelength for the ZPE.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Observation also shows that this zero-point radiation (ZPR) must be Lorentz invariant. This means that the ZPE must look the same to two observers no matter what their relative velocity is. </w:t>
      </w:r>
      <w:r w:rsidR="0040108B">
        <w:rPr>
          <w:rFonts w:ascii="Book Antiqua" w:hAnsi="Book Antiqua"/>
          <w:sz w:val="20"/>
        </w:rPr>
        <w:t xml:space="preserve">This is not usually the case. </w:t>
      </w:r>
      <w:r w:rsidRPr="00115CF5">
        <w:rPr>
          <w:rFonts w:ascii="Book Antiqua" w:hAnsi="Book Antiqua"/>
          <w:sz w:val="20"/>
        </w:rPr>
        <w:t>Normally, a radiation field will appear slightly 'warmer' in the direction of travel and slightly 'cooler' in the opposite direction. But the ZPE is not like that. There is only one circumstance when this exception will apply</w:t>
      </w:r>
      <w:r w:rsidR="00904FDE">
        <w:rPr>
          <w:rFonts w:ascii="Book Antiqua" w:hAnsi="Book Antiqua"/>
          <w:sz w:val="20"/>
        </w:rPr>
        <w:t xml:space="preserve"> --</w:t>
      </w:r>
      <w:r w:rsidRPr="00115CF5">
        <w:rPr>
          <w:rFonts w:ascii="Book Antiqua" w:hAnsi="Book Antiqua"/>
          <w:sz w:val="20"/>
        </w:rPr>
        <w:t xml:space="preserve"> it occurs when the energy density is proportional to the frequency cubed. This is precisely what Planck’s equation shows in (1) above. </w:t>
      </w:r>
    </w:p>
    <w:p w:rsidR="00AC4336" w:rsidRPr="00115CF5" w:rsidRDefault="00AC4336" w:rsidP="00AC4336">
      <w:pPr>
        <w:pStyle w:val="NoSpacing"/>
        <w:ind w:firstLine="720"/>
        <w:jc w:val="both"/>
        <w:rPr>
          <w:rFonts w:ascii="Book Antiqua" w:hAnsi="Book Antiqua"/>
          <w:sz w:val="20"/>
        </w:rPr>
      </w:pPr>
    </w:p>
    <w:p w:rsidR="00FF7B08" w:rsidRDefault="00AC4336" w:rsidP="00AC4336">
      <w:pPr>
        <w:pStyle w:val="NoSpacing"/>
        <w:ind w:firstLine="720"/>
        <w:jc w:val="both"/>
        <w:rPr>
          <w:rFonts w:ascii="Book Antiqua" w:hAnsi="Book Antiqua"/>
          <w:sz w:val="20"/>
        </w:rPr>
      </w:pPr>
      <w:r w:rsidRPr="00115CF5">
        <w:rPr>
          <w:rFonts w:ascii="Book Antiqua" w:hAnsi="Book Antiqua"/>
          <w:color w:val="000000"/>
          <w:sz w:val="20"/>
        </w:rPr>
        <w:t>The Zero Point Field (ZPF) is made up of many more short-wavelengths than long wavelengths</w:t>
      </w:r>
      <w:r w:rsidR="00904FDE">
        <w:rPr>
          <w:rFonts w:ascii="Book Antiqua" w:hAnsi="Book Antiqua"/>
          <w:color w:val="000000"/>
          <w:sz w:val="20"/>
        </w:rPr>
        <w:t xml:space="preserve"> due to </w:t>
      </w:r>
      <w:r w:rsidRPr="00115CF5">
        <w:rPr>
          <w:rFonts w:ascii="Book Antiqua" w:hAnsi="Book Antiqua"/>
          <w:color w:val="000000"/>
          <w:sz w:val="20"/>
        </w:rPr>
        <w:t>the frequency cubed spectrum</w:t>
      </w:r>
      <w:r w:rsidR="00904FDE">
        <w:rPr>
          <w:rFonts w:ascii="Book Antiqua" w:hAnsi="Book Antiqua"/>
          <w:color w:val="000000"/>
          <w:sz w:val="20"/>
        </w:rPr>
        <w:t>,</w:t>
      </w:r>
      <w:r w:rsidRPr="00115CF5">
        <w:rPr>
          <w:rFonts w:ascii="Book Antiqua" w:hAnsi="Book Antiqua"/>
          <w:color w:val="000000"/>
          <w:sz w:val="20"/>
        </w:rPr>
        <w:t xml:space="preserve"> which can be explained as follows. I</w:t>
      </w:r>
      <w:r w:rsidRPr="00115CF5">
        <w:rPr>
          <w:rFonts w:ascii="Book Antiqua" w:hAnsi="Book Antiqua"/>
          <w:sz w:val="20"/>
        </w:rPr>
        <w:t>f there was only one ZPE wave or photon at a given frequency, then at double the frequency what we see is that there would be 2</w:t>
      </w:r>
      <w:r w:rsidRPr="00115CF5">
        <w:rPr>
          <w:rFonts w:ascii="Book Antiqua" w:hAnsi="Book Antiqua"/>
          <w:sz w:val="20"/>
          <w:vertAlign w:val="superscript"/>
        </w:rPr>
        <w:t>3</w:t>
      </w:r>
      <w:r w:rsidRPr="00115CF5">
        <w:rPr>
          <w:rFonts w:ascii="Book Antiqua" w:hAnsi="Book Antiqua"/>
          <w:sz w:val="20"/>
        </w:rPr>
        <w:t>, that is 8 waves or photons. If that frequency is doubled, there would be 8</w:t>
      </w:r>
      <w:r w:rsidRPr="00115CF5">
        <w:rPr>
          <w:rFonts w:ascii="Book Antiqua" w:hAnsi="Book Antiqua"/>
          <w:sz w:val="20"/>
          <w:vertAlign w:val="superscript"/>
        </w:rPr>
        <w:t>3</w:t>
      </w:r>
      <w:r w:rsidRPr="00115CF5">
        <w:rPr>
          <w:rFonts w:ascii="Book Antiqua" w:hAnsi="Book Antiqua"/>
          <w:sz w:val="20"/>
        </w:rPr>
        <w:t xml:space="preserve"> or 512 waves or photons, and so on.  This distribution is the only distribution which agrees with the observed Lorentz invariance.</w:t>
      </w:r>
      <w:r w:rsidR="006951ED">
        <w:rPr>
          <w:rFonts w:ascii="Book Antiqua" w:hAnsi="Book Antiqua"/>
          <w:sz w:val="20"/>
        </w:rPr>
        <w:t xml:space="preserve"> </w:t>
      </w:r>
    </w:p>
    <w:p w:rsidR="00FF7B08" w:rsidRDefault="00FF7B08" w:rsidP="00AC4336">
      <w:pPr>
        <w:pStyle w:val="NoSpacing"/>
        <w:ind w:firstLine="720"/>
        <w:jc w:val="both"/>
        <w:rPr>
          <w:rFonts w:ascii="Book Antiqua" w:hAnsi="Book Antiqua"/>
          <w:sz w:val="20"/>
        </w:rPr>
      </w:pPr>
    </w:p>
    <w:p w:rsidR="00AC4336" w:rsidRPr="00115CF5" w:rsidRDefault="00904FDE" w:rsidP="00AC4336">
      <w:pPr>
        <w:pStyle w:val="NoSpacing"/>
        <w:ind w:firstLine="720"/>
        <w:jc w:val="both"/>
        <w:rPr>
          <w:rFonts w:ascii="Book Antiqua" w:hAnsi="Book Antiqua"/>
          <w:sz w:val="20"/>
        </w:rPr>
      </w:pPr>
      <w:r>
        <w:rPr>
          <w:rFonts w:ascii="Book Antiqua" w:hAnsi="Book Antiqua"/>
          <w:sz w:val="20"/>
        </w:rPr>
        <w:t>It is b</w:t>
      </w:r>
      <w:r w:rsidR="00AC4336" w:rsidRPr="00115CF5">
        <w:rPr>
          <w:rFonts w:ascii="Book Antiqua" w:hAnsi="Book Antiqua"/>
          <w:sz w:val="20"/>
        </w:rPr>
        <w:t xml:space="preserve">ecause the ZPE contains such a vast number of short wavelengths compared to long wavelengths, </w:t>
      </w:r>
      <w:r>
        <w:rPr>
          <w:rFonts w:ascii="Book Antiqua" w:hAnsi="Book Antiqua"/>
          <w:sz w:val="20"/>
        </w:rPr>
        <w:t xml:space="preserve">that </w:t>
      </w:r>
      <w:r w:rsidR="00AC4336" w:rsidRPr="00115CF5">
        <w:rPr>
          <w:rFonts w:ascii="Book Antiqua" w:hAnsi="Book Antiqua"/>
          <w:sz w:val="20"/>
        </w:rPr>
        <w:t xml:space="preserve">on a larger scale, such as meters, </w:t>
      </w:r>
      <w:r w:rsidR="00AC4336" w:rsidRPr="00115CF5">
        <w:rPr>
          <w:rFonts w:ascii="Book Antiqua" w:hAnsi="Book Antiqua"/>
          <w:color w:val="000000"/>
          <w:sz w:val="20"/>
        </w:rPr>
        <w:t xml:space="preserve">the vacuum is almost featureless. </w:t>
      </w:r>
      <w:r w:rsidR="00AC4336" w:rsidRPr="00115CF5">
        <w:rPr>
          <w:rFonts w:ascii="Book Antiqua" w:hAnsi="Book Antiqua"/>
          <w:sz w:val="20"/>
        </w:rPr>
        <w:t xml:space="preserve">At macroscopic scales there are relatively few ZPE waves to </w:t>
      </w:r>
      <w:r w:rsidR="00AC4336" w:rsidRPr="00115CF5">
        <w:rPr>
          <w:rFonts w:ascii="Book Antiqua" w:hAnsi="Book Antiqua"/>
          <w:sz w:val="20"/>
        </w:rPr>
        <w:lastRenderedPageBreak/>
        <w:t xml:space="preserve">deal with. On the atomic, scale, however, there are huge numbers of waves </w:t>
      </w:r>
      <w:r>
        <w:rPr>
          <w:rFonts w:ascii="Book Antiqua" w:hAnsi="Book Antiqua"/>
          <w:sz w:val="20"/>
        </w:rPr>
        <w:t>at</w:t>
      </w:r>
      <w:r w:rsidR="00AC4336" w:rsidRPr="00115CF5">
        <w:rPr>
          <w:rFonts w:ascii="Book Antiqua" w:hAnsi="Book Antiqua"/>
          <w:sz w:val="20"/>
        </w:rPr>
        <w:t xml:space="preserve"> short wavelengths</w:t>
      </w:r>
      <w:r>
        <w:rPr>
          <w:rFonts w:ascii="Book Antiqua" w:hAnsi="Book Antiqua"/>
          <w:sz w:val="20"/>
        </w:rPr>
        <w:t xml:space="preserve"> going in all directions</w:t>
      </w:r>
      <w:r w:rsidR="00AC4336" w:rsidRPr="00115CF5">
        <w:rPr>
          <w:rFonts w:ascii="Book Antiqua" w:hAnsi="Book Antiqua"/>
          <w:sz w:val="20"/>
        </w:rPr>
        <w:t xml:space="preserve">, each wavelength having its own electromagnetic field. </w:t>
      </w:r>
      <w:r w:rsidR="00AC4336" w:rsidRPr="00115CF5">
        <w:rPr>
          <w:rFonts w:ascii="Book Antiqua" w:hAnsi="Book Antiqua"/>
          <w:color w:val="000000"/>
          <w:sz w:val="20"/>
        </w:rPr>
        <w:t>T</w:t>
      </w:r>
      <w:r w:rsidR="00AC4336" w:rsidRPr="00115CF5">
        <w:rPr>
          <w:rFonts w:ascii="Book Antiqua" w:hAnsi="Book Antiqua"/>
          <w:sz w:val="20"/>
        </w:rPr>
        <w:t xml:space="preserve">hese all-pervasive zero-point fields are homogeneous and isotropic throughout the cosmos. Because the flow of radiation is on average the same in all directions, there is no net flux of energy or momentum perceived by an observer. </w:t>
      </w:r>
    </w:p>
    <w:p w:rsidR="00AC4336" w:rsidRPr="00115CF5" w:rsidRDefault="00AC4336" w:rsidP="00AC4336">
      <w:pPr>
        <w:pStyle w:val="NoSpacing"/>
        <w:jc w:val="both"/>
        <w:rPr>
          <w:rFonts w:ascii="Book Antiqua" w:hAnsi="Book Antiqua"/>
          <w:color w:val="000000"/>
          <w:sz w:val="20"/>
        </w:rPr>
      </w:pPr>
    </w:p>
    <w:p w:rsidR="00AC4336" w:rsidRPr="00115CF5" w:rsidRDefault="00AC4336" w:rsidP="00AC4336">
      <w:pPr>
        <w:pStyle w:val="NoSpacing"/>
        <w:jc w:val="both"/>
        <w:rPr>
          <w:rFonts w:ascii="Book Antiqua" w:hAnsi="Book Antiqua"/>
          <w:color w:val="000000"/>
          <w:sz w:val="20"/>
        </w:rPr>
      </w:pPr>
      <w:r w:rsidRPr="00115CF5">
        <w:rPr>
          <w:rFonts w:ascii="Book Antiqua" w:hAnsi="Book Antiqua"/>
          <w:color w:val="000000"/>
          <w:sz w:val="20"/>
        </w:rPr>
        <w:tab/>
        <w:t xml:space="preserve">Thus, Lorentz invariance for the ZPE waves has three consequences and one note of importance.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First, as just mentioned, it means that velocities through the ZPE cannot be </w:t>
      </w:r>
      <w:r w:rsidRPr="00115CF5">
        <w:rPr>
          <w:rFonts w:ascii="Book Antiqua" w:hAnsi="Book Antiqua"/>
          <w:sz w:val="20"/>
        </w:rPr>
        <w:t>detected [16].</w:t>
      </w:r>
      <w:r w:rsidRPr="00115CF5">
        <w:rPr>
          <w:rFonts w:ascii="Book Antiqua" w:hAnsi="Book Antiqua"/>
          <w:color w:val="FF0000"/>
          <w:sz w:val="20"/>
        </w:rPr>
        <w:t xml:space="preserv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Second, it means that the ZPE is made up of many more short-wavelengths than long wavelengths.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Third, this enormous turbulence on an atomic scale means that sub-atomic particles get "jiggled" by the impacting waves of the ZPE, giving rise to quantum uncertainty in their position and momentum</w:t>
      </w:r>
      <w:r w:rsidRPr="00115CF5">
        <w:rPr>
          <w:rFonts w:ascii="Book Antiqua" w:hAnsi="Book Antiqua"/>
          <w:sz w:val="20"/>
        </w:rPr>
        <w:t xml:space="preserve">.  </w:t>
      </w:r>
      <w:r w:rsidRPr="00115CF5">
        <w:rPr>
          <w:rFonts w:ascii="Book Antiqua" w:hAnsi="Book Antiqua"/>
          <w:color w:val="000000"/>
          <w:sz w:val="20"/>
        </w:rPr>
        <w:t xml:space="preserve">Planck's constant, </w:t>
      </w:r>
      <w:r w:rsidRPr="00115CF5">
        <w:rPr>
          <w:rFonts w:ascii="Book Antiqua" w:hAnsi="Book Antiqua"/>
          <w:i/>
          <w:iCs/>
          <w:color w:val="000000"/>
          <w:sz w:val="20"/>
        </w:rPr>
        <w:t>h</w:t>
      </w:r>
      <w:r w:rsidRPr="00115CF5">
        <w:rPr>
          <w:rFonts w:ascii="Book Antiqua" w:hAnsi="Book Antiqua"/>
          <w:color w:val="000000"/>
          <w:sz w:val="20"/>
        </w:rPr>
        <w:t xml:space="preserve">, is a measure of this quantum uncertainty, and this uncertainty is dependent on the strength of the ZPE. This is another reason why </w:t>
      </w:r>
      <w:r w:rsidRPr="00115CF5">
        <w:rPr>
          <w:rFonts w:ascii="Book Antiqua" w:hAnsi="Book Antiqua"/>
          <w:i/>
          <w:iCs/>
          <w:color w:val="000000"/>
          <w:sz w:val="20"/>
        </w:rPr>
        <w:t xml:space="preserve">h </w:t>
      </w:r>
      <w:r w:rsidRPr="00115CF5">
        <w:rPr>
          <w:rFonts w:ascii="Book Antiqua" w:hAnsi="Book Antiqua"/>
          <w:color w:val="000000"/>
          <w:sz w:val="20"/>
        </w:rPr>
        <w:t xml:space="preserve">is a measure of the strength of the ZPE </w:t>
      </w:r>
      <w:r w:rsidR="0040108B">
        <w:rPr>
          <w:rFonts w:ascii="Book Antiqua" w:hAnsi="Book Antiqua"/>
          <w:color w:val="000000"/>
          <w:sz w:val="20"/>
        </w:rPr>
        <w:t>according to</w:t>
      </w:r>
      <w:r w:rsidRPr="00115CF5">
        <w:rPr>
          <w:rFonts w:ascii="Book Antiqua" w:hAnsi="Book Antiqua"/>
          <w:color w:val="000000"/>
          <w:sz w:val="20"/>
        </w:rPr>
        <w:t xml:space="preserve"> SED physics.</w:t>
      </w:r>
    </w:p>
    <w:p w:rsidR="00AC4336" w:rsidRPr="00115CF5" w:rsidRDefault="00AC4336" w:rsidP="00AC4336">
      <w:pPr>
        <w:pStyle w:val="NoSpacing"/>
        <w:ind w:left="720"/>
        <w:jc w:val="both"/>
        <w:rPr>
          <w:rFonts w:ascii="Book Antiqua" w:hAnsi="Book Antiqua"/>
          <w:sz w:val="20"/>
        </w:rPr>
      </w:pP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Note: The existence of the Planck length cut-off is often cited as breaking the Lorentz invariance of the ZPE. However, as pointed out by H. E. Puthoff [</w:t>
      </w:r>
      <w:r w:rsidRPr="00115CF5">
        <w:rPr>
          <w:rFonts w:ascii="Book Antiqua" w:hAnsi="Book Antiqua"/>
          <w:i/>
          <w:color w:val="000000"/>
          <w:sz w:val="20"/>
        </w:rPr>
        <w:t>Physical Review A</w:t>
      </w:r>
      <w:r w:rsidRPr="00115CF5">
        <w:rPr>
          <w:rFonts w:ascii="Book Antiqua" w:hAnsi="Book Antiqua"/>
          <w:color w:val="000000"/>
          <w:sz w:val="20"/>
        </w:rPr>
        <w:t xml:space="preserve"> </w:t>
      </w:r>
      <w:r w:rsidRPr="00115CF5">
        <w:rPr>
          <w:rFonts w:ascii="Book Antiqua" w:hAnsi="Book Antiqua"/>
          <w:b/>
          <w:color w:val="000000"/>
          <w:sz w:val="20"/>
        </w:rPr>
        <w:t>39</w:t>
      </w:r>
      <w:r w:rsidRPr="00115CF5">
        <w:rPr>
          <w:rFonts w:ascii="Book Antiqua" w:hAnsi="Book Antiqua"/>
          <w:color w:val="000000"/>
          <w:sz w:val="20"/>
        </w:rPr>
        <w:t xml:space="preserve">:5, pp.2333-2342, (1 March, 1989)] </w:t>
      </w:r>
      <w:r w:rsidRPr="00115CF5">
        <w:rPr>
          <w:rFonts w:ascii="Book Antiqua" w:hAnsi="Book Antiqua"/>
          <w:i/>
          <w:color w:val="000000"/>
          <w:sz w:val="20"/>
        </w:rPr>
        <w:t xml:space="preserve">“as long as the cutoff frequency is beyond detectability (as is the Planck frequency in this case) there is no measurable consequence expected of such a breakdown of Lorentz invariance at this limit of physical theory, either now or in the foreseeable future.” </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the late 1800’s and early 1900’s, the reigning concept of outer space was that it was an ‘ether.’  While they were not sure what the ether really might be, it was considered that something was needed to ‘carry’ light through space.  The ether concept implied that an absolute velocity through the ether could be determined. The Michelson-Morley experiment, which will be discussed in more detail in Chapter 7, disproved this concept of the ether.  This left a void which relativity later attempted to fill.</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By way of contrast, Lorentz invariance, which is based on observation, indicates the Zero Point Radiation (ZPR) will look the same to all observers regardless of their relative velocities. However, even though relative velocities through the ZPE cannot be detected, accelerated motion through the ZPE actually can be.  This is because acceleration results in an increase in thermal radiation in the direction of travel. In other words, an observer accelerating through the vacuum would see themselves surrounded by radiation similar to that from a hot object; the greater the acceleration, the hotter the radiation. However, an extremely high acceleration of 10</w:t>
      </w:r>
      <w:r w:rsidRPr="00115CF5">
        <w:rPr>
          <w:rFonts w:ascii="Book Antiqua" w:hAnsi="Book Antiqua"/>
          <w:sz w:val="20"/>
          <w:vertAlign w:val="superscript"/>
        </w:rPr>
        <w:t>21</w:t>
      </w:r>
      <w:r w:rsidRPr="00115CF5">
        <w:rPr>
          <w:rFonts w:ascii="Book Antiqua" w:hAnsi="Book Antiqua"/>
          <w:sz w:val="20"/>
        </w:rPr>
        <w:t xml:space="preserve"> g’s is required to give a radiation bath temperature rise of only 1 degree Kelvin.  This relation connecting acceleration through the ZPE and temperature was discovered independently by Paul Davies and William Unruh and is now named the Davies-Unruh effect [17].  It is, in effect, a type of Doppler shift.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old notion of an ether in space indicated that motion could be determined through it.  The evidence of the ZPE, however, is that motion cannot be detected through it by an observer.  This is explained by the Lorentz invariance, which shows the Zero Point Fields are quite different from the 19</w:t>
      </w:r>
      <w:r w:rsidRPr="00115CF5">
        <w:rPr>
          <w:rFonts w:ascii="Book Antiqua" w:hAnsi="Book Antiqua"/>
          <w:sz w:val="20"/>
          <w:vertAlign w:val="superscript"/>
        </w:rPr>
        <w:t>th</w:t>
      </w:r>
      <w:r w:rsidRPr="00115CF5">
        <w:rPr>
          <w:rFonts w:ascii="Book Antiqua" w:hAnsi="Book Antiqua"/>
          <w:sz w:val="20"/>
        </w:rPr>
        <w:t xml:space="preserve"> century concepts of an ether.</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Energy in the Vacuum</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magnitude of the ZPE is so large it is usually quoted as an energy density.  Physicist Richard Feynman and others have pointed out that the amount of ZPE in one cubic centimeter of the vacuum </w:t>
      </w:r>
      <w:r w:rsidRPr="00115CF5">
        <w:rPr>
          <w:rFonts w:ascii="Book Antiqua" w:hAnsi="Book Antiqua"/>
          <w:i/>
          <w:sz w:val="20"/>
        </w:rPr>
        <w:t>“is greater than the energy density in an atomic nucleus.”</w:t>
      </w:r>
      <w:r w:rsidRPr="00115CF5">
        <w:rPr>
          <w:rFonts w:ascii="Book Antiqua" w:hAnsi="Book Antiqua"/>
          <w:sz w:val="20"/>
        </w:rPr>
        <w:t xml:space="preserve"> [18] In an atomic nucleus alone, the energy density is of the order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44</m:t>
            </m:r>
          </m:sup>
        </m:sSup>
      </m:oMath>
      <w:r w:rsidRPr="00115CF5">
        <w:rPr>
          <w:rFonts w:ascii="Book Antiqua" w:hAnsi="Book Antiqua"/>
          <w:position w:val="8"/>
          <w:sz w:val="20"/>
          <w:vertAlign w:val="superscript"/>
        </w:rPr>
        <w:t xml:space="preserve"> </w:t>
      </w:r>
      <w:r w:rsidRPr="00115CF5">
        <w:rPr>
          <w:rFonts w:ascii="Book Antiqua" w:hAnsi="Book Antiqua"/>
          <w:sz w:val="20"/>
        </w:rPr>
        <w:t xml:space="preserve">ergs (or </w:t>
      </w:r>
      <m:oMath>
        <m:sSup>
          <m:sSupPr>
            <m:ctrlPr>
              <w:rPr>
                <w:rFonts w:ascii="Cambria Math" w:hAnsi="Book Antiqua"/>
                <w:i/>
                <w:sz w:val="20"/>
              </w:rPr>
            </m:ctrlPr>
          </m:sSupPr>
          <m:e>
            <m:r>
              <w:rPr>
                <w:rFonts w:ascii="Cambria Math" w:hAnsi="Book Antiqua"/>
                <w:sz w:val="20"/>
              </w:rPr>
              <m:t xml:space="preserve">10 </m:t>
            </m:r>
          </m:e>
          <m:sup>
            <m:r>
              <w:rPr>
                <w:rFonts w:ascii="Cambria Math" w:hAnsi="Book Antiqua"/>
                <w:sz w:val="20"/>
              </w:rPr>
              <m:t>37</m:t>
            </m:r>
          </m:sup>
        </m:sSup>
      </m:oMath>
      <w:r w:rsidRPr="00115CF5">
        <w:rPr>
          <w:rFonts w:ascii="Book Antiqua" w:hAnsi="Book Antiqua"/>
          <w:sz w:val="20"/>
        </w:rPr>
        <w:t xml:space="preserve"> joules) per cubic centimeter. However, because of its theoretical mode of origin on the Quantum Electrodynamic approach, it has been stated that: </w:t>
      </w:r>
      <w:r w:rsidRPr="00115CF5">
        <w:rPr>
          <w:rFonts w:ascii="Book Antiqua" w:hAnsi="Book Antiqua"/>
          <w:i/>
          <w:sz w:val="20"/>
        </w:rPr>
        <w:t>“Formally, physicists attribute an infinite amount of energy to this [the ZPE] background.”</w:t>
      </w:r>
      <w:r w:rsidRPr="00115CF5">
        <w:rPr>
          <w:rFonts w:ascii="Book Antiqua" w:hAnsi="Book Antiqua"/>
          <w:sz w:val="20"/>
        </w:rPr>
        <w:t xml:space="preserve"> [17] This meant the QED approach cannot mathematically integrate the ZPE in their equations. In contrast, work by SED physicists indicates there is an upper limit for the ZPE strength at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114</m:t>
            </m:r>
          </m:sup>
        </m:sSup>
      </m:oMath>
      <w:r w:rsidRPr="00115CF5">
        <w:rPr>
          <w:rFonts w:ascii="Book Antiqua" w:hAnsi="Book Antiqua"/>
          <w:position w:val="8"/>
          <w:sz w:val="20"/>
          <w:vertAlign w:val="superscript"/>
        </w:rPr>
        <w:t xml:space="preserve"> </w:t>
      </w:r>
      <w:r w:rsidRPr="00115CF5">
        <w:rPr>
          <w:rFonts w:ascii="Book Antiqua" w:hAnsi="Book Antiqua"/>
          <w:sz w:val="20"/>
        </w:rPr>
        <w:t>ergs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107</m:t>
            </m:r>
          </m:sup>
        </m:sSup>
      </m:oMath>
      <w:r w:rsidRPr="00115CF5">
        <w:rPr>
          <w:rFonts w:ascii="Book Antiqua" w:hAnsi="Book Antiqua"/>
          <w:sz w:val="20"/>
        </w:rPr>
        <w:t xml:space="preserve"> Joules) per cubic centimeter.  This is imposed by the Planck length cutoff as well as other factors. Paul Davies put the estimate slightly higher at </w:t>
      </w:r>
      <w:r w:rsidRPr="00115CF5">
        <w:rPr>
          <w:rFonts w:ascii="Book Antiqua" w:hAnsi="Book Antiqua"/>
          <w:i/>
          <w:sz w:val="20"/>
        </w:rPr>
        <w:t xml:space="preserve">“about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110</m:t>
            </m:r>
          </m:sup>
        </m:sSup>
      </m:oMath>
      <w:r w:rsidRPr="00115CF5">
        <w:rPr>
          <w:rFonts w:ascii="Book Antiqua" w:hAnsi="Book Antiqua"/>
          <w:i/>
          <w:position w:val="8"/>
          <w:sz w:val="20"/>
          <w:vertAlign w:val="superscript"/>
        </w:rPr>
        <w:t xml:space="preserve"> </w:t>
      </w:r>
      <w:r w:rsidRPr="00115CF5">
        <w:rPr>
          <w:rFonts w:ascii="Book Antiqua" w:hAnsi="Book Antiqua"/>
          <w:i/>
          <w:sz w:val="20"/>
        </w:rPr>
        <w:t>joules per cubic centimeter.”</w:t>
      </w:r>
      <w:r w:rsidRPr="00115CF5">
        <w:rPr>
          <w:rFonts w:ascii="Book Antiqua" w:hAnsi="Book Antiqua"/>
          <w:sz w:val="20"/>
        </w:rPr>
        <w:t xml:space="preserve"> [19] The existence of the Planck length cutoff gave QED physicists a reason to accept the ZPE as a reality rather than just a virtual entity.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r>
      <w:r w:rsidR="005B1000">
        <w:rPr>
          <w:rFonts w:ascii="Book Antiqua" w:hAnsi="Book Antiqua"/>
          <w:sz w:val="20"/>
        </w:rPr>
        <w:t xml:space="preserve">Some grasp of the magnitude of the </w:t>
      </w:r>
      <w:r w:rsidRPr="00115CF5">
        <w:rPr>
          <w:rFonts w:ascii="Book Antiqua" w:hAnsi="Book Antiqua"/>
          <w:sz w:val="20"/>
        </w:rPr>
        <w:t xml:space="preserve">ZPE can be illustrated as follows:  A bright light bulb in our homes radiates at 150 watts. By contrast, our sun radiates at about </w:t>
      </w:r>
      <m:oMath>
        <m:sSup>
          <m:sSupPr>
            <m:ctrlPr>
              <w:rPr>
                <w:rFonts w:ascii="Cambria Math" w:hAnsi="Book Antiqua"/>
                <w:i/>
                <w:sz w:val="18"/>
                <w:szCs w:val="18"/>
              </w:rPr>
            </m:ctrlPr>
          </m:sSupPr>
          <m:e>
            <m:r>
              <w:rPr>
                <w:rFonts w:ascii="Cambria Math" w:hAnsi="Book Antiqua"/>
                <w:sz w:val="18"/>
                <w:szCs w:val="18"/>
              </w:rPr>
              <m:t xml:space="preserve">3.8 </m:t>
            </m:r>
            <m:r>
              <w:rPr>
                <w:rFonts w:ascii="Cambria Math" w:hAnsi="Cambria Math"/>
                <w:sz w:val="18"/>
                <w:szCs w:val="18"/>
              </w:rPr>
              <m:t>x</m:t>
            </m:r>
            <m:r>
              <w:rPr>
                <w:rFonts w:ascii="Cambria Math" w:hAnsi="Book Antiqua"/>
                <w:sz w:val="18"/>
                <w:szCs w:val="18"/>
              </w:rPr>
              <m:t xml:space="preserve"> 10</m:t>
            </m:r>
          </m:e>
          <m:sup>
            <m:r>
              <w:rPr>
                <w:rFonts w:ascii="Cambria Math" w:hAnsi="Book Antiqua"/>
                <w:sz w:val="18"/>
                <w:szCs w:val="18"/>
              </w:rPr>
              <m:t>26</m:t>
            </m:r>
          </m:sup>
        </m:sSup>
      </m:oMath>
      <w:r w:rsidRPr="00115CF5">
        <w:rPr>
          <w:rFonts w:ascii="Book Antiqua" w:hAnsi="Book Antiqua"/>
          <w:sz w:val="20"/>
        </w:rPr>
        <w:t xml:space="preserve"> watts, (that is to say about 3,800,000,000,000,000,000,000,000,000 watts). In our galaxy there </w:t>
      </w:r>
      <w:r w:rsidR="005B1000">
        <w:rPr>
          <w:rFonts w:ascii="Book Antiqua" w:hAnsi="Book Antiqua"/>
          <w:sz w:val="20"/>
        </w:rPr>
        <w:t>may be as many as</w:t>
      </w:r>
      <w:r w:rsidRPr="00115CF5">
        <w:rPr>
          <w:rFonts w:ascii="Book Antiqua" w:hAnsi="Book Antiqua"/>
          <w:sz w:val="20"/>
        </w:rPr>
        <w:t xml:space="preserve"> </w:t>
      </w:r>
      <w:r w:rsidR="005B1000">
        <w:rPr>
          <w:rFonts w:ascii="Book Antiqua" w:hAnsi="Book Antiqua"/>
          <w:sz w:val="20"/>
        </w:rPr>
        <w:t xml:space="preserve">200 </w:t>
      </w:r>
      <w:r w:rsidRPr="00115CF5">
        <w:rPr>
          <w:rFonts w:ascii="Book Antiqua" w:hAnsi="Book Antiqua"/>
          <w:sz w:val="20"/>
        </w:rPr>
        <w:t>billion stars. If their average radiation is about the same intensity as our sun, then the amount of energy expended by our entire galaxy of stars shining for 10 billion years is less than the energy locked up in one cubic centimeter of space.  There aren’t enough zeroes for that here, but it shows that the 'physical vacuum' is not just an “empty nothingness.”</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Why the ZPE is Hard to Detect</w:t>
      </w:r>
    </w:p>
    <w:p w:rsidR="00AC4336" w:rsidRPr="00115CF5" w:rsidRDefault="00AC4336" w:rsidP="00AC4336">
      <w:pPr>
        <w:pStyle w:val="NoSpacing"/>
        <w:jc w:val="both"/>
        <w:rPr>
          <w:rFonts w:ascii="Book Antiqua" w:eastAsia="SimSun" w:hAnsi="Book Antiqua"/>
          <w:sz w:val="20"/>
          <w:lang w:val="en-GB"/>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It might be objected that such a radiation field should be easily perceived, whether it be by our eyes or by our instruments. The argument goes that an eye or instrument is capable of registering the presence of a featureless surface brightness. However, the perception of this brightness depends upon there being a difference between the inside and outside of the detecting instrument or eye. In other words, the perception of this brightness would require that the inside of the detector is darker than the external radiation field. If the radiation field is uniform everywhere, including inside the detector, then no radiation can be detected as there is no difference between the detector and the outside field.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An illustration might help. During a clear day, the sky and our surroundings are uniformly bright. Our eyes are adjusted to this brightness. As a result, we cannot see the stars which are still shining out there, but undetectable by us. The reason is that there is no discernible difference from the all-pervasive background illumination from the sun. However, at night, when the background threshold illumination is much lower, the stars are visible as the detectors of our eyes can register a difference in illumination level. Stars which are fainter than this background illumination level of the night sky still cannot be seen. Again the reason is that there is no net difference between the threshold field in our eyes and the radiation from those faint stars.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a similar fashion, when our bodies are immersed in a bath of water whose temperature is the same as our bodies, then the only sensation we have of the water is its movement, not its temperature.  The only temperature differences we feel are those which are discernibly above or below the temperature of our bodies and the water. In a similar way, it is only if there is a discernible difference between the ZPE background radiation field and anything we were trying to measure it with</w:t>
      </w:r>
      <w:r w:rsidR="004478AA">
        <w:rPr>
          <w:rFonts w:ascii="Book Antiqua" w:hAnsi="Book Antiqua"/>
          <w:sz w:val="20"/>
        </w:rPr>
        <w:t>,</w:t>
      </w:r>
      <w:r w:rsidRPr="00115CF5">
        <w:rPr>
          <w:rFonts w:ascii="Book Antiqua" w:hAnsi="Book Antiqua"/>
          <w:sz w:val="20"/>
        </w:rPr>
        <w:t xml:space="preserve"> that there would be any ability to detect it. Because some such non-uniformities in the ZPE field can be made to occur locally using the right experimental conditions, it provides evidence for the existence of a physical ZPE instead of it being a mere theoretical concept.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Additional Evidence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One such piece of evidence is something called the surface Casimir effect, predicted Hendrik Casimir, the Dutch scientist, in 1948.  It was confirmed nine years later by M. J. Sparnaay of the Philips Laboratory in Eindhoven, Holland. An elegant analysis by Milonni, Cook and Goggin in 1988 explained the Casimir effect simply, using SED physics [20].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Casimir effect can be demonstrated by bringing two large metal plates very close together in a vacuum. When they are close, but not touching, there is a small but measurable force that pushes them together. This is because the ZPE consists of many different lengths of electromagnetic waves. So what is happening is that when the metal plates are brought closer, they end up excluding all wavelengths of the zero point field between the plates except those for which a whole number of half-waves is equal to the plates’ distance apart.  In other words, all the long wavelengths of the ZPF have been excluded and are now acting on the plates from the outside, with no long waves acting from within to balance the pressure. The combined radiation pressure of these external waves is what forces the plates together. A similar effect can be demonstrated on the ocean. Sailors note that if the distance between two boats is less than that between two ocean wave crests (or one wavelength), the boats are forced towards each other.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Casimir </w:t>
      </w:r>
      <w:r w:rsidRPr="00115CF5">
        <w:rPr>
          <w:rFonts w:ascii="Book Antiqua" w:hAnsi="Book Antiqua"/>
          <w:sz w:val="20"/>
          <w:u w:val="single"/>
        </w:rPr>
        <w:t>effect</w:t>
      </w:r>
      <w:r w:rsidRPr="00115CF5">
        <w:rPr>
          <w:rFonts w:ascii="Book Antiqua" w:hAnsi="Book Antiqua"/>
          <w:sz w:val="20"/>
        </w:rPr>
        <w:t xml:space="preserve"> is directly proportional to the area of the plates. However, unlike other possible forces with which it may be confused, the Casimir </w:t>
      </w:r>
      <w:r w:rsidRPr="00115CF5">
        <w:rPr>
          <w:rFonts w:ascii="Book Antiqua" w:hAnsi="Book Antiqua"/>
          <w:sz w:val="20"/>
          <w:u w:val="single"/>
        </w:rPr>
        <w:t>force</w:t>
      </w:r>
      <w:r w:rsidRPr="00115CF5">
        <w:rPr>
          <w:rFonts w:ascii="Book Antiqua" w:hAnsi="Book Antiqua"/>
          <w:sz w:val="20"/>
        </w:rPr>
        <w:t xml:space="preserve"> is inversely proportional to the fourth power of the plates’ distance apart. For </w:t>
      </w:r>
      <w:r w:rsidRPr="00115CF5">
        <w:rPr>
          <w:rFonts w:ascii="Book Antiqua" w:hAnsi="Book Antiqua"/>
          <w:sz w:val="20"/>
        </w:rPr>
        <w:lastRenderedPageBreak/>
        <w:t xml:space="preserve">plates with an area of one square centimeter separated by 0.5 thousandths of a millimeter, this force is equivalent to a weight of 0.2 milligrams. In January of 1997, Steven Lamoreaux reported experimental verification of theory to within 5% of the theory’s predictions. Then in November 1998, Umar Mohideen and Anushree Roy reported verification to within 1% in an experiment that utilized the capabilities of an atomic force microscope [21].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surface Casimir effect demonstrates that the ZPE exists in the form of electromagnetic waves. Interestingly, it has been pointed out that there is a microscopic version of the same phenomenon. In the case of closely spaced atoms or molecules, the all-pervasive Zero Point Fields result in short-range attractive forces that are known as van der Waals forces. It is these attractive forces that permit gases to be turned into liquids.  The jittering motion of the subatomic particles which is the result of the ZPE would prevent gases from becoming liquid, regardless of the temperature, if the pressure resulting from the van der Waals forces was not present.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order to understand vacuum effects more fully and present more easily understandable explanations, the QED explanation of the surface Casimir effect needs to be examined. The explanation involves the action of what are referred to as virtual particles.  Their existence is supported by both QED and SED physics.  Let’s look at this from both angles.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QED Physics</w:t>
      </w:r>
    </w:p>
    <w:p w:rsidR="00AC4336" w:rsidRPr="00115CF5" w:rsidRDefault="00AC4336" w:rsidP="00AC4336">
      <w:pPr>
        <w:rPr>
          <w:rFonts w:ascii="Book Antiqua" w:hAnsi="Book Antiqua"/>
        </w:rPr>
      </w:pPr>
    </w:p>
    <w:p w:rsidR="006F5225" w:rsidRDefault="00AC4336" w:rsidP="00946CF0">
      <w:pPr>
        <w:pStyle w:val="NoSpacing"/>
        <w:ind w:firstLine="720"/>
        <w:jc w:val="both"/>
        <w:rPr>
          <w:rFonts w:ascii="Book Antiqua" w:hAnsi="Book Antiqua"/>
          <w:sz w:val="20"/>
        </w:rPr>
      </w:pPr>
      <w:r w:rsidRPr="00115CF5">
        <w:rPr>
          <w:rFonts w:ascii="Book Antiqua" w:hAnsi="Book Antiqua"/>
          <w:b/>
          <w:sz w:val="20"/>
        </w:rPr>
        <w:t xml:space="preserve"> </w:t>
      </w:r>
      <w:r w:rsidRPr="00115CF5">
        <w:rPr>
          <w:rFonts w:ascii="Book Antiqua" w:hAnsi="Book Antiqua"/>
          <w:sz w:val="20"/>
        </w:rPr>
        <w:t xml:space="preserve">In 1930, as a result of some unusual mathematical explorations by Dirac, the concept of electron-positron pairs was born. Although Dirac’s initial idea that all of space was a sea of electrons was later proven incorrect, his idea that there existed particles as tiny as electrons but having a positive charge did turn out to be correct. Two years later, Anderson discovered the first positron during cosmic ray research [22]. </w:t>
      </w:r>
    </w:p>
    <w:p w:rsidR="006F5225" w:rsidRDefault="006F5225" w:rsidP="00946CF0">
      <w:pPr>
        <w:pStyle w:val="NoSpacing"/>
        <w:ind w:firstLine="720"/>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In 1933, Blackett and Occhialini obtained the first cloud chamber photos of the production of electron-positron pairs. Late in 1933 Thibaud and Joliot observed radiation from the annihilation of electron-positron pairs, and proved the mass of the positron was equal to that of the electron [22]. In 1955, a team led by Chamberlain and Segre generated the first proton-antiproton pairs, thereby proving that the concept of particle-antiparticle pairs was in fact correct [23].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Experimental evidence had now established the existence of particle-antiparticle pairs that slam together and then annihilate, producing energy. Concepts regarding particle-antiparticle pairs proved useful to understanding the vacuum and </w:t>
      </w:r>
      <w:r w:rsidRPr="00115CF5">
        <w:rPr>
          <w:rFonts w:ascii="Book Antiqua" w:hAnsi="Book Antiqua"/>
          <w:i/>
          <w:sz w:val="20"/>
        </w:rPr>
        <w:t>“they help us as we put together our image of the actual vacuum. We glean from [Dirac] that every particle has its antiparticle of opposite charge and that particle plus antiparticle are nothing but an excitation of the vacuum … Conversely, we saw that every real particle-antiparticle pair can annihilate into a pure energy excitation of the vacuum.”</w:t>
      </w:r>
      <w:r w:rsidRPr="00115CF5">
        <w:rPr>
          <w:rFonts w:ascii="Book Antiqua" w:hAnsi="Book Antiqua"/>
          <w:sz w:val="20"/>
        </w:rPr>
        <w:t xml:space="preserve"> [24]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To help understand the QED approach, let us suppose for a moment that there is nothing in the vacuum of space at all - no matter, no radiation … nothing. Now according to the Heisenberg Uncertainty Principle, This “totally empty vacuum” </w:t>
      </w:r>
      <w:r w:rsidRPr="00115CF5">
        <w:rPr>
          <w:rFonts w:ascii="Book Antiqua" w:hAnsi="Book Antiqua"/>
          <w:i/>
          <w:sz w:val="20"/>
        </w:rPr>
        <w:t>could</w:t>
      </w:r>
      <w:r w:rsidRPr="00115CF5">
        <w:rPr>
          <w:rFonts w:ascii="Book Antiqua" w:hAnsi="Book Antiqua"/>
          <w:sz w:val="20"/>
        </w:rPr>
        <w:t xml:space="preserve"> contain a certain amount of radiation since everything is uncertain.  In QED physics, there is positive energy (more energy than exists in a normal vacuum), zero energy (energy found in a normal vacuum), and negative energy (less energy than in a normal vacuum).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For this reason, QED states that the energy in a bare vacuum will average zero. The HUP allows a ‘</w:t>
      </w:r>
      <w:r w:rsidRPr="00115CF5">
        <w:rPr>
          <w:rFonts w:ascii="Book Antiqua" w:hAnsi="Book Antiqua"/>
          <w:i/>
          <w:sz w:val="20"/>
        </w:rPr>
        <w:t>non zero’</w:t>
      </w:r>
      <w:r w:rsidRPr="00115CF5">
        <w:rPr>
          <w:rFonts w:ascii="Book Antiqua" w:hAnsi="Book Antiqua"/>
          <w:sz w:val="20"/>
        </w:rPr>
        <w:t xml:space="preserve"> energy to exist for short intervals of time, both as above (positive) and below (negative) the zero-datum position. The period of time for this ‘non-zero’ energy to exist is defined as</w:t>
      </w:r>
      <w:r w:rsidRPr="00115CF5">
        <w:rPr>
          <w:rFonts w:ascii="Book Antiqua" w:hAnsi="Book Antiqua"/>
          <w:i/>
          <w:sz w:val="20"/>
        </w:rPr>
        <w:t xml:space="preserv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divided by the uncertainty in the energy.  This is a somewhat confusing situation. (In this approach, the vacuum between two Casimir plates is considered to be in a negative energy state.)</w:t>
      </w:r>
      <w:r w:rsidRPr="00115CF5">
        <w:rPr>
          <w:rFonts w:ascii="Book Antiqua" w:hAnsi="Book Antiqua"/>
          <w:sz w:val="20"/>
        </w:rPr>
        <w:tab/>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Theoretically, in QED physics, the small energy fluctuations due to the Heisenberg Uncertainty Principle will produce particle-antiparticle pairs that exist for a short time and then disappear.  The foundation for this approach is in the inter-conversion of matter and energy which Einstein later made famous.  The momentary existence and then annihilation of the particle-antiparticle pairs allows the average properties of the universe to be maintained. Because of </w:t>
      </w:r>
      <w:r w:rsidRPr="00115CF5">
        <w:rPr>
          <w:rFonts w:ascii="Book Antiqua" w:hAnsi="Book Antiqua"/>
          <w:sz w:val="20"/>
        </w:rPr>
        <w:lastRenderedPageBreak/>
        <w:t>their ephemeral existence, these sub-atomic particle pairs are called virtual particles. In other words, the HUP alone requires the vacuum, as seen by QED physics, to be filled with virtual particle pairs flipping in and out of existence like a sort of quantum foam.</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QED model also claims virtual photons can pop in and out of existence as they are emitted and then absorbed by various particle processes. Because of this incessant activity on the atomic scale, the vacuum has been described as </w:t>
      </w:r>
      <w:r w:rsidRPr="00115CF5">
        <w:rPr>
          <w:rFonts w:ascii="Book Antiqua" w:hAnsi="Book Antiqua"/>
          <w:i/>
          <w:sz w:val="20"/>
        </w:rPr>
        <w:t>‘a seething sea of activity’</w:t>
      </w:r>
      <w:r w:rsidRPr="00115CF5">
        <w:rPr>
          <w:rFonts w:ascii="Book Antiqua" w:hAnsi="Book Antiqua"/>
          <w:sz w:val="20"/>
        </w:rPr>
        <w:t xml:space="preserve">, or </w:t>
      </w:r>
      <w:r w:rsidRPr="00115CF5">
        <w:rPr>
          <w:rFonts w:ascii="Book Antiqua" w:hAnsi="Book Antiqua"/>
          <w:i/>
          <w:sz w:val="20"/>
        </w:rPr>
        <w:t>‘the seething vacuum’</w:t>
      </w:r>
      <w:r w:rsidRPr="00115CF5">
        <w:rPr>
          <w:rFonts w:ascii="Book Antiqua" w:hAnsi="Book Antiqua"/>
          <w:sz w:val="20"/>
        </w:rPr>
        <w:t>. The QED approach then assigns much of the vacuum energy density or ZPE to these virtual particles. On this QED approach, however, without the HUP vacuum fluctuations, neither virtual particles nor the ZPE would exist. In other words, QED physics attributes these effects to a principle rather than to a physical cause.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SED Physics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QED physics, the average energy of the vacuum is zero.  This leads to the concept of positive and negative energy states in the vacuum.  But the real Zero Point Energy has an average so far above zero that its energy density can easily fluctuate above or below its average value.  Therefore a negative energy state is never attained.  The actual energy density of the ZPE is enormous, and its electromagnetic waves are moving in all directions simultaneously.</w:t>
      </w: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SED approach also explains the existence of virtual particles. The interaction of the electromagnetic ZPE waves may be considered to be similar to the waves of the sea. When ocean waves meet, due to a passing boat or strong cross-currents, the waves peak and crest and form whitecaps which then die down quickly and disappear.  In the same way, when ZPE waves meet, they create a concentration of energy that results in the formation of a positive and negative pair of particles.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occurs because, as mentioned before, energy and mass are inter-convertible. However, in order to maintain conservation of electronic charge, any such particulate matter that condenses out of these interactions in the vacuum fields must be in the form of particle-antiparticle pairs. The manifestation of virtual particle pairs in the vacuum can be considered to be a result of local peaking and cresting of these electromagnetic waves. These virtual particle pairs flash into existence momentarily, then re-combine and annihilate.  The excess energy, making up the peaks and ‘used’ to form the virtual particle pairs, is then released as they recombine.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A second process is also recognized in the SED approach. As an energetic photon of light comes to a wave peak, its presence may also raise the local energy threshold high enough to allow a virtual electron and positron pair to form and then</w:t>
      </w:r>
      <w:r w:rsidR="008768AE">
        <w:rPr>
          <w:rFonts w:ascii="Book Antiqua" w:hAnsi="Book Antiqua"/>
          <w:sz w:val="20"/>
        </w:rPr>
        <w:t xml:space="preserve"> almost immediately</w:t>
      </w:r>
      <w:r w:rsidRPr="00115CF5">
        <w:rPr>
          <w:rFonts w:ascii="Book Antiqua" w:hAnsi="Book Antiqua"/>
          <w:sz w:val="20"/>
        </w:rPr>
        <w:t xml:space="preserve"> annihilate, thus absorbing and then re-emitting the photon itself. In this sense, the SED approach which includes the Zero Point Energy has replaced the old, erroneous concept of the vacuum as a ‘Dirac sea’ of electrons. Furthermore, Stochastic Electrodynamic physics recognizes a veritable zoo of all types of particle pairs that inhabit the vacuum, instead of just the electrons and positrons proposed by Dirac.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Therefore, on both the QED and SED models, the vacuum is filled with virtual particle pairs flipping in and out of existence. Since an electron is hit </w:t>
      </w:r>
      <m:oMath>
        <m:r>
          <w:rPr>
            <w:rFonts w:ascii="Cambria Math" w:hAnsi="Book Antiqua"/>
            <w:sz w:val="18"/>
            <w:szCs w:val="18"/>
          </w:rPr>
          <m:t xml:space="preserve">1.62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115CF5">
        <w:rPr>
          <w:rFonts w:ascii="Book Antiqua" w:hAnsi="Book Antiqua"/>
          <w:sz w:val="20"/>
        </w:rPr>
        <w:t xml:space="preserve"> times/sec (the Compton frequency) and its volume is </w:t>
      </w:r>
      <m:oMath>
        <m:r>
          <w:rPr>
            <w:rFonts w:ascii="Cambria Math" w:hAnsi="Book Antiqua"/>
            <w:sz w:val="18"/>
            <w:szCs w:val="18"/>
          </w:rPr>
          <m:t xml:space="preserve">9.36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44</m:t>
            </m:r>
          </m:sup>
        </m:sSup>
      </m:oMath>
      <w:r w:rsidRPr="00115CF5">
        <w:rPr>
          <w:rFonts w:ascii="Book Antiqua" w:hAnsi="Book Antiqua"/>
          <w:sz w:val="20"/>
        </w:rPr>
        <w:t xml:space="preserve"> cubic meters (from the classical electron radius), then it follows that, in any given second, in a volume of one cubic meter there will have manifested about </w:t>
      </w:r>
      <m:oMath>
        <m:r>
          <w:rPr>
            <w:rFonts w:ascii="Cambria Math" w:hAnsi="Book Antiqua"/>
            <w:sz w:val="18"/>
            <w:szCs w:val="18"/>
          </w:rPr>
          <m:t xml:space="preserve">1.7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115CF5">
        <w:rPr>
          <w:rFonts w:ascii="Book Antiqua" w:hAnsi="Book Antiqua"/>
          <w:sz w:val="20"/>
        </w:rPr>
        <w:t xml:space="preserve"> virtual particle pairs.</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Vacuum Properties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current is shown to be flowing through the ceramic disk, between the two plates.  But when the voltage has stabilized at any particular chosen point, the current is no longer measured as flowing through the ceramic disk.  But since a current is </w:t>
      </w:r>
      <w:r w:rsidRPr="00115CF5">
        <w:rPr>
          <w:rFonts w:ascii="Book Antiqua" w:hAnsi="Book Antiqua"/>
          <w:sz w:val="20"/>
        </w:rPr>
        <w:lastRenderedPageBreak/>
        <w:t>not expected to flow through a ceramic disk at all, why was a current in evidence when the voltage was being ramped up?</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the voltage difference built up between the plates, the electric field between them affected the molecules in the ceramic disk.  Each molecule in the disk has a both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a rubber band. When the voltage between the plates stopped increasing, the stretching ceased, and therefore the current stopped flowing.  Once the voltage difference is stable between the plates, the molecules have stretched to their maximum </w:t>
      </w:r>
      <w:r w:rsidR="008768AE">
        <w:rPr>
          <w:rFonts w:ascii="Book Antiqua" w:hAnsi="Book Antiqua"/>
          <w:sz w:val="20"/>
        </w:rPr>
        <w:t>at</w:t>
      </w:r>
      <w:r w:rsidRPr="00115CF5">
        <w:rPr>
          <w:rFonts w:ascii="Book Antiqua" w:hAnsi="Book Antiqua"/>
          <w:sz w:val="20"/>
        </w:rPr>
        <w:t xml:space="preserve"> that voltage and that is why the current is no longer flowing through the disk. The ceramic disk is then said to be polarized, because all the positive charges are aligned one way and the negative charges are aligned another.</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current in the ceramic disk caused by the motion of these molecular charges over a short distance is called a </w:t>
      </w:r>
      <w:r w:rsidRPr="00115CF5">
        <w:rPr>
          <w:rFonts w:ascii="Book Antiqua" w:hAnsi="Book Antiqua"/>
          <w:i/>
          <w:sz w:val="20"/>
        </w:rPr>
        <w:t>“displacement current.”</w:t>
      </w:r>
      <w:r w:rsidRPr="00115CF5">
        <w:rPr>
          <w:rFonts w:ascii="Book Antiqua" w:hAnsi="Book Antiqua"/>
          <w:sz w:val="20"/>
        </w:rPr>
        <w:t xml:space="preserve"> The charges are simply displaced a short distance from their original positions.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If the experiment is then repeated without the ceramic disk, but in a vacuum in which all possible air is removed, it has been found that, again, a displacement current flows between the two plates</w:t>
      </w:r>
      <w:r w:rsidR="008768AE">
        <w:rPr>
          <w:rFonts w:ascii="Book Antiqua" w:hAnsi="Book Antiqua"/>
          <w:sz w:val="20"/>
        </w:rPr>
        <w:t xml:space="preserve"> during voltage increases, and stops when the voltage stabilizes</w:t>
      </w:r>
      <w:r w:rsidRPr="00115CF5">
        <w:rPr>
          <w:rFonts w:ascii="Book Antiqua" w:hAnsi="Book Antiqua"/>
          <w:sz w:val="20"/>
        </w:rPr>
        <w:t xml:space="preserve">. However, the displacement current is not as strong as it was using the ceramic disk. Nevertheless, since a displacement current does flow, the vacuum must have electric charges which can be polarized just as the molecules in the ceramic disk were.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Polarization can only occur if there are charged particles capable of being moved or re-oriented in an electric field. But we are working with what appears to be a vacuum.  The conclusion is that the vacuum must contain charged particles, capable of moving, which are not associated with the air.  This certainly seems to indicate the presence of virtual particle pairs which flash into and out of existence so rapidly.  Their instantaneous presence, however, means we have a </w:t>
      </w:r>
      <w:r w:rsidRPr="00115CF5">
        <w:rPr>
          <w:rFonts w:ascii="Book Antiqua" w:hAnsi="Book Antiqua"/>
          <w:b/>
          <w:i/>
          <w:sz w:val="20"/>
        </w:rPr>
        <w:t xml:space="preserve">“polarizable vacuum.” </w:t>
      </w:r>
      <w:r w:rsidRPr="00115CF5">
        <w:rPr>
          <w:rFonts w:ascii="Book Antiqua" w:hAnsi="Book Antiqua"/>
          <w:sz w:val="20"/>
        </w:rPr>
        <w:t xml:space="preserve">The extent to which the vacuum “permits” itself to be polarized in an electric field is called the electric permittivity of free space. This permittivity is designated by the Greek letter </w:t>
      </w:r>
      <w:r w:rsidRPr="00115CF5">
        <w:rPr>
          <w:rFonts w:ascii="Book Antiqua" w:hAnsi="Book Antiqua"/>
          <w:i/>
          <w:sz w:val="20"/>
        </w:rPr>
        <w:t>epsilon</w:t>
      </w:r>
      <w:r w:rsidRPr="00115CF5">
        <w:rPr>
          <w:rFonts w:ascii="Book Antiqua" w:hAnsi="Book Antiqua"/>
          <w:sz w:val="20"/>
        </w:rPr>
        <w:t xml:space="preserve"> written as </w:t>
      </w:r>
      <m:oMath>
        <m:r>
          <w:rPr>
            <w:rFonts w:ascii="Cambria Math" w:hAnsi="Cambria Math"/>
            <w:sz w:val="18"/>
            <w:szCs w:val="18"/>
          </w:rPr>
          <m:t>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It is important to understand that any charge in motion</w:t>
      </w:r>
      <w:r w:rsidR="008768AE">
        <w:rPr>
          <w:rFonts w:ascii="Book Antiqua" w:hAnsi="Book Antiqua"/>
          <w:sz w:val="20"/>
        </w:rPr>
        <w:t xml:space="preserve"> – an electric current -- </w:t>
      </w:r>
      <w:r w:rsidRPr="00115CF5">
        <w:rPr>
          <w:rFonts w:ascii="Book Antiqua" w:hAnsi="Book Antiqua"/>
          <w:sz w:val="20"/>
        </w:rPr>
        <w:t xml:space="preserve"> will produce a circling magnetic field</w:t>
      </w:r>
      <w:r w:rsidR="008768AE">
        <w:rPr>
          <w:rFonts w:ascii="Book Antiqua" w:hAnsi="Book Antiqua"/>
          <w:sz w:val="20"/>
        </w:rPr>
        <w:t>.</w:t>
      </w:r>
      <w:r w:rsidRPr="00115CF5">
        <w:rPr>
          <w:rFonts w:ascii="Book Antiqua" w:hAnsi="Book Antiqua"/>
          <w:sz w:val="20"/>
        </w:rPr>
        <w:t xml:space="preserve">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w:t>
      </w:r>
      <w:r w:rsidR="008768AE">
        <w:rPr>
          <w:rFonts w:ascii="Book Antiqua" w:hAnsi="Book Antiqua"/>
          <w:sz w:val="20"/>
        </w:rPr>
        <w:t xml:space="preserve"> and its resulting</w:t>
      </w:r>
      <w:r w:rsidRPr="00115CF5">
        <w:rPr>
          <w:rFonts w:ascii="Book Antiqua" w:hAnsi="Book Antiqua"/>
          <w:sz w:val="20"/>
        </w:rPr>
        <w:t xml:space="preserve"> magnetic field. The degree to which a magnetic field can permeate a substance is called its magnetic permeability. The presence of virtual particles causes the vacuum of space itself to have a permeability as well as a permittivity. The magnetic permeability of space is designated by the Greek letter </w:t>
      </w:r>
      <w:r w:rsidRPr="00115CF5">
        <w:rPr>
          <w:rFonts w:ascii="Book Antiqua" w:hAnsi="Book Antiqua"/>
          <w:i/>
          <w:sz w:val="20"/>
        </w:rPr>
        <w:t>mu</w:t>
      </w:r>
      <w:r w:rsidRPr="00115CF5">
        <w:rPr>
          <w:rFonts w:ascii="Book Antiqua" w:hAnsi="Book Antiqua"/>
          <w:sz w:val="20"/>
        </w:rPr>
        <w:t xml:space="preserve"> written</w:t>
      </w:r>
      <w:r w:rsidR="00871114">
        <w:rPr>
          <w:rFonts w:ascii="Book Antiqua" w:hAnsi="Book Antiqua"/>
          <w:sz w:val="20"/>
        </w:rPr>
        <w:t xml:space="preserve"> </w:t>
      </w:r>
      <w:r w:rsidRPr="00115CF5">
        <w:rPr>
          <w:rFonts w:ascii="Book Antiqua" w:hAnsi="Book Antiqua"/>
          <w:sz w:val="20"/>
        </w:rPr>
        <w:t xml:space="preserve"> </w:t>
      </w:r>
      <m:oMath>
        <m:r>
          <w:rPr>
            <w:rFonts w:ascii="Cambria Math" w:hAnsi="Book Antiqua"/>
            <w:sz w:val="18"/>
            <w:szCs w:val="18"/>
          </w:rPr>
          <m:t>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the strength of the ZPE. This tends to support the SED approach rather than the QED option, which has the number of virtual particles solely dependent on the Heisenberg uncertainty principle.</w:t>
      </w:r>
    </w:p>
    <w:p w:rsidR="008768AE" w:rsidRDefault="008768AE" w:rsidP="00AC4336">
      <w:pPr>
        <w:pStyle w:val="NoSpacing"/>
        <w:ind w:firstLine="720"/>
        <w:jc w:val="both"/>
        <w:rPr>
          <w:rFonts w:ascii="Book Antiqua" w:hAnsi="Book Antiqua"/>
          <w:sz w:val="20"/>
        </w:rPr>
      </w:pPr>
    </w:p>
    <w:p w:rsidR="00AC4336" w:rsidRPr="00017543"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017543">
        <w:rPr>
          <w:rFonts w:ascii="Book Antiqua" w:hAnsi="Book Antiqua" w:cs="Times New Roman"/>
          <w:b w:val="0"/>
          <w:sz w:val="20"/>
          <w:szCs w:val="20"/>
        </w:rPr>
        <w:t>Virtual Particles Cause a Vacuum Drag</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It is interesting that the presence of these virtual particles can be shown to create a drag on spinning particulate matter (even as large as grains of dust) in the vacuum</w:t>
      </w:r>
      <w:r w:rsidRPr="00017543">
        <w:rPr>
          <w:rFonts w:ascii="Book Antiqua" w:hAnsi="Book Antiqua"/>
          <w:sz w:val="20"/>
        </w:rPr>
        <w:t xml:space="preserve">. </w:t>
      </w:r>
      <w:r w:rsidR="00017543">
        <w:rPr>
          <w:rFonts w:ascii="Book Antiqua" w:hAnsi="Book Antiqua"/>
          <w:sz w:val="20"/>
        </w:rPr>
        <w:t xml:space="preserve"> Both the QED and SED approaches show </w:t>
      </w:r>
      <w:r w:rsidRPr="00017543">
        <w:rPr>
          <w:rFonts w:ascii="Book Antiqua" w:hAnsi="Book Antiqua"/>
          <w:sz w:val="20"/>
        </w:rPr>
        <w:t xml:space="preserve">that these particles </w:t>
      </w:r>
      <w:r w:rsidRPr="00017543">
        <w:rPr>
          <w:rFonts w:ascii="Book Antiqua" w:hAnsi="Book Antiqua"/>
          <w:sz w:val="20"/>
        </w:rPr>
        <w:lastRenderedPageBreak/>
        <w:t>and/or waves/photons create a friction as they collide with spinning matter.</w:t>
      </w:r>
      <w:r w:rsidRPr="00115CF5">
        <w:rPr>
          <w:rFonts w:ascii="Book Antiqua" w:hAnsi="Book Antiqua"/>
          <w:sz w:val="20"/>
        </w:rPr>
        <w:t xml:space="preserve"> The effect is greater for smaller, lighter particles of low density matter, which have less rotational momentum, than for more massive objects. This effect occurs, even though the bombardment comes equally from all sides, because a virtual particle hitting an object in the direction opposite to its spin collides with greater force than if it hits in the same direction as the rotation.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a result of this, it has been calculated that grains of graphite, about 100 nanometers across, which are plentiful in the extreme cold of interstellar space, would, in 2.7 million years, slow their rotation to one third of their original speed. With higher temperatures, the additional high temperature photons speed up this process. </w:t>
      </w:r>
      <w:r w:rsidRPr="00017543">
        <w:rPr>
          <w:rFonts w:ascii="Book Antiqua" w:hAnsi="Book Antiqua"/>
          <w:sz w:val="20"/>
        </w:rPr>
        <w:t xml:space="preserve">Thus at 700 degrees C </w:t>
      </w:r>
      <w:r w:rsidR="00017543">
        <w:rPr>
          <w:rFonts w:ascii="Book Antiqua" w:hAnsi="Book Antiqua"/>
          <w:sz w:val="20"/>
        </w:rPr>
        <w:t>(</w:t>
      </w:r>
      <w:r w:rsidRPr="00017543">
        <w:rPr>
          <w:rFonts w:ascii="Book Antiqua" w:hAnsi="Book Antiqua"/>
          <w:sz w:val="20"/>
        </w:rPr>
        <w:t>the average temperature for the hot areas of the universe</w:t>
      </w:r>
      <w:r w:rsidR="00017543">
        <w:rPr>
          <w:rFonts w:ascii="Book Antiqua" w:hAnsi="Book Antiqua"/>
          <w:sz w:val="20"/>
        </w:rPr>
        <w:t>)</w:t>
      </w:r>
      <w:r w:rsidRPr="00017543">
        <w:rPr>
          <w:rFonts w:ascii="Book Antiqua" w:hAnsi="Book Antiqua"/>
          <w:sz w:val="20"/>
        </w:rPr>
        <w:t xml:space="preserve"> the same decrease </w:t>
      </w:r>
      <w:r w:rsidR="00017543">
        <w:rPr>
          <w:rFonts w:ascii="Book Antiqua" w:hAnsi="Book Antiqua"/>
          <w:sz w:val="20"/>
        </w:rPr>
        <w:t xml:space="preserve">in spin rate </w:t>
      </w:r>
      <w:r w:rsidRPr="00017543">
        <w:rPr>
          <w:rFonts w:ascii="Book Antiqua" w:hAnsi="Book Antiqua"/>
          <w:sz w:val="20"/>
        </w:rPr>
        <w:t>would only take 90 days.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Experiments in ultra high vacuum conditions (a very nearly ‘perfect’ vacuum) using high precision lasers to trap and track nanoparticles are currently being planned to demonstrate this effect. These experiments will give additional proof of the existence of these virtual particle pairs [25].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jc w:val="both"/>
        <w:rPr>
          <w:rFonts w:ascii="Book Antiqua" w:hAnsi="Book Antiqua" w:cs="Times New Roman"/>
          <w:b w:val="0"/>
          <w:sz w:val="20"/>
          <w:szCs w:val="20"/>
        </w:rPr>
      </w:pPr>
      <w:r w:rsidRPr="00115CF5">
        <w:rPr>
          <w:rFonts w:ascii="Book Antiqua" w:hAnsi="Book Antiqua" w:cs="Times New Roman"/>
          <w:b w:val="0"/>
          <w:sz w:val="20"/>
          <w:szCs w:val="20"/>
        </w:rPr>
        <w:t>The Two Approaches to the Casimir Effect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048125" cy="2552700"/>
            <wp:effectExtent l="19050" t="0" r="9525" b="0"/>
            <wp:docPr id="98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51" cstate="print"/>
                    <a:srcRect/>
                    <a:stretch>
                      <a:fillRect/>
                    </a:stretch>
                  </pic:blipFill>
                  <pic:spPr bwMode="auto">
                    <a:xfrm>
                      <a:off x="0" y="0"/>
                      <a:ext cx="4048125" cy="2552700"/>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sz w:val="20"/>
        </w:rPr>
      </w:pPr>
    </w:p>
    <w:p w:rsidR="00AC4336" w:rsidRPr="003D26E9" w:rsidRDefault="00AC4336" w:rsidP="00A3114D">
      <w:pPr>
        <w:pStyle w:val="NoSpacing"/>
        <w:rPr>
          <w:rFonts w:ascii="Book Antiqua" w:hAnsi="Book Antiqua"/>
          <w:i/>
          <w:sz w:val="18"/>
          <w:szCs w:val="18"/>
        </w:rPr>
      </w:pPr>
      <w:r w:rsidRPr="00A3114D">
        <w:rPr>
          <w:rFonts w:ascii="Book Antiqua" w:hAnsi="Book Antiqua"/>
          <w:b/>
          <w:i/>
          <w:sz w:val="18"/>
          <w:szCs w:val="18"/>
        </w:rPr>
        <w:t>Figure 3:</w:t>
      </w:r>
      <w:r w:rsidRPr="003D26E9">
        <w:rPr>
          <w:rFonts w:ascii="Book Antiqua" w:hAnsi="Book Antiqua"/>
          <w:i/>
          <w:sz w:val="18"/>
          <w:szCs w:val="18"/>
        </w:rPr>
        <w:t xml:space="preserve">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w:t>
      </w:r>
      <w:r w:rsidR="003D26E9">
        <w:rPr>
          <w:rFonts w:ascii="Book Antiqua" w:hAnsi="Book Antiqua"/>
          <w:i/>
          <w:sz w:val="18"/>
          <w:szCs w:val="18"/>
        </w:rPr>
        <w:t xml:space="preserve"> exert </w:t>
      </w:r>
      <w:r w:rsidRPr="003D26E9">
        <w:rPr>
          <w:rFonts w:ascii="Book Antiqua" w:hAnsi="Book Antiqua"/>
          <w:i/>
          <w:sz w:val="18"/>
          <w:szCs w:val="18"/>
        </w:rPr>
        <w:t>pressure on the plates which pushes them together. The wave series third from bottom has the largest wavelength that will fit exactly between the plates. All longer waves are excluded and exert a pressure from the outside.</w:t>
      </w:r>
    </w:p>
    <w:p w:rsidR="00966CF0" w:rsidRDefault="00966CF0" w:rsidP="00A65591">
      <w:pPr>
        <w:pStyle w:val="NoSpacing"/>
        <w:ind w:firstLine="720"/>
        <w:jc w:val="both"/>
        <w:rPr>
          <w:rFonts w:ascii="Book Antiqua" w:hAnsi="Book Antiqua"/>
          <w:sz w:val="20"/>
        </w:rPr>
      </w:pPr>
    </w:p>
    <w:p w:rsidR="009A04FE" w:rsidRPr="00115CF5" w:rsidRDefault="009A04FE" w:rsidP="009A04FE">
      <w:pPr>
        <w:pStyle w:val="NoSpacing"/>
        <w:ind w:firstLine="720"/>
        <w:jc w:val="both"/>
        <w:rPr>
          <w:rFonts w:ascii="Book Antiqua" w:hAnsi="Book Antiqua"/>
          <w:sz w:val="20"/>
        </w:rPr>
      </w:pPr>
      <w:r w:rsidRPr="00115CF5">
        <w:rPr>
          <w:rFonts w:ascii="Book Antiqua" w:hAnsi="Book Antiqua"/>
          <w:sz w:val="20"/>
        </w:rPr>
        <w:t>Because QED physics ‘allows’ a virtual ZPE (useful mathematically) but not a real ZPE, they must explain what happens with the Casimir plates in terms of virtual particles alone, which only exist because of the Heisenberg Uncertainty Principle.  It will be recalled that all particles have a de Broglie wavelength, the wavelength of any individual subatomic particle. As a result, QED physics demands that only those virtual particles whose de Broglie wavelengths can fit a whole number of times into the gap between the Casimir plates will appear there. The rest are excluded. Consequently, the vacuum energy density (essentially the number of virtual particles) between the plates will be less than the energy density outside, so the plates are forced together.  The dependence in this model is on the virtual particles themselves.</w:t>
      </w:r>
    </w:p>
    <w:p w:rsidR="009A04FE" w:rsidRDefault="009A04FE" w:rsidP="00A65591">
      <w:pPr>
        <w:pStyle w:val="NoSpacing"/>
        <w:ind w:firstLine="720"/>
        <w:jc w:val="both"/>
        <w:rPr>
          <w:rFonts w:ascii="Book Antiqua" w:hAnsi="Book Antiqua"/>
          <w:sz w:val="20"/>
        </w:rPr>
      </w:pPr>
    </w:p>
    <w:p w:rsidR="00343C89" w:rsidRPr="00343C89" w:rsidRDefault="00343C89" w:rsidP="00A65591">
      <w:pPr>
        <w:pStyle w:val="NoSpacing"/>
        <w:ind w:firstLine="720"/>
        <w:jc w:val="both"/>
        <w:rPr>
          <w:rFonts w:ascii="Book Antiqua" w:hAnsi="Book Antiqua"/>
          <w:sz w:val="20"/>
        </w:rPr>
      </w:pPr>
      <w:r w:rsidRPr="00343C89">
        <w:rPr>
          <w:rFonts w:ascii="Book Antiqua" w:hAnsi="Book Antiqua"/>
          <w:sz w:val="20"/>
        </w:rPr>
        <w:t xml:space="preserve">The SED model explains the Casimir effect somewhat differently. The ZPE is considered real and exists as waves of all wavelengths.  Casimir plates coming together will progressively restrict the lengths of waves that can exist between them.  Only those ZPE waves which will fit a whole number of times between them will be found between them (see </w:t>
      </w:r>
      <w:r w:rsidRPr="00343C89">
        <w:rPr>
          <w:rFonts w:ascii="Book Antiqua" w:hAnsi="Book Antiqua"/>
          <w:sz w:val="20"/>
        </w:rPr>
        <w:lastRenderedPageBreak/>
        <w:t xml:space="preserve">Figure 3).  This does not require the presence of virtual particles, which may or may not be present.  As the plates are brought closer together, more and more wavelengths are excluded and thus bring pressure to bear on the outside of the plates, forcing them together. </w:t>
      </w:r>
    </w:p>
    <w:p w:rsidR="00343C89" w:rsidRDefault="00343C89" w:rsidP="00B34819">
      <w:pPr>
        <w:pStyle w:val="NoSpacing"/>
        <w:ind w:firstLine="720"/>
        <w:jc w:val="both"/>
        <w:rPr>
          <w:rFonts w:ascii="Book Antiqua" w:hAnsi="Book Antiqua"/>
          <w:sz w:val="20"/>
        </w:rPr>
      </w:pPr>
    </w:p>
    <w:p w:rsidR="00B34819" w:rsidRPr="00115CF5" w:rsidRDefault="00B34819" w:rsidP="00B34819">
      <w:pPr>
        <w:pStyle w:val="NoSpacing"/>
        <w:ind w:firstLine="720"/>
        <w:jc w:val="both"/>
        <w:rPr>
          <w:rFonts w:ascii="Book Antiqua" w:hAnsi="Book Antiqua"/>
          <w:sz w:val="20"/>
        </w:rPr>
      </w:pPr>
      <w:r w:rsidRPr="00115CF5">
        <w:rPr>
          <w:rFonts w:ascii="Book Antiqua" w:hAnsi="Book Antiqua"/>
          <w:sz w:val="20"/>
        </w:rPr>
        <w:t>Both models show that the excluded wavelengths bring pressure to bear on the outside of the plates.  The QED approach says the waves are the result of the virtual particles, whereas the SED approach says the waves exist independently as the Zero Point Energy.</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1"/>
          <w:numId w:val="17"/>
        </w:numPr>
        <w:jc w:val="both"/>
        <w:rPr>
          <w:rFonts w:ascii="Book Antiqua" w:hAnsi="Book Antiqua"/>
          <w:i/>
          <w:sz w:val="20"/>
        </w:rPr>
      </w:pPr>
      <w:r w:rsidRPr="00115CF5">
        <w:rPr>
          <w:rFonts w:ascii="Book Antiqua" w:hAnsi="Book Antiqua"/>
          <w:i/>
          <w:sz w:val="20"/>
        </w:rPr>
        <w:t xml:space="preserve"> Choosing Between QED and SED Explanations </w:t>
      </w:r>
    </w:p>
    <w:p w:rsidR="00AC4336" w:rsidRPr="00115CF5" w:rsidRDefault="00AC4336" w:rsidP="00AC4336">
      <w:pPr>
        <w:pStyle w:val="NoSpacing"/>
        <w:ind w:left="360"/>
        <w:jc w:val="both"/>
        <w:rPr>
          <w:rFonts w:ascii="Book Antiqua" w:hAnsi="Book Antiqua"/>
          <w:i/>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some ways, both the QED and SED explanations for the ZPE and its effects are viable alternatives. However, SED uses the intrinsic electromagnetic waves (or photons) of the ZPE directly as well as the virtual particles which originate with the energy of the interacting ZPE waves. QED</w:t>
      </w:r>
      <w:r w:rsidR="00017543">
        <w:rPr>
          <w:rFonts w:ascii="Book Antiqua" w:hAnsi="Book Antiqua"/>
          <w:sz w:val="20"/>
        </w:rPr>
        <w:t>, however,</w:t>
      </w:r>
      <w:r w:rsidRPr="00115CF5">
        <w:rPr>
          <w:rFonts w:ascii="Book Antiqua" w:hAnsi="Book Antiqua"/>
          <w:sz w:val="20"/>
        </w:rPr>
        <w:t xml:space="preserve"> uses virtual particles (and/or photons) from vacuum fluctuations that are attributed solely to the Heisenberg Uncertainty Principle. So the QED approach relies on the application of a theoretical principle which cannot explain any changes in ZPE strength</w:t>
      </w:r>
      <w:r w:rsidRPr="00017543">
        <w:rPr>
          <w:rFonts w:ascii="Book Antiqua" w:hAnsi="Book Antiqua"/>
          <w:sz w:val="20"/>
        </w:rPr>
        <w:t>. In contrast</w:t>
      </w:r>
      <w:r w:rsidRPr="00115CF5">
        <w:rPr>
          <w:rFonts w:ascii="Book Antiqua" w:hAnsi="Book Antiqua"/>
          <w:sz w:val="20"/>
        </w:rPr>
        <w:t xml:space="preserve">, the SED approach acknowledges the independent existence of the ZPE as an intrinsic property of the universe, along with the virtual particle pairs it produces.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 further development has recently occurred. In 1970, the USA physicist Gerald Moore suggested a reversal of the Casimir effect argument. What he proposed was that by moving two Casimir plates together very fast, there would be a very sudden restriction of the wavelengths which were permitted to exist between the plates. This would then force the vacuum between the plates to give up the excess wavelengths, and hence energy, in the form of pairs of light photons. This process has been called the Dynamical Casimir effect. On 17</w:t>
      </w:r>
      <w:r w:rsidRPr="00115CF5">
        <w:rPr>
          <w:rFonts w:ascii="Book Antiqua" w:hAnsi="Book Antiqua"/>
          <w:sz w:val="20"/>
          <w:vertAlign w:val="superscript"/>
        </w:rPr>
        <w:t>th</w:t>
      </w:r>
      <w:r w:rsidRPr="00115CF5">
        <w:rPr>
          <w:rFonts w:ascii="Book Antiqua" w:hAnsi="Book Antiqua"/>
          <w:sz w:val="20"/>
        </w:rPr>
        <w:t xml:space="preserve"> November 2011 C.M. Wilson and his team published the success of just such an experiment [26]. Infra-red photons were emitted which gave further proof for the existence of an actual, physical ZPE, even though their Letter to Nature used QED terminology.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Considering all the foregoing factors, it can be seen that the SED approach allows for an examination and analysis of the ZPE and its origin. This is effectively denied to QED physics since the uncertainty principle is absolute and stifles further investigation. For this reason the SED approach will be the one which is adopted and used extensively throughout the rest of this monograph.</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17"/>
        </w:numPr>
        <w:spacing w:before="0" w:after="120" w:line="240" w:lineRule="atLeast"/>
        <w:rPr>
          <w:rFonts w:ascii="Book Antiqua" w:hAnsi="Book Antiqua" w:cs="Times New Roman"/>
          <w:sz w:val="20"/>
          <w:szCs w:val="20"/>
        </w:rPr>
      </w:pPr>
      <w:r w:rsidRPr="00115CF5">
        <w:rPr>
          <w:rFonts w:ascii="Book Antiqua" w:hAnsi="Book Antiqua" w:cs="Times New Roman"/>
          <w:sz w:val="20"/>
          <w:szCs w:val="20"/>
        </w:rPr>
        <w:t>A Cosmological Constant and the ZPE</w:t>
      </w:r>
      <w:r w:rsidR="0079464D">
        <w:rPr>
          <w:rFonts w:ascii="Book Antiqua" w:hAnsi="Book Antiqua" w:cs="Times New Roman"/>
          <w:sz w:val="20"/>
          <w:szCs w:val="20"/>
        </w:rPr>
        <w:t>?</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an effort to meld General Relativity</w:t>
      </w:r>
      <w:r w:rsidR="000F195A">
        <w:rPr>
          <w:rFonts w:ascii="Book Antiqua" w:hAnsi="Book Antiqua"/>
          <w:sz w:val="20"/>
        </w:rPr>
        <w:t xml:space="preserve"> (GR)</w:t>
      </w:r>
      <w:r w:rsidRPr="00115CF5">
        <w:rPr>
          <w:rFonts w:ascii="Book Antiqua" w:hAnsi="Book Antiqua"/>
          <w:sz w:val="20"/>
        </w:rPr>
        <w:t xml:space="preserve"> with quantum physics, QED physicists consider the cosmological constant, </w:t>
      </w:r>
      <m:oMath>
        <m:r>
          <w:rPr>
            <w:rFonts w:ascii="Cambria Math" w:hAnsi="Cambria Math"/>
            <w:sz w:val="18"/>
            <w:szCs w:val="18"/>
          </w:rPr>
          <m:t>Λ</m:t>
        </m:r>
      </m:oMath>
      <w:r w:rsidRPr="00115CF5">
        <w:rPr>
          <w:rFonts w:ascii="Book Antiqua" w:hAnsi="Book Antiqua"/>
          <w:sz w:val="20"/>
        </w:rPr>
        <w:t xml:space="preserve">, to be an expression of the energy in the vacuum of space.  As a consequence, there is a common misconception that the cosmological constant and the Zero Point Energy are the same thing.  Einstein considered the universe to be static, and the GR equations needed the cosmological constant to maintain a static universe which was stable against gravitational collapse.  It is currently proposed that the cosmological constant is greater than the sum of all gravitational forces and exerts a pressure on the vacuum which causes it to expand. For this reason some call it the reverse of gravity.  However, since the pressure exerted on the vacuum is expected to result from the action of some sort of energy, the action of the cosmological constant is sometimes given the alternative name of "dark energy".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Although QED physics tries to integrate their model of the ZPE into Relativity via the cosmological constant, thereby causing confusion, SED physics sees the ZPE and the cosmological constant as profoundly different.  The Zero Point Energy is an entity unto itself.  The cosmological constant does not figure in SED physics at all.  It doesn’t have to.</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line of thinking seems to be confirmed by Haisch and Rueda who concluded that </w:t>
      </w:r>
      <w:r w:rsidRPr="00115CF5">
        <w:rPr>
          <w:rFonts w:ascii="Book Antiqua" w:hAnsi="Book Antiqua"/>
          <w:i/>
          <w:sz w:val="20"/>
        </w:rPr>
        <w:t>“the ZPF [Zero Point Fields]</w:t>
      </w:r>
      <w:r w:rsidRPr="00115CF5">
        <w:rPr>
          <w:rFonts w:ascii="Book Antiqua" w:hAnsi="Book Antiqua"/>
          <w:sz w:val="20"/>
        </w:rPr>
        <w:t xml:space="preserve"> </w:t>
      </w:r>
      <w:r w:rsidRPr="00115CF5">
        <w:rPr>
          <w:rFonts w:ascii="Book Antiqua" w:hAnsi="Book Antiqua"/>
          <w:i/>
          <w:sz w:val="20"/>
        </w:rPr>
        <w:t xml:space="preserve">cannot be the manifestation of a cosmological constant, </w:t>
      </w:r>
      <m:oMath>
        <m:r>
          <w:rPr>
            <w:rFonts w:ascii="Cambria Math" w:hAnsi="Cambria Math"/>
            <w:sz w:val="18"/>
            <w:szCs w:val="18"/>
          </w:rPr>
          <m:t>Λ</m:t>
        </m:r>
      </m:oMath>
      <w:r w:rsidRPr="00115CF5">
        <w:rPr>
          <w:rFonts w:ascii="Book Antiqua" w:hAnsi="Book Antiqua"/>
          <w:i/>
          <w:sz w:val="20"/>
        </w:rPr>
        <w:t xml:space="preserve">, or vice versa…The ZPF is NOT a candidate source for a cosmological constant. The ZPF…can have nothing to do with </w:t>
      </w:r>
      <m:oMath>
        <m:r>
          <w:rPr>
            <w:rFonts w:ascii="Cambria Math" w:hAnsi="Cambria Math"/>
            <w:sz w:val="18"/>
            <w:szCs w:val="18"/>
          </w:rPr>
          <m:t>Λ</m:t>
        </m:r>
      </m:oMath>
      <w:r w:rsidRPr="00115CF5">
        <w:rPr>
          <w:rFonts w:ascii="Book Antiqua" w:hAnsi="Book Antiqua"/>
          <w:i/>
          <w:sz w:val="20"/>
        </w:rPr>
        <w:t xml:space="preserve"> and is not, of itself, a source of gravitation… Gravitation is not caused by the mere presence of the ZPF, [but] rather by secondary motions of charged particles driven by the ZPF. In this view it is impossible for the ZPF to give rise to a cosmological constant.” </w:t>
      </w:r>
      <w:r w:rsidRPr="00115CF5">
        <w:rPr>
          <w:rFonts w:ascii="Book Antiqua" w:hAnsi="Book Antiqua"/>
          <w:sz w:val="20"/>
        </w:rPr>
        <w:t xml:space="preserve">[27] Thus, the result of General Relativity is that the very presence of </w:t>
      </w:r>
      <m:oMath>
        <m:r>
          <w:rPr>
            <w:rFonts w:ascii="Cambria Math" w:hAnsi="Cambria Math"/>
            <w:sz w:val="18"/>
            <w:szCs w:val="18"/>
          </w:rPr>
          <m:t>Λ</m:t>
        </m:r>
      </m:oMath>
      <w:r w:rsidRPr="00115CF5">
        <w:rPr>
          <w:rFonts w:ascii="Book Antiqua" w:hAnsi="Book Antiqua"/>
          <w:sz w:val="20"/>
        </w:rPr>
        <w:t xml:space="preserve"> causes </w:t>
      </w:r>
      <w:r w:rsidRPr="00115CF5">
        <w:rPr>
          <w:rFonts w:ascii="Book Antiqua" w:hAnsi="Book Antiqua"/>
          <w:sz w:val="20"/>
        </w:rPr>
        <w:lastRenderedPageBreak/>
        <w:t>the vacuum to expand. The ZPE cannot do this, and so it is a different entity. This means the Zero Point Energy is not a manifestation of the cosmological constant.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Many years after the cosmological constant was first proposed to maintain a static cosmos, it was shown by Narlikar and Arp that a static, matter-filled universe can remain stable and not collapse without any need for the cosmological constant to do the work [28]. Under these conditions, the necessity for a cosmological constant disappears, even in static Einsteinian universes.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discussed in Chapter 5, there is a problem which the cosmological constant is currently used to address. The red shifting of light signatures at great distances does not conform to the equation used by Big Bang physicists.    Because of this problem, </w:t>
      </w:r>
      <m:oMath>
        <m:r>
          <w:rPr>
            <w:rFonts w:ascii="Cambria Math" w:hAnsi="Cambria Math"/>
            <w:sz w:val="18"/>
            <w:szCs w:val="18"/>
          </w:rPr>
          <m:t>Λ</m:t>
        </m:r>
      </m:oMath>
      <w:r w:rsidRPr="00115CF5">
        <w:rPr>
          <w:rFonts w:ascii="Book Antiqua" w:hAnsi="Book Antiqua"/>
          <w:sz w:val="20"/>
        </w:rPr>
        <w:t xml:space="preserve"> is currently in vogue again.  Its action in exerting pressure on the vacuum is meant to speed up the rate of universal expansion, so that this proposed expansion is more rapid now than in past astronomical times. In this way, the redshift problem is considered to be resolved.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 xml:space="preserve">Nevertheless, the problem of trying to incorporate the cosmological constant, </w:t>
      </w:r>
      <m:oMath>
        <m:r>
          <w:rPr>
            <w:rFonts w:ascii="Cambria Math" w:hAnsi="Cambria Math"/>
            <w:sz w:val="18"/>
            <w:szCs w:val="18"/>
          </w:rPr>
          <m:t>Λ</m:t>
        </m:r>
      </m:oMath>
      <w:r w:rsidRPr="00115CF5">
        <w:rPr>
          <w:rFonts w:ascii="Book Antiqua" w:hAnsi="Book Antiqua"/>
          <w:i/>
          <w:sz w:val="20"/>
        </w:rPr>
        <w:t>,</w:t>
      </w:r>
      <w:r w:rsidRPr="00115CF5">
        <w:rPr>
          <w:rFonts w:ascii="Book Antiqua" w:hAnsi="Book Antiqua"/>
          <w:sz w:val="20"/>
        </w:rPr>
        <w:t xml:space="preserve"> from General Relativity, into the QED form of ZPE theory has proved very difficult. Zeldovich pointed out that the numerical value obtained for the cosmological constant from any proposed QED vacuum and particle theory can disagree with observation by a factor of up to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46</m:t>
            </m:r>
          </m:sup>
        </m:sSup>
      </m:oMath>
      <w:r w:rsidRPr="00115CF5">
        <w:rPr>
          <w:rFonts w:ascii="Book Antiqua" w:hAnsi="Book Antiqua"/>
          <w:sz w:val="20"/>
          <w:vertAlign w:val="superscript"/>
        </w:rPr>
        <w:t xml:space="preserve"> </w:t>
      </w:r>
      <w:r w:rsidRPr="00115CF5">
        <w:rPr>
          <w:rFonts w:ascii="Book Antiqua" w:hAnsi="Book Antiqua"/>
          <w:sz w:val="20"/>
        </w:rPr>
        <w:t xml:space="preserve">[29]. The same conclusion was reached via a different line of reasoning by Abbott [30]. Barrow and Magueijo have also pointed out </w:t>
      </w:r>
      <w:r w:rsidRPr="00115CF5">
        <w:rPr>
          <w:rFonts w:ascii="Book Antiqua" w:hAnsi="Book Antiqua"/>
          <w:i/>
          <w:sz w:val="20"/>
        </w:rPr>
        <w:t xml:space="preserve">“If </w:t>
      </w:r>
      <m:oMath>
        <m:r>
          <w:rPr>
            <w:rFonts w:ascii="Cambria Math" w:hAnsi="Cambria Math"/>
            <w:sz w:val="18"/>
            <w:szCs w:val="18"/>
          </w:rPr>
          <m:t>Λ</m:t>
        </m:r>
        <m:r>
          <w:rPr>
            <w:rFonts w:ascii="Cambria Math" w:hAnsi="Book Antiqua"/>
            <w:sz w:val="18"/>
            <w:szCs w:val="18"/>
          </w:rPr>
          <m:t xml:space="preserve"> &gt; 0</m:t>
        </m:r>
      </m:oMath>
      <w:r w:rsidRPr="00115CF5">
        <w:rPr>
          <w:rFonts w:ascii="Book Antiqua" w:hAnsi="Book Antiqua"/>
          <w:i/>
          <w:sz w:val="20"/>
        </w:rPr>
        <w:t xml:space="preserve">, then cosmology faces a very serious fine-tuning problem…There is no theoretical motivation for a value of </w:t>
      </w:r>
      <m:oMath>
        <m:r>
          <w:rPr>
            <w:rFonts w:ascii="Cambria Math" w:hAnsi="Cambria Math"/>
            <w:sz w:val="18"/>
            <w:szCs w:val="18"/>
          </w:rPr>
          <m:t>Λ</m:t>
        </m:r>
      </m:oMath>
      <w:r w:rsidRPr="00115CF5">
        <w:rPr>
          <w:rFonts w:ascii="Book Antiqua" w:hAnsi="Book Antiqua"/>
          <w:i/>
          <w:sz w:val="20"/>
        </w:rPr>
        <w:t xml:space="preserve"> of currently observable magnitude …”</w:t>
      </w:r>
      <w:r w:rsidRPr="00115CF5">
        <w:rPr>
          <w:rFonts w:ascii="Book Antiqua" w:hAnsi="Book Antiqua"/>
          <w:sz w:val="20"/>
        </w:rPr>
        <w:t xml:space="preserve"> [31]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More recently, Greene noted that </w:t>
      </w:r>
      <w:r w:rsidRPr="00115CF5">
        <w:rPr>
          <w:rFonts w:ascii="Book Antiqua" w:hAnsi="Book Antiqua"/>
          <w:i/>
          <w:sz w:val="20"/>
        </w:rPr>
        <w:t>“…the cosmological constant can be interpreted as a kind of overall energy stored in the vacuum of space, and hence its value should be theoretically calculable and experimentally measurable. But, to date, such calculations and measurements lead to a colossal mismatch: Observations show that the cosmological constant is either zero (as Einstein ultimately suggested) or quite small; calculations [based on QED theory] indicate that quantum-mechanical fluctuations in the vacuum of empty space tend to generate a nonzero cosmological constant whose value is some 120 orders of magnitude larger than experiment allows!”</w:t>
      </w:r>
      <w:r w:rsidRPr="00115CF5">
        <w:rPr>
          <w:rFonts w:ascii="Book Antiqua" w:hAnsi="Book Antiqua"/>
          <w:sz w:val="20"/>
        </w:rPr>
        <w:t xml:space="preserve"> [32]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situation has not changed since Greene made his comments, since similar statements occur in a discussion of the subject in New Scientist, 18</w:t>
      </w:r>
      <w:r w:rsidRPr="00115CF5">
        <w:rPr>
          <w:rFonts w:ascii="Book Antiqua" w:hAnsi="Book Antiqua"/>
          <w:sz w:val="20"/>
          <w:vertAlign w:val="superscript"/>
        </w:rPr>
        <w:t>th</w:t>
      </w:r>
      <w:r w:rsidRPr="00115CF5">
        <w:rPr>
          <w:rFonts w:ascii="Book Antiqua" w:hAnsi="Book Antiqua"/>
          <w:sz w:val="20"/>
        </w:rPr>
        <w:t xml:space="preserve"> February, 2012, pp. 34-37 in an article titled “Vacuum Packed”. This seems to indicate that the cause of the problem may be found either in the QED approach, General Relativity or both.  Their approaches to this are entirely theoretical. In contrast, the SED approach to the ZPE does not require it to exert a pressure on the vacuum. This seems to be in keeping with the observational evidence which shows that the cosmological constant equals zero. </w:t>
      </w:r>
    </w:p>
    <w:p w:rsidR="00AC4336" w:rsidRPr="00115CF5" w:rsidRDefault="00AC4336" w:rsidP="00AC4336">
      <w:pPr>
        <w:pStyle w:val="NoSpacing"/>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In summary, </w:t>
      </w:r>
      <m:oMath>
        <m:r>
          <w:rPr>
            <w:rFonts w:ascii="Cambria Math" w:hAnsi="Cambria Math"/>
            <w:sz w:val="18"/>
            <w:szCs w:val="18"/>
          </w:rPr>
          <m:t>Λ</m:t>
        </m:r>
      </m:oMath>
      <w:r w:rsidRPr="00115CF5">
        <w:rPr>
          <w:rFonts w:ascii="Book Antiqua" w:hAnsi="Book Antiqua"/>
          <w:sz w:val="20"/>
        </w:rPr>
        <w:t xml:space="preserve"> represents a kind of vacuum energy and, as such, it has become the General Relativity’s rival concept to SED's Zero Point Energy.  What needs to be remembered is that the observational evidence indicates the </w:t>
      </w:r>
      <w:r w:rsidR="00AD7B89">
        <w:rPr>
          <w:rFonts w:ascii="Book Antiqua" w:hAnsi="Book Antiqua"/>
          <w:sz w:val="20"/>
        </w:rPr>
        <w:t xml:space="preserve">Zero Point Energy is a reality, whereas the </w:t>
      </w:r>
      <w:r w:rsidRPr="00115CF5">
        <w:rPr>
          <w:rFonts w:ascii="Book Antiqua" w:hAnsi="Book Antiqua"/>
          <w:sz w:val="20"/>
        </w:rPr>
        <w:t xml:space="preserve">cosmological constant </w:t>
      </w:r>
      <w:r w:rsidR="00AD7B89">
        <w:rPr>
          <w:rFonts w:ascii="Book Antiqua" w:hAnsi="Book Antiqua"/>
          <w:sz w:val="20"/>
        </w:rPr>
        <w:t xml:space="preserve">may </w:t>
      </w:r>
      <w:r w:rsidRPr="00AD7B89">
        <w:rPr>
          <w:rFonts w:ascii="Book Antiqua" w:hAnsi="Book Antiqua"/>
          <w:sz w:val="20"/>
        </w:rPr>
        <w:t>not even exist</w:t>
      </w:r>
      <w:r w:rsidR="00AD7B89">
        <w:rPr>
          <w:rFonts w:ascii="Book Antiqua" w:hAnsi="Book Antiqua"/>
          <w:sz w:val="20"/>
        </w:rPr>
        <w:t>.</w:t>
      </w:r>
      <w:r w:rsidRPr="00115CF5">
        <w:rPr>
          <w:rFonts w:ascii="Book Antiqua" w:hAnsi="Book Antiqua"/>
          <w:sz w:val="20"/>
        </w:rPr>
        <w:t xml:space="preserve"> </w:t>
      </w:r>
    </w:p>
    <w:p w:rsidR="00AD7B89" w:rsidRPr="00115CF5" w:rsidRDefault="00AD7B89" w:rsidP="00AC4336">
      <w:pPr>
        <w:pStyle w:val="NoSpacing"/>
        <w:ind w:firstLine="720"/>
        <w:jc w:val="both"/>
        <w:rPr>
          <w:rFonts w:ascii="Book Antiqua" w:hAnsi="Book Antiqua"/>
          <w:sz w:val="20"/>
        </w:rPr>
      </w:pPr>
    </w:p>
    <w:p w:rsidR="00AC4336" w:rsidRDefault="00AC4336" w:rsidP="00AC4336">
      <w:pPr>
        <w:pStyle w:val="Heading1"/>
        <w:keepLines/>
        <w:widowControl/>
        <w:numPr>
          <w:ilvl w:val="0"/>
          <w:numId w:val="17"/>
        </w:numPr>
        <w:spacing w:before="0" w:after="120" w:line="240" w:lineRule="atLeast"/>
        <w:ind w:left="274" w:hanging="274"/>
        <w:rPr>
          <w:rFonts w:ascii="Book Antiqua" w:hAnsi="Book Antiqua" w:cs="Times New Roman"/>
          <w:sz w:val="20"/>
          <w:szCs w:val="20"/>
        </w:rPr>
      </w:pPr>
      <w:r w:rsidRPr="00115CF5">
        <w:rPr>
          <w:rFonts w:ascii="Book Antiqua" w:hAnsi="Book Antiqua" w:cs="Times New Roman"/>
          <w:sz w:val="20"/>
          <w:szCs w:val="20"/>
        </w:rPr>
        <w:t>The Cosmos and Origin of the ZPE</w:t>
      </w:r>
    </w:p>
    <w:p w:rsidR="00AD7B89" w:rsidRPr="00AD7B89" w:rsidRDefault="00AD7B89" w:rsidP="00AD7B89"/>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Discerning the Origin of the Zero Point Energy</w:t>
      </w:r>
    </w:p>
    <w:p w:rsidR="00AC4336" w:rsidRPr="00115CF5" w:rsidRDefault="00AC4336" w:rsidP="00AC4336">
      <w:pPr>
        <w:ind w:left="360"/>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Stochastic Electrodynamics presents an origin for the ZPE independent of the cosmological constant. Puthoff noted that SED physics has two current explanations for the origin of the ZPE. [33] They were assessed as follows</w:t>
      </w:r>
      <w:r w:rsidRPr="00115CF5">
        <w:rPr>
          <w:rFonts w:ascii="Book Antiqua" w:hAnsi="Book Antiqua"/>
          <w:i/>
          <w:sz w:val="20"/>
        </w:rPr>
        <w:t xml:space="preserve">: “The first explanation … is that the zero-point energy was fixed arbitrarily at the birth of the Universe, as part of its so-called boundary conditions.” </w:t>
      </w:r>
      <w:r w:rsidRPr="00115CF5">
        <w:rPr>
          <w:rFonts w:ascii="Book Antiqua" w:hAnsi="Book Antiqua"/>
          <w:sz w:val="20"/>
        </w:rPr>
        <w:t xml:space="preserve">[34] A second school of thought proposes that </w:t>
      </w:r>
      <w:r w:rsidRPr="00115CF5">
        <w:rPr>
          <w:rFonts w:ascii="Book Antiqua" w:hAnsi="Book Antiqua"/>
          <w:i/>
          <w:sz w:val="20"/>
        </w:rPr>
        <w:t>“the sum of all particle motions throughout the Universe generates the zero-point fields”</w:t>
      </w:r>
      <w:r w:rsidRPr="00115CF5">
        <w:rPr>
          <w:rFonts w:ascii="Book Antiqua" w:hAnsi="Book Antiqua"/>
          <w:sz w:val="20"/>
        </w:rPr>
        <w:t xml:space="preserve"> and that, in turn, </w:t>
      </w:r>
      <w:r w:rsidRPr="00115CF5">
        <w:rPr>
          <w:rFonts w:ascii="Book Antiqua" w:hAnsi="Book Antiqua"/>
          <w:i/>
          <w:sz w:val="20"/>
        </w:rPr>
        <w:t>“the zero-point fields drive the motion of all particles of matter in the Universe … as a self-regenerating cosmological feedback cycle.”</w:t>
      </w:r>
      <w:r w:rsidRPr="00115CF5">
        <w:rPr>
          <w:rFonts w:ascii="Book Antiqua" w:hAnsi="Book Antiqua"/>
          <w:sz w:val="20"/>
        </w:rPr>
        <w:t xml:space="preserve"> [34]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t xml:space="preserve">The second explanation above presents the concept that, somewhat similar to the QED explanation, the ZPE and particles (both atomic and virtual) require a mutual existence as they are involved in a feedback cycle. Several papers have capably demonstrated that this feedback mechanism can maintain the presence of the ZPE, but only once it has formed.  This, however, avoids the question of its origin. Since Puthoff has shown that the ZPE is required to maintain atomic structures across the cosmos, [35], it becomes difficult to envisage how atomic structures emerged in the first place via a feedback mechanism. </w:t>
      </w:r>
    </w:p>
    <w:p w:rsidR="00AC4336" w:rsidRPr="00115CF5" w:rsidRDefault="00AC4336" w:rsidP="00AC4336">
      <w:pPr>
        <w:pStyle w:val="NoSpacing"/>
        <w:jc w:val="both"/>
        <w:rPr>
          <w:rFonts w:ascii="Book Antiqua" w:hAnsi="Book Antiqua"/>
          <w:sz w:val="20"/>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first SED explanation, that both the existence and strength of  the ZPE was arbitrarily fixed initially, is viable, avoiding the problems presented by the other two explanations, but does nothing to explain the cause of its presence.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Cosmic Expansion and the Zero Point Energy</w:t>
      </w:r>
    </w:p>
    <w:p w:rsidR="00AC4336" w:rsidRPr="00115CF5" w:rsidRDefault="00AC4336" w:rsidP="00AC4336">
      <w:pPr>
        <w:pStyle w:val="Heading2"/>
        <w:spacing w:before="80" w:after="80" w:line="240" w:lineRule="atLeast"/>
        <w:ind w:left="360"/>
        <w:rPr>
          <w:rFonts w:ascii="Book Antiqua" w:hAnsi="Book Antiqua" w:cs="Times New Roman"/>
          <w:b w:val="0"/>
          <w:sz w:val="20"/>
          <w:szCs w:val="20"/>
        </w:rPr>
      </w:pPr>
      <w:r w:rsidRPr="00115CF5">
        <w:rPr>
          <w:rFonts w:ascii="Book Antiqua" w:hAnsi="Book Antiqua" w:cs="Times New Roman"/>
          <w:b w:val="0"/>
          <w:sz w:val="20"/>
          <w:szCs w:val="20"/>
        </w:rPr>
        <w:t xml:space="preserve"> </w:t>
      </w: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 xml:space="preserve">There are very few cosmological models which do not admit to an early rapid expansion of the cosmos.  The initial rapid expansion of the universe is accepted here as being indicated by the Cosmic Microwave Background Radiation (CMBR). This is viable since, no matter what cosmological model one chooses, the ratio of the time from the origin of the universe to the presence of the CMBR is very, very small compared to the total age. This evidence is also accepted by most major models.  As will be presented later, there is also strong evidence that the universe is no longer expanding, but rather oscillating slightly, somewhat like what we see with a water balloon on a plate which is jarred a little.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small oscillations of the now static universe were shown to be a necessary feature by Narlikar and Arp in 1993. They demonstrated that a static universe containing matter would be stable against collapse, but there would be a slight oscillation in size [28]. This is </w:t>
      </w:r>
      <w:r w:rsidR="007005C4">
        <w:rPr>
          <w:rFonts w:ascii="Book Antiqua" w:hAnsi="Book Antiqua"/>
          <w:sz w:val="20"/>
        </w:rPr>
        <w:t>also</w:t>
      </w:r>
      <w:r w:rsidRPr="00115CF5">
        <w:rPr>
          <w:rFonts w:ascii="Book Antiqua" w:hAnsi="Book Antiqua"/>
          <w:sz w:val="20"/>
        </w:rPr>
        <w:t xml:space="preserve"> accepted here</w:t>
      </w:r>
      <w:r w:rsidR="007005C4">
        <w:rPr>
          <w:rFonts w:ascii="Book Antiqua" w:hAnsi="Book Antiqua"/>
          <w:sz w:val="20"/>
        </w:rPr>
        <w:t>. Consequently, the model which seems to best accord with observation is that</w:t>
      </w:r>
      <w:r w:rsidRPr="00115CF5">
        <w:rPr>
          <w:rFonts w:ascii="Book Antiqua" w:hAnsi="Book Antiqua"/>
          <w:sz w:val="20"/>
        </w:rPr>
        <w:t xml:space="preserve"> there was an initial rapid expansion of the universe out to a maximum size about which it has</w:t>
      </w:r>
      <w:r w:rsidRPr="00115CF5">
        <w:rPr>
          <w:rFonts w:ascii="Book Antiqua" w:hAnsi="Book Antiqua"/>
          <w:color w:val="FF0000"/>
          <w:sz w:val="20"/>
        </w:rPr>
        <w:t xml:space="preserve"> </w:t>
      </w:r>
      <w:r w:rsidRPr="00115CF5">
        <w:rPr>
          <w:rFonts w:ascii="Book Antiqua" w:hAnsi="Book Antiqua"/>
          <w:sz w:val="20"/>
        </w:rPr>
        <w:t xml:space="preserve">then oscillated. </w:t>
      </w:r>
      <w:r w:rsidR="007005C4">
        <w:rPr>
          <w:rFonts w:ascii="Book Antiqua" w:hAnsi="Book Antiqua"/>
          <w:sz w:val="20"/>
        </w:rPr>
        <w:t>These features, and the evidence for them, are discussed in detail as</w:t>
      </w:r>
      <w:r w:rsidR="004E2FCA">
        <w:rPr>
          <w:rFonts w:ascii="Book Antiqua" w:hAnsi="Book Antiqua"/>
          <w:sz w:val="20"/>
        </w:rPr>
        <w:t xml:space="preserve"> this chapter proceeds.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increase in ZPE strength can be shown to be the result of the initial expansion, stretching, or inflation of the cosmos [36, 38, 39].  The data indicate that ZPE strength, like Planck’s constant, </w:t>
      </w:r>
      <w:r w:rsidRPr="00115CF5">
        <w:rPr>
          <w:rFonts w:ascii="Book Antiqua" w:hAnsi="Book Antiqua"/>
          <w:i/>
          <w:iCs/>
          <w:sz w:val="20"/>
        </w:rPr>
        <w:t>h</w:t>
      </w:r>
      <w:r w:rsidRPr="00115CF5">
        <w:rPr>
          <w:rFonts w:ascii="Book Antiqua" w:hAnsi="Book Antiqua"/>
          <w:sz w:val="20"/>
        </w:rPr>
        <w:t xml:space="preserve">, has increased with time [36, 37].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Expansion, Planck Scale Effects and the ZPE</w:t>
      </w:r>
    </w:p>
    <w:p w:rsidR="00AC4336" w:rsidRPr="00115CF5" w:rsidRDefault="00AC4336" w:rsidP="00AC4336">
      <w:pPr>
        <w:ind w:left="360"/>
        <w:rPr>
          <w:rFonts w:ascii="Book Antiqua" w:hAnsi="Book Antiqua"/>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expansion or stretching of the fabric of space resulted in a tension, or force, being manifest in what is referred to as the “fabric of space” on the Planck Scale.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1983, F. M. Pipkin and R. C. Ritter pointed out that </w:t>
      </w:r>
      <w:r w:rsidRPr="00115CF5">
        <w:rPr>
          <w:rFonts w:ascii="Book Antiqua" w:hAnsi="Book Antiqua"/>
          <w:i/>
          <w:sz w:val="20"/>
        </w:rPr>
        <w:t>“the Planck length is a length at which the smoothness of space breaks down, and space assumes a granular structure.”</w:t>
      </w:r>
      <w:r w:rsidRPr="00115CF5">
        <w:rPr>
          <w:rFonts w:ascii="Book Antiqua" w:hAnsi="Book Antiqua"/>
          <w:sz w:val="20"/>
        </w:rPr>
        <w:t xml:space="preserve"> [40] The structure of the vacuum at the Planck length,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sz w:val="20"/>
        </w:rPr>
        <w:t xml:space="preserve">,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35</m:t>
            </m:r>
          </m:sup>
        </m:sSup>
      </m:oMath>
      <w:r w:rsidRPr="00115CF5">
        <w:rPr>
          <w:rFonts w:ascii="Book Antiqua" w:hAnsi="Book Antiqua"/>
          <w:sz w:val="20"/>
        </w:rPr>
        <w:t xml:space="preserve"> meters</w:t>
      </w:r>
      <w:r w:rsidRPr="00115CF5">
        <w:rPr>
          <w:rFonts w:ascii="Book Antiqua" w:hAnsi="Book Antiqua"/>
          <w:sz w:val="20"/>
          <w:vertAlign w:val="subscript"/>
        </w:rPr>
        <w:t xml:space="preserve"> </w:t>
      </w:r>
      <w:r w:rsidRPr="00115CF5">
        <w:rPr>
          <w:rFonts w:ascii="Book Antiqua" w:hAnsi="Book Antiqua"/>
          <w:sz w:val="20"/>
        </w:rPr>
        <w:t xml:space="preserve">has been called the </w:t>
      </w:r>
      <w:r w:rsidRPr="00115CF5">
        <w:rPr>
          <w:rFonts w:ascii="Book Antiqua" w:hAnsi="Book Antiqua"/>
          <w:i/>
          <w:sz w:val="20"/>
        </w:rPr>
        <w:t>"fabric of space"</w:t>
      </w:r>
      <w:r w:rsidRPr="00115CF5">
        <w:rPr>
          <w:rFonts w:ascii="Book Antiqua" w:hAnsi="Book Antiqua"/>
          <w:sz w:val="20"/>
        </w:rPr>
        <w:t xml:space="preserve"> by Brian Greene [41].</w:t>
      </w:r>
      <w:r w:rsidRPr="00115CF5">
        <w:rPr>
          <w:rFonts w:ascii="Book Antiqua" w:hAnsi="Book Antiqua"/>
          <w:color w:val="FF0000"/>
          <w:sz w:val="20"/>
        </w:rPr>
        <w:t xml:space="preserve"> </w:t>
      </w:r>
      <w:r w:rsidRPr="00115CF5">
        <w:rPr>
          <w:rFonts w:ascii="Book Antiqua" w:hAnsi="Book Antiqua"/>
          <w:sz w:val="20"/>
        </w:rPr>
        <w:t xml:space="preserve"> </w:t>
      </w:r>
    </w:p>
    <w:p w:rsidR="00AC4336" w:rsidRDefault="00AC4336" w:rsidP="00AC4336">
      <w:pPr>
        <w:pStyle w:val="NoSpacing"/>
        <w:jc w:val="both"/>
        <w:rPr>
          <w:rFonts w:ascii="Book Antiqua" w:hAnsi="Book Antiqua"/>
          <w:sz w:val="20"/>
        </w:rPr>
      </w:pPr>
    </w:p>
    <w:p w:rsidR="00F875A1" w:rsidRDefault="00F875A1" w:rsidP="00F875A1">
      <w:pPr>
        <w:pStyle w:val="NoSpacing"/>
        <w:ind w:firstLine="720"/>
        <w:jc w:val="both"/>
        <w:rPr>
          <w:rFonts w:ascii="Book Antiqua" w:hAnsi="Book Antiqua"/>
          <w:sz w:val="20"/>
        </w:rPr>
      </w:pPr>
      <w:r w:rsidRPr="00115CF5">
        <w:rPr>
          <w:rFonts w:ascii="Book Antiqua" w:hAnsi="Book Antiqua"/>
          <w:sz w:val="20"/>
        </w:rPr>
        <w:t xml:space="preserve">Under a sidebar that reads </w:t>
      </w:r>
      <w:r w:rsidRPr="00115CF5">
        <w:rPr>
          <w:rFonts w:ascii="Book Antiqua" w:hAnsi="Book Antiqua"/>
          <w:b/>
          <w:i/>
          <w:sz w:val="20"/>
        </w:rPr>
        <w:t>“Breakdown of smoothness of spacetime at Planck length”</w:t>
      </w:r>
      <w:r w:rsidRPr="00115CF5">
        <w:rPr>
          <w:rFonts w:ascii="Book Antiqua" w:hAnsi="Book Antiqua"/>
          <w:sz w:val="20"/>
        </w:rPr>
        <w:t xml:space="preserve"> Misner, Thorne and Wheeler comment that this lack of smoothness </w:t>
      </w:r>
      <w:r w:rsidRPr="00115CF5">
        <w:rPr>
          <w:rFonts w:ascii="Book Antiqua" w:hAnsi="Book Antiqua"/>
          <w:i/>
          <w:sz w:val="20"/>
        </w:rPr>
        <w:t>“give[s] space at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i/>
          <w:sz w:val="20"/>
        </w:rPr>
        <w:t>] distances a ‘multiply connected’ or ‘foamlike’ character.”</w:t>
      </w:r>
      <w:r w:rsidRPr="00115CF5">
        <w:rPr>
          <w:rFonts w:ascii="Book Antiqua" w:hAnsi="Book Antiqua"/>
          <w:sz w:val="20"/>
        </w:rPr>
        <w:t xml:space="preserve"> [42] For quantum physicists this granular structure does consist of a sort of 'quantum foam' [43]. This is illustrated in Figure 4.</w:t>
      </w:r>
      <w:r>
        <w:rPr>
          <w:rFonts w:ascii="Book Antiqua" w:hAnsi="Book Antiqua"/>
          <w:sz w:val="20"/>
        </w:rPr>
        <w:t xml:space="preserve"> On the other hand, some, like Brian Greene, consider it to be similar to crinkly foil as shown in Figure 5.</w:t>
      </w:r>
    </w:p>
    <w:p w:rsidR="00663629" w:rsidRPr="00115CF5" w:rsidRDefault="00663629" w:rsidP="00F875A1">
      <w:pPr>
        <w:pStyle w:val="NoSpacing"/>
        <w:ind w:firstLine="720"/>
        <w:jc w:val="both"/>
        <w:rPr>
          <w:rFonts w:ascii="Book Antiqua" w:hAnsi="Book Antiqua"/>
          <w:sz w:val="20"/>
        </w:rPr>
      </w:pPr>
    </w:p>
    <w:p w:rsidR="00F875A1" w:rsidRPr="00115CF5" w:rsidRDefault="00F875A1" w:rsidP="00AC4336">
      <w:pPr>
        <w:pStyle w:val="NoSpacing"/>
        <w:jc w:val="both"/>
        <w:rPr>
          <w:rFonts w:ascii="Book Antiqua" w:hAnsi="Book Antiqua"/>
          <w:sz w:val="20"/>
        </w:rPr>
      </w:pPr>
    </w:p>
    <w:p w:rsidR="00AC4336" w:rsidRDefault="00AC4336" w:rsidP="00AC4336">
      <w:pPr>
        <w:pStyle w:val="NoSpacing"/>
        <w:jc w:val="center"/>
        <w:rPr>
          <w:rFonts w:ascii="Book Antiqua" w:hAnsi="Book Antiqua"/>
          <w:sz w:val="20"/>
        </w:rPr>
      </w:pPr>
      <w:r w:rsidRPr="00115CF5">
        <w:rPr>
          <w:rFonts w:ascii="Book Antiqua" w:hAnsi="Book Antiqua"/>
          <w:noProof/>
          <w:sz w:val="20"/>
        </w:rPr>
        <w:lastRenderedPageBreak/>
        <w:drawing>
          <wp:inline distT="0" distB="0" distL="0" distR="0">
            <wp:extent cx="6327962" cy="2620256"/>
            <wp:effectExtent l="19050" t="0" r="0" b="0"/>
            <wp:docPr id="598" name="il_fi" descr="http://www.zamandayolculuk.com/cetinbal/AE/E_Vacuum-bubling-scal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zamandayolculuk.com/cetinbal/AE/E_Vacuum-bubling-scale-02.gif"/>
                    <pic:cNvPicPr>
                      <a:picLocks noChangeAspect="1" noChangeArrowheads="1"/>
                    </pic:cNvPicPr>
                  </pic:nvPicPr>
                  <pic:blipFill>
                    <a:blip r:embed="rId52" cstate="print"/>
                    <a:srcRect t="57084" r="-23"/>
                    <a:stretch>
                      <a:fillRect/>
                    </a:stretch>
                  </pic:blipFill>
                  <pic:spPr bwMode="auto">
                    <a:xfrm>
                      <a:off x="0" y="0"/>
                      <a:ext cx="6328437" cy="2620453"/>
                    </a:xfrm>
                    <a:prstGeom prst="rect">
                      <a:avLst/>
                    </a:prstGeom>
                    <a:noFill/>
                    <a:ln w="9525">
                      <a:noFill/>
                      <a:miter lim="800000"/>
                      <a:headEnd/>
                      <a:tailEnd/>
                    </a:ln>
                  </pic:spPr>
                </pic:pic>
              </a:graphicData>
            </a:graphic>
          </wp:inline>
        </w:drawing>
      </w:r>
    </w:p>
    <w:p w:rsidR="00B34819" w:rsidRPr="00115CF5" w:rsidRDefault="00B34819" w:rsidP="00AC4336">
      <w:pPr>
        <w:pStyle w:val="NoSpacing"/>
        <w:jc w:val="center"/>
        <w:rPr>
          <w:rFonts w:ascii="Book Antiqua" w:hAnsi="Book Antiqua"/>
          <w:sz w:val="20"/>
        </w:rPr>
      </w:pPr>
    </w:p>
    <w:p w:rsidR="00AC4336" w:rsidRDefault="00AC4336" w:rsidP="00947595">
      <w:pPr>
        <w:pStyle w:val="NoSpacing"/>
        <w:rPr>
          <w:rFonts w:ascii="Book Antiqua" w:hAnsi="Book Antiqua"/>
          <w:sz w:val="20"/>
        </w:rPr>
      </w:pPr>
      <w:r w:rsidRPr="00A3114D">
        <w:rPr>
          <w:rFonts w:ascii="Book Antiqua" w:hAnsi="Book Antiqua"/>
          <w:b/>
          <w:i/>
          <w:sz w:val="18"/>
          <w:szCs w:val="18"/>
        </w:rPr>
        <w:t>Figure 4:</w:t>
      </w:r>
      <w:r w:rsidRPr="00A3114D">
        <w:rPr>
          <w:rFonts w:ascii="Book Antiqua" w:hAnsi="Book Antiqua"/>
          <w:i/>
          <w:sz w:val="18"/>
          <w:szCs w:val="18"/>
        </w:rPr>
        <w:t xml:space="preserve"> As increasingly smaller lengths of space are considered, the vacuum becomes rougher. At the Planck length</w:t>
      </w:r>
      <w:r w:rsidR="00AC608D" w:rsidRPr="00A3114D">
        <w:rPr>
          <w:rFonts w:ascii="Book Antiqua" w:hAnsi="Book Antiqua"/>
          <w:i/>
          <w:sz w:val="18"/>
          <w:szCs w:val="18"/>
        </w:rPr>
        <w:t>,</w:t>
      </w:r>
      <w:r w:rsidRPr="00A3114D">
        <w:rPr>
          <w:rFonts w:ascii="Book Antiqua" w:hAnsi="Book Antiqua"/>
          <w:i/>
          <w:sz w:val="18"/>
          <w:szCs w:val="18"/>
        </w:rPr>
        <w:t xml:space="preserve"> shown by the bottom diagram</w:t>
      </w:r>
      <w:r w:rsidR="00AC608D" w:rsidRPr="00A3114D">
        <w:rPr>
          <w:rFonts w:ascii="Book Antiqua" w:hAnsi="Book Antiqua"/>
          <w:i/>
          <w:sz w:val="18"/>
          <w:szCs w:val="18"/>
        </w:rPr>
        <w:t>,</w:t>
      </w:r>
      <w:r w:rsidRPr="00A3114D">
        <w:rPr>
          <w:rFonts w:ascii="Book Antiqua" w:hAnsi="Book Antiqua"/>
          <w:i/>
          <w:sz w:val="18"/>
          <w:szCs w:val="18"/>
        </w:rPr>
        <w:t xml:space="preserve"> the fabric of space is thought by some to break down into a foam-like structure.</w:t>
      </w:r>
      <w:r w:rsidR="00947595" w:rsidRPr="00A3114D">
        <w:rPr>
          <w:rFonts w:ascii="Book Antiqua" w:hAnsi="Book Antiqua"/>
          <w:i/>
          <w:sz w:val="18"/>
          <w:szCs w:val="18"/>
        </w:rPr>
        <w:t xml:space="preserve"> O</w:t>
      </w:r>
      <w:r w:rsidRPr="00A3114D">
        <w:rPr>
          <w:rFonts w:ascii="Book Antiqua" w:hAnsi="Book Antiqua"/>
          <w:i/>
          <w:sz w:val="20"/>
        </w:rPr>
        <w:t>hers, like Brian Greene, suggest that the fabric of space is “crinkly,” rather like crumpled foil, and may look something like Figure 5</w:t>
      </w:r>
      <w:r w:rsidRPr="00115CF5">
        <w:rPr>
          <w:rFonts w:ascii="Book Antiqua" w:hAnsi="Book Antiqua"/>
          <w:sz w:val="20"/>
        </w:rPr>
        <w:t>.</w:t>
      </w:r>
    </w:p>
    <w:p w:rsidR="00B34819" w:rsidRDefault="00B34819" w:rsidP="00947595">
      <w:pPr>
        <w:pStyle w:val="NoSpacing"/>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489637" cy="2497310"/>
            <wp:effectExtent l="19050" t="0" r="6163" b="0"/>
            <wp:docPr id="597" name="Picture 1" descr="http://sdsu-physics.org/physics180/physics180A/units/unit2/images_unit2/quantum_fo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u-physics.org/physics180/physics180A/units/unit2/images_unit2/quantum_foam.jpg"/>
                    <pic:cNvPicPr>
                      <a:picLocks noChangeAspect="1" noChangeArrowheads="1"/>
                    </pic:cNvPicPr>
                  </pic:nvPicPr>
                  <pic:blipFill>
                    <a:blip r:embed="rId53" cstate="print"/>
                    <a:srcRect l="4819" t="5226" r="6285" b="18100"/>
                    <a:stretch>
                      <a:fillRect/>
                    </a:stretch>
                  </pic:blipFill>
                  <pic:spPr bwMode="auto">
                    <a:xfrm>
                      <a:off x="0" y="0"/>
                      <a:ext cx="4504333" cy="2505485"/>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sz w:val="20"/>
        </w:rPr>
      </w:pPr>
    </w:p>
    <w:p w:rsidR="00AC4336" w:rsidRPr="00A3114D" w:rsidRDefault="00AC4336" w:rsidP="0002002F">
      <w:pPr>
        <w:pStyle w:val="NoSpacing"/>
        <w:jc w:val="center"/>
        <w:rPr>
          <w:rFonts w:ascii="Book Antiqua" w:hAnsi="Book Antiqua"/>
          <w:i/>
          <w:sz w:val="18"/>
          <w:szCs w:val="18"/>
        </w:rPr>
      </w:pPr>
      <w:r w:rsidRPr="00A3114D">
        <w:rPr>
          <w:rFonts w:ascii="Book Antiqua" w:hAnsi="Book Antiqua"/>
          <w:b/>
          <w:i/>
          <w:sz w:val="18"/>
          <w:szCs w:val="18"/>
        </w:rPr>
        <w:t>Figure 5:</w:t>
      </w:r>
      <w:r w:rsidRPr="00A3114D">
        <w:rPr>
          <w:rFonts w:ascii="Book Antiqua" w:hAnsi="Book Antiqua"/>
          <w:i/>
          <w:sz w:val="18"/>
          <w:szCs w:val="18"/>
        </w:rPr>
        <w:t xml:space="preserve"> As the Planck length is approached in the vacuum, a structure emerges which </w:t>
      </w:r>
      <w:r w:rsidR="00B34819" w:rsidRPr="00A3114D">
        <w:rPr>
          <w:rFonts w:ascii="Book Antiqua" w:hAnsi="Book Antiqua"/>
          <w:i/>
          <w:sz w:val="18"/>
          <w:szCs w:val="18"/>
        </w:rPr>
        <w:t>may be s</w:t>
      </w:r>
      <w:r w:rsidRPr="00A3114D">
        <w:rPr>
          <w:rFonts w:ascii="Book Antiqua" w:hAnsi="Book Antiqua"/>
          <w:i/>
          <w:sz w:val="18"/>
          <w:szCs w:val="18"/>
        </w:rPr>
        <w:t>imilar to crinkly foil.</w:t>
      </w:r>
    </w:p>
    <w:p w:rsidR="00AC4336" w:rsidRPr="00115CF5" w:rsidRDefault="00AC4336" w:rsidP="00AC4336">
      <w:pPr>
        <w:pStyle w:val="NoSpacing"/>
        <w:jc w:val="both"/>
        <w:rPr>
          <w:rFonts w:ascii="Book Antiqua" w:hAnsi="Book Antiqua"/>
          <w:sz w:val="20"/>
        </w:rPr>
      </w:pPr>
    </w:p>
    <w:p w:rsidR="00AD7B89" w:rsidRPr="00AD7B89" w:rsidRDefault="00AC4336" w:rsidP="00AC4336">
      <w:pPr>
        <w:pStyle w:val="NoSpacing"/>
        <w:ind w:firstLine="720"/>
        <w:jc w:val="both"/>
        <w:rPr>
          <w:rFonts w:ascii="Book Antiqua" w:hAnsi="Book Antiqua"/>
          <w:color w:val="FF0000"/>
          <w:sz w:val="20"/>
        </w:rPr>
      </w:pPr>
      <w:r w:rsidRPr="00115CF5">
        <w:rPr>
          <w:rFonts w:ascii="Book Antiqua" w:hAnsi="Book Antiqua"/>
          <w:sz w:val="20"/>
        </w:rPr>
        <w:t>On the other hand, string theorists consider it to consist of rolled up balls of compactified dimensions called Calabi-Yau shapes [41].</w:t>
      </w:r>
      <w:r w:rsidRPr="00115CF5">
        <w:rPr>
          <w:rFonts w:ascii="Book Antiqua" w:hAnsi="Book Antiqua"/>
          <w:color w:val="FF0000"/>
          <w:sz w:val="20"/>
        </w:rPr>
        <w:t xml:space="preserve"> </w:t>
      </w:r>
      <w:r w:rsidRPr="00115CF5">
        <w:rPr>
          <w:rFonts w:ascii="Book Antiqua" w:hAnsi="Book Antiqua"/>
          <w:sz w:val="20"/>
        </w:rPr>
        <w:t xml:space="preserve">This is illustrated in Figure 5. </w:t>
      </w:r>
    </w:p>
    <w:p w:rsidR="00AD7B89" w:rsidRDefault="00AD7B89" w:rsidP="00AC4336">
      <w:pPr>
        <w:pStyle w:val="NoSpacing"/>
        <w:ind w:firstLine="720"/>
        <w:jc w:val="both"/>
        <w:rPr>
          <w:rFonts w:ascii="Book Antiqua" w:hAnsi="Book Antiqua"/>
          <w:sz w:val="20"/>
        </w:rPr>
      </w:pPr>
    </w:p>
    <w:p w:rsidR="00AC4336" w:rsidRDefault="00AC4336" w:rsidP="00AD7B89">
      <w:pPr>
        <w:pStyle w:val="NoSpacing"/>
        <w:ind w:firstLine="720"/>
        <w:jc w:val="both"/>
        <w:rPr>
          <w:rFonts w:ascii="Book Antiqua" w:hAnsi="Book Antiqua"/>
          <w:sz w:val="20"/>
        </w:rPr>
      </w:pPr>
      <w:r w:rsidRPr="00115CF5">
        <w:rPr>
          <w:rFonts w:ascii="Book Antiqua" w:hAnsi="Book Antiqua"/>
          <w:sz w:val="20"/>
        </w:rPr>
        <w:t xml:space="preserve">However it is structured, it is universally agreed that phenomena at the Planck scale are fundamental to our current cosmos. It is therefore at this scale that we need to consider interactions during the initial expansion of the universe. In other words, during expansion, energy was being invested into the fabric of space at its most basic level. In addition, </w:t>
      </w:r>
      <w:r w:rsidR="00AD7B89">
        <w:rPr>
          <w:rFonts w:ascii="Book Antiqua" w:hAnsi="Book Antiqua"/>
          <w:sz w:val="20"/>
        </w:rPr>
        <w:t xml:space="preserve">widely accepted </w:t>
      </w:r>
      <w:r w:rsidRPr="00AD7B89">
        <w:rPr>
          <w:rFonts w:ascii="Book Antiqua" w:hAnsi="Book Antiqua"/>
          <w:sz w:val="20"/>
        </w:rPr>
        <w:t>evidence</w:t>
      </w:r>
      <w:r w:rsidRPr="00115CF5">
        <w:rPr>
          <w:rFonts w:ascii="Book Antiqua" w:hAnsi="Book Antiqua"/>
          <w:sz w:val="20"/>
        </w:rPr>
        <w:t xml:space="preserve"> indicates that extremely high initial temperatures were involved as expansion began.</w:t>
      </w:r>
    </w:p>
    <w:p w:rsidR="00663629" w:rsidRPr="00115CF5" w:rsidRDefault="00663629" w:rsidP="00AC4336">
      <w:pPr>
        <w:pStyle w:val="NoSpacing"/>
        <w:ind w:firstLine="720"/>
        <w:jc w:val="both"/>
        <w:rPr>
          <w:rFonts w:ascii="Book Antiqua" w:hAnsi="Book Antiqua"/>
          <w:sz w:val="20"/>
        </w:rPr>
      </w:pPr>
    </w:p>
    <w:p w:rsidR="00AC4336" w:rsidRPr="00115CF5" w:rsidRDefault="00AC4336" w:rsidP="002A77F9">
      <w:pPr>
        <w:pStyle w:val="NoSpacing"/>
        <w:jc w:val="center"/>
        <w:rPr>
          <w:rFonts w:ascii="Book Antiqua" w:hAnsi="Book Antiqua"/>
          <w:sz w:val="20"/>
        </w:rPr>
      </w:pPr>
      <w:r w:rsidRPr="00115CF5">
        <w:rPr>
          <w:rFonts w:ascii="Book Antiqua" w:hAnsi="Book Antiqua"/>
          <w:noProof/>
          <w:sz w:val="20"/>
        </w:rPr>
        <w:lastRenderedPageBreak/>
        <w:drawing>
          <wp:inline distT="0" distB="0" distL="0" distR="0">
            <wp:extent cx="3901906" cy="3257550"/>
            <wp:effectExtent l="19050" t="0" r="3344" b="0"/>
            <wp:docPr id="59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3910292" cy="3264551"/>
                    </a:xfrm>
                    <a:prstGeom prst="rect">
                      <a:avLst/>
                    </a:prstGeom>
                    <a:noFill/>
                    <a:ln w="9525">
                      <a:noFill/>
                      <a:miter lim="800000"/>
                      <a:headEnd/>
                      <a:tailEnd/>
                    </a:ln>
                  </pic:spPr>
                </pic:pic>
              </a:graphicData>
            </a:graphic>
          </wp:inline>
        </w:drawing>
      </w:r>
    </w:p>
    <w:p w:rsidR="00AC4336" w:rsidRPr="00115CF5" w:rsidRDefault="00AC4336" w:rsidP="00AC4336">
      <w:pPr>
        <w:pStyle w:val="NoSpacing"/>
        <w:ind w:firstLine="720"/>
        <w:jc w:val="both"/>
        <w:rPr>
          <w:rFonts w:ascii="Book Antiqua" w:hAnsi="Book Antiqua"/>
          <w:sz w:val="20"/>
        </w:rPr>
      </w:pPr>
    </w:p>
    <w:p w:rsidR="00AC4336" w:rsidRPr="00A3114D" w:rsidRDefault="00AC4336" w:rsidP="00AC4336">
      <w:pPr>
        <w:pStyle w:val="NoSpacing"/>
        <w:rPr>
          <w:rFonts w:ascii="Book Antiqua" w:hAnsi="Book Antiqua"/>
          <w:i/>
          <w:sz w:val="18"/>
          <w:szCs w:val="18"/>
        </w:rPr>
      </w:pPr>
      <w:r w:rsidRPr="00A3114D">
        <w:rPr>
          <w:rFonts w:ascii="Book Antiqua" w:hAnsi="Book Antiqua"/>
          <w:b/>
          <w:i/>
          <w:sz w:val="18"/>
          <w:szCs w:val="18"/>
        </w:rPr>
        <w:t>Figure 6:</w:t>
      </w:r>
      <w:r w:rsidRPr="00A3114D">
        <w:rPr>
          <w:rFonts w:ascii="Book Antiqua" w:hAnsi="Book Antiqua"/>
          <w:i/>
          <w:sz w:val="18"/>
          <w:szCs w:val="18"/>
        </w:rPr>
        <w:t xml:space="preserve"> At the Planck length, the fabric of space according to String Theory is made up of compactified extra dimensions called Calabi-Yau shapes.</w:t>
      </w:r>
      <w:r w:rsidR="00AC608D" w:rsidRPr="00A3114D">
        <w:rPr>
          <w:rFonts w:ascii="Book Antiqua" w:hAnsi="Book Antiqua"/>
          <w:i/>
          <w:sz w:val="18"/>
          <w:szCs w:val="18"/>
        </w:rPr>
        <w:t xml:space="preserve"> These shape</w:t>
      </w:r>
      <w:r w:rsidR="00A3114D">
        <w:rPr>
          <w:rFonts w:ascii="Book Antiqua" w:hAnsi="Book Antiqua"/>
          <w:i/>
          <w:sz w:val="18"/>
          <w:szCs w:val="18"/>
        </w:rPr>
        <w:t>s</w:t>
      </w:r>
      <w:r w:rsidR="00AC608D" w:rsidRPr="00A3114D">
        <w:rPr>
          <w:rFonts w:ascii="Book Antiqua" w:hAnsi="Book Antiqua"/>
          <w:i/>
          <w:sz w:val="18"/>
          <w:szCs w:val="18"/>
        </w:rPr>
        <w:t xml:space="preserve"> would form a lattice in 3 dimensions instead of just </w:t>
      </w:r>
      <w:r w:rsidR="00A3114D">
        <w:rPr>
          <w:rFonts w:ascii="Book Antiqua" w:hAnsi="Book Antiqua"/>
          <w:i/>
          <w:sz w:val="18"/>
          <w:szCs w:val="18"/>
        </w:rPr>
        <w:t>the</w:t>
      </w:r>
      <w:r w:rsidR="00AC608D" w:rsidRPr="00A3114D">
        <w:rPr>
          <w:rFonts w:ascii="Book Antiqua" w:hAnsi="Book Antiqua"/>
          <w:i/>
          <w:sz w:val="18"/>
          <w:szCs w:val="18"/>
        </w:rPr>
        <w:t xml:space="preserve"> two-dimensional </w:t>
      </w:r>
      <w:r w:rsidR="00A3114D">
        <w:rPr>
          <w:rFonts w:ascii="Book Antiqua" w:hAnsi="Book Antiqua"/>
          <w:i/>
          <w:sz w:val="18"/>
          <w:szCs w:val="18"/>
        </w:rPr>
        <w:t xml:space="preserve">structure </w:t>
      </w:r>
      <w:r w:rsidR="006F2EA7" w:rsidRPr="00A3114D">
        <w:rPr>
          <w:rFonts w:ascii="Book Antiqua" w:hAnsi="Book Antiqua"/>
          <w:i/>
          <w:sz w:val="18"/>
          <w:szCs w:val="18"/>
        </w:rPr>
        <w:t>shown here</w:t>
      </w:r>
      <w:r w:rsidR="00AC608D" w:rsidRPr="00A3114D">
        <w:rPr>
          <w:rFonts w:ascii="Book Antiqua" w:hAnsi="Book Antiqua"/>
          <w:i/>
          <w:sz w:val="18"/>
          <w:szCs w:val="18"/>
        </w:rPr>
        <w:t>.</w:t>
      </w:r>
    </w:p>
    <w:p w:rsidR="00D3790F" w:rsidRPr="00115CF5" w:rsidRDefault="00D3790F" w:rsidP="00AC4336">
      <w:pPr>
        <w:pStyle w:val="NoSpacing"/>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the same way, the enormous tensional energy in the fabric of space that was generated by the expansion, coupled with the extremely high temperatures, would result in the formation of particle-antiparticle pairs. These particle pairs, manifesting at the Planck scale, would be positively and negatively charged so that electrical neutrality of the vacuum would be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Using different approaches, C.H. Gibson, [44]</w:t>
      </w:r>
      <w:r w:rsidRPr="00115CF5">
        <w:rPr>
          <w:rFonts w:ascii="Book Antiqua" w:hAnsi="Book Antiqua"/>
          <w:color w:val="FF0000"/>
          <w:sz w:val="20"/>
        </w:rPr>
        <w:t xml:space="preserve"> </w:t>
      </w:r>
      <w:r w:rsidRPr="00115CF5">
        <w:rPr>
          <w:rFonts w:ascii="Book Antiqua" w:hAnsi="Book Antiqua"/>
          <w:sz w:val="20"/>
        </w:rPr>
        <w:t>as well as Hoyle, Burbidge and Narlikar, [45]</w:t>
      </w:r>
      <w:r w:rsidRPr="00115CF5">
        <w:rPr>
          <w:rFonts w:ascii="Book Antiqua" w:hAnsi="Book Antiqua"/>
          <w:color w:val="FF0000"/>
          <w:sz w:val="20"/>
        </w:rPr>
        <w:t xml:space="preserve"> </w:t>
      </w:r>
      <w:r w:rsidRPr="00115CF5">
        <w:rPr>
          <w:rFonts w:ascii="Book Antiqua" w:hAnsi="Book Antiqua"/>
          <w:sz w:val="20"/>
        </w:rPr>
        <w:t>have shown that processes initially operating at Planck scales would result in the formation of cascades of pairs of these tiny Planck particles. They had the unique property that their diameter was the same as both the Planck length and their own Compton wavelength. Called Planck Particle Pairs (PPP), and existing specifically at a Planck scale, they resulted from the enormous tensional energy and extreme heat which were present at the beginning.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r w:rsidRPr="00AD7B89">
        <w:rPr>
          <w:rFonts w:ascii="Book Antiqua" w:hAnsi="Book Antiqua"/>
          <w:sz w:val="20"/>
        </w:rPr>
        <w:t>Gibson’s approach</w:t>
      </w:r>
      <w:r w:rsidRPr="00115CF5">
        <w:rPr>
          <w:rFonts w:ascii="Book Antiqua" w:hAnsi="Book Antiqua"/>
          <w:sz w:val="20"/>
        </w:rPr>
        <w:t xml:space="preserve">, centered in QED physics, considers </w:t>
      </w:r>
      <w:r w:rsidRPr="00115CF5">
        <w:rPr>
          <w:rFonts w:ascii="Book Antiqua" w:hAnsi="Book Antiqua"/>
          <w:i/>
          <w:iCs/>
          <w:sz w:val="20"/>
        </w:rPr>
        <w:t xml:space="preserve">"Vacuum oscillations to form Planck particles and Planck antiparticles reversibly..." </w:t>
      </w:r>
      <w:r w:rsidRPr="00115CF5">
        <w:rPr>
          <w:rFonts w:ascii="Book Antiqua" w:hAnsi="Book Antiqua"/>
          <w:sz w:val="20"/>
        </w:rPr>
        <w:t xml:space="preserve">However, if a pair becomes misaligned as they collapse, they form a Planck-Kerr particle (P-KP). Gibson states that </w:t>
      </w:r>
      <w:r w:rsidRPr="00115CF5">
        <w:rPr>
          <w:rFonts w:ascii="Book Antiqua" w:hAnsi="Book Antiqua"/>
          <w:i/>
          <w:iCs/>
          <w:sz w:val="20"/>
        </w:rPr>
        <w:t xml:space="preserve">"a truly explosive result can occur [when] a Planck-Kerr particle forms, since one of these can trigger a big bang turbulence cascade [of Planck particle pairs]" </w:t>
      </w:r>
      <w:r w:rsidRPr="00115CF5">
        <w:rPr>
          <w:rFonts w:ascii="Book Antiqua" w:hAnsi="Book Antiqua"/>
          <w:sz w:val="20"/>
        </w:rPr>
        <w:t>in a process which is irreversible [44]. In this way, Gibson uses the vacuum fluctuations or oscillations to initiate Planck pair production</w:t>
      </w:r>
      <w:r w:rsidR="00AD7B89">
        <w:rPr>
          <w:rFonts w:ascii="Book Antiqua" w:hAnsi="Book Antiqua"/>
          <w:sz w:val="20"/>
        </w:rPr>
        <w:t>.</w:t>
      </w:r>
      <w:r w:rsidRPr="00115CF5">
        <w:rPr>
          <w:rFonts w:ascii="Book Antiqua" w:hAnsi="Book Antiqua"/>
          <w:sz w:val="20"/>
        </w:rPr>
        <w:t xml:space="preserve"> </w:t>
      </w:r>
      <w:r w:rsidR="00AD7B89">
        <w:rPr>
          <w:rFonts w:ascii="Book Antiqua" w:hAnsi="Book Antiqua"/>
          <w:sz w:val="20"/>
        </w:rPr>
        <w:t>T</w:t>
      </w:r>
      <w:r w:rsidRPr="00115CF5">
        <w:rPr>
          <w:rFonts w:ascii="Book Antiqua" w:hAnsi="Book Antiqua"/>
          <w:sz w:val="20"/>
        </w:rPr>
        <w:t>his is a valid approach.  However, in the QED approach Planck Particle Pairs must annihilate in a fraction of a second.  Gibson</w:t>
      </w:r>
      <w:r w:rsidR="00D23F3F">
        <w:rPr>
          <w:rFonts w:ascii="Book Antiqua" w:hAnsi="Book Antiqua"/>
          <w:sz w:val="20"/>
        </w:rPr>
        <w:t>’s approach required the formation of</w:t>
      </w:r>
      <w:r w:rsidRPr="00115CF5">
        <w:rPr>
          <w:rFonts w:ascii="Book Antiqua" w:hAnsi="Book Antiqua"/>
          <w:sz w:val="20"/>
        </w:rPr>
        <w:t xml:space="preserve"> Planck-Kerr particles </w:t>
      </w:r>
      <w:r w:rsidR="00D23F3F">
        <w:rPr>
          <w:rFonts w:ascii="Book Antiqua" w:hAnsi="Book Antiqua"/>
          <w:sz w:val="20"/>
        </w:rPr>
        <w:t xml:space="preserve">(P-KP) </w:t>
      </w:r>
      <w:r w:rsidRPr="00115CF5">
        <w:rPr>
          <w:rFonts w:ascii="Book Antiqua" w:hAnsi="Book Antiqua"/>
          <w:sz w:val="20"/>
        </w:rPr>
        <w:t>in order to get around that.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the model proposed by Hoyle, Burbidge and Narlikar, a somewhat different process is proposed. They summarize their model by saying that if a particle exceeds the Planck mass, it </w:t>
      </w:r>
      <w:r w:rsidRPr="00115CF5">
        <w:rPr>
          <w:rFonts w:ascii="Book Antiqua" w:hAnsi="Book Antiqua"/>
          <w:i/>
          <w:iCs/>
          <w:sz w:val="20"/>
        </w:rPr>
        <w:t xml:space="preserve">"has the ability to 'tear open,' as it were, the structure of space-time, and then it is from such a 'tearing open' that creation events emerge, leading to the generation of showers of particles with masses of the order of the Planck mass." </w:t>
      </w:r>
      <w:r w:rsidRPr="00115CF5">
        <w:rPr>
          <w:rFonts w:ascii="Book Antiqua" w:hAnsi="Book Antiqua"/>
          <w:sz w:val="20"/>
        </w:rPr>
        <w:t>[45]</w:t>
      </w:r>
      <w:r w:rsidRPr="00115CF5">
        <w:rPr>
          <w:rFonts w:ascii="Book Antiqua" w:hAnsi="Book Antiqua"/>
          <w:color w:val="FF0000"/>
          <w:sz w:val="20"/>
        </w:rPr>
        <w:t xml:space="preserve"> </w:t>
      </w:r>
      <w:r w:rsidRPr="00115CF5">
        <w:rPr>
          <w:rFonts w:ascii="Book Antiqua" w:hAnsi="Book Antiqua"/>
          <w:sz w:val="20"/>
        </w:rPr>
        <w:t xml:space="preserve">Their mathematical modeling supports this proposal. In addition, their calculations suggest that the decay (not annihilation) of a single Planck particle can produce about </w:t>
      </w:r>
      <m:oMath>
        <m:r>
          <w:rPr>
            <w:rFonts w:ascii="Cambria Math" w:hAnsi="Book Antiqua" w:cs="BookAntiqua"/>
            <w:sz w:val="18"/>
            <w:szCs w:val="18"/>
          </w:rPr>
          <m:t xml:space="preserve">5 </m:t>
        </m:r>
        <m:r>
          <w:rPr>
            <w:rFonts w:ascii="Cambria Math" w:hAnsi="Cambria Math" w:cs="BookAntiqua"/>
            <w:sz w:val="18"/>
            <w:szCs w:val="18"/>
          </w:rPr>
          <m:t>x</m:t>
        </m:r>
        <m:r>
          <w:rPr>
            <w:rFonts w:ascii="Cambria Math" w:hAnsi="Book Antiqua" w:cs="BookAntiqua"/>
            <w:sz w:val="18"/>
            <w:szCs w:val="18"/>
          </w:rPr>
          <m:t xml:space="preserve"> </m:t>
        </m:r>
        <m:sSup>
          <m:sSupPr>
            <m:ctrlPr>
              <w:rPr>
                <w:rFonts w:ascii="Cambria Math" w:hAnsi="Book Antiqua" w:cs="BookAntiqua"/>
                <w:i/>
                <w:sz w:val="18"/>
                <w:szCs w:val="18"/>
              </w:rPr>
            </m:ctrlPr>
          </m:sSupPr>
          <m:e>
            <m:r>
              <w:rPr>
                <w:rFonts w:ascii="Cambria Math" w:hAnsi="Book Antiqua" w:cs="BookAntiqua"/>
                <w:sz w:val="18"/>
                <w:szCs w:val="18"/>
              </w:rPr>
              <m:t>10</m:t>
            </m:r>
          </m:e>
          <m:sup>
            <m:r>
              <w:rPr>
                <w:rFonts w:ascii="Cambria Math" w:hAnsi="Book Antiqua" w:cs="BookAntiqua"/>
                <w:sz w:val="18"/>
                <w:szCs w:val="18"/>
              </w:rPr>
              <m:t>18</m:t>
            </m:r>
          </m:sup>
        </m:sSup>
      </m:oMath>
      <w:r w:rsidRPr="00115CF5">
        <w:rPr>
          <w:rFonts w:ascii="Book Antiqua" w:hAnsi="Book Antiqua"/>
          <w:sz w:val="20"/>
        </w:rPr>
        <w:t xml:space="preserve"> baryons, which would include protons and neutrons. This proposal is different from both the usual QED and SED approaches.</w:t>
      </w:r>
    </w:p>
    <w:p w:rsidR="00AC4336" w:rsidRPr="00115CF5" w:rsidRDefault="00AC4336" w:rsidP="00AC4336">
      <w:pPr>
        <w:pStyle w:val="NoSpacing"/>
        <w:jc w:val="both"/>
        <w:rPr>
          <w:rFonts w:ascii="Book Antiqua" w:hAnsi="Book Antiqua"/>
          <w:sz w:val="20"/>
        </w:rPr>
      </w:pPr>
    </w:p>
    <w:p w:rsidR="00AC4336" w:rsidRDefault="00AC4336" w:rsidP="00AC4336">
      <w:pPr>
        <w:pStyle w:val="NoSpacing"/>
        <w:jc w:val="both"/>
        <w:rPr>
          <w:rFonts w:ascii="Book Antiqua" w:hAnsi="Book Antiqua"/>
          <w:sz w:val="20"/>
        </w:rPr>
      </w:pPr>
      <w:r w:rsidRPr="00115CF5">
        <w:rPr>
          <w:rFonts w:ascii="Book Antiqua" w:hAnsi="Book Antiqua"/>
          <w:sz w:val="20"/>
        </w:rPr>
        <w:lastRenderedPageBreak/>
        <w:tab/>
        <w:t xml:space="preserve">In contrast to both Gibson’s and the Hoyle group models, it is proposed here that the extreme temperatures and the enormous expansion energy provided an environment at the Planck scale in which energy was converted to matter in a turbulent cascade of PPP and/or P-KP.  High temperature conditions in high energy physics laboratories, as well as what has been seen in supernovas, result in electron-positron pair production as well as the production of other particle-antiparticle pairs. The process is one of conversion of inherent energy into mass on the basis of </w:t>
      </w:r>
      <m:oMath>
        <m:r>
          <w:rPr>
            <w:rFonts w:ascii="Cambria Math" w:hAnsi="Cambria Math" w:cs="BookAntiqua"/>
            <w:sz w:val="18"/>
            <w:szCs w:val="18"/>
          </w:rPr>
          <m:t>E</m:t>
        </m:r>
        <m:r>
          <w:rPr>
            <w:rFonts w:ascii="Cambria Math" w:hAnsi="Book Antiqua" w:cs="BookAntiqua"/>
            <w:sz w:val="18"/>
            <w:szCs w:val="18"/>
          </w:rPr>
          <m:t xml:space="preserve"> = </m:t>
        </m:r>
        <m:r>
          <w:rPr>
            <w:rFonts w:ascii="Cambria Math" w:hAnsi="Cambria Math" w:cs="BookAntiqua"/>
            <w:sz w:val="18"/>
            <w:szCs w:val="18"/>
          </w:rPr>
          <m:t>m</m:t>
        </m:r>
        <m:sSup>
          <m:sSupPr>
            <m:ctrlPr>
              <w:rPr>
                <w:rFonts w:ascii="Cambria Math" w:hAnsi="Book Antiqua" w:cs="BookAntiqua"/>
                <w:i/>
                <w:sz w:val="18"/>
                <w:szCs w:val="18"/>
              </w:rPr>
            </m:ctrlPr>
          </m:sSupPr>
          <m:e>
            <m:r>
              <w:rPr>
                <w:rFonts w:ascii="Cambria Math" w:hAnsi="Cambria Math" w:cs="BookAntiqua"/>
                <w:sz w:val="18"/>
                <w:szCs w:val="18"/>
              </w:rPr>
              <m:t>c</m:t>
            </m:r>
          </m:e>
          <m:sup>
            <m:r>
              <w:rPr>
                <w:rFonts w:ascii="Cambria Math" w:hAnsi="Book Antiqua" w:cs="BookAntiqua"/>
                <w:sz w:val="18"/>
                <w:szCs w:val="18"/>
              </w:rPr>
              <m:t>2</m:t>
            </m:r>
          </m:sup>
        </m:sSup>
      </m:oMath>
      <w:r w:rsidRPr="00115CF5">
        <w:rPr>
          <w:rFonts w:ascii="Book Antiqua" w:hAnsi="Book Antiqua"/>
          <w:sz w:val="20"/>
        </w:rPr>
        <w:t xml:space="preserve">.  Because we are dealing with known physical effects in this scenario, there is no need for the more exotic nature of the </w:t>
      </w:r>
      <w:r w:rsidRPr="00D23F3F">
        <w:rPr>
          <w:rFonts w:ascii="Book Antiqua" w:hAnsi="Book Antiqua"/>
          <w:sz w:val="20"/>
        </w:rPr>
        <w:t>previous two proposals</w:t>
      </w:r>
      <w:r w:rsidR="00D23F3F">
        <w:rPr>
          <w:rFonts w:ascii="Book Antiqua" w:hAnsi="Book Antiqua"/>
          <w:sz w:val="20"/>
        </w:rPr>
        <w:t xml:space="preserve"> (Gibson’s and the Hoyle et al approach).</w:t>
      </w:r>
    </w:p>
    <w:p w:rsidR="00D23F3F" w:rsidRPr="00115CF5" w:rsidRDefault="00D23F3F"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QED physics says uncertainty is an intrinsic property of the vacuum of space.  Therefore everything in space, including Planck Particle Pairs is subject to that uncertainty.  On this basis, the initial PPP flashed into and out of existence in an instant.  This is why Gibson needed the formation of the Planck-Kerr particles to happen by chance simply as a result of the random fluctuations of the vacuum.  It would only be after P-KP had formed that the longer-lasting real (not virtual) Planck Particle Pairs could form.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contrast, the SED model presents the Zero Point Energy as the result of cosmic expansion as well as the cause of the jiggling of subatomic particles, which is referred to in QED physics as ‘quantum uncertainty.’ This jiggling cannot happen, let alone build up, until the Zero Point Energy exists.  The ZPE itself is the result of the formation of the PPP and P-KP which, themselves, result from the initial expansion and extremely high temperatures present initially.  Since the Planck Particle Pairs existed before the Zero Point Energy, they were not subject to the ‘jiggling’ effect (QED’s ‘quantum uncertainty’).</w:t>
      </w:r>
    </w:p>
    <w:p w:rsidR="00AC4336" w:rsidRPr="00115CF5" w:rsidRDefault="00AC4336" w:rsidP="00AC4336">
      <w:pPr>
        <w:pStyle w:val="NoSpacing"/>
        <w:ind w:firstLine="720"/>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The early massive turbulence is also explained differently in the different models.  Gibson attributed it to Planck-Kerr particle formation, and Hoyle attributed to particles exceeding the Planck mass.  While turbulence can be produced in both these ways, this model </w:t>
      </w:r>
      <w:r w:rsidR="00D23F3F">
        <w:rPr>
          <w:rFonts w:ascii="Book Antiqua" w:hAnsi="Book Antiqua"/>
          <w:sz w:val="20"/>
        </w:rPr>
        <w:t>considers</w:t>
      </w:r>
      <w:r w:rsidRPr="00115CF5">
        <w:rPr>
          <w:rFonts w:ascii="Book Antiqua" w:hAnsi="Book Antiqua"/>
          <w:sz w:val="20"/>
        </w:rPr>
        <w:t xml:space="preserve"> turbulence </w:t>
      </w:r>
      <w:r w:rsidR="00D23F3F">
        <w:rPr>
          <w:rFonts w:ascii="Book Antiqua" w:hAnsi="Book Antiqua"/>
          <w:sz w:val="20"/>
        </w:rPr>
        <w:t>to be a</w:t>
      </w:r>
      <w:r w:rsidRPr="00115CF5">
        <w:rPr>
          <w:rFonts w:ascii="Book Antiqua" w:hAnsi="Book Antiqua"/>
          <w:sz w:val="20"/>
        </w:rPr>
        <w:t xml:space="preserve"> necessary result of PPP formation </w:t>
      </w:r>
      <w:r w:rsidR="00D23F3F">
        <w:rPr>
          <w:rFonts w:ascii="Book Antiqua" w:hAnsi="Book Antiqua"/>
          <w:sz w:val="20"/>
        </w:rPr>
        <w:t xml:space="preserve">when </w:t>
      </w:r>
      <w:r w:rsidRPr="00115CF5">
        <w:rPr>
          <w:rFonts w:ascii="Book Antiqua" w:hAnsi="Book Antiqua"/>
          <w:sz w:val="20"/>
        </w:rPr>
        <w:t>coupled with universal expansion.</w:t>
      </w:r>
    </w:p>
    <w:p w:rsidR="00663629" w:rsidRPr="00115CF5" w:rsidRDefault="00663629"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Most currently accepted models of the universe say it is still expanding, and ever more rapidly.  If that is true, then the Zero Point Energy should still be increasing, and massive turbulence should still be building in the fabric of space.</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 xml:space="preserve">4.4 The </w:t>
      </w:r>
      <w:r w:rsidRPr="00D23F3F">
        <w:rPr>
          <w:rFonts w:ascii="Book Antiqua" w:hAnsi="Book Antiqua" w:cs="Times New Roman"/>
          <w:b w:val="0"/>
          <w:sz w:val="20"/>
          <w:szCs w:val="20"/>
        </w:rPr>
        <w:t>Dynamics of the Universe</w:t>
      </w:r>
    </w:p>
    <w:p w:rsidR="00AC4336" w:rsidRPr="00115CF5" w:rsidRDefault="00AC4336" w:rsidP="00AC4336">
      <w:pPr>
        <w:pStyle w:val="NoSpacing"/>
        <w:ind w:firstLine="720"/>
        <w:jc w:val="both"/>
        <w:rPr>
          <w:rFonts w:ascii="Book Antiqua" w:hAnsi="Book Antiqua"/>
          <w:sz w:val="20"/>
        </w:rPr>
      </w:pPr>
    </w:p>
    <w:p w:rsidR="00AC4336" w:rsidRPr="00115CF5" w:rsidRDefault="00426E59" w:rsidP="00AC4336">
      <w:pPr>
        <w:pStyle w:val="NoSpacing"/>
        <w:ind w:firstLine="720"/>
        <w:jc w:val="both"/>
        <w:rPr>
          <w:rFonts w:ascii="Book Antiqua" w:hAnsi="Book Antiqua"/>
          <w:sz w:val="20"/>
        </w:rPr>
      </w:pPr>
      <w:r>
        <w:rPr>
          <w:rFonts w:ascii="Book Antiqua" w:hAnsi="Book Antiqua"/>
          <w:sz w:val="20"/>
        </w:rPr>
        <w:t>Unfortunately, t</w:t>
      </w:r>
      <w:r w:rsidR="00AC4336" w:rsidRPr="00115CF5">
        <w:rPr>
          <w:rFonts w:ascii="Book Antiqua" w:hAnsi="Book Antiqua"/>
          <w:sz w:val="20"/>
        </w:rPr>
        <w:t xml:space="preserve">here are a number of problems presented by the concept of ongoing universal expansion.    </w:t>
      </w:r>
      <w:r w:rsidR="00EB501D" w:rsidRPr="00115CF5">
        <w:rPr>
          <w:rFonts w:ascii="Book Antiqua" w:hAnsi="Book Antiqua"/>
          <w:sz w:val="20"/>
        </w:rPr>
        <w:t>For example, r</w:t>
      </w:r>
      <w:r w:rsidR="00AC4336" w:rsidRPr="00115CF5">
        <w:rPr>
          <w:rFonts w:ascii="Book Antiqua" w:hAnsi="Book Antiqua"/>
          <w:sz w:val="20"/>
        </w:rPr>
        <w:t>andomly scattered throughout the universe are giant ‘clouds’ of hydrogen.  An examination of the average separation and temperature of these hydrogen clouds is one of the primary evidences that the universe expanded initially but is now static. As light passes through hydrogen clouds, selective wavelengths are absorbed and produce a dark line</w:t>
      </w:r>
      <w:r w:rsidR="00D23F3F">
        <w:rPr>
          <w:rFonts w:ascii="Book Antiqua" w:hAnsi="Book Antiqua"/>
          <w:sz w:val="20"/>
        </w:rPr>
        <w:t>s</w:t>
      </w:r>
      <w:r w:rsidR="00AC4336" w:rsidRPr="00115CF5">
        <w:rPr>
          <w:rFonts w:ascii="Book Antiqua" w:hAnsi="Book Antiqua"/>
          <w:sz w:val="20"/>
        </w:rPr>
        <w:t xml:space="preserve"> on the light spectrum as measured by a spectrometer. The important dark line in this regard is called the Lyman Alpha line. As the light goes through an increasing number of hydrogen clouds on its journey, an increasing number of Lyman Alpha lines are built up in the spectrum. As a result of traveling great astronomical distances, light passing through these clouds will arrive at earth with a whole suite of lines. This is known as the 'Lyman Alpha forest.'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Looking far out into space, scientists have found that the light coming from great distances is red shifted.  Redshift numbers are indications of distance from Earth, or, more precisely, from our Local Group of galaxies. Since the </w:t>
      </w:r>
      <w:r w:rsidR="00E76495">
        <w:rPr>
          <w:rFonts w:ascii="Book Antiqua" w:hAnsi="Book Antiqua"/>
          <w:sz w:val="20"/>
        </w:rPr>
        <w:t xml:space="preserve">hydrogen </w:t>
      </w:r>
      <w:r w:rsidRPr="00115CF5">
        <w:rPr>
          <w:rFonts w:ascii="Book Antiqua" w:hAnsi="Book Antiqua"/>
          <w:sz w:val="20"/>
        </w:rPr>
        <w:t xml:space="preserve">clouds further away from our galaxy have greater redshifts, the position of the Lyman Alpha line on the spectrum from an individual cloud will be dependent on distance and hence registered by its redshift.  Near our Local Group of galaxies, the redshift, </w:t>
      </w:r>
      <w:r w:rsidRPr="00115CF5">
        <w:rPr>
          <w:rFonts w:ascii="Book Antiqua" w:hAnsi="Book Antiqua"/>
          <w:i/>
          <w:sz w:val="20"/>
        </w:rPr>
        <w:t>z</w:t>
      </w:r>
      <w:r w:rsidRPr="00115CF5">
        <w:rPr>
          <w:rFonts w:ascii="Book Antiqua" w:hAnsi="Book Antiqua"/>
          <w:sz w:val="20"/>
        </w:rPr>
        <w:t>, can be as small as 8.8 x 10</w:t>
      </w:r>
      <w:r w:rsidRPr="00115CF5">
        <w:rPr>
          <w:rFonts w:ascii="Book Antiqua" w:hAnsi="Book Antiqua"/>
          <w:sz w:val="20"/>
          <w:vertAlign w:val="superscript"/>
        </w:rPr>
        <w:t>-6</w:t>
      </w:r>
      <w:r w:rsidRPr="00115CF5">
        <w:rPr>
          <w:rFonts w:ascii="Book Antiqua" w:hAnsi="Book Antiqua"/>
          <w:sz w:val="20"/>
        </w:rPr>
        <w:t xml:space="preserve">.  However, at the frontiers of the cosmos, the redshift from the microwave background (CMBR) is usually quoted as being around  </w:t>
      </w:r>
      <m:oMath>
        <m:r>
          <w:rPr>
            <w:rFonts w:ascii="Cambria Math" w:hAnsi="Cambria Math"/>
            <w:sz w:val="18"/>
            <w:szCs w:val="18"/>
          </w:rPr>
          <m:t>z</m:t>
        </m:r>
        <m:r>
          <w:rPr>
            <w:rFonts w:ascii="Cambria Math" w:hAnsi="Book Antiqua"/>
            <w:sz w:val="18"/>
            <w:szCs w:val="18"/>
          </w:rPr>
          <m:t xml:space="preserve"> = 1100</m:t>
        </m:r>
      </m:oMath>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p>
    <w:p w:rsidR="00AC4336" w:rsidRPr="00115CF5" w:rsidRDefault="00E76495" w:rsidP="00AC4336">
      <w:pPr>
        <w:pStyle w:val="NoSpacing"/>
        <w:ind w:firstLine="720"/>
        <w:jc w:val="both"/>
        <w:rPr>
          <w:rFonts w:ascii="Book Antiqua" w:hAnsi="Book Antiqua"/>
          <w:sz w:val="20"/>
        </w:rPr>
      </w:pPr>
      <w:r>
        <w:rPr>
          <w:rFonts w:ascii="Book Antiqua" w:hAnsi="Book Antiqua"/>
          <w:sz w:val="20"/>
        </w:rPr>
        <w:t>Because redshifts are indicators of distance, we</w:t>
      </w:r>
      <w:r w:rsidRPr="00115CF5">
        <w:rPr>
          <w:rFonts w:ascii="Book Antiqua" w:hAnsi="Book Antiqua"/>
          <w:sz w:val="20"/>
        </w:rPr>
        <w:t xml:space="preserve"> can tell how far apart </w:t>
      </w:r>
      <w:r>
        <w:rPr>
          <w:rFonts w:ascii="Book Antiqua" w:hAnsi="Book Antiqua"/>
          <w:sz w:val="20"/>
        </w:rPr>
        <w:t>the hydrogen clouds</w:t>
      </w:r>
      <w:r w:rsidRPr="00115CF5">
        <w:rPr>
          <w:rFonts w:ascii="Book Antiqua" w:hAnsi="Book Antiqua"/>
          <w:sz w:val="20"/>
        </w:rPr>
        <w:t xml:space="preserve"> are by their red shifts.  </w:t>
      </w:r>
      <w:r w:rsidR="00AC4336" w:rsidRPr="00115CF5">
        <w:rPr>
          <w:rFonts w:ascii="Book Antiqua" w:hAnsi="Book Antiqua"/>
          <w:sz w:val="20"/>
        </w:rPr>
        <w:t>Universal expansion means these hydrogen clouds move apart.  If the universe is still expanding, then the average distance between these clouds should still be increasing</w:t>
      </w:r>
      <w:r>
        <w:rPr>
          <w:rFonts w:ascii="Book Antiqua" w:hAnsi="Book Antiqua"/>
          <w:sz w:val="20"/>
        </w:rPr>
        <w:t>, and therefore</w:t>
      </w:r>
      <w:r w:rsidR="00AC4336" w:rsidRPr="00115CF5">
        <w:rPr>
          <w:rFonts w:ascii="Book Antiqua" w:hAnsi="Book Antiqua"/>
          <w:sz w:val="20"/>
        </w:rPr>
        <w:t xml:space="preserve"> the differences between their red shifts should be </w:t>
      </w:r>
      <w:r w:rsidR="00AC4336" w:rsidRPr="00115CF5">
        <w:rPr>
          <w:rFonts w:ascii="Book Antiqua" w:hAnsi="Book Antiqua"/>
          <w:sz w:val="20"/>
        </w:rPr>
        <w:lastRenderedPageBreak/>
        <w:t>increasing</w:t>
      </w:r>
      <w:r>
        <w:rPr>
          <w:rFonts w:ascii="Book Antiqua" w:hAnsi="Book Antiqua"/>
          <w:sz w:val="20"/>
        </w:rPr>
        <w:t>.  T</w:t>
      </w:r>
      <w:r w:rsidR="00AC4336" w:rsidRPr="00115CF5">
        <w:rPr>
          <w:rFonts w:ascii="Book Antiqua" w:hAnsi="Book Antiqua"/>
          <w:sz w:val="20"/>
        </w:rPr>
        <w:t>hat is something we can measure. If the universe is static, the average distance between the clouds should remain fixed. The situation is illustrated in Figures 7 and  8.</w:t>
      </w:r>
    </w:p>
    <w:p w:rsidR="00AC4336" w:rsidRPr="00115CF5" w:rsidRDefault="00AC4336" w:rsidP="00AC4336">
      <w:pPr>
        <w:pStyle w:val="NoSpacing"/>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drawing>
          <wp:inline distT="0" distB="0" distL="0" distR="0">
            <wp:extent cx="4798840" cy="1897956"/>
            <wp:effectExtent l="19050" t="0" r="1760" b="0"/>
            <wp:docPr id="595" name="il_fi" descr="http://www.astro.ucla.edu/~wright/lyaf-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ucla.edu/~wright/lyaf-75.gif"/>
                    <pic:cNvPicPr>
                      <a:picLocks noChangeAspect="1" noChangeArrowheads="1"/>
                    </pic:cNvPicPr>
                  </pic:nvPicPr>
                  <pic:blipFill>
                    <a:blip r:embed="rId54" cstate="print"/>
                    <a:srcRect/>
                    <a:stretch>
                      <a:fillRect/>
                    </a:stretch>
                  </pic:blipFill>
                  <pic:spPr bwMode="auto">
                    <a:xfrm>
                      <a:off x="0" y="0"/>
                      <a:ext cx="4804747" cy="1900292"/>
                    </a:xfrm>
                    <a:prstGeom prst="rect">
                      <a:avLst/>
                    </a:prstGeom>
                    <a:noFill/>
                    <a:ln w="9525">
                      <a:noFill/>
                      <a:miter lim="800000"/>
                      <a:headEnd/>
                      <a:tailEnd/>
                    </a:ln>
                  </pic:spPr>
                </pic:pic>
              </a:graphicData>
            </a:graphic>
          </wp:inline>
        </w:drawing>
      </w:r>
    </w:p>
    <w:p w:rsidR="00AC4336" w:rsidRPr="00115CF5" w:rsidRDefault="00AC4336" w:rsidP="00AC4336">
      <w:pPr>
        <w:pStyle w:val="NoSpacing"/>
        <w:jc w:val="center"/>
        <w:rPr>
          <w:rFonts w:ascii="Book Antiqua" w:hAnsi="Book Antiqua"/>
          <w:sz w:val="20"/>
        </w:rPr>
      </w:pPr>
    </w:p>
    <w:p w:rsidR="00AC4336" w:rsidRPr="00CB2FE9" w:rsidRDefault="00AC4336" w:rsidP="00AC4336">
      <w:pPr>
        <w:pStyle w:val="NoSpacing"/>
        <w:rPr>
          <w:rFonts w:ascii="Book Antiqua" w:hAnsi="Book Antiqua"/>
          <w:i/>
          <w:sz w:val="18"/>
          <w:szCs w:val="18"/>
        </w:rPr>
      </w:pPr>
      <w:r w:rsidRPr="00CB2FE9">
        <w:rPr>
          <w:rFonts w:ascii="Book Antiqua" w:hAnsi="Book Antiqua"/>
          <w:b/>
          <w:i/>
          <w:sz w:val="18"/>
          <w:szCs w:val="18"/>
        </w:rPr>
        <w:t>Figure 7:</w:t>
      </w:r>
      <w:r w:rsidRPr="00CB2FE9">
        <w:rPr>
          <w:rFonts w:ascii="Book Antiqua" w:hAnsi="Book Antiqua"/>
          <w:i/>
          <w:sz w:val="18"/>
          <w:szCs w:val="18"/>
        </w:rPr>
        <w:t xml:space="preserve"> A quasar is shown with its Lyman alpha emission line redshifted from the ultraviolet into the </w:t>
      </w:r>
      <w:proofErr w:type="gramStart"/>
      <w:r w:rsidRPr="00CB2FE9">
        <w:rPr>
          <w:rFonts w:ascii="Book Antiqua" w:hAnsi="Book Antiqua"/>
          <w:i/>
          <w:sz w:val="18"/>
          <w:szCs w:val="18"/>
        </w:rPr>
        <w:t>red,</w:t>
      </w:r>
      <w:proofErr w:type="gramEnd"/>
      <w:r w:rsidRPr="00CB2FE9">
        <w:rPr>
          <w:rFonts w:ascii="Book Antiqua" w:hAnsi="Book Antiqua"/>
          <w:i/>
          <w:sz w:val="18"/>
          <w:szCs w:val="18"/>
        </w:rPr>
        <w:t xml:space="preserve"> and the Lyman alpha absorption lines from four progressively closer clouds appearing as orange, yellow and green-blue.</w:t>
      </w:r>
      <w:r w:rsidR="0062140A">
        <w:rPr>
          <w:rFonts w:ascii="Book Antiqua" w:hAnsi="Book Antiqua"/>
          <w:i/>
          <w:sz w:val="18"/>
          <w:szCs w:val="18"/>
        </w:rPr>
        <w:t xml:space="preserve"> Wavelengths go from short (blue) to long (red) from left to right.</w:t>
      </w:r>
    </w:p>
    <w:p w:rsidR="002A77F9" w:rsidRPr="00115CF5" w:rsidRDefault="002A77F9" w:rsidP="00AC4336">
      <w:pPr>
        <w:pStyle w:val="NoSpacing"/>
        <w:rPr>
          <w:rFonts w:ascii="Book Antiqua" w:hAnsi="Book Antiqua"/>
          <w:sz w:val="18"/>
          <w:szCs w:val="18"/>
        </w:rPr>
      </w:pPr>
    </w:p>
    <w:p w:rsidR="00AC4336" w:rsidRPr="00115CF5" w:rsidRDefault="00AC4336" w:rsidP="00AC4336">
      <w:pPr>
        <w:pStyle w:val="NoSpacing"/>
        <w:rPr>
          <w:rFonts w:ascii="Book Antiqua" w:hAnsi="Book Antiqua"/>
          <w:sz w:val="20"/>
        </w:rPr>
      </w:pPr>
    </w:p>
    <w:p w:rsidR="00AC4336" w:rsidRPr="00115CF5" w:rsidRDefault="00AC4336" w:rsidP="00AC4336">
      <w:pPr>
        <w:jc w:val="center"/>
        <w:rPr>
          <w:rFonts w:ascii="Book Antiqua" w:hAnsi="Book Antiqua"/>
        </w:rPr>
      </w:pPr>
      <w:r w:rsidRPr="00115CF5">
        <w:rPr>
          <w:rFonts w:ascii="Book Antiqua" w:hAnsi="Book Antiqua"/>
          <w:noProof/>
          <w:lang w:val="en-US"/>
        </w:rPr>
        <w:drawing>
          <wp:inline distT="0" distB="0" distL="0" distR="0">
            <wp:extent cx="4850414" cy="2535731"/>
            <wp:effectExtent l="19050" t="0" r="7336" b="0"/>
            <wp:docPr id="594" name="il_fi" descr="http://astronomy.ua.edu/keel/agn/for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ua.edu/keel/agn/forest.gif"/>
                    <pic:cNvPicPr>
                      <a:picLocks noChangeAspect="1" noChangeArrowheads="1"/>
                    </pic:cNvPicPr>
                  </pic:nvPicPr>
                  <pic:blipFill>
                    <a:blip r:embed="rId55" cstate="print"/>
                    <a:srcRect/>
                    <a:stretch>
                      <a:fillRect/>
                    </a:stretch>
                  </pic:blipFill>
                  <pic:spPr bwMode="auto">
                    <a:xfrm>
                      <a:off x="0" y="0"/>
                      <a:ext cx="4848225" cy="2534586"/>
                    </a:xfrm>
                    <a:prstGeom prst="rect">
                      <a:avLst/>
                    </a:prstGeom>
                    <a:noFill/>
                    <a:ln w="9525">
                      <a:noFill/>
                      <a:miter lim="800000"/>
                      <a:headEnd/>
                      <a:tailEnd/>
                    </a:ln>
                  </pic:spPr>
                </pic:pic>
              </a:graphicData>
            </a:graphic>
          </wp:inline>
        </w:drawing>
      </w:r>
    </w:p>
    <w:p w:rsidR="00AC4336" w:rsidRPr="00115CF5" w:rsidRDefault="00AC4336" w:rsidP="00AC4336">
      <w:pPr>
        <w:rPr>
          <w:rFonts w:ascii="Book Antiqua" w:hAnsi="Book Antiqua"/>
          <w:noProof/>
        </w:rPr>
      </w:pPr>
    </w:p>
    <w:p w:rsidR="00AC4336" w:rsidRPr="00CB2FE9" w:rsidRDefault="00AC4336" w:rsidP="00AC4336">
      <w:pPr>
        <w:rPr>
          <w:rFonts w:ascii="Book Antiqua" w:hAnsi="Book Antiqua"/>
          <w:i/>
          <w:noProof/>
          <w:sz w:val="18"/>
          <w:szCs w:val="18"/>
        </w:rPr>
      </w:pPr>
      <w:r w:rsidRPr="00CB2FE9">
        <w:rPr>
          <w:rFonts w:ascii="Book Antiqua" w:hAnsi="Book Antiqua"/>
          <w:b/>
          <w:i/>
          <w:noProof/>
          <w:sz w:val="18"/>
          <w:szCs w:val="18"/>
        </w:rPr>
        <w:t>Figure 8:</w:t>
      </w:r>
      <w:r w:rsidRPr="00CB2FE9">
        <w:rPr>
          <w:rFonts w:ascii="Book Antiqua" w:hAnsi="Book Antiqua"/>
          <w:i/>
          <w:noProof/>
          <w:sz w:val="18"/>
          <w:szCs w:val="18"/>
        </w:rPr>
        <w:t xml:space="preserve"> Lyman alpha forest lines from two quasars: Top z = 0.158 (close to us)  with a handful of lines. Bottom z = 3.62 (distant) with many lines.  </w:t>
      </w:r>
    </w:p>
    <w:p w:rsidR="00AC4336" w:rsidRPr="00115CF5" w:rsidRDefault="00AC4336" w:rsidP="00AC4336">
      <w:pPr>
        <w:rPr>
          <w:rFonts w:ascii="Book Antiqua" w:hAnsi="Book Antiqua"/>
          <w:sz w:val="18"/>
          <w:szCs w:val="18"/>
        </w:rPr>
      </w:pPr>
      <w:r w:rsidRPr="00115CF5">
        <w:rPr>
          <w:rFonts w:ascii="Book Antiqua" w:hAnsi="Book Antiqua"/>
          <w:noProof/>
          <w:sz w:val="18"/>
          <w:szCs w:val="18"/>
        </w:rPr>
        <w:t xml:space="preserve">  </w:t>
      </w:r>
    </w:p>
    <w:p w:rsidR="00893308" w:rsidRPr="00115CF5" w:rsidRDefault="00893308" w:rsidP="00893308">
      <w:pPr>
        <w:pStyle w:val="NoSpacing"/>
        <w:ind w:firstLine="720"/>
        <w:jc w:val="both"/>
        <w:rPr>
          <w:rFonts w:ascii="Book Antiqua" w:hAnsi="Book Antiqua"/>
          <w:sz w:val="20"/>
        </w:rPr>
      </w:pPr>
      <w:r w:rsidRPr="0037176B">
        <w:rPr>
          <w:rFonts w:ascii="Book Antiqua" w:hAnsi="Book Antiqua"/>
          <w:sz w:val="20"/>
        </w:rPr>
        <w:t>A detailed study of this matter has been performed by Lyndon Ashmore. In one of his papers the Abstract contains these conclusions:</w:t>
      </w:r>
    </w:p>
    <w:p w:rsidR="00893308" w:rsidRDefault="00893308" w:rsidP="00AC4336">
      <w:pPr>
        <w:pStyle w:val="NoSpacing"/>
        <w:ind w:firstLine="720"/>
        <w:jc w:val="both"/>
        <w:rPr>
          <w:rFonts w:ascii="Book Antiqua" w:hAnsi="Book Antiqua"/>
          <w:i/>
          <w:iCs/>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i/>
          <w:iCs/>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15CF5">
        <w:rPr>
          <w:rFonts w:ascii="Book Antiqua" w:hAnsi="Book Antiqua"/>
          <w:sz w:val="20"/>
        </w:rPr>
        <w:t>[46] A further discussion of this can be seen in reference [47].</w:t>
      </w:r>
    </w:p>
    <w:p w:rsidR="00CC7172" w:rsidRDefault="00CC7172"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Data from the hydrogen clouds suggest expansion is indicated from the point where redshifts are higher than about </w:t>
      </w:r>
      <m:oMath>
        <m:r>
          <w:rPr>
            <w:rFonts w:ascii="Cambria Math" w:hAnsi="Cambria Math"/>
            <w:sz w:val="18"/>
            <w:szCs w:val="18"/>
          </w:rPr>
          <m:t>z</m:t>
        </m:r>
        <m:r>
          <w:rPr>
            <w:rFonts w:ascii="Cambria Math" w:hAnsi="Book Antiqua"/>
            <w:sz w:val="18"/>
            <w:szCs w:val="18"/>
          </w:rPr>
          <m:t xml:space="preserve"> = 2.6</m:t>
        </m:r>
      </m:oMath>
      <w:r w:rsidRPr="00115CF5">
        <w:rPr>
          <w:rFonts w:ascii="Book Antiqua" w:hAnsi="Book Antiqua"/>
          <w:sz w:val="20"/>
        </w:rPr>
        <w:t>. [47]</w:t>
      </w:r>
      <w:r w:rsidRPr="00115CF5">
        <w:rPr>
          <w:rFonts w:ascii="Book Antiqua" w:hAnsi="Book Antiqua"/>
          <w:color w:val="FF0000"/>
          <w:sz w:val="20"/>
        </w:rPr>
        <w:t xml:space="preserve"> </w:t>
      </w:r>
      <w:r w:rsidRPr="00115CF5">
        <w:rPr>
          <w:rFonts w:ascii="Book Antiqua" w:hAnsi="Book Antiqua"/>
          <w:sz w:val="20"/>
        </w:rPr>
        <w:t xml:space="preserve">Between this and a redshift of about </w:t>
      </w:r>
      <m:oMath>
        <m:r>
          <w:rPr>
            <w:rFonts w:ascii="Cambria Math" w:hAnsi="Cambria Math"/>
            <w:sz w:val="20"/>
          </w:rPr>
          <m:t>z</m:t>
        </m:r>
        <m:r>
          <w:rPr>
            <w:rFonts w:ascii="Cambria Math" w:hAnsi="Book Antiqua"/>
            <w:sz w:val="18"/>
            <w:szCs w:val="18"/>
          </w:rPr>
          <m:t xml:space="preserve"> =1.6</m:t>
        </m:r>
      </m:oMath>
      <w:r w:rsidRPr="00115CF5">
        <w:rPr>
          <w:rFonts w:ascii="Book Antiqua" w:hAnsi="Book Antiqua"/>
          <w:sz w:val="20"/>
        </w:rPr>
        <w:t xml:space="preserve"> , the hydrogen cloud data indicate the universe became static.</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In addition, it has been pointed out by a number of authors that the Lyman Alpha Forest is present in all high redshift quasars.  Some have argued that the brilliant quasars have been ejected from relatively nearby galaxies, and so are not at the distances their high red shifts would indicate.  However, full Lyman Forests can be seen between quasars with high red shift and earth, whereas relatively few hydrogen clouds are seen between the nearby galaxies and earth.   For this reason, it is accepted here that the vast majority of quasars are at the distances indicated by their redshifts. For further discussion see:</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8B5E8F" w:rsidP="00AC4336">
      <w:pPr>
        <w:pStyle w:val="NoSpacing"/>
        <w:jc w:val="both"/>
        <w:rPr>
          <w:rFonts w:ascii="Book Antiqua" w:hAnsi="Book Antiqua"/>
          <w:i/>
          <w:sz w:val="20"/>
        </w:rPr>
      </w:pPr>
      <w:r>
        <w:rPr>
          <w:rFonts w:ascii="Book Antiqua" w:hAnsi="Book Antiqua"/>
          <w:i/>
          <w:sz w:val="20"/>
        </w:rPr>
        <w:t>“</w:t>
      </w:r>
      <w:r w:rsidR="00AC4336" w:rsidRPr="00115CF5">
        <w:rPr>
          <w:rFonts w:ascii="Book Antiqua" w:hAnsi="Book Antiqua"/>
          <w:i/>
          <w:sz w:val="20"/>
        </w:rPr>
        <w:t>Lyman Alpha Forest</w:t>
      </w:r>
      <w:r w:rsidR="00AC4336" w:rsidRPr="00115CF5">
        <w:rPr>
          <w:rFonts w:ascii="Book Antiqua" w:hAnsi="Book Antiqua"/>
          <w:sz w:val="20"/>
        </w:rPr>
        <w:t>,</w:t>
      </w:r>
      <w:r>
        <w:rPr>
          <w:rFonts w:ascii="Book Antiqua" w:hAnsi="Book Antiqua"/>
          <w:sz w:val="20"/>
        </w:rPr>
        <w:t>”</w:t>
      </w:r>
      <w:r w:rsidR="00AC4336" w:rsidRPr="00115CF5">
        <w:rPr>
          <w:rFonts w:ascii="Book Antiqua" w:hAnsi="Book Antiqua"/>
          <w:sz w:val="20"/>
        </w:rPr>
        <w:t xml:space="preserve"> at </w:t>
      </w:r>
      <w:hyperlink r:id="rId56" w:history="1">
        <w:r w:rsidR="00AC4336" w:rsidRPr="00115CF5">
          <w:rPr>
            <w:rStyle w:val="Hyperlink"/>
            <w:rFonts w:ascii="Book Antiqua" w:hAnsi="Book Antiqua"/>
            <w:i/>
            <w:sz w:val="20"/>
          </w:rPr>
          <w:t>http://astro.ucla.edu/~wright/Lyman-alpha-forest.html</w:t>
        </w:r>
      </w:hyperlink>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w:t>
      </w:r>
      <w:r w:rsidR="008B5E8F">
        <w:rPr>
          <w:rFonts w:ascii="Book Antiqua" w:hAnsi="Book Antiqua"/>
          <w:sz w:val="20"/>
        </w:rPr>
        <w:t>“</w:t>
      </w:r>
      <w:r w:rsidRPr="00115CF5">
        <w:rPr>
          <w:rFonts w:ascii="Book Antiqua" w:hAnsi="Book Antiqua"/>
          <w:i/>
          <w:sz w:val="20"/>
        </w:rPr>
        <w:t>Quasar Astronomy Forty Years On</w:t>
      </w:r>
      <w:r w:rsidRPr="00115CF5">
        <w:rPr>
          <w:rFonts w:ascii="Book Antiqua" w:hAnsi="Book Antiqua"/>
          <w:sz w:val="20"/>
        </w:rPr>
        <w:t>,</w:t>
      </w:r>
      <w:r w:rsidR="008B5E8F">
        <w:rPr>
          <w:rFonts w:ascii="Book Antiqua" w:hAnsi="Book Antiqua"/>
          <w:sz w:val="20"/>
        </w:rPr>
        <w:t>”</w:t>
      </w:r>
      <w:r w:rsidRPr="00115CF5">
        <w:rPr>
          <w:rFonts w:ascii="Book Antiqua" w:hAnsi="Book Antiqua"/>
          <w:sz w:val="20"/>
        </w:rPr>
        <w:t xml:space="preserve"> at</w:t>
      </w:r>
      <w:r w:rsidR="00D3790F" w:rsidRPr="00115CF5">
        <w:rPr>
          <w:rFonts w:ascii="Book Antiqua" w:hAnsi="Book Antiqua"/>
          <w:sz w:val="20"/>
        </w:rPr>
        <w:t xml:space="preserve"> </w:t>
      </w:r>
      <w:r w:rsidRPr="00115CF5">
        <w:rPr>
          <w:rFonts w:ascii="Book Antiqua" w:hAnsi="Book Antiqua"/>
          <w:i/>
          <w:sz w:val="20"/>
        </w:rPr>
        <w:t xml:space="preserve"> </w:t>
      </w:r>
      <w:hyperlink r:id="rId57" w:history="1">
        <w:r w:rsidRPr="00115CF5">
          <w:rPr>
            <w:rStyle w:val="Hyperlink"/>
            <w:rFonts w:ascii="Book Antiqua" w:hAnsi="Book Antiqua"/>
            <w:i/>
            <w:sz w:val="20"/>
          </w:rPr>
          <w:t>http://www.astr.ua.edu/keel/agn/quasar40.html</w:t>
        </w:r>
      </w:hyperlink>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combination of data from the CMBR, the hydrogen clouds, the redshift, and the studies by Narliker and Arp, [28], come together to indicate that there was a rapid initial expansion of the universe, followed by stasis with relatively small oscillations.  None of these studies or data, however, deals with the origin of the Zero Point Energy, and that needs to be discussed</w:t>
      </w:r>
      <w:r w:rsidR="00950B9C">
        <w:rPr>
          <w:rFonts w:ascii="Book Antiqua" w:hAnsi="Book Antiqua"/>
          <w:sz w:val="20"/>
        </w:rPr>
        <w:t xml:space="preserve"> </w:t>
      </w:r>
      <w:r w:rsidR="00950B9C" w:rsidRPr="0037176B">
        <w:rPr>
          <w:rFonts w:ascii="Book Antiqua" w:hAnsi="Book Antiqua"/>
          <w:sz w:val="20"/>
        </w:rPr>
        <w:t>more fully</w:t>
      </w:r>
      <w:r w:rsidRPr="00115CF5">
        <w:rPr>
          <w:rFonts w:ascii="Book Antiqua" w:hAnsi="Book Antiqua"/>
          <w:sz w:val="20"/>
        </w:rPr>
        <w:t>.</w:t>
      </w:r>
    </w:p>
    <w:p w:rsidR="00D3790F" w:rsidRPr="00115CF5" w:rsidRDefault="00D3790F"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4.5 The Origin of the Zero Point Energy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color w:val="FF0000"/>
          <w:sz w:val="20"/>
        </w:rPr>
      </w:pPr>
      <w:r w:rsidRPr="00115CF5">
        <w:rPr>
          <w:rFonts w:ascii="Book Antiqua" w:hAnsi="Book Antiqua"/>
          <w:sz w:val="20"/>
        </w:rPr>
        <w:t>All the models presented above, as well as others, have sho</w:t>
      </w:r>
      <w:r w:rsidR="0037176B">
        <w:rPr>
          <w:rFonts w:ascii="Book Antiqua" w:hAnsi="Book Antiqua"/>
          <w:sz w:val="20"/>
        </w:rPr>
        <w:t xml:space="preserve">wn that </w:t>
      </w:r>
      <w:r w:rsidRPr="00115CF5">
        <w:rPr>
          <w:rFonts w:ascii="Book Antiqua" w:hAnsi="Book Antiqua"/>
          <w:sz w:val="20"/>
        </w:rPr>
        <w:t xml:space="preserve">processes in operation in the early universe, </w:t>
      </w:r>
      <w:r w:rsidR="0037176B">
        <w:rPr>
          <w:rFonts w:ascii="Book Antiqua" w:hAnsi="Book Antiqua"/>
          <w:sz w:val="20"/>
        </w:rPr>
        <w:t>resulted in</w:t>
      </w:r>
      <w:r w:rsidRPr="00115CF5">
        <w:rPr>
          <w:rFonts w:ascii="Book Antiqua" w:hAnsi="Book Antiqua"/>
          <w:sz w:val="20"/>
        </w:rPr>
        <w:t xml:space="preserve"> extreme turbulent vortices and separations among the Planck Particle Pairs. The model presented here </w:t>
      </w:r>
      <w:r w:rsidR="0037176B">
        <w:rPr>
          <w:rFonts w:ascii="Book Antiqua" w:hAnsi="Book Antiqua"/>
          <w:sz w:val="20"/>
        </w:rPr>
        <w:t>attributes</w:t>
      </w:r>
      <w:r w:rsidRPr="00115CF5">
        <w:rPr>
          <w:rFonts w:ascii="Book Antiqua" w:hAnsi="Book Antiqua"/>
          <w:sz w:val="20"/>
        </w:rPr>
        <w:t xml:space="preserve"> similar effects to the ongoing expansion as well as the ongoing formation of PPP</w:t>
      </w:r>
      <w:r w:rsidR="0037176B">
        <w:rPr>
          <w:rFonts w:ascii="Book Antiqua" w:hAnsi="Book Antiqua"/>
          <w:sz w:val="20"/>
        </w:rPr>
        <w:t xml:space="preserve">. </w:t>
      </w:r>
      <w:r w:rsidRPr="00115CF5">
        <w:rPr>
          <w:rFonts w:ascii="Book Antiqua" w:hAnsi="Book Antiqua"/>
          <w:sz w:val="20"/>
        </w:rPr>
        <w:t xml:space="preserve"> </w:t>
      </w:r>
      <w:r w:rsidR="0037176B">
        <w:rPr>
          <w:rFonts w:ascii="Book Antiqua" w:hAnsi="Book Antiqua"/>
          <w:sz w:val="20"/>
        </w:rPr>
        <w:t>The formation of</w:t>
      </w:r>
      <w:r w:rsidRPr="00115CF5">
        <w:rPr>
          <w:rFonts w:ascii="Book Antiqua" w:hAnsi="Book Antiqua"/>
          <w:sz w:val="20"/>
        </w:rPr>
        <w:t xml:space="preserve"> Planck-Kerr </w:t>
      </w:r>
      <w:r w:rsidR="0037176B">
        <w:rPr>
          <w:rFonts w:ascii="Book Antiqua" w:hAnsi="Book Antiqua"/>
          <w:sz w:val="20"/>
        </w:rPr>
        <w:t xml:space="preserve">Particles </w:t>
      </w:r>
      <w:r w:rsidRPr="00115CF5">
        <w:rPr>
          <w:rFonts w:ascii="Book Antiqua" w:hAnsi="Book Antiqua"/>
          <w:sz w:val="20"/>
        </w:rPr>
        <w:t>would trigger additional turbulence. Gibson has accurately shown that turbulence associated with P-KP start</w:t>
      </w:r>
      <w:r w:rsidR="0037176B">
        <w:rPr>
          <w:rFonts w:ascii="Book Antiqua" w:hAnsi="Book Antiqua"/>
          <w:sz w:val="20"/>
        </w:rPr>
        <w:t>ed</w:t>
      </w:r>
      <w:r w:rsidRPr="00115CF5">
        <w:rPr>
          <w:rFonts w:ascii="Book Antiqua" w:hAnsi="Book Antiqua"/>
          <w:sz w:val="20"/>
        </w:rPr>
        <w:t xml:space="preserve"> at the Planck scale. It then cascade</w:t>
      </w:r>
      <w:r w:rsidR="0037176B">
        <w:rPr>
          <w:rFonts w:ascii="Book Antiqua" w:hAnsi="Book Antiqua"/>
          <w:sz w:val="20"/>
        </w:rPr>
        <w:t>d</w:t>
      </w:r>
      <w:r w:rsidRPr="00115CF5">
        <w:rPr>
          <w:rFonts w:ascii="Book Antiqua" w:hAnsi="Book Antiqua"/>
          <w:sz w:val="20"/>
        </w:rPr>
        <w:t xml:space="preserve"> into progressively larger scales until the entire PPP 'gas' throughout the cosmos was in a state of extreme turbulence [44].</w:t>
      </w:r>
      <w:r w:rsidRPr="00115CF5">
        <w:rPr>
          <w:rFonts w:ascii="Book Antiqua" w:hAnsi="Book Antiqua"/>
          <w:color w:val="FF0000"/>
          <w:sz w:val="20"/>
        </w:rPr>
        <w:t xml:space="preserve"> </w:t>
      </w:r>
      <w:r w:rsidRPr="00115CF5">
        <w:rPr>
          <w:rFonts w:ascii="Book Antiqua" w:hAnsi="Book Antiqua"/>
          <w:sz w:val="20"/>
        </w:rPr>
        <w:t>He points out that this turbulence fed energy into the system which then resulted in the production of more PPP. Gibson's analysis reveals that PPP numbers would continue to increase until all the turbulence died away. He has shown that such systems are characteristically inelastic, while Bizon correctly established that inelastic systems have stronger vortices and longer persistence times [48].</w:t>
      </w:r>
      <w:r w:rsidRPr="00115CF5">
        <w:rPr>
          <w:rFonts w:ascii="Book Antiqua" w:hAnsi="Book Antiqua"/>
          <w:color w:val="FF0000"/>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this PPP/P-KP system, the separation of electric charges among the PPP would produce electric fields, while their turbulent movement </w:t>
      </w:r>
      <w:r w:rsidR="0037176B">
        <w:rPr>
          <w:rFonts w:ascii="Book Antiqua" w:hAnsi="Book Antiqua"/>
          <w:sz w:val="20"/>
        </w:rPr>
        <w:t xml:space="preserve">produced currents which </w:t>
      </w:r>
      <w:r w:rsidRPr="00115CF5">
        <w:rPr>
          <w:rFonts w:ascii="Book Antiqua" w:hAnsi="Book Antiqua"/>
          <w:sz w:val="20"/>
        </w:rPr>
        <w:t>would then produce magnetic fields. In addition, P-KP themselves radiate</w:t>
      </w:r>
      <w:r w:rsidR="0037176B">
        <w:rPr>
          <w:rFonts w:ascii="Book Antiqua" w:hAnsi="Book Antiqua"/>
          <w:sz w:val="20"/>
        </w:rPr>
        <w:t>d</w:t>
      </w:r>
      <w:r w:rsidRPr="00115CF5">
        <w:rPr>
          <w:rFonts w:ascii="Book Antiqua" w:hAnsi="Book Antiqua"/>
          <w:sz w:val="20"/>
        </w:rPr>
        <w:t xml:space="preserve"> electromagnetic energy into their turbulent environment.  This was the origin of the initial electro-magnetic fields of the ZPE. After universal expansion ceased, vortices and turbulence would have persisted until all the turbulent energy had been converted to Planck Particle Pairs, as explained in detail by Gibson [44].</w:t>
      </w:r>
      <w:r w:rsidRPr="00115CF5">
        <w:rPr>
          <w:rFonts w:ascii="Book Antiqua" w:hAnsi="Book Antiqua"/>
          <w:color w:val="FF0000"/>
          <w:sz w:val="20"/>
        </w:rPr>
        <w:t xml:space="preserve"> </w:t>
      </w:r>
      <w:r w:rsidRPr="00115CF5">
        <w:rPr>
          <w:rFonts w:ascii="Book Antiqua" w:hAnsi="Book Antiqua"/>
          <w:sz w:val="20"/>
        </w:rPr>
        <w:t>Because of the inelasticity and size of the system, the persistence and decay phases of turbulence probably took a comparatively long time. During this time the ZPE strength would have continued building, since PPP numbers were also building.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Once both expansion and turbulence ceased, the Planck Particle Pairs would have continued to recombine. When PPP recombine, they annihilate, and their total energy is converted to electromagnetic radiation</w:t>
      </w:r>
      <w:r w:rsidR="0037176B">
        <w:rPr>
          <w:rFonts w:ascii="Book Antiqua" w:hAnsi="Book Antiqua"/>
          <w:sz w:val="20"/>
        </w:rPr>
        <w:t>.  This would have</w:t>
      </w:r>
      <w:r w:rsidRPr="00115CF5">
        <w:rPr>
          <w:rFonts w:ascii="Book Antiqua" w:hAnsi="Book Antiqua"/>
          <w:sz w:val="20"/>
        </w:rPr>
        <w:t xml:space="preserve"> further built up the Zero Point Energy. </w:t>
      </w:r>
      <w:r w:rsidR="0037176B">
        <w:rPr>
          <w:rFonts w:ascii="Book Antiqua" w:hAnsi="Book Antiqua"/>
          <w:sz w:val="20"/>
        </w:rPr>
        <w:t>T</w:t>
      </w:r>
      <w:r w:rsidRPr="00115CF5">
        <w:rPr>
          <w:rFonts w:ascii="Book Antiqua" w:hAnsi="Book Antiqua"/>
          <w:sz w:val="20"/>
        </w:rPr>
        <w:t xml:space="preserve">his recombining of the PPP may have </w:t>
      </w:r>
      <w:r w:rsidR="001D68B2">
        <w:rPr>
          <w:rFonts w:ascii="Book Antiqua" w:hAnsi="Book Antiqua"/>
          <w:sz w:val="20"/>
        </w:rPr>
        <w:t>added an amount of</w:t>
      </w:r>
      <w:r w:rsidRPr="00115CF5">
        <w:rPr>
          <w:rFonts w:ascii="Book Antiqua" w:hAnsi="Book Antiqua"/>
          <w:sz w:val="20"/>
        </w:rPr>
        <w:t xml:space="preserve"> </w:t>
      </w:r>
      <w:r w:rsidR="002227A9">
        <w:rPr>
          <w:rFonts w:ascii="Book Antiqua" w:hAnsi="Book Antiqua"/>
          <w:sz w:val="20"/>
        </w:rPr>
        <w:t xml:space="preserve">some significance to the existing </w:t>
      </w:r>
      <w:r w:rsidRPr="00115CF5">
        <w:rPr>
          <w:rFonts w:ascii="Book Antiqua" w:hAnsi="Book Antiqua"/>
          <w:sz w:val="20"/>
        </w:rPr>
        <w:t xml:space="preserve">energy </w:t>
      </w:r>
      <w:r w:rsidR="002227A9">
        <w:rPr>
          <w:rFonts w:ascii="Book Antiqua" w:hAnsi="Book Antiqua"/>
          <w:sz w:val="20"/>
        </w:rPr>
        <w:t xml:space="preserve">of the </w:t>
      </w:r>
      <w:r w:rsidRPr="00115CF5">
        <w:rPr>
          <w:rFonts w:ascii="Book Antiqua" w:hAnsi="Book Antiqua"/>
          <w:sz w:val="20"/>
        </w:rPr>
        <w:t xml:space="preserve">ZPE. </w:t>
      </w:r>
      <w:r w:rsidR="002227A9">
        <w:rPr>
          <w:rFonts w:ascii="Book Antiqua" w:hAnsi="Book Antiqua"/>
          <w:sz w:val="20"/>
        </w:rPr>
        <w:t>As a result, t</w:t>
      </w:r>
      <w:r w:rsidRPr="00115CF5">
        <w:rPr>
          <w:rFonts w:ascii="Book Antiqua" w:hAnsi="Book Antiqua"/>
          <w:sz w:val="20"/>
        </w:rPr>
        <w:t>he electro-magnetic fields and waves of the ZPE continued to build up, despite the decay in turbulence, until all PPP had recombined [36].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As previously mentioned, Puthoff and other authors have shown that the ZPE strength is then maintained ”</w:t>
      </w:r>
      <w:r w:rsidRPr="00115CF5">
        <w:rPr>
          <w:rFonts w:ascii="Book Antiqua" w:hAnsi="Book Antiqua"/>
          <w:i/>
          <w:sz w:val="20"/>
        </w:rPr>
        <w:t>as a self-regenerating cosmological feedback cycle.”</w:t>
      </w:r>
      <w:r w:rsidRPr="00115CF5">
        <w:rPr>
          <w:rFonts w:ascii="Book Antiqua" w:hAnsi="Book Antiqua"/>
          <w:sz w:val="20"/>
        </w:rPr>
        <w:t xml:space="preserve"> [49] When ZPE waves collide, a virtual particle pair is produced from some of that energy.  When the virtual particles recombine, that energy is released back into the system. Some energy is also used to maintain atomic structures throughout the cosmos, as explained in Chapters 4 and 5. However, the number of atoms in the universe is so small in comparison to the number of virtual particle pairs existing at any instant and the magnitude of the ZPE strength, that their drain on the ZPE strength is negligible. Therefore, once it had built up to its maximum, the ZPE strength </w:t>
      </w:r>
      <w:r w:rsidR="0037176B">
        <w:rPr>
          <w:rFonts w:ascii="Book Antiqua" w:hAnsi="Book Antiqua"/>
          <w:sz w:val="20"/>
        </w:rPr>
        <w:t>has been</w:t>
      </w:r>
      <w:r w:rsidRPr="00115CF5">
        <w:rPr>
          <w:rFonts w:ascii="Book Antiqua" w:hAnsi="Book Antiqua"/>
          <w:sz w:val="20"/>
        </w:rPr>
        <w:t xml:space="preserve"> effectively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A</w:t>
      </w:r>
      <w:r w:rsidR="008B5E8F">
        <w:rPr>
          <w:rFonts w:ascii="Book Antiqua" w:hAnsi="Book Antiqua"/>
          <w:sz w:val="20"/>
        </w:rPr>
        <w:t>lso mentioned earlier was the fact that</w:t>
      </w:r>
      <w:r w:rsidRPr="00115CF5">
        <w:rPr>
          <w:rFonts w:ascii="Book Antiqua" w:hAnsi="Book Antiqua"/>
          <w:sz w:val="20"/>
        </w:rPr>
        <w:t xml:space="preserve"> Narlikar and Arp </w:t>
      </w:r>
      <w:r w:rsidR="008B5E8F">
        <w:rPr>
          <w:rFonts w:ascii="Book Antiqua" w:hAnsi="Book Antiqua"/>
          <w:sz w:val="20"/>
        </w:rPr>
        <w:t>established</w:t>
      </w:r>
      <w:r w:rsidRPr="00115CF5">
        <w:rPr>
          <w:rFonts w:ascii="Book Antiqua" w:hAnsi="Book Antiqua"/>
          <w:sz w:val="20"/>
        </w:rPr>
        <w:t xml:space="preserve"> that a static universe would incorporate oscillation</w:t>
      </w:r>
      <w:r w:rsidR="005043B1">
        <w:rPr>
          <w:rFonts w:ascii="Book Antiqua" w:hAnsi="Book Antiqua"/>
          <w:sz w:val="20"/>
        </w:rPr>
        <w:t>s</w:t>
      </w:r>
      <w:r w:rsidRPr="00115CF5">
        <w:rPr>
          <w:rFonts w:ascii="Book Antiqua" w:hAnsi="Book Antiqua"/>
          <w:sz w:val="20"/>
        </w:rPr>
        <w:t xml:space="preserve"> [28].   This would produce a resulting oscillation in ZPE strength.  These oscillations would tend to increase the Zero Point Energy per unit volume when the cosmos was at its minimum position, and decrease the strength at its maximum expansion. If the universe has several modes of oscillation, a graph of its behavior, and hence that of the strength of the ZPE, might be expected to contain flat points in a manner similar to that described in an article by Karlow [50]. </w:t>
      </w:r>
      <w:r w:rsidR="00FB4B1F">
        <w:rPr>
          <w:rFonts w:ascii="Book Antiqua" w:hAnsi="Book Antiqua"/>
          <w:sz w:val="20"/>
        </w:rPr>
        <w:t xml:space="preserve"> </w:t>
      </w:r>
      <w:r w:rsidRPr="00115CF5">
        <w:rPr>
          <w:rFonts w:ascii="Book Antiqua" w:hAnsi="Book Antiqua"/>
          <w:sz w:val="20"/>
        </w:rPr>
        <w:t xml:space="preserve">The data, which are discussed in the next four Chapters, support this. </w:t>
      </w:r>
    </w:p>
    <w:p w:rsidR="00AC4336" w:rsidRPr="00115CF5" w:rsidRDefault="00AC4336"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4.6 An Increasing ZPE Explained Another Way</w:t>
      </w:r>
    </w:p>
    <w:p w:rsidR="005B7A02" w:rsidRDefault="005B7A02" w:rsidP="00AC4336">
      <w:pPr>
        <w:pStyle w:val="NoSpacing"/>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sidRPr="00115CF5">
        <w:rPr>
          <w:rFonts w:ascii="Book Antiqua" w:hAnsi="Book Antiqua"/>
          <w:sz w:val="20"/>
        </w:rPr>
        <w:t xml:space="preserve">As shown, the initial build-up of the Zero Point Energy is </w:t>
      </w:r>
      <w:r>
        <w:rPr>
          <w:rFonts w:ascii="Book Antiqua" w:hAnsi="Book Antiqua"/>
          <w:sz w:val="20"/>
        </w:rPr>
        <w:t>indicated</w:t>
      </w:r>
      <w:r w:rsidRPr="00115CF5">
        <w:rPr>
          <w:rFonts w:ascii="Book Antiqua" w:hAnsi="Book Antiqua"/>
          <w:sz w:val="20"/>
        </w:rPr>
        <w:t xml:space="preserve"> by physical data. </w:t>
      </w:r>
      <w:r>
        <w:rPr>
          <w:rFonts w:ascii="Book Antiqua" w:hAnsi="Book Antiqua"/>
          <w:sz w:val="20"/>
        </w:rPr>
        <w:t>To explain how this worked</w:t>
      </w:r>
      <w:r w:rsidR="00FB4B1F">
        <w:rPr>
          <w:rFonts w:ascii="Book Antiqua" w:hAnsi="Book Antiqua"/>
          <w:sz w:val="20"/>
        </w:rPr>
        <w:t>, consider a rubber band.  W</w:t>
      </w:r>
      <w:r w:rsidRPr="00551881">
        <w:rPr>
          <w:rFonts w:ascii="Book Antiqua" w:hAnsi="Book Antiqua"/>
          <w:sz w:val="20"/>
        </w:rPr>
        <w:t>hen a rubber band is stretched, it</w:t>
      </w:r>
      <w:r>
        <w:rPr>
          <w:rFonts w:ascii="Book Antiqua" w:hAnsi="Book Antiqua"/>
          <w:color w:val="FF0000"/>
          <w:sz w:val="20"/>
        </w:rPr>
        <w:t xml:space="preserve"> </w:t>
      </w:r>
      <w:r w:rsidRPr="00115CF5">
        <w:rPr>
          <w:rFonts w:ascii="Book Antiqua" w:hAnsi="Book Antiqua"/>
          <w:sz w:val="20"/>
        </w:rPr>
        <w:t xml:space="preserve">has potential energy invested into its fabric. </w:t>
      </w:r>
      <w:r w:rsidRPr="00551881">
        <w:rPr>
          <w:rFonts w:ascii="Book Antiqua" w:hAnsi="Book Antiqua"/>
          <w:sz w:val="20"/>
        </w:rPr>
        <w:t xml:space="preserve">When it is released, there is a very fast conversion of potential to kinetic energy.  The rubber band flies away quickly at first but then slows down as the conversion itself slows down. </w:t>
      </w:r>
      <w:r w:rsidRPr="00115CF5">
        <w:rPr>
          <w:rFonts w:ascii="Book Antiqua" w:hAnsi="Book Antiqua"/>
          <w:sz w:val="20"/>
        </w:rPr>
        <w:t xml:space="preserve">Similarly, the fabric of space converted the potential energy of the expansion into the kinetic energy which manifested as the ZPE. This conversion happened quickly at first, and then slowed. </w:t>
      </w:r>
      <w:r>
        <w:rPr>
          <w:rFonts w:ascii="Book Antiqua" w:hAnsi="Book Antiqua"/>
          <w:sz w:val="20"/>
        </w:rPr>
        <w:t xml:space="preserve"> </w:t>
      </w:r>
    </w:p>
    <w:p w:rsidR="005B7A02" w:rsidRDefault="005B7A02" w:rsidP="005B7A02">
      <w:pPr>
        <w:pStyle w:val="NoSpacing"/>
        <w:ind w:firstLine="720"/>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Pr>
          <w:rFonts w:ascii="Book Antiqua" w:hAnsi="Book Antiqua"/>
          <w:sz w:val="20"/>
        </w:rPr>
        <w:t>The process whereby the energy of expansion was converted into potential energy was</w:t>
      </w:r>
      <w:r>
        <w:rPr>
          <w:rFonts w:ascii="Book Antiqua" w:hAnsi="Book Antiqua"/>
          <w:color w:val="FF0000"/>
          <w:sz w:val="20"/>
        </w:rPr>
        <w:t xml:space="preserve"> </w:t>
      </w:r>
      <w:r w:rsidRPr="00551881">
        <w:rPr>
          <w:rFonts w:ascii="Book Antiqua" w:hAnsi="Book Antiqua"/>
          <w:sz w:val="20"/>
        </w:rPr>
        <w:t>through</w:t>
      </w:r>
      <w:r>
        <w:rPr>
          <w:rFonts w:ascii="Book Antiqua" w:hAnsi="Book Antiqua"/>
          <w:sz w:val="20"/>
        </w:rPr>
        <w:t xml:space="preserve"> the formation of</w:t>
      </w:r>
      <w:r>
        <w:rPr>
          <w:rFonts w:ascii="Book Antiqua" w:hAnsi="Book Antiqua"/>
          <w:color w:val="FF0000"/>
          <w:sz w:val="20"/>
        </w:rPr>
        <w:t xml:space="preserve"> </w:t>
      </w:r>
      <w:r w:rsidRPr="00551881">
        <w:rPr>
          <w:rFonts w:ascii="Book Antiqua" w:hAnsi="Book Antiqua"/>
          <w:sz w:val="20"/>
        </w:rPr>
        <w:t>positive and negative</w:t>
      </w:r>
      <w:r>
        <w:rPr>
          <w:rFonts w:ascii="Book Antiqua" w:hAnsi="Book Antiqua"/>
          <w:color w:val="FF0000"/>
          <w:sz w:val="20"/>
        </w:rPr>
        <w:t xml:space="preserve"> </w:t>
      </w:r>
      <w:r>
        <w:rPr>
          <w:rFonts w:ascii="Book Antiqua" w:hAnsi="Book Antiqua"/>
          <w:sz w:val="20"/>
        </w:rPr>
        <w:t xml:space="preserve">Planck Particle </w:t>
      </w:r>
      <w:r w:rsidRPr="00551881">
        <w:rPr>
          <w:rFonts w:ascii="Book Antiqua" w:hAnsi="Book Antiqua"/>
          <w:sz w:val="20"/>
        </w:rPr>
        <w:t>Pairs (PPP).</w:t>
      </w:r>
      <w:r>
        <w:rPr>
          <w:rFonts w:ascii="Book Antiqua" w:hAnsi="Book Antiqua"/>
          <w:sz w:val="20"/>
        </w:rPr>
        <w:t xml:space="preserve"> This formation occurred because of the inter-convertibility of matter and energy. </w:t>
      </w:r>
      <w:r w:rsidR="0069244A">
        <w:rPr>
          <w:rFonts w:ascii="Book Antiqua" w:hAnsi="Book Antiqua"/>
          <w:sz w:val="20"/>
        </w:rPr>
        <w:t>The</w:t>
      </w:r>
      <w:r w:rsidR="0069244A" w:rsidRPr="00551881">
        <w:rPr>
          <w:rFonts w:ascii="Book Antiqua" w:hAnsi="Book Antiqua"/>
          <w:sz w:val="20"/>
        </w:rPr>
        <w:t xml:space="preserve"> </w:t>
      </w:r>
      <w:r w:rsidR="0069244A">
        <w:rPr>
          <w:rFonts w:ascii="Book Antiqua" w:hAnsi="Book Antiqua"/>
          <w:sz w:val="20"/>
        </w:rPr>
        <w:t>energy inherent in the turbulence was also</w:t>
      </w:r>
      <w:r w:rsidR="0069244A" w:rsidRPr="00551881">
        <w:rPr>
          <w:rFonts w:ascii="Book Antiqua" w:hAnsi="Book Antiqua"/>
          <w:sz w:val="20"/>
        </w:rPr>
        <w:t xml:space="preserve"> </w:t>
      </w:r>
      <w:r w:rsidR="0069244A">
        <w:rPr>
          <w:rFonts w:ascii="Book Antiqua" w:hAnsi="Book Antiqua"/>
          <w:sz w:val="20"/>
        </w:rPr>
        <w:t xml:space="preserve">converted into </w:t>
      </w:r>
      <w:r w:rsidR="0069244A" w:rsidRPr="00551881">
        <w:rPr>
          <w:rFonts w:ascii="Book Antiqua" w:hAnsi="Book Antiqua"/>
          <w:sz w:val="20"/>
        </w:rPr>
        <w:t xml:space="preserve">matter in the form of the Planck </w:t>
      </w:r>
      <w:r w:rsidR="0069244A">
        <w:rPr>
          <w:rFonts w:ascii="Book Antiqua" w:hAnsi="Book Antiqua"/>
          <w:sz w:val="20"/>
        </w:rPr>
        <w:t>P</w:t>
      </w:r>
      <w:r w:rsidR="0069244A" w:rsidRPr="00551881">
        <w:rPr>
          <w:rFonts w:ascii="Book Antiqua" w:hAnsi="Book Antiqua"/>
          <w:sz w:val="20"/>
        </w:rPr>
        <w:t xml:space="preserve">article </w:t>
      </w:r>
      <w:r w:rsidR="0069244A">
        <w:rPr>
          <w:rFonts w:ascii="Book Antiqua" w:hAnsi="Book Antiqua"/>
          <w:sz w:val="20"/>
        </w:rPr>
        <w:t>P</w:t>
      </w:r>
      <w:r w:rsidR="0069244A" w:rsidRPr="00551881">
        <w:rPr>
          <w:rFonts w:ascii="Book Antiqua" w:hAnsi="Book Antiqua"/>
          <w:sz w:val="20"/>
        </w:rPr>
        <w:t>airs.</w:t>
      </w:r>
      <w:r w:rsidR="0069244A">
        <w:rPr>
          <w:rFonts w:ascii="Book Antiqua" w:hAnsi="Book Antiqua"/>
          <w:sz w:val="20"/>
        </w:rPr>
        <w:t xml:space="preserve"> </w:t>
      </w:r>
      <w:r w:rsidRPr="00551881">
        <w:rPr>
          <w:rFonts w:ascii="Book Antiqua" w:hAnsi="Book Antiqua"/>
          <w:sz w:val="20"/>
        </w:rPr>
        <w:t>The turbulent</w:t>
      </w:r>
      <w:r>
        <w:rPr>
          <w:rFonts w:ascii="Book Antiqua" w:hAnsi="Book Antiqua"/>
          <w:color w:val="FF0000"/>
          <w:sz w:val="20"/>
        </w:rPr>
        <w:t xml:space="preserve"> </w:t>
      </w:r>
      <w:r>
        <w:rPr>
          <w:rFonts w:ascii="Book Antiqua" w:hAnsi="Book Antiqua"/>
          <w:sz w:val="20"/>
        </w:rPr>
        <w:t xml:space="preserve">motion of the PPP produced the electromagnetic waves and fields of the Zero Point Energy. In this sense, the ZPE is the manifestation of the kinetic </w:t>
      </w:r>
      <w:r w:rsidRPr="00551881">
        <w:rPr>
          <w:rFonts w:ascii="Book Antiqua" w:hAnsi="Book Antiqua"/>
          <w:sz w:val="20"/>
        </w:rPr>
        <w:t>energy which was converted</w:t>
      </w:r>
      <w:r>
        <w:rPr>
          <w:rFonts w:ascii="Book Antiqua" w:hAnsi="Book Antiqua"/>
          <w:color w:val="FF0000"/>
          <w:sz w:val="20"/>
        </w:rPr>
        <w:t xml:space="preserve"> </w:t>
      </w:r>
      <w:r>
        <w:rPr>
          <w:rFonts w:ascii="Book Antiqua" w:hAnsi="Book Antiqua"/>
          <w:sz w:val="20"/>
        </w:rPr>
        <w:t xml:space="preserve">from the potential energy of expansion. </w:t>
      </w:r>
    </w:p>
    <w:p w:rsidR="005B7A02" w:rsidRDefault="005B7A02" w:rsidP="005B7A02">
      <w:pPr>
        <w:pStyle w:val="NoSpacing"/>
        <w:ind w:firstLine="720"/>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Pr>
          <w:rFonts w:ascii="Book Antiqua" w:hAnsi="Book Antiqua"/>
          <w:sz w:val="20"/>
        </w:rPr>
        <w:t xml:space="preserve">In order to get </w:t>
      </w:r>
      <w:r w:rsidRPr="00551881">
        <w:rPr>
          <w:rFonts w:ascii="Book Antiqua" w:hAnsi="Book Antiqua"/>
          <w:sz w:val="20"/>
        </w:rPr>
        <w:t>a better picture of t</w:t>
      </w:r>
      <w:r>
        <w:rPr>
          <w:rFonts w:ascii="Book Antiqua" w:hAnsi="Book Antiqua"/>
          <w:sz w:val="20"/>
        </w:rPr>
        <w:t xml:space="preserve">his, consider the three phases of turbulence. First there is the formation of </w:t>
      </w:r>
      <w:r w:rsidRPr="00551881">
        <w:rPr>
          <w:rFonts w:ascii="Book Antiqua" w:hAnsi="Book Antiqua"/>
          <w:sz w:val="20"/>
        </w:rPr>
        <w:t>the</w:t>
      </w:r>
      <w:r>
        <w:rPr>
          <w:rFonts w:ascii="Book Antiqua" w:hAnsi="Book Antiqua"/>
          <w:color w:val="FF0000"/>
          <w:sz w:val="20"/>
        </w:rPr>
        <w:t xml:space="preserve"> </w:t>
      </w:r>
      <w:r>
        <w:rPr>
          <w:rFonts w:ascii="Book Antiqua" w:hAnsi="Book Antiqua"/>
          <w:sz w:val="20"/>
        </w:rPr>
        <w:t>turbulence by the initiating event. Once that initiating event has ceased, there is the persistence phase of the turbulence. Finally, there is a third phase, where the turbulence decays and ultimately dies out</w:t>
      </w:r>
      <w:r w:rsidRPr="00A00BBB">
        <w:rPr>
          <w:rFonts w:ascii="Book Antiqua" w:hAnsi="Book Antiqua"/>
          <w:sz w:val="20"/>
        </w:rPr>
        <w:t>. Figure 9 shows the analogous situation</w:t>
      </w:r>
      <w:r>
        <w:rPr>
          <w:rFonts w:ascii="Book Antiqua" w:hAnsi="Book Antiqua"/>
          <w:sz w:val="20"/>
        </w:rPr>
        <w:t xml:space="preserve"> where turbulence is initiated by the passage of an aircraft. This is called “wake turbulence.” </w:t>
      </w:r>
    </w:p>
    <w:p w:rsidR="00AC4336" w:rsidRDefault="00AC4336" w:rsidP="00AC4336">
      <w:pPr>
        <w:pStyle w:val="NoSpacing"/>
        <w:jc w:val="both"/>
        <w:rPr>
          <w:rFonts w:ascii="Book Antiqua" w:hAnsi="Book Antiqua"/>
          <w:sz w:val="20"/>
        </w:rPr>
      </w:pPr>
      <w:r w:rsidRPr="00115CF5">
        <w:rPr>
          <w:rFonts w:ascii="Book Antiqua" w:hAnsi="Book Antiqua"/>
          <w:sz w:val="20"/>
        </w:rPr>
        <w:tab/>
      </w:r>
    </w:p>
    <w:p w:rsidR="004E1CE7" w:rsidRDefault="004E1CE7" w:rsidP="004E1CE7">
      <w:pPr>
        <w:pStyle w:val="NoSpacing"/>
        <w:ind w:firstLine="720"/>
        <w:jc w:val="both"/>
        <w:rPr>
          <w:rFonts w:ascii="Book Antiqua" w:hAnsi="Book Antiqua"/>
          <w:sz w:val="20"/>
        </w:rPr>
      </w:pPr>
      <w:r w:rsidRPr="00A00BBB">
        <w:rPr>
          <w:rFonts w:ascii="Book Antiqua" w:hAnsi="Book Antiqua"/>
          <w:sz w:val="20"/>
        </w:rPr>
        <w:t>What we see in Figure 9 is a</w:t>
      </w:r>
      <w:r>
        <w:rPr>
          <w:rFonts w:ascii="Book Antiqua" w:hAnsi="Book Antiqua"/>
          <w:sz w:val="20"/>
        </w:rPr>
        <w:t xml:space="preserve"> light aircraft is going down a runway. The red-colored smoke has been caught up in the turbulent motion of the air. The behavior of the red smoke shows that there is a relatively long persistence time before the system decays and turbulence ceases. In the case of large aircraft like a Boeing 777 or Airbus A380, it is considered unsafe to land light aircraft behind these giants for a period of up to 4 minutes because of the persistence of the turbulence and the danger it presents [51]. </w:t>
      </w:r>
      <w:r w:rsidRPr="00A00BBB">
        <w:rPr>
          <w:rFonts w:ascii="Book Antiqua" w:hAnsi="Book Antiqua"/>
          <w:sz w:val="20"/>
        </w:rPr>
        <w:t>In fact, because of the long persistence time of the turbulence, the</w:t>
      </w:r>
      <w:r>
        <w:rPr>
          <w:rFonts w:ascii="Book Antiqua" w:hAnsi="Book Antiqua"/>
          <w:sz w:val="20"/>
        </w:rPr>
        <w:t xml:space="preserve"> closest light aircraft are allowed to approach these monsters is 8 nautical miles [51]. In a similar way, it could be expected that in a very large system, such as the cosmos, there would be a correspondingly long persistence time for the turbulence among PPP in the early universe. </w:t>
      </w:r>
    </w:p>
    <w:p w:rsidR="00C14B61" w:rsidRDefault="00C14B61" w:rsidP="004E1CE7">
      <w:pPr>
        <w:pStyle w:val="NoSpacing"/>
        <w:ind w:firstLine="720"/>
        <w:jc w:val="both"/>
        <w:rPr>
          <w:rFonts w:ascii="Book Antiqua" w:hAnsi="Book Antiqua"/>
          <w:sz w:val="20"/>
        </w:rPr>
      </w:pPr>
    </w:p>
    <w:p w:rsidR="00C14B61" w:rsidRPr="00115CF5" w:rsidRDefault="00C14B61" w:rsidP="00C14B61">
      <w:pPr>
        <w:pStyle w:val="NoSpacing"/>
        <w:ind w:firstLine="720"/>
        <w:jc w:val="both"/>
        <w:rPr>
          <w:rFonts w:ascii="Book Antiqua" w:hAnsi="Book Antiqua"/>
          <w:sz w:val="20"/>
        </w:rPr>
      </w:pPr>
      <w:r>
        <w:rPr>
          <w:rFonts w:ascii="Book Antiqua" w:hAnsi="Book Antiqua"/>
          <w:sz w:val="20"/>
        </w:rPr>
        <w:t>T</w:t>
      </w:r>
      <w:r w:rsidRPr="00115CF5">
        <w:rPr>
          <w:rFonts w:ascii="Book Antiqua" w:hAnsi="Book Antiqua"/>
          <w:sz w:val="20"/>
        </w:rPr>
        <w:t>he</w:t>
      </w:r>
      <w:r>
        <w:rPr>
          <w:rFonts w:ascii="Book Antiqua" w:hAnsi="Book Antiqua"/>
          <w:sz w:val="20"/>
        </w:rPr>
        <w:t xml:space="preserve"> number of </w:t>
      </w:r>
      <w:r w:rsidRPr="00115CF5">
        <w:rPr>
          <w:rFonts w:ascii="Book Antiqua" w:hAnsi="Book Antiqua"/>
          <w:sz w:val="20"/>
        </w:rPr>
        <w:t>electro-magnetic</w:t>
      </w:r>
      <w:r>
        <w:rPr>
          <w:rFonts w:ascii="Book Antiqua" w:hAnsi="Book Antiqua"/>
          <w:sz w:val="20"/>
        </w:rPr>
        <w:t xml:space="preserve"> waves and fields of the</w:t>
      </w:r>
      <w:r w:rsidRPr="00115CF5">
        <w:rPr>
          <w:rFonts w:ascii="Book Antiqua" w:hAnsi="Book Antiqua"/>
          <w:sz w:val="20"/>
        </w:rPr>
        <w:t xml:space="preserve"> ZPE </w:t>
      </w:r>
      <w:r w:rsidRPr="00A00BBB">
        <w:rPr>
          <w:rFonts w:ascii="Book Antiqua" w:hAnsi="Book Antiqua"/>
          <w:sz w:val="20"/>
        </w:rPr>
        <w:t>continue</w:t>
      </w:r>
      <w:r>
        <w:rPr>
          <w:rFonts w:ascii="Book Antiqua" w:hAnsi="Book Antiqua"/>
          <w:sz w:val="20"/>
        </w:rPr>
        <w:t>d</w:t>
      </w:r>
      <w:r w:rsidRPr="00A00BBB">
        <w:rPr>
          <w:rFonts w:ascii="Book Antiqua" w:hAnsi="Book Antiqua"/>
          <w:sz w:val="20"/>
        </w:rPr>
        <w:t xml:space="preserve"> increasing</w:t>
      </w:r>
      <w:r>
        <w:rPr>
          <w:rFonts w:ascii="Book Antiqua" w:hAnsi="Book Antiqua"/>
          <w:sz w:val="20"/>
        </w:rPr>
        <w:t xml:space="preserve"> throughout this time</w:t>
      </w:r>
      <w:r w:rsidRPr="00A00BBB">
        <w:rPr>
          <w:rFonts w:ascii="Book Antiqua" w:hAnsi="Book Antiqua"/>
          <w:sz w:val="20"/>
        </w:rPr>
        <w:t>. This would result in the strength of the Zero Point Energy building, which we have evidence of in</w:t>
      </w:r>
      <w:r>
        <w:rPr>
          <w:rFonts w:ascii="Book Antiqua" w:hAnsi="Book Antiqua"/>
          <w:color w:val="FF0000"/>
          <w:sz w:val="20"/>
        </w:rPr>
        <w:t xml:space="preserve"> </w:t>
      </w:r>
      <w:r w:rsidRPr="00115CF5">
        <w:rPr>
          <w:rFonts w:ascii="Book Antiqua" w:hAnsi="Book Antiqua"/>
          <w:sz w:val="20"/>
        </w:rPr>
        <w:t xml:space="preserve">astronomical data. </w:t>
      </w:r>
      <w:r w:rsidRPr="0069244A">
        <w:rPr>
          <w:rFonts w:ascii="Book Antiqua" w:hAnsi="Book Antiqua"/>
          <w:sz w:val="20"/>
        </w:rPr>
        <w:t>The data presented in Chapter 5 and in Appendix A suggest that the persistence time for this cosmological turbulence of PPP</w:t>
      </w:r>
      <w:r>
        <w:rPr>
          <w:rFonts w:ascii="Book Antiqua" w:hAnsi="Book Antiqua"/>
          <w:sz w:val="20"/>
        </w:rPr>
        <w:t xml:space="preserve"> was about four times as long as the initiating expansion time. Data in Appendix A for other systems suggest that this is well within the bounds of probability. </w:t>
      </w:r>
    </w:p>
    <w:p w:rsidR="00C14B61" w:rsidRDefault="00C14B61" w:rsidP="00C14B61">
      <w:pPr>
        <w:pStyle w:val="NoSpacing"/>
        <w:jc w:val="both"/>
        <w:rPr>
          <w:rFonts w:ascii="Book Antiqua" w:hAnsi="Book Antiqua"/>
          <w:sz w:val="20"/>
        </w:rPr>
      </w:pPr>
    </w:p>
    <w:p w:rsidR="00C14B61" w:rsidRDefault="00C14B61" w:rsidP="00C14B61">
      <w:pPr>
        <w:pStyle w:val="NoSpacing"/>
        <w:ind w:firstLine="720"/>
        <w:jc w:val="both"/>
        <w:rPr>
          <w:rFonts w:ascii="Book Antiqua" w:hAnsi="Book Antiqua"/>
          <w:sz w:val="20"/>
        </w:rPr>
      </w:pPr>
      <w:r>
        <w:rPr>
          <w:rFonts w:ascii="Book Antiqua" w:hAnsi="Book Antiqua"/>
          <w:sz w:val="20"/>
        </w:rPr>
        <w:t xml:space="preserve">The expansion of the universe was the initiating phase in the formation of the ZPE. As long as the cosmos was expanding, that initiating phase continued. The astronomical data </w:t>
      </w:r>
      <w:r w:rsidRPr="00A00BBB">
        <w:rPr>
          <w:rFonts w:ascii="Book Antiqua" w:hAnsi="Book Antiqua"/>
          <w:sz w:val="20"/>
        </w:rPr>
        <w:t xml:space="preserve">from </w:t>
      </w:r>
      <w:r>
        <w:rPr>
          <w:rFonts w:ascii="Book Antiqua" w:hAnsi="Book Antiqua"/>
          <w:sz w:val="20"/>
        </w:rPr>
        <w:t>hydrogen clouds indicate that the expansion had completely stopped by a redshift of z = 1.6.   W</w:t>
      </w:r>
      <w:r w:rsidRPr="00A00BBB">
        <w:rPr>
          <w:rFonts w:ascii="Book Antiqua" w:hAnsi="Book Antiqua"/>
          <w:sz w:val="20"/>
        </w:rPr>
        <w:t xml:space="preserve">hen </w:t>
      </w:r>
      <w:r>
        <w:rPr>
          <w:rFonts w:ascii="Book Antiqua" w:hAnsi="Book Antiqua"/>
          <w:sz w:val="20"/>
        </w:rPr>
        <w:t xml:space="preserve">expansion ceased, the initiating phase of the turbulence was over. From that point on, Planck Particle Pairs continued to form by feeding off the ongoing </w:t>
      </w:r>
      <w:r w:rsidRPr="00A00BBB">
        <w:rPr>
          <w:rFonts w:ascii="Book Antiqua" w:hAnsi="Book Antiqua"/>
          <w:sz w:val="20"/>
        </w:rPr>
        <w:t>persistent</w:t>
      </w:r>
      <w:r>
        <w:rPr>
          <w:rFonts w:ascii="Book Antiqua" w:hAnsi="Book Antiqua"/>
          <w:color w:val="FF0000"/>
          <w:sz w:val="20"/>
        </w:rPr>
        <w:t xml:space="preserve"> </w:t>
      </w:r>
      <w:r>
        <w:rPr>
          <w:rFonts w:ascii="Book Antiqua" w:hAnsi="Book Antiqua"/>
          <w:sz w:val="20"/>
        </w:rPr>
        <w:t xml:space="preserve">turbulence. As noted above, this phase </w:t>
      </w:r>
      <w:r w:rsidRPr="00A00BBB">
        <w:rPr>
          <w:rFonts w:ascii="Book Antiqua" w:hAnsi="Book Antiqua"/>
          <w:sz w:val="20"/>
        </w:rPr>
        <w:t xml:space="preserve">would be </w:t>
      </w:r>
      <w:r>
        <w:rPr>
          <w:rFonts w:ascii="Book Antiqua" w:hAnsi="Book Antiqua"/>
          <w:sz w:val="20"/>
        </w:rPr>
        <w:t xml:space="preserve">expected to be long in comparison with the initiation phase. Finally, once the persistence of turbulence had ceased, </w:t>
      </w:r>
      <w:r w:rsidRPr="00A00BBB">
        <w:rPr>
          <w:rFonts w:ascii="Book Antiqua" w:hAnsi="Book Antiqua"/>
          <w:sz w:val="20"/>
        </w:rPr>
        <w:t>Planck particle pairs would cease to form.</w:t>
      </w:r>
      <w:r>
        <w:rPr>
          <w:rFonts w:ascii="Book Antiqua" w:hAnsi="Book Antiqua"/>
          <w:color w:val="FF0000"/>
          <w:sz w:val="20"/>
        </w:rPr>
        <w:t xml:space="preserve"> </w:t>
      </w:r>
      <w:r w:rsidRPr="00A00BBB">
        <w:rPr>
          <w:rFonts w:ascii="Book Antiqua" w:hAnsi="Book Antiqua"/>
          <w:sz w:val="20"/>
        </w:rPr>
        <w:t>At this point it was</w:t>
      </w:r>
      <w:r>
        <w:rPr>
          <w:rFonts w:ascii="Book Antiqua" w:hAnsi="Book Antiqua"/>
          <w:color w:val="FF0000"/>
          <w:sz w:val="20"/>
        </w:rPr>
        <w:t xml:space="preserve"> </w:t>
      </w:r>
      <w:r>
        <w:rPr>
          <w:rFonts w:ascii="Book Antiqua" w:hAnsi="Book Antiqua"/>
          <w:sz w:val="20"/>
        </w:rPr>
        <w:t xml:space="preserve">the recombination of the remaining </w:t>
      </w:r>
    </w:p>
    <w:p w:rsidR="00C14B61" w:rsidRDefault="00C14B61" w:rsidP="004E1CE7">
      <w:pPr>
        <w:pStyle w:val="NoSpacing"/>
        <w:ind w:firstLine="720"/>
        <w:jc w:val="both"/>
        <w:rPr>
          <w:rFonts w:ascii="Book Antiqua" w:hAnsi="Book Antiqua"/>
          <w:sz w:val="20"/>
        </w:rPr>
      </w:pPr>
    </w:p>
    <w:p w:rsidR="004E1CE7" w:rsidRDefault="004E1CE7" w:rsidP="00AC4336">
      <w:pPr>
        <w:pStyle w:val="NoSpacing"/>
        <w:jc w:val="both"/>
        <w:rPr>
          <w:rFonts w:ascii="Book Antiqua" w:hAnsi="Book Antiqua"/>
          <w:sz w:val="20"/>
        </w:rPr>
      </w:pPr>
    </w:p>
    <w:p w:rsidR="00F55A50" w:rsidRDefault="00F55A50" w:rsidP="00F44D37">
      <w:pPr>
        <w:pStyle w:val="NoSpacing"/>
        <w:jc w:val="center"/>
        <w:rPr>
          <w:rFonts w:ascii="Book Antiqua" w:hAnsi="Book Antiqua"/>
          <w:sz w:val="20"/>
        </w:rPr>
      </w:pPr>
      <w:r w:rsidRPr="00F55A50">
        <w:rPr>
          <w:rFonts w:ascii="Book Antiqua" w:hAnsi="Book Antiqua"/>
          <w:noProof/>
          <w:sz w:val="20"/>
        </w:rPr>
        <w:lastRenderedPageBreak/>
        <w:drawing>
          <wp:inline distT="0" distB="0" distL="0" distR="0">
            <wp:extent cx="5838825" cy="3857625"/>
            <wp:effectExtent l="19050" t="0" r="9525" b="0"/>
            <wp:docPr id="15" name="Picture 2" descr="http://upload.wikimedia.org/wikipedia/commons/f/fe/Airplane_vortex_edit.jpg"/>
            <wp:cNvGraphicFramePr/>
            <a:graphic xmlns:a="http://schemas.openxmlformats.org/drawingml/2006/main">
              <a:graphicData uri="http://schemas.openxmlformats.org/drawingml/2006/picture">
                <pic:pic xmlns:pic="http://schemas.openxmlformats.org/drawingml/2006/picture">
                  <pic:nvPicPr>
                    <pic:cNvPr id="87044" name="Picture 3" descr="http://upload.wikimedia.org/wikipedia/commons/f/fe/Airplane_vortex_edit.jpg"/>
                    <pic:cNvPicPr>
                      <a:picLocks noChangeAspect="1" noChangeArrowheads="1"/>
                    </pic:cNvPicPr>
                  </pic:nvPicPr>
                  <pic:blipFill>
                    <a:blip r:embed="rId58" cstate="print"/>
                    <a:srcRect t="6903" r="-55"/>
                    <a:stretch>
                      <a:fillRect/>
                    </a:stretch>
                  </pic:blipFill>
                  <pic:spPr bwMode="auto">
                    <a:xfrm>
                      <a:off x="0" y="0"/>
                      <a:ext cx="5843482" cy="3860702"/>
                    </a:xfrm>
                    <a:prstGeom prst="rect">
                      <a:avLst/>
                    </a:prstGeom>
                    <a:noFill/>
                    <a:ln w="9525">
                      <a:noFill/>
                      <a:miter lim="800000"/>
                      <a:headEnd/>
                      <a:tailEnd/>
                    </a:ln>
                  </pic:spPr>
                </pic:pic>
              </a:graphicData>
            </a:graphic>
          </wp:inline>
        </w:drawing>
      </w:r>
    </w:p>
    <w:p w:rsidR="000C6863" w:rsidRDefault="000C6863" w:rsidP="000C6863">
      <w:pPr>
        <w:pStyle w:val="NoSpacing"/>
        <w:jc w:val="both"/>
        <w:rPr>
          <w:rFonts w:ascii="Book Antiqua" w:hAnsi="Book Antiqua"/>
          <w:sz w:val="20"/>
        </w:rPr>
      </w:pPr>
    </w:p>
    <w:p w:rsidR="000C6863" w:rsidRPr="005B7A02" w:rsidRDefault="000C6863" w:rsidP="000C6863">
      <w:pPr>
        <w:pStyle w:val="NoSpacing"/>
        <w:rPr>
          <w:rFonts w:ascii="Book Antiqua" w:hAnsi="Book Antiqua"/>
          <w:i/>
          <w:sz w:val="18"/>
          <w:szCs w:val="18"/>
        </w:rPr>
      </w:pPr>
      <w:r w:rsidRPr="005B7A02">
        <w:rPr>
          <w:rFonts w:ascii="Book Antiqua" w:hAnsi="Book Antiqua"/>
          <w:b/>
          <w:i/>
          <w:sz w:val="18"/>
          <w:szCs w:val="18"/>
        </w:rPr>
        <w:t>Figure 9:</w:t>
      </w:r>
      <w:r w:rsidRPr="005B7A02">
        <w:rPr>
          <w:rFonts w:ascii="Book Antiqua" w:hAnsi="Book Antiqua"/>
          <w:i/>
          <w:sz w:val="18"/>
          <w:szCs w:val="18"/>
        </w:rPr>
        <w:t xml:space="preserve"> Wake turbulence</w:t>
      </w:r>
      <w:r w:rsidR="00677932" w:rsidRPr="005B7A02">
        <w:rPr>
          <w:rFonts w:ascii="Book Antiqua" w:hAnsi="Book Antiqua"/>
          <w:i/>
          <w:sz w:val="18"/>
          <w:szCs w:val="18"/>
        </w:rPr>
        <w:t>.</w:t>
      </w:r>
      <w:r w:rsidRPr="005B7A02">
        <w:rPr>
          <w:rFonts w:ascii="Book Antiqua" w:hAnsi="Book Antiqua"/>
          <w:i/>
          <w:sz w:val="18"/>
          <w:szCs w:val="18"/>
        </w:rPr>
        <w:t xml:space="preserve"> </w:t>
      </w:r>
      <w:r w:rsidR="006D7604" w:rsidRPr="005B7A02">
        <w:rPr>
          <w:rFonts w:ascii="Book Antiqua" w:hAnsi="Book Antiqua"/>
          <w:b/>
          <w:i/>
          <w:sz w:val="18"/>
          <w:szCs w:val="18"/>
        </w:rPr>
        <w:t>Top</w:t>
      </w:r>
      <w:r w:rsidR="00677932" w:rsidRPr="005B7A02">
        <w:rPr>
          <w:rFonts w:ascii="Book Antiqua" w:hAnsi="Book Antiqua"/>
          <w:b/>
          <w:i/>
          <w:sz w:val="18"/>
          <w:szCs w:val="18"/>
        </w:rPr>
        <w:t>:</w:t>
      </w:r>
      <w:r w:rsidR="006D7604" w:rsidRPr="005B7A02">
        <w:rPr>
          <w:rFonts w:ascii="Book Antiqua" w:hAnsi="Book Antiqua"/>
          <w:i/>
          <w:sz w:val="18"/>
          <w:szCs w:val="18"/>
        </w:rPr>
        <w:t xml:space="preserve"> </w:t>
      </w:r>
      <w:r w:rsidR="00A605C6" w:rsidRPr="005B7A02">
        <w:rPr>
          <w:rFonts w:ascii="Book Antiqua" w:hAnsi="Book Antiqua"/>
          <w:i/>
          <w:sz w:val="18"/>
          <w:szCs w:val="18"/>
        </w:rPr>
        <w:t>F</w:t>
      </w:r>
      <w:r w:rsidRPr="005B7A02">
        <w:rPr>
          <w:rFonts w:ascii="Book Antiqua" w:hAnsi="Book Antiqua"/>
          <w:i/>
          <w:sz w:val="18"/>
          <w:szCs w:val="18"/>
        </w:rPr>
        <w:t xml:space="preserve">rom </w:t>
      </w:r>
      <w:r w:rsidR="00E656EB" w:rsidRPr="005B7A02">
        <w:rPr>
          <w:rFonts w:ascii="Book Antiqua" w:hAnsi="Book Antiqua"/>
          <w:i/>
          <w:sz w:val="18"/>
          <w:szCs w:val="18"/>
        </w:rPr>
        <w:t xml:space="preserve">the take-off of </w:t>
      </w:r>
      <w:r w:rsidRPr="005B7A02">
        <w:rPr>
          <w:rFonts w:ascii="Book Antiqua" w:hAnsi="Book Antiqua"/>
          <w:i/>
          <w:sz w:val="18"/>
          <w:szCs w:val="18"/>
        </w:rPr>
        <w:t xml:space="preserve">a light aircraft </w:t>
      </w:r>
      <w:r w:rsidR="00E656EB" w:rsidRPr="005B7A02">
        <w:rPr>
          <w:rFonts w:ascii="Book Antiqua" w:hAnsi="Book Antiqua"/>
          <w:i/>
          <w:sz w:val="18"/>
          <w:szCs w:val="18"/>
        </w:rPr>
        <w:t>. The turbulence is</w:t>
      </w:r>
      <w:r w:rsidRPr="005B7A02">
        <w:rPr>
          <w:rFonts w:ascii="Book Antiqua" w:hAnsi="Book Antiqua"/>
          <w:i/>
          <w:sz w:val="18"/>
          <w:szCs w:val="18"/>
        </w:rPr>
        <w:t xml:space="preserve"> made visible by red smoke. The persistence times of such turbulence from large aircraft can last up to 4 minutes after the plane has landed or taken off.</w:t>
      </w:r>
      <w:r w:rsidR="00677932" w:rsidRPr="005B7A02">
        <w:rPr>
          <w:rFonts w:ascii="Book Antiqua" w:hAnsi="Book Antiqua"/>
          <w:i/>
          <w:sz w:val="18"/>
          <w:szCs w:val="18"/>
        </w:rPr>
        <w:t xml:space="preserve"> </w:t>
      </w:r>
      <w:r w:rsidR="00677932" w:rsidRPr="005B7A02">
        <w:rPr>
          <w:rFonts w:ascii="Book Antiqua" w:hAnsi="Book Antiqua"/>
          <w:b/>
          <w:i/>
          <w:sz w:val="18"/>
          <w:szCs w:val="18"/>
        </w:rPr>
        <w:t>Bottom:</w:t>
      </w:r>
      <w:r w:rsidR="006D7604" w:rsidRPr="005B7A02">
        <w:rPr>
          <w:rFonts w:ascii="Book Antiqua" w:hAnsi="Book Antiqua"/>
          <w:i/>
          <w:sz w:val="18"/>
          <w:szCs w:val="18"/>
        </w:rPr>
        <w:t xml:space="preserve"> Wake turbulence from a large aircraft </w:t>
      </w:r>
      <w:r w:rsidR="00E656EB" w:rsidRPr="005B7A02">
        <w:rPr>
          <w:rFonts w:ascii="Book Antiqua" w:hAnsi="Book Antiqua"/>
          <w:i/>
          <w:sz w:val="18"/>
          <w:szCs w:val="18"/>
        </w:rPr>
        <w:t xml:space="preserve">preparing to land </w:t>
      </w:r>
      <w:r w:rsidR="006D7604" w:rsidRPr="005B7A02">
        <w:rPr>
          <w:rFonts w:ascii="Book Antiqua" w:hAnsi="Book Antiqua"/>
          <w:i/>
          <w:sz w:val="18"/>
          <w:szCs w:val="18"/>
        </w:rPr>
        <w:t>persists as a</w:t>
      </w:r>
      <w:r w:rsidR="00015EF1" w:rsidRPr="005B7A02">
        <w:rPr>
          <w:rFonts w:ascii="Book Antiqua" w:hAnsi="Book Antiqua"/>
          <w:i/>
          <w:sz w:val="18"/>
          <w:szCs w:val="18"/>
        </w:rPr>
        <w:t>n ongoing</w:t>
      </w:r>
      <w:r w:rsidR="006D7604" w:rsidRPr="005B7A02">
        <w:rPr>
          <w:rFonts w:ascii="Book Antiqua" w:hAnsi="Book Antiqua"/>
          <w:i/>
          <w:sz w:val="18"/>
          <w:szCs w:val="18"/>
        </w:rPr>
        <w:t xml:space="preserve"> pattern in the clouds.</w:t>
      </w:r>
    </w:p>
    <w:p w:rsidR="008B67C3" w:rsidRDefault="008B67C3" w:rsidP="000C6863">
      <w:pPr>
        <w:pStyle w:val="NoSpacing"/>
        <w:rPr>
          <w:rFonts w:ascii="Book Antiqua" w:hAnsi="Book Antiqua"/>
          <w:sz w:val="18"/>
          <w:szCs w:val="18"/>
        </w:rPr>
      </w:pPr>
    </w:p>
    <w:p w:rsidR="008B67C3" w:rsidRPr="000C6863" w:rsidRDefault="006D7604" w:rsidP="006D7604">
      <w:pPr>
        <w:jc w:val="center"/>
      </w:pPr>
      <w:r w:rsidRPr="006D7604">
        <w:rPr>
          <w:noProof/>
          <w:lang w:val="en-US"/>
        </w:rPr>
        <w:drawing>
          <wp:inline distT="0" distB="0" distL="0" distR="0">
            <wp:extent cx="6005233" cy="3035193"/>
            <wp:effectExtent l="19050" t="0" r="0" b="0"/>
            <wp:docPr id="777" name="Picture 3" descr="http://www.sesawi.net/wp-content/uploads/2013/02/turbulensi2.jpg"/>
            <wp:cNvGraphicFramePr/>
            <a:graphic xmlns:a="http://schemas.openxmlformats.org/drawingml/2006/main">
              <a:graphicData uri="http://schemas.openxmlformats.org/drawingml/2006/picture">
                <pic:pic xmlns:pic="http://schemas.openxmlformats.org/drawingml/2006/picture">
                  <pic:nvPicPr>
                    <pic:cNvPr id="4" name="irc_mi" descr="http://www.sesawi.net/wp-content/uploads/2013/02/turbulensi2.jpg"/>
                    <pic:cNvPicPr/>
                  </pic:nvPicPr>
                  <pic:blipFill>
                    <a:blip r:embed="rId59" cstate="print">
                      <a:lum contrast="20000"/>
                    </a:blip>
                    <a:srcRect l="20364" t="4421" b="22390"/>
                    <a:stretch>
                      <a:fillRect/>
                    </a:stretch>
                  </pic:blipFill>
                  <pic:spPr bwMode="auto">
                    <a:xfrm>
                      <a:off x="0" y="0"/>
                      <a:ext cx="6011676" cy="3038449"/>
                    </a:xfrm>
                    <a:prstGeom prst="rect">
                      <a:avLst/>
                    </a:prstGeom>
                    <a:noFill/>
                    <a:ln w="9525">
                      <a:noFill/>
                      <a:miter lim="800000"/>
                      <a:headEnd/>
                      <a:tailEnd/>
                    </a:ln>
                  </pic:spPr>
                </pic:pic>
              </a:graphicData>
            </a:graphic>
          </wp:inline>
        </w:drawing>
      </w:r>
    </w:p>
    <w:p w:rsidR="00A23A26" w:rsidRDefault="00A23A26" w:rsidP="00AC4336">
      <w:pPr>
        <w:pStyle w:val="NoSpacing"/>
        <w:ind w:firstLine="720"/>
        <w:jc w:val="both"/>
        <w:rPr>
          <w:rFonts w:ascii="Book Antiqua" w:hAnsi="Book Antiqua"/>
          <w:sz w:val="20"/>
        </w:rPr>
      </w:pPr>
    </w:p>
    <w:p w:rsidR="005B7A02" w:rsidRDefault="005B7A02" w:rsidP="0037076D">
      <w:pPr>
        <w:pStyle w:val="NoSpacing"/>
        <w:jc w:val="both"/>
        <w:rPr>
          <w:rFonts w:ascii="Book Antiqua" w:hAnsi="Book Antiqua"/>
          <w:sz w:val="20"/>
        </w:rPr>
      </w:pPr>
    </w:p>
    <w:p w:rsidR="005855E5" w:rsidRDefault="005855E5" w:rsidP="00AC4336">
      <w:pPr>
        <w:pStyle w:val="NoSpacing"/>
        <w:jc w:val="both"/>
        <w:rPr>
          <w:rFonts w:ascii="Book Antiqua" w:hAnsi="Book Antiqua"/>
          <w:sz w:val="20"/>
        </w:rPr>
      </w:pPr>
    </w:p>
    <w:p w:rsidR="00C14B61" w:rsidRDefault="00C14B61" w:rsidP="00C14B61">
      <w:pPr>
        <w:pStyle w:val="NoSpacing"/>
        <w:jc w:val="both"/>
        <w:rPr>
          <w:rFonts w:ascii="Book Antiqua" w:hAnsi="Book Antiqua"/>
          <w:sz w:val="20"/>
        </w:rPr>
      </w:pPr>
      <w:r>
        <w:rPr>
          <w:rFonts w:ascii="Book Antiqua" w:hAnsi="Book Antiqua"/>
          <w:sz w:val="20"/>
        </w:rPr>
        <w:lastRenderedPageBreak/>
        <w:t xml:space="preserve">PPP </w:t>
      </w:r>
      <w:r w:rsidRPr="00A00BBB">
        <w:rPr>
          <w:rFonts w:ascii="Book Antiqua" w:hAnsi="Book Antiqua"/>
          <w:sz w:val="20"/>
        </w:rPr>
        <w:t xml:space="preserve">(due to </w:t>
      </w:r>
      <w:r>
        <w:rPr>
          <w:rFonts w:ascii="Book Antiqua" w:hAnsi="Book Antiqua"/>
          <w:sz w:val="20"/>
        </w:rPr>
        <w:t xml:space="preserve">the attraction between </w:t>
      </w:r>
      <w:r w:rsidRPr="00A00BBB">
        <w:rPr>
          <w:rFonts w:ascii="Book Antiqua" w:hAnsi="Book Antiqua"/>
          <w:sz w:val="20"/>
        </w:rPr>
        <w:t>their electrostatic charges)</w:t>
      </w:r>
      <w:r>
        <w:rPr>
          <w:rFonts w:ascii="Book Antiqua" w:hAnsi="Book Antiqua"/>
          <w:sz w:val="20"/>
        </w:rPr>
        <w:t xml:space="preserve"> </w:t>
      </w:r>
      <w:r w:rsidRPr="00367F0B">
        <w:rPr>
          <w:rFonts w:ascii="Book Antiqua" w:hAnsi="Book Antiqua"/>
          <w:sz w:val="20"/>
        </w:rPr>
        <w:t>which brought</w:t>
      </w:r>
      <w:r>
        <w:rPr>
          <w:rFonts w:ascii="Book Antiqua" w:hAnsi="Book Antiqua"/>
          <w:color w:val="FF0000"/>
          <w:sz w:val="20"/>
        </w:rPr>
        <w:t xml:space="preserve"> </w:t>
      </w:r>
      <w:r>
        <w:rPr>
          <w:rFonts w:ascii="Book Antiqua" w:hAnsi="Book Antiqua"/>
          <w:sz w:val="20"/>
        </w:rPr>
        <w:t>the ZPE strength up to the value we have today. This final part of the recombination phase may have begun relatively recently in astronomical time,</w:t>
      </w:r>
      <w:r w:rsidRPr="00367F0B">
        <w:rPr>
          <w:rFonts w:ascii="Book Antiqua" w:hAnsi="Book Antiqua"/>
          <w:sz w:val="20"/>
        </w:rPr>
        <w:t xml:space="preserve"> as </w:t>
      </w:r>
      <w:r>
        <w:rPr>
          <w:rFonts w:ascii="Book Antiqua" w:hAnsi="Book Antiqua"/>
          <w:sz w:val="20"/>
        </w:rPr>
        <w:t>discussed in Chapter 5.</w:t>
      </w:r>
    </w:p>
    <w:p w:rsidR="00C14B61" w:rsidRDefault="00C14B61" w:rsidP="00C938B4">
      <w:pPr>
        <w:pStyle w:val="Heading2"/>
        <w:spacing w:before="80" w:after="80" w:line="240" w:lineRule="atLeast"/>
        <w:rPr>
          <w:rFonts w:ascii="Book Antiqua" w:hAnsi="Book Antiqua" w:cs="Times New Roman"/>
          <w:b w:val="0"/>
          <w:sz w:val="20"/>
          <w:szCs w:val="20"/>
        </w:rPr>
      </w:pPr>
    </w:p>
    <w:p w:rsidR="00C938B4" w:rsidRPr="00115CF5" w:rsidRDefault="00C938B4" w:rsidP="00C938B4">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w:t>
      </w:r>
      <w:r>
        <w:rPr>
          <w:rFonts w:ascii="Book Antiqua" w:hAnsi="Book Antiqua" w:cs="Times New Roman"/>
          <w:b w:val="0"/>
          <w:sz w:val="20"/>
          <w:szCs w:val="20"/>
        </w:rPr>
        <w:t>7</w:t>
      </w:r>
      <w:r w:rsidRPr="00115CF5">
        <w:rPr>
          <w:rFonts w:ascii="Book Antiqua" w:hAnsi="Book Antiqua" w:cs="Times New Roman"/>
          <w:b w:val="0"/>
          <w:sz w:val="20"/>
          <w:szCs w:val="20"/>
        </w:rPr>
        <w:t xml:space="preserve"> </w:t>
      </w:r>
      <w:r>
        <w:rPr>
          <w:rFonts w:ascii="Book Antiqua" w:hAnsi="Book Antiqua" w:cs="Times New Roman"/>
          <w:b w:val="0"/>
          <w:sz w:val="20"/>
          <w:szCs w:val="20"/>
        </w:rPr>
        <w:t xml:space="preserve">The Form of the Equation Describing </w:t>
      </w:r>
      <w:r w:rsidRPr="00115CF5">
        <w:rPr>
          <w:rFonts w:ascii="Book Antiqua" w:hAnsi="Book Antiqua" w:cs="Times New Roman"/>
          <w:b w:val="0"/>
          <w:sz w:val="20"/>
          <w:szCs w:val="20"/>
        </w:rPr>
        <w:t>ZPE</w:t>
      </w:r>
      <w:r w:rsidR="007528CC">
        <w:rPr>
          <w:rFonts w:ascii="Book Antiqua" w:hAnsi="Book Antiqua" w:cs="Times New Roman"/>
          <w:b w:val="0"/>
          <w:sz w:val="20"/>
          <w:szCs w:val="20"/>
        </w:rPr>
        <w:t xml:space="preserve"> Behavior</w:t>
      </w:r>
    </w:p>
    <w:p w:rsidR="00C938B4" w:rsidRDefault="00C938B4"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considering a ZPE whose strength is increasing with time, it must be remembered that it always had the frequency cubed spectrum as in equation (2) above, or wavelength to the fifth power as in (3). This condition had to hold even when its strength was very low. Therefore let us write</w:t>
      </w:r>
    </w:p>
    <w:p w:rsidR="00AC4336" w:rsidRPr="00115CF5" w:rsidRDefault="00AC4336" w:rsidP="00AC4336">
      <w:pPr>
        <w:pStyle w:val="NoSpacing"/>
        <w:jc w:val="both"/>
        <w:rPr>
          <w:rFonts w:ascii="Book Antiqua" w:hAnsi="Book Antiqua"/>
          <w:sz w:val="20"/>
        </w:rPr>
      </w:pPr>
    </w:p>
    <w:p w:rsidR="00AC4336" w:rsidRPr="00115CF5" w:rsidRDefault="00241D2F"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00AC4336" w:rsidRPr="00115CF5">
        <w:rPr>
          <w:rFonts w:ascii="Book Antiqua" w:hAnsi="Book Antiqua"/>
          <w:i/>
          <w:sz w:val="20"/>
        </w:rPr>
        <w:tab/>
        <w:t>.</w:t>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sz w:val="20"/>
        </w:rPr>
        <w:tab/>
      </w:r>
      <w:r w:rsidR="00AC4336" w:rsidRPr="00115CF5">
        <w:rPr>
          <w:rFonts w:ascii="Book Antiqua" w:hAnsi="Book Antiqua"/>
          <w:i/>
          <w:sz w:val="20"/>
        </w:rPr>
        <w:t>(4)</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(where the symbol ~ means “proportional to” throughout this monograph). In addition, we take </w:t>
      </w: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sz w:val="20"/>
        </w:rPr>
        <w:t xml:space="preserve"> to be the initial strength of the ZPE when the Cosmic Microwave Background Radiation (CMBR) came into being. This was the time when the first atoms formed. Alternatively, we can write this in terms of wavelength so that:</w:t>
      </w:r>
    </w:p>
    <w:p w:rsidR="00AC4336" w:rsidRPr="00115CF5" w:rsidRDefault="00AC4336" w:rsidP="00AC4336">
      <w:pPr>
        <w:pStyle w:val="NoSpacing"/>
        <w:jc w:val="right"/>
        <w:rPr>
          <w:rFonts w:ascii="Book Antiqua" w:hAnsi="Book Antiqua"/>
          <w:sz w:val="20"/>
        </w:rPr>
      </w:pPr>
    </w:p>
    <w:p w:rsidR="00AC4336" w:rsidRPr="00115CF5" w:rsidRDefault="00241D2F"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00AC4336" w:rsidRPr="00115CF5">
        <w:rPr>
          <w:rFonts w:ascii="Book Antiqua" w:hAnsi="Book Antiqua"/>
          <w:sz w:val="20"/>
        </w:rPr>
        <w:t xml:space="preserve">  .</w:t>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i/>
          <w:sz w:val="20"/>
        </w:rPr>
        <w:t>(5)</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the ZPE strength built up to </w:t>
      </w:r>
      <w:r w:rsidRPr="00115CF5">
        <w:rPr>
          <w:rFonts w:ascii="Book Antiqua" w:hAnsi="Book Antiqua"/>
          <w:i/>
          <w:sz w:val="20"/>
        </w:rPr>
        <w:t>Y</w:t>
      </w:r>
      <w:r w:rsidRPr="00115CF5">
        <w:rPr>
          <w:rFonts w:ascii="Book Antiqua" w:hAnsi="Book Antiqua"/>
          <w:sz w:val="20"/>
        </w:rPr>
        <w:t xml:space="preserve"> times that original strength, the proportionality of </w:t>
      </w:r>
      <m:oMath>
        <m:sSup>
          <m:sSupPr>
            <m:ctrlPr>
              <w:rPr>
                <w:rFonts w:ascii="Cambria Math" w:hAnsi="Book Antiqua"/>
                <w:i/>
                <w:sz w:val="18"/>
                <w:szCs w:val="18"/>
              </w:rPr>
            </m:ctrlPr>
          </m:sSupPr>
          <m:e>
            <m:r>
              <w:rPr>
                <w:rFonts w:ascii="Cambria Math" w:hAnsi="Cambria Math"/>
                <w:sz w:val="18"/>
                <w:szCs w:val="18"/>
              </w:rPr>
              <m:t>f</m:t>
            </m:r>
            <m:r>
              <w:rPr>
                <w:rFonts w:ascii="Cambria Math" w:hAnsi="Book Antiqua"/>
                <w:sz w:val="18"/>
                <w:szCs w:val="18"/>
              </w:rPr>
              <m:t xml:space="preserve"> </m:t>
            </m:r>
          </m:e>
          <m:sup>
            <m:r>
              <w:rPr>
                <w:rFonts w:ascii="Cambria Math" w:hAnsi="Book Antiqua"/>
                <w:sz w:val="18"/>
                <w:szCs w:val="18"/>
              </w:rPr>
              <m:t>3</m:t>
            </m:r>
          </m:sup>
        </m:sSup>
      </m:oMath>
      <w:r w:rsidRPr="00115CF5">
        <w:rPr>
          <w:rFonts w:ascii="Book Antiqua" w:hAnsi="Book Antiqua"/>
          <w:sz w:val="20"/>
        </w:rPr>
        <w:t xml:space="preserve">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is still retained. There are simply </w:t>
      </w:r>
      <w:r w:rsidRPr="00115CF5">
        <w:rPr>
          <w:rFonts w:ascii="Book Antiqua" w:hAnsi="Book Antiqua"/>
          <w:i/>
          <w:sz w:val="20"/>
        </w:rPr>
        <w:t>Y</w:t>
      </w:r>
      <w:r w:rsidRPr="00115CF5">
        <w:rPr>
          <w:rFonts w:ascii="Book Antiqua" w:hAnsi="Book Antiqua"/>
          <w:sz w:val="20"/>
        </w:rPr>
        <w:t xml:space="preserve"> times as many waves in any given wavelength interval as we had before. Therefore, given the presence of that distribution, we can write this new ZPE strength as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i/>
          <w:sz w:val="20"/>
        </w:rPr>
        <w:t xml:space="preserve">  .</w:t>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Therefore as the ZPE built up, it followed the behavior of </w:t>
      </w:r>
      <w:r w:rsidRPr="00115CF5">
        <w:rPr>
          <w:rFonts w:ascii="Book Antiqua" w:hAnsi="Book Antiqua"/>
          <w:i/>
          <w:sz w:val="20"/>
        </w:rPr>
        <w:t>Y</w:t>
      </w:r>
      <w:r w:rsidRPr="00115CF5">
        <w:rPr>
          <w:rFonts w:ascii="Book Antiqua" w:hAnsi="Book Antiqua"/>
          <w:sz w:val="20"/>
        </w:rPr>
        <w:t xml:space="preserve"> while still retaining the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(or </w:t>
      </w:r>
      <m:oMath>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sz w:val="20"/>
        </w:rPr>
        <w:t xml:space="preserve">) distribution. This means that as the ZPE built up it simply had </w:t>
      </w:r>
      <w:r w:rsidRPr="00115CF5">
        <w:rPr>
          <w:rFonts w:ascii="Book Antiqua" w:hAnsi="Book Antiqua"/>
          <w:i/>
          <w:sz w:val="20"/>
        </w:rPr>
        <w:t>YU</w:t>
      </w:r>
      <w:r w:rsidRPr="00115CF5">
        <w:rPr>
          <w:rFonts w:ascii="Book Antiqua" w:hAnsi="Book Antiqua"/>
          <w:i/>
          <w:sz w:val="20"/>
          <w:vertAlign w:val="subscript"/>
        </w:rPr>
        <w:t>0</w:t>
      </w:r>
      <w:r w:rsidRPr="00115CF5">
        <w:rPr>
          <w:rFonts w:ascii="Book Antiqua" w:hAnsi="Book Antiqua"/>
          <w:sz w:val="20"/>
        </w:rPr>
        <w:t xml:space="preserve"> times the energy density it had originally when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i/>
          <w:sz w:val="20"/>
          <w:vertAlign w:val="subscript"/>
        </w:rPr>
        <w:tab/>
        <w:t>.</w:t>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(7)</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If we take </w:t>
      </w:r>
      <w:r w:rsidRPr="00115CF5">
        <w:rPr>
          <w:rFonts w:ascii="Book Antiqua" w:hAnsi="Book Antiqua"/>
          <w:i/>
          <w:sz w:val="20"/>
        </w:rPr>
        <w:t>U</w:t>
      </w:r>
      <w:r w:rsidRPr="00115CF5">
        <w:rPr>
          <w:rFonts w:ascii="Book Antiqua" w:hAnsi="Book Antiqua"/>
          <w:sz w:val="20"/>
        </w:rPr>
        <w:t xml:space="preserve"> or </w:t>
      </w:r>
      <w:r w:rsidRPr="00115CF5">
        <w:rPr>
          <w:rFonts w:ascii="Book Antiqua" w:hAnsi="Book Antiqua"/>
          <w:i/>
          <w:sz w:val="20"/>
        </w:rPr>
        <w:t>U</w:t>
      </w:r>
      <w:r w:rsidRPr="00115CF5">
        <w:rPr>
          <w:rFonts w:ascii="Book Antiqua" w:hAnsi="Book Antiqua"/>
          <w:i/>
          <w:sz w:val="20"/>
          <w:vertAlign w:val="subscript"/>
        </w:rPr>
        <w:t>0</w:t>
      </w:r>
      <w:r w:rsidRPr="00115CF5">
        <w:rPr>
          <w:rFonts w:ascii="Book Antiqua" w:hAnsi="Book Antiqua"/>
          <w:sz w:val="20"/>
        </w:rPr>
        <w:t xml:space="preserve"> as the monochromatic energy density, then the function is also dependent on </w:t>
      </w:r>
      <w:r w:rsidRPr="00115CF5">
        <w:rPr>
          <w:rFonts w:ascii="Book Antiqua" w:hAnsi="Book Antiqua"/>
          <w:i/>
          <w:sz w:val="20"/>
        </w:rPr>
        <w:t>h</w:t>
      </w:r>
      <w:r w:rsidRPr="00115CF5">
        <w:rPr>
          <w:rFonts w:ascii="Book Antiqua" w:hAnsi="Book Antiqua"/>
          <w:sz w:val="20"/>
        </w:rPr>
        <w:t xml:space="preserve"> so that we can say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h</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 xml:space="preserve"> (8)</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form of this function Y will be dealt with in Chapter 5. Nevertheless, at any given moment we can still say that Planck’s constant, </w:t>
      </w:r>
      <m:oMath>
        <m:r>
          <w:rPr>
            <w:rFonts w:ascii="Book Antiqua" w:hAnsi="Cambria Math"/>
            <w:sz w:val="18"/>
            <w:szCs w:val="18"/>
          </w:rPr>
          <m:t>h</m:t>
        </m:r>
      </m:oMath>
      <w:r w:rsidRPr="00115CF5">
        <w:rPr>
          <w:rFonts w:ascii="Book Antiqua" w:hAnsi="Book Antiqua"/>
          <w:sz w:val="20"/>
        </w:rPr>
        <w:t>, is a measure of the strength of the ZPE. However, if we use the (monochromatic) wavelength variant from (3), the equation becomes: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(9)</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follows, since energy </w:t>
      </w:r>
      <w:r w:rsidRPr="00115CF5">
        <w:rPr>
          <w:rFonts w:ascii="Book Antiqua" w:hAnsi="Book Antiqua"/>
          <w:i/>
          <w:sz w:val="20"/>
        </w:rPr>
        <w:t>E</w:t>
      </w:r>
      <w:r w:rsidRPr="00115CF5">
        <w:rPr>
          <w:rFonts w:ascii="Book Antiqua" w:hAnsi="Book Antiqua"/>
          <w:sz w:val="20"/>
        </w:rPr>
        <w:t xml:space="preserve"> of a wave is given by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hc</m:t>
        </m:r>
        <m:r>
          <w:rPr>
            <w:rFonts w:ascii="Cambria Math" w:hAnsi="Book Antiqua"/>
            <w:sz w:val="18"/>
            <w:szCs w:val="18"/>
          </w:rPr>
          <m:t xml:space="preserve">/ </m:t>
        </m:r>
        <m:r>
          <w:rPr>
            <w:rFonts w:ascii="Cambria Math" w:hAnsi="Cambria Math"/>
            <w:sz w:val="18"/>
            <w:szCs w:val="18"/>
          </w:rPr>
          <m:t>λ</m:t>
        </m:r>
        <m:r>
          <w:rPr>
            <w:rFonts w:ascii="Cambria Math" w:hAnsi="Book Antiqua"/>
            <w:sz w:val="18"/>
            <w:szCs w:val="18"/>
          </w:rPr>
          <m:t xml:space="preserve"> </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(10)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Thus, as the ZPE strength changes with </w:t>
      </w:r>
      <w:r w:rsidRPr="00115CF5">
        <w:rPr>
          <w:rFonts w:ascii="Book Antiqua" w:hAnsi="Book Antiqua"/>
          <w:i/>
          <w:sz w:val="20"/>
        </w:rPr>
        <w:t>Y</w:t>
      </w:r>
      <w:r w:rsidRPr="00115CF5">
        <w:rPr>
          <w:rFonts w:ascii="Book Antiqua" w:hAnsi="Book Antiqua"/>
          <w:sz w:val="20"/>
        </w:rPr>
        <w:t xml:space="preserve"> times as many waves in a given interval, we can put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 xml:space="preserve">. </m:t>
        </m:r>
        <m:r>
          <w:rPr>
            <w:rFonts w:ascii="Cambria Math" w:hAnsi="Cambria Math"/>
            <w:sz w:val="18"/>
            <w:szCs w:val="18"/>
          </w:rPr>
          <m:t>YE</m:t>
        </m:r>
        <m:r>
          <w:rPr>
            <w:rFonts w:ascii="Cambria Math" w:hAnsi="Book Antiqua"/>
            <w:sz w:val="18"/>
            <w:szCs w:val="18"/>
          </w:rPr>
          <m:t>.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 xml:space="preserve">)   </m:t>
        </m:r>
        <m:r>
          <w:rPr>
            <w:rFonts w:ascii="Cambria Math" w:hAnsi="Cambria Math"/>
            <w:sz w:val="18"/>
            <w:szCs w:val="18"/>
          </w:rPr>
          <m:t>or</m:t>
        </m:r>
        <m:r>
          <w:rPr>
            <w:rFonts w:ascii="Cambria Math" w:hAnsi="Book Antiqua"/>
            <w:sz w:val="18"/>
            <w:szCs w:val="18"/>
          </w:rPr>
          <m:t xml:space="preserve">   </m:t>
        </m:r>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(11)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still achieve the same result. In these cases, the whole behavior of </w:t>
      </w:r>
      <w:r w:rsidRPr="00115CF5">
        <w:rPr>
          <w:rFonts w:ascii="Book Antiqua" w:hAnsi="Book Antiqua"/>
          <w:i/>
          <w:sz w:val="20"/>
        </w:rPr>
        <w:t>U</w:t>
      </w:r>
      <w:r w:rsidRPr="00115CF5">
        <w:rPr>
          <w:rFonts w:ascii="Book Antiqua" w:hAnsi="Book Antiqua"/>
          <w:sz w:val="20"/>
        </w:rPr>
        <w:t xml:space="preserve"> depends entirely on the function </w:t>
      </w:r>
      <w:r w:rsidRPr="00115CF5">
        <w:rPr>
          <w:rFonts w:ascii="Book Antiqua" w:hAnsi="Book Antiqua"/>
          <w:i/>
          <w:sz w:val="20"/>
        </w:rPr>
        <w:t>Y</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11384A" w:rsidRDefault="00AC4336" w:rsidP="00AC4336">
      <w:pPr>
        <w:pStyle w:val="NoSpacing"/>
        <w:jc w:val="both"/>
        <w:rPr>
          <w:rFonts w:ascii="Book Antiqua" w:hAnsi="Book Antiqua"/>
          <w:sz w:val="20"/>
        </w:rPr>
      </w:pPr>
      <w:r w:rsidRPr="00115CF5">
        <w:rPr>
          <w:rFonts w:ascii="Book Antiqua" w:hAnsi="Book Antiqua"/>
          <w:sz w:val="20"/>
        </w:rPr>
        <w:lastRenderedPageBreak/>
        <w:tab/>
        <w:t xml:space="preserve">On a more technical level it may be stated that a theoretical and mathematical analysis based on the known physics of turbulence and recombination indicates that the build-up in the ZPE with time may closely follow the inverse of the function that describes the redshift of light from distant galaxies [32, 33].  A streamlined approach to this is undertaken in Appendix A below. </w:t>
      </w:r>
    </w:p>
    <w:p w:rsidR="0011384A" w:rsidRDefault="0011384A" w:rsidP="00AC4336">
      <w:pPr>
        <w:pStyle w:val="NoSpacing"/>
        <w:jc w:val="both"/>
        <w:rPr>
          <w:rFonts w:ascii="Book Antiqua" w:hAnsi="Book Antiqua"/>
          <w:sz w:val="20"/>
        </w:rPr>
      </w:pPr>
    </w:p>
    <w:p w:rsidR="00AC4336" w:rsidRPr="00115CF5" w:rsidRDefault="0011384A" w:rsidP="0011384A">
      <w:pPr>
        <w:pStyle w:val="NoSpacing"/>
        <w:ind w:firstLine="360"/>
        <w:jc w:val="both"/>
        <w:rPr>
          <w:rFonts w:ascii="Book Antiqua" w:hAnsi="Book Antiqua"/>
          <w:sz w:val="20"/>
        </w:rPr>
      </w:pPr>
      <w:r>
        <w:rPr>
          <w:rFonts w:ascii="Book Antiqua" w:hAnsi="Book Antiqua"/>
          <w:sz w:val="20"/>
        </w:rPr>
        <w:t>The</w:t>
      </w:r>
      <w:r w:rsidR="00AC4336" w:rsidRPr="00115CF5">
        <w:rPr>
          <w:rFonts w:ascii="Book Antiqua" w:hAnsi="Book Antiqua"/>
          <w:sz w:val="20"/>
        </w:rPr>
        <w:t xml:space="preserve"> redshift is traditionally explained as being due to the expansion of the universe. This traditional explanation may be in serious doubt for the following reasons:</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 xml:space="preserve">The hydrogen clouds in space indicate a </w:t>
      </w:r>
      <w:r w:rsidR="007F4A11">
        <w:rPr>
          <w:rFonts w:ascii="Book Antiqua" w:hAnsi="Book Antiqua"/>
          <w:sz w:val="20"/>
        </w:rPr>
        <w:t xml:space="preserve">currently </w:t>
      </w:r>
      <w:r w:rsidRPr="00115CF5">
        <w:rPr>
          <w:rFonts w:ascii="Book Antiqua" w:hAnsi="Book Antiqua"/>
          <w:sz w:val="20"/>
        </w:rPr>
        <w:t>static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lines of the rainbow spectrum, which come from the different elements, are not broadened, which would be expected in a currently expanding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suspected quantization of the redshift would require the universe to be expanding in jumps or needs another completely different explanation regarding the redshifts.</w:t>
      </w:r>
    </w:p>
    <w:p w:rsidR="00AC4336" w:rsidRPr="00115CF5" w:rsidRDefault="00AC4336" w:rsidP="00AC4336">
      <w:pPr>
        <w:pStyle w:val="NoSpacing"/>
        <w:ind w:left="720"/>
        <w:jc w:val="both"/>
        <w:rPr>
          <w:rFonts w:ascii="Book Antiqua" w:hAnsi="Book Antiqua"/>
          <w:sz w:val="20"/>
        </w:rPr>
      </w:pPr>
    </w:p>
    <w:p w:rsidR="00AC4336" w:rsidRDefault="00AC4336" w:rsidP="00AC4336">
      <w:pPr>
        <w:pStyle w:val="NoSpacing"/>
        <w:ind w:firstLine="360"/>
        <w:jc w:val="both"/>
        <w:rPr>
          <w:rFonts w:ascii="Book Antiqua" w:hAnsi="Book Antiqua"/>
          <w:sz w:val="20"/>
        </w:rPr>
      </w:pPr>
      <w:r w:rsidRPr="00115CF5">
        <w:rPr>
          <w:rFonts w:ascii="Book Antiqua" w:hAnsi="Book Antiqua"/>
          <w:sz w:val="20"/>
        </w:rPr>
        <w:t xml:space="preserve">Chapter 5 discusses what happens to atomic orbit energies when the ZPE strength is increasing throughout the cosmos. This leads to an explanation for the redshift which is different from the currently popular model. Rather the redshift may well be intrinsic to all atomic emitters of light within those distant galaxies, and not due to cosmological expansion. If the redshift is due to the ZPE strength affecting atoms, then the redshift curve is related to ZPE strength and the function </w:t>
      </w:r>
      <w:r w:rsidRPr="00115CF5">
        <w:rPr>
          <w:rFonts w:ascii="Book Antiqua" w:hAnsi="Book Antiqua"/>
          <w:i/>
          <w:sz w:val="20"/>
        </w:rPr>
        <w:t>Y</w:t>
      </w:r>
      <w:r w:rsidR="00237558">
        <w:rPr>
          <w:rFonts w:ascii="Book Antiqua" w:hAnsi="Book Antiqua"/>
          <w:sz w:val="20"/>
        </w:rPr>
        <w:t>.</w:t>
      </w:r>
    </w:p>
    <w:p w:rsidR="00D96506" w:rsidRDefault="00D96506" w:rsidP="00AC4336">
      <w:pPr>
        <w:pStyle w:val="Heading2"/>
        <w:spacing w:before="80" w:after="80" w:line="240" w:lineRule="atLeast"/>
        <w:rPr>
          <w:rFonts w:ascii="Book Antiqua" w:hAnsi="Book Antiqua" w:cs="Times New Roman"/>
          <w:i w:val="0"/>
          <w:sz w:val="20"/>
          <w:szCs w:val="20"/>
        </w:rPr>
      </w:pPr>
    </w:p>
    <w:p w:rsidR="00AC4336" w:rsidRPr="00115CF5" w:rsidRDefault="00D3790F" w:rsidP="00AC4336">
      <w:pPr>
        <w:pStyle w:val="Heading2"/>
        <w:spacing w:before="80" w:after="80" w:line="240" w:lineRule="atLeast"/>
        <w:rPr>
          <w:rFonts w:ascii="Book Antiqua" w:hAnsi="Book Antiqua" w:cs="Times New Roman"/>
          <w:color w:val="000000"/>
          <w:sz w:val="20"/>
          <w:szCs w:val="20"/>
        </w:rPr>
      </w:pPr>
      <w:r w:rsidRPr="00115CF5">
        <w:rPr>
          <w:rFonts w:ascii="Book Antiqua" w:hAnsi="Book Antiqua" w:cs="Times New Roman"/>
          <w:i w:val="0"/>
          <w:sz w:val="20"/>
          <w:szCs w:val="20"/>
        </w:rPr>
        <w:t>R</w:t>
      </w:r>
      <w:r w:rsidR="00AC4336" w:rsidRPr="00115CF5">
        <w:rPr>
          <w:rFonts w:ascii="Book Antiqua" w:hAnsi="Book Antiqua" w:cs="Times New Roman"/>
          <w:i w:val="0"/>
          <w:sz w:val="20"/>
          <w:szCs w:val="20"/>
        </w:rPr>
        <w:t xml:space="preserve">eferences </w:t>
      </w:r>
      <w:r w:rsidR="00AC4336" w:rsidRPr="00115CF5">
        <w:rPr>
          <w:rFonts w:ascii="Book Antiqua" w:hAnsi="Book Antiqua" w:cs="Times New Roman"/>
          <w:b w:val="0"/>
          <w:i w:val="0"/>
          <w:sz w:val="20"/>
          <w:szCs w:val="20"/>
        </w:rPr>
        <w:t xml:space="preserve">– </w:t>
      </w:r>
      <w:r w:rsidR="00AC4336" w:rsidRPr="00115CF5">
        <w:rPr>
          <w:rFonts w:ascii="Book Antiqua" w:hAnsi="Book Antiqua" w:cs="Times New Roman"/>
          <w:b w:val="0"/>
          <w:sz w:val="20"/>
          <w:szCs w:val="20"/>
        </w:rPr>
        <w:t>All URL’s retrieved 9/13/12</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 T. Kuhn, </w:t>
      </w:r>
      <w:r w:rsidRPr="00115CF5">
        <w:rPr>
          <w:rFonts w:ascii="Book Antiqua" w:hAnsi="Book Antiqua"/>
          <w:i/>
          <w:sz w:val="16"/>
          <w:szCs w:val="16"/>
        </w:rPr>
        <w:t>Black Body theory and the Quantum Discontinuity: 1894-1912</w:t>
      </w:r>
      <w:r w:rsidRPr="00115CF5">
        <w:rPr>
          <w:rFonts w:ascii="Book Antiqua" w:hAnsi="Book Antiqua"/>
          <w:sz w:val="16"/>
          <w:szCs w:val="16"/>
        </w:rPr>
        <w:t xml:space="preserve">, Oxford University Press, Oxford, 1978.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 M. Planck,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13 </w:t>
      </w:r>
      <w:r w:rsidRPr="00115CF5">
        <w:rPr>
          <w:rFonts w:ascii="Book Antiqua" w:hAnsi="Book Antiqua"/>
          <w:sz w:val="16"/>
          <w:szCs w:val="16"/>
        </w:rPr>
        <w:t xml:space="preserve">(1911), p.138.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 A. Einstein, O Stern, </w:t>
      </w:r>
      <w:r w:rsidRPr="00115CF5">
        <w:rPr>
          <w:rFonts w:ascii="Book Antiqua" w:hAnsi="Book Antiqua"/>
          <w:i/>
          <w:sz w:val="16"/>
          <w:szCs w:val="16"/>
        </w:rPr>
        <w:t>Ann. Physik</w:t>
      </w:r>
      <w:r w:rsidRPr="00115CF5">
        <w:rPr>
          <w:rFonts w:ascii="Book Antiqua" w:hAnsi="Book Antiqua"/>
          <w:sz w:val="16"/>
          <w:szCs w:val="16"/>
        </w:rPr>
        <w:t xml:space="preserve"> </w:t>
      </w:r>
      <w:r w:rsidRPr="00115CF5">
        <w:rPr>
          <w:rFonts w:ascii="Book Antiqua" w:hAnsi="Book Antiqua"/>
          <w:b/>
          <w:bCs/>
          <w:sz w:val="16"/>
          <w:szCs w:val="16"/>
        </w:rPr>
        <w:t xml:space="preserve">40 </w:t>
      </w:r>
      <w:r w:rsidRPr="00115CF5">
        <w:rPr>
          <w:rFonts w:ascii="Book Antiqua" w:hAnsi="Book Antiqua"/>
          <w:sz w:val="16"/>
          <w:szCs w:val="16"/>
        </w:rPr>
        <w:t xml:space="preserve">(1913), p.551.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29 </w:t>
      </w:r>
      <w:r w:rsidRPr="00115CF5">
        <w:rPr>
          <w:rFonts w:ascii="Book Antiqua" w:hAnsi="Book Antiqua"/>
          <w:sz w:val="16"/>
          <w:szCs w:val="16"/>
        </w:rPr>
        <w:t xml:space="preserve">(1984), p.1096.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[5] W. Nernst,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4 </w:t>
      </w:r>
      <w:r w:rsidRPr="00115CF5">
        <w:rPr>
          <w:rFonts w:ascii="Book Antiqua" w:hAnsi="Book Antiqua"/>
          <w:sz w:val="16"/>
          <w:szCs w:val="16"/>
        </w:rPr>
        <w:t xml:space="preserve">(1916), pp.83-116. </w:t>
      </w:r>
    </w:p>
    <w:p w:rsidR="00AC4336" w:rsidRPr="00115CF5" w:rsidRDefault="00AC4336" w:rsidP="00AC4336">
      <w:pPr>
        <w:pStyle w:val="NoSpacing"/>
        <w:rPr>
          <w:rFonts w:ascii="Book Antiqua" w:hAnsi="Book Antiqua"/>
          <w:sz w:val="16"/>
          <w:szCs w:val="16"/>
          <w:u w:val="single"/>
        </w:rPr>
      </w:pPr>
      <w:r w:rsidRPr="00115CF5">
        <w:rPr>
          <w:rFonts w:ascii="Book Antiqua" w:hAnsi="Book Antiqua"/>
          <w:sz w:val="16"/>
          <w:szCs w:val="16"/>
        </w:rPr>
        <w:t xml:space="preserve">[6] CIPA, Questions and Answers about the Origin of Inertia and the Zero-Point Field, p.1. Available at </w:t>
      </w:r>
      <w:hyperlink r:id="rId60" w:history="1">
        <w:r w:rsidRPr="00115CF5">
          <w:rPr>
            <w:rStyle w:val="Hyperlink"/>
            <w:rFonts w:ascii="Book Antiqua" w:hAnsi="Book Antiqua"/>
            <w:i/>
            <w:szCs w:val="16"/>
          </w:rPr>
          <w:t>http://www.calphysics.org/questions.html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[7] R. Eisberg, R. Resnick, </w:t>
      </w:r>
      <w:r w:rsidRPr="00115CF5">
        <w:rPr>
          <w:rFonts w:ascii="Book Antiqua" w:hAnsi="Book Antiqua"/>
          <w:i/>
          <w:sz w:val="16"/>
          <w:szCs w:val="16"/>
        </w:rPr>
        <w:t>Quantum Physics</w:t>
      </w:r>
      <w:r w:rsidRPr="00115CF5">
        <w:rPr>
          <w:rFonts w:ascii="Book Antiqua" w:hAnsi="Book Antiqua"/>
          <w:sz w:val="16"/>
          <w:szCs w:val="16"/>
        </w:rPr>
        <w:t xml:space="preserve">…, p.235, John Wiley and Sons, New York,1974.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[8] S. Gasiorowicz, </w:t>
      </w:r>
      <w:r w:rsidRPr="00115CF5">
        <w:rPr>
          <w:rFonts w:ascii="Book Antiqua" w:hAnsi="Book Antiqua"/>
          <w:i/>
          <w:sz w:val="16"/>
          <w:szCs w:val="16"/>
        </w:rPr>
        <w:t>Quantum Physics</w:t>
      </w:r>
      <w:r w:rsidRPr="00115CF5">
        <w:rPr>
          <w:rFonts w:ascii="Book Antiqua" w:hAnsi="Book Antiqua"/>
          <w:sz w:val="16"/>
          <w:szCs w:val="16"/>
        </w:rPr>
        <w:t xml:space="preserve">, p.105, John Wiley and Sons, New York, 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[9] P. A. M. Dirac, </w:t>
      </w:r>
      <w:r w:rsidRPr="00115CF5">
        <w:rPr>
          <w:rFonts w:ascii="Book Antiqua" w:hAnsi="Book Antiqua"/>
          <w:i/>
          <w:sz w:val="16"/>
          <w:szCs w:val="16"/>
        </w:rPr>
        <w:t>Proc. Roy. Soc. Lond</w:t>
      </w:r>
      <w:r w:rsidRPr="00115CF5">
        <w:rPr>
          <w:rFonts w:ascii="Book Antiqua" w:hAnsi="Book Antiqua"/>
          <w:sz w:val="16"/>
          <w:szCs w:val="16"/>
        </w:rPr>
        <w:t xml:space="preserve">., </w:t>
      </w:r>
      <w:r w:rsidRPr="00115CF5">
        <w:rPr>
          <w:rFonts w:ascii="Book Antiqua" w:hAnsi="Book Antiqua"/>
          <w:b/>
          <w:bCs/>
          <w:sz w:val="16"/>
          <w:szCs w:val="16"/>
        </w:rPr>
        <w:t xml:space="preserve">123 </w:t>
      </w:r>
      <w:r w:rsidRPr="00115CF5">
        <w:rPr>
          <w:rFonts w:ascii="Book Antiqua" w:hAnsi="Book Antiqua"/>
          <w:sz w:val="16"/>
          <w:szCs w:val="16"/>
        </w:rPr>
        <w:t xml:space="preserve">(1929), p.714.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[10] L. de Broglie</w:t>
      </w:r>
      <w:r w:rsidRPr="00115CF5">
        <w:rPr>
          <w:rFonts w:ascii="Book Antiqua" w:hAnsi="Book Antiqua"/>
          <w:i/>
          <w:sz w:val="16"/>
          <w:szCs w:val="16"/>
        </w:rPr>
        <w:t>, New Perspectives in Physics</w:t>
      </w:r>
      <w:r w:rsidRPr="00115CF5">
        <w:rPr>
          <w:rFonts w:ascii="Book Antiqua" w:hAnsi="Book Antiqua"/>
          <w:sz w:val="16"/>
          <w:szCs w:val="16"/>
        </w:rPr>
        <w:t xml:space="preserve">, Basic Books Publishing Co., New York, 1962.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[11] E. Nelson, </w:t>
      </w:r>
      <w:r w:rsidRPr="00115CF5">
        <w:rPr>
          <w:rFonts w:ascii="Book Antiqua" w:hAnsi="Book Antiqua"/>
          <w:i/>
          <w:sz w:val="16"/>
          <w:szCs w:val="16"/>
        </w:rPr>
        <w:t>Phys. Rev</w:t>
      </w:r>
      <w:r w:rsidRPr="00115CF5">
        <w:rPr>
          <w:rFonts w:ascii="Book Antiqua" w:hAnsi="Book Antiqua"/>
          <w:sz w:val="16"/>
          <w:szCs w:val="16"/>
        </w:rPr>
        <w:t xml:space="preserve">. </w:t>
      </w:r>
      <w:r w:rsidRPr="00115CF5">
        <w:rPr>
          <w:rFonts w:ascii="Book Antiqua" w:hAnsi="Book Antiqua"/>
          <w:b/>
          <w:bCs/>
          <w:sz w:val="16"/>
          <w:szCs w:val="16"/>
        </w:rPr>
        <w:t xml:space="preserve">150 </w:t>
      </w:r>
      <w:r w:rsidRPr="00115CF5">
        <w:rPr>
          <w:rFonts w:ascii="Book Antiqua" w:hAnsi="Book Antiqua"/>
          <w:sz w:val="16"/>
          <w:szCs w:val="16"/>
        </w:rPr>
        <w:t xml:space="preserve">(1966), p.1079. Also </w:t>
      </w:r>
      <w:r w:rsidRPr="00115CF5">
        <w:rPr>
          <w:rFonts w:ascii="Book Antiqua" w:hAnsi="Book Antiqua"/>
          <w:i/>
          <w:sz w:val="16"/>
          <w:szCs w:val="16"/>
        </w:rPr>
        <w:t>Dynamical Theories of Brownian Motion</w:t>
      </w:r>
      <w:r w:rsidRPr="00115CF5">
        <w:rPr>
          <w:rFonts w:ascii="Book Antiqua" w:hAnsi="Book Antiqua"/>
          <w:sz w:val="16"/>
          <w:szCs w:val="16"/>
        </w:rPr>
        <w:t xml:space="preserve">, Princeton University Press, 1967.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[12]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11 </w:t>
      </w:r>
      <w:r w:rsidRPr="00115CF5">
        <w:rPr>
          <w:rFonts w:ascii="Book Antiqua" w:hAnsi="Book Antiqua"/>
          <w:sz w:val="16"/>
          <w:szCs w:val="16"/>
        </w:rPr>
        <w:t xml:space="preserve">(1975), p.790.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[13] M. R. Wehr, J. A. Richards, </w:t>
      </w:r>
      <w:r w:rsidRPr="00115CF5">
        <w:rPr>
          <w:rFonts w:ascii="Book Antiqua" w:hAnsi="Book Antiqua"/>
          <w:i/>
          <w:sz w:val="16"/>
          <w:szCs w:val="16"/>
        </w:rPr>
        <w:t>Physics of the Atom</w:t>
      </w:r>
      <w:r w:rsidRPr="00115CF5">
        <w:rPr>
          <w:rFonts w:ascii="Book Antiqua" w:hAnsi="Book Antiqua"/>
          <w:sz w:val="16"/>
          <w:szCs w:val="16"/>
        </w:rPr>
        <w:t>, p. 372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[14] B. Haisch, A Rueda, </w:t>
      </w:r>
      <w:r w:rsidRPr="00115CF5">
        <w:rPr>
          <w:rFonts w:ascii="Book Antiqua" w:hAnsi="Book Antiqua"/>
          <w:i/>
          <w:sz w:val="16"/>
          <w:szCs w:val="16"/>
        </w:rPr>
        <w:t>Phys. Lett. A</w:t>
      </w:r>
      <w:r w:rsidRPr="00115CF5">
        <w:rPr>
          <w:rFonts w:ascii="Book Antiqua" w:hAnsi="Book Antiqua"/>
          <w:sz w:val="16"/>
          <w:szCs w:val="16"/>
        </w:rPr>
        <w:t xml:space="preserve">, </w:t>
      </w:r>
      <w:r w:rsidRPr="00115CF5">
        <w:rPr>
          <w:rFonts w:ascii="Book Antiqua" w:hAnsi="Book Antiqua"/>
          <w:b/>
          <w:bCs/>
          <w:sz w:val="16"/>
          <w:szCs w:val="16"/>
        </w:rPr>
        <w:t xml:space="preserve">268 </w:t>
      </w:r>
      <w:r w:rsidRPr="00115CF5">
        <w:rPr>
          <w:rFonts w:ascii="Book Antiqua" w:hAnsi="Book Antiqua"/>
          <w:sz w:val="16"/>
          <w:szCs w:val="16"/>
        </w:rPr>
        <w:t xml:space="preserve">(2000), p.224. </w:t>
      </w:r>
    </w:p>
    <w:p w:rsidR="00AC4336" w:rsidRPr="00115CF5" w:rsidRDefault="00AC4336" w:rsidP="00AC4336">
      <w:pPr>
        <w:pStyle w:val="NoSpacing"/>
        <w:rPr>
          <w:rFonts w:ascii="Book Antiqua" w:hAnsi="Book Antiqua"/>
          <w:color w:val="000000"/>
          <w:sz w:val="16"/>
          <w:szCs w:val="16"/>
        </w:rPr>
      </w:pPr>
      <w:r w:rsidRPr="00115CF5">
        <w:rPr>
          <w:rFonts w:ascii="Book Antiqua" w:hAnsi="Book Antiqua"/>
          <w:color w:val="000000"/>
          <w:sz w:val="16"/>
          <w:szCs w:val="16"/>
        </w:rPr>
        <w:t xml:space="preserve">[15] B. Haisch, A Rueda, H E Puthoff, </w:t>
      </w:r>
      <w:r w:rsidRPr="00115CF5">
        <w:rPr>
          <w:rFonts w:ascii="Book Antiqua" w:hAnsi="Book Antiqua"/>
          <w:i/>
          <w:iCs/>
          <w:color w:val="000000"/>
          <w:sz w:val="16"/>
          <w:szCs w:val="16"/>
        </w:rPr>
        <w:t>The Sciences</w:t>
      </w:r>
      <w:r w:rsidRPr="00115CF5">
        <w:rPr>
          <w:rFonts w:ascii="Book Antiqua" w:hAnsi="Book Antiqua"/>
          <w:color w:val="000000"/>
          <w:sz w:val="16"/>
          <w:szCs w:val="16"/>
        </w:rPr>
        <w:t>, Nov/Dec 1994, p.26-31.</w:t>
      </w:r>
    </w:p>
    <w:p w:rsidR="00AC4336" w:rsidRPr="00115CF5" w:rsidRDefault="00AC4336" w:rsidP="00AC4336">
      <w:pPr>
        <w:pStyle w:val="NoSpacing"/>
        <w:rPr>
          <w:rFonts w:ascii="Book Antiqua" w:hAnsi="Book Antiqua"/>
          <w:sz w:val="16"/>
          <w:szCs w:val="16"/>
        </w:rPr>
      </w:pPr>
      <w:r w:rsidRPr="00115CF5">
        <w:rPr>
          <w:rFonts w:ascii="Book Antiqua" w:hAnsi="Book Antiqua"/>
          <w:color w:val="000000"/>
          <w:sz w:val="16"/>
          <w:szCs w:val="16"/>
        </w:rPr>
        <w:t xml:space="preserve">[16] </w:t>
      </w:r>
      <w:r w:rsidRPr="00115CF5">
        <w:rPr>
          <w:rFonts w:ascii="Book Antiqua" w:hAnsi="Book Antiqua"/>
          <w:sz w:val="16"/>
          <w:szCs w:val="16"/>
        </w:rPr>
        <w:t xml:space="preserve">T. H. Boyer, </w:t>
      </w:r>
      <w:r w:rsidRPr="00115CF5">
        <w:rPr>
          <w:rFonts w:ascii="Book Antiqua" w:hAnsi="Book Antiqua"/>
          <w:i/>
          <w:iCs/>
          <w:sz w:val="16"/>
          <w:szCs w:val="16"/>
        </w:rPr>
        <w:t>Scientific American</w:t>
      </w:r>
      <w:r w:rsidRPr="00115CF5">
        <w:rPr>
          <w:rFonts w:ascii="Book Antiqua" w:hAnsi="Book Antiqua"/>
          <w:sz w:val="16"/>
          <w:szCs w:val="16"/>
        </w:rPr>
        <w:t>, pp.70-78 (Aug 1985).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[17] P. C. W. Davies, </w:t>
      </w:r>
      <w:r w:rsidRPr="00115CF5">
        <w:rPr>
          <w:rFonts w:ascii="Book Antiqua" w:hAnsi="Book Antiqua"/>
          <w:i/>
          <w:sz w:val="16"/>
          <w:szCs w:val="16"/>
        </w:rPr>
        <w:t>J. Phys. A</w:t>
      </w:r>
      <w:r w:rsidRPr="00115CF5">
        <w:rPr>
          <w:rFonts w:ascii="Book Antiqua" w:hAnsi="Book Antiqua"/>
          <w:sz w:val="16"/>
          <w:szCs w:val="16"/>
        </w:rPr>
        <w:t xml:space="preserve">, </w:t>
      </w:r>
      <w:r w:rsidRPr="00115CF5">
        <w:rPr>
          <w:rFonts w:ascii="Book Antiqua" w:hAnsi="Book Antiqua"/>
          <w:b/>
          <w:bCs/>
          <w:sz w:val="16"/>
          <w:szCs w:val="16"/>
        </w:rPr>
        <w:t xml:space="preserve">8 </w:t>
      </w:r>
      <w:r w:rsidRPr="00115CF5">
        <w:rPr>
          <w:rFonts w:ascii="Book Antiqua" w:hAnsi="Book Antiqua"/>
          <w:sz w:val="16"/>
          <w:szCs w:val="16"/>
        </w:rPr>
        <w:t xml:space="preserve">(1975), p.609; W G Unruh,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14 </w:t>
      </w:r>
      <w:r w:rsidRPr="00115CF5">
        <w:rPr>
          <w:rFonts w:ascii="Book Antiqua" w:hAnsi="Book Antiqua"/>
          <w:sz w:val="16"/>
          <w:szCs w:val="16"/>
        </w:rPr>
        <w:t xml:space="preserve">(1976), pp.870-892.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[18] Science Editor, </w:t>
      </w:r>
      <w:r w:rsidRPr="00115CF5">
        <w:rPr>
          <w:rFonts w:ascii="Book Antiqua" w:hAnsi="Book Antiqua"/>
          <w:i/>
          <w:sz w:val="16"/>
          <w:szCs w:val="16"/>
        </w:rPr>
        <w:t>New Scientist</w:t>
      </w:r>
      <w:r w:rsidRPr="00115CF5">
        <w:rPr>
          <w:rFonts w:ascii="Book Antiqua" w:hAnsi="Book Antiqua"/>
          <w:sz w:val="16"/>
          <w:szCs w:val="16"/>
        </w:rPr>
        <w:t xml:space="preserve">, 2 December 1989, p.14.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[19] P. C. W. Davies, </w:t>
      </w:r>
      <w:r w:rsidRPr="00115CF5">
        <w:rPr>
          <w:rFonts w:ascii="Book Antiqua" w:hAnsi="Book Antiqua"/>
          <w:i/>
          <w:sz w:val="16"/>
          <w:szCs w:val="16"/>
        </w:rPr>
        <w:t>New Scientist</w:t>
      </w:r>
      <w:r w:rsidRPr="00115CF5">
        <w:rPr>
          <w:rFonts w:ascii="Book Antiqua" w:hAnsi="Book Antiqua"/>
          <w:sz w:val="16"/>
          <w:szCs w:val="16"/>
        </w:rPr>
        <w:t xml:space="preserve">, 3 November 2001, pp.30-34.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[20] P. W. Milonni, R. J. Cook, M. E. Goggin,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bCs/>
          <w:sz w:val="16"/>
          <w:szCs w:val="16"/>
        </w:rPr>
        <w:t xml:space="preserve">38 </w:t>
      </w:r>
      <w:r w:rsidRPr="00115CF5">
        <w:rPr>
          <w:rFonts w:ascii="Book Antiqua" w:hAnsi="Book Antiqua"/>
          <w:sz w:val="16"/>
          <w:szCs w:val="16"/>
        </w:rPr>
        <w:t xml:space="preserve">(1988), p.1621.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[21] S. Lamoreaux,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78 </w:t>
      </w:r>
      <w:r w:rsidRPr="00115CF5">
        <w:rPr>
          <w:rFonts w:ascii="Book Antiqua" w:hAnsi="Book Antiqua"/>
          <w:sz w:val="16"/>
          <w:szCs w:val="16"/>
        </w:rPr>
        <w:t xml:space="preserve">(1997), p.5; U Mohideen, A Roy,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81 </w:t>
      </w:r>
      <w:r w:rsidRPr="00115CF5">
        <w:rPr>
          <w:rFonts w:ascii="Book Antiqua" w:hAnsi="Book Antiqua"/>
          <w:sz w:val="16"/>
          <w:szCs w:val="16"/>
        </w:rPr>
        <w:t xml:space="preserve">(1998), p.4549.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[22] M. R. Wehr, J. A. Richards, </w:t>
      </w:r>
      <w:r w:rsidRPr="00115CF5">
        <w:rPr>
          <w:rFonts w:ascii="Book Antiqua" w:hAnsi="Book Antiqua"/>
          <w:i/>
          <w:sz w:val="16"/>
          <w:szCs w:val="16"/>
        </w:rPr>
        <w:t>Physics of the Atom</w:t>
      </w:r>
      <w:r w:rsidRPr="00115CF5">
        <w:rPr>
          <w:rFonts w:ascii="Book Antiqua" w:hAnsi="Book Antiqua"/>
          <w:sz w:val="16"/>
          <w:szCs w:val="16"/>
        </w:rPr>
        <w:t>, p. 374,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[23]  Ibid, p.377.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[24] H. Genz, </w:t>
      </w:r>
      <w:r w:rsidRPr="00115CF5">
        <w:rPr>
          <w:rFonts w:ascii="Book Antiqua" w:hAnsi="Book Antiqua"/>
          <w:i/>
          <w:sz w:val="16"/>
          <w:szCs w:val="16"/>
        </w:rPr>
        <w:t>Nothingness: The Science Of  Empty Space</w:t>
      </w:r>
      <w:r w:rsidRPr="00115CF5">
        <w:rPr>
          <w:rFonts w:ascii="Book Antiqua" w:hAnsi="Book Antiqua"/>
          <w:sz w:val="16"/>
          <w:szCs w:val="16"/>
        </w:rPr>
        <w:t>, p.204, Perseus Books, Reading, Massachusetts,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[25] Science Editor, </w:t>
      </w:r>
      <w:r w:rsidRPr="00115CF5">
        <w:rPr>
          <w:rFonts w:ascii="Book Antiqua" w:hAnsi="Book Antiqua"/>
          <w:i/>
          <w:sz w:val="16"/>
          <w:szCs w:val="16"/>
        </w:rPr>
        <w:t>New Scientist</w:t>
      </w:r>
      <w:r w:rsidRPr="00115CF5">
        <w:rPr>
          <w:rFonts w:ascii="Book Antiqua" w:hAnsi="Book Antiqua"/>
          <w:sz w:val="16"/>
          <w:szCs w:val="16"/>
        </w:rPr>
        <w:t>, p. 12 and references therein (12 February, 2011).</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[26] C. M. Wilson et al., Letter to </w:t>
      </w:r>
      <w:r w:rsidRPr="00115CF5">
        <w:rPr>
          <w:rFonts w:ascii="Book Antiqua" w:hAnsi="Book Antiqua"/>
          <w:i/>
          <w:sz w:val="16"/>
          <w:szCs w:val="16"/>
        </w:rPr>
        <w:t>Nature,</w:t>
      </w:r>
      <w:r w:rsidRPr="00115CF5">
        <w:rPr>
          <w:rFonts w:ascii="Book Antiqua" w:hAnsi="Book Antiqua"/>
          <w:sz w:val="16"/>
          <w:szCs w:val="16"/>
        </w:rPr>
        <w:t xml:space="preserve"> </w:t>
      </w:r>
      <w:r w:rsidRPr="00115CF5">
        <w:rPr>
          <w:rFonts w:ascii="Book Antiqua" w:hAnsi="Book Antiqua"/>
          <w:b/>
          <w:sz w:val="16"/>
          <w:szCs w:val="16"/>
        </w:rPr>
        <w:t>479</w:t>
      </w:r>
      <w:r w:rsidRPr="00115CF5">
        <w:rPr>
          <w:rFonts w:ascii="Book Antiqua" w:hAnsi="Book Antiqua"/>
          <w:sz w:val="16"/>
          <w:szCs w:val="16"/>
        </w:rPr>
        <w:t xml:space="preserve">, pp. 376-379, issue 7373 (17 November, 2011).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[27] B. Haisch and A. Rueda, </w:t>
      </w:r>
      <w:r w:rsidRPr="00115CF5">
        <w:rPr>
          <w:rFonts w:ascii="Book Antiqua" w:hAnsi="Book Antiqua"/>
          <w:i/>
          <w:sz w:val="16"/>
          <w:szCs w:val="16"/>
        </w:rPr>
        <w:t>Ap. J</w:t>
      </w:r>
      <w:r w:rsidRPr="00115CF5">
        <w:rPr>
          <w:rFonts w:ascii="Book Antiqua" w:hAnsi="Book Antiqua"/>
          <w:sz w:val="16"/>
          <w:szCs w:val="16"/>
        </w:rPr>
        <w:t xml:space="preserve">. October 20 (1997), pre-print.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[28]</w:t>
      </w:r>
      <w:r w:rsidR="00D71C91">
        <w:rPr>
          <w:rFonts w:ascii="Book Antiqua" w:hAnsi="Book Antiqua"/>
          <w:sz w:val="16"/>
          <w:szCs w:val="16"/>
        </w:rPr>
        <w:t xml:space="preserve"> </w:t>
      </w:r>
      <w:r w:rsidR="00D71C91" w:rsidRPr="005627CB">
        <w:rPr>
          <w:rFonts w:ascii="Book Antiqua" w:hAnsi="Book Antiqua"/>
          <w:sz w:val="16"/>
          <w:szCs w:val="16"/>
        </w:rPr>
        <w:t>J</w:t>
      </w:r>
      <w:r w:rsidR="00D71C91">
        <w:rPr>
          <w:rFonts w:ascii="Book Antiqua" w:hAnsi="Book Antiqua"/>
          <w:sz w:val="16"/>
          <w:szCs w:val="16"/>
        </w:rPr>
        <w:t>.</w:t>
      </w:r>
      <w:r w:rsidR="00D71C91" w:rsidRPr="005627CB">
        <w:rPr>
          <w:rFonts w:ascii="Book Antiqua" w:hAnsi="Book Antiqua"/>
          <w:sz w:val="16"/>
          <w:szCs w:val="16"/>
        </w:rPr>
        <w:t xml:space="preserve"> Narlikar &amp; H</w:t>
      </w:r>
      <w:r w:rsidR="00D71C91">
        <w:rPr>
          <w:rFonts w:ascii="Book Antiqua" w:hAnsi="Book Antiqua"/>
          <w:sz w:val="16"/>
          <w:szCs w:val="16"/>
        </w:rPr>
        <w:t>.</w:t>
      </w:r>
      <w:r w:rsidR="00D71C91" w:rsidRPr="005627CB">
        <w:rPr>
          <w:rFonts w:ascii="Book Antiqua" w:hAnsi="Book Antiqua"/>
          <w:sz w:val="16"/>
          <w:szCs w:val="16"/>
        </w:rPr>
        <w:t xml:space="preserve"> Arp, </w:t>
      </w:r>
      <w:r w:rsidR="00D71C91">
        <w:rPr>
          <w:rFonts w:ascii="Book Antiqua" w:hAnsi="Book Antiqua"/>
          <w:sz w:val="16"/>
          <w:szCs w:val="16"/>
        </w:rPr>
        <w:t>“Flat Spacetime Cosmology: A Unified Framework for Extragalactic Redshifts”</w:t>
      </w:r>
      <w:r w:rsidR="00D71C91" w:rsidRPr="005627CB">
        <w:rPr>
          <w:rFonts w:ascii="Book Antiqua" w:hAnsi="Book Antiqua"/>
          <w:i/>
          <w:iCs/>
          <w:sz w:val="16"/>
          <w:szCs w:val="16"/>
        </w:rPr>
        <w:t xml:space="preserve">Astrophysical Journal </w:t>
      </w:r>
      <w:r w:rsidR="00D71C91" w:rsidRPr="005627CB">
        <w:rPr>
          <w:rFonts w:ascii="Book Antiqua" w:hAnsi="Book Antiqua"/>
          <w:b/>
          <w:bCs/>
          <w:sz w:val="16"/>
          <w:szCs w:val="16"/>
        </w:rPr>
        <w:t>405</w:t>
      </w:r>
      <w:r w:rsidR="00D71C91" w:rsidRPr="005627CB">
        <w:rPr>
          <w:rFonts w:ascii="Book Antiqua" w:hAnsi="Book Antiqua"/>
          <w:sz w:val="16"/>
          <w:szCs w:val="16"/>
        </w:rPr>
        <w:t>:</w:t>
      </w:r>
      <w:r w:rsidR="00D71C91">
        <w:rPr>
          <w:rFonts w:ascii="Book Antiqua" w:hAnsi="Book Antiqua"/>
          <w:sz w:val="16"/>
          <w:szCs w:val="16"/>
        </w:rPr>
        <w:t>1, pp.</w:t>
      </w:r>
      <w:r w:rsidR="00D71C91" w:rsidRPr="005627CB">
        <w:rPr>
          <w:rFonts w:ascii="Book Antiqua" w:hAnsi="Book Antiqua"/>
          <w:sz w:val="16"/>
          <w:szCs w:val="16"/>
        </w:rPr>
        <w:t>51</w:t>
      </w:r>
      <w:r w:rsidR="00D71C91">
        <w:rPr>
          <w:rFonts w:ascii="Book Antiqua" w:hAnsi="Book Antiqua"/>
          <w:sz w:val="16"/>
          <w:szCs w:val="16"/>
        </w:rPr>
        <w:t>-56, (</w:t>
      </w:r>
      <w:r w:rsidR="00D71C91" w:rsidRPr="005627CB">
        <w:rPr>
          <w:rFonts w:ascii="Book Antiqua" w:hAnsi="Book Antiqua"/>
          <w:sz w:val="16"/>
          <w:szCs w:val="16"/>
        </w:rPr>
        <w:t>1993).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[29] Ya. B. Zeldovich, </w:t>
      </w:r>
      <w:r w:rsidRPr="00115CF5">
        <w:rPr>
          <w:rFonts w:ascii="Book Antiqua" w:hAnsi="Book Antiqua"/>
          <w:i/>
          <w:sz w:val="16"/>
          <w:szCs w:val="16"/>
        </w:rPr>
        <w:t>Sov. Phys. Uspekhi</w:t>
      </w:r>
      <w:r w:rsidRPr="00115CF5">
        <w:rPr>
          <w:rFonts w:ascii="Book Antiqua" w:hAnsi="Book Antiqua"/>
          <w:sz w:val="16"/>
          <w:szCs w:val="16"/>
        </w:rPr>
        <w:t xml:space="preserve"> </w:t>
      </w:r>
      <w:r w:rsidRPr="00115CF5">
        <w:rPr>
          <w:rFonts w:ascii="Book Antiqua" w:hAnsi="Book Antiqua"/>
          <w:b/>
          <w:sz w:val="16"/>
          <w:szCs w:val="16"/>
        </w:rPr>
        <w:t>11</w:t>
      </w:r>
      <w:r w:rsidRPr="00115CF5">
        <w:rPr>
          <w:rFonts w:ascii="Book Antiqua" w:hAnsi="Book Antiqua"/>
          <w:sz w:val="16"/>
          <w:szCs w:val="16"/>
        </w:rPr>
        <w:t xml:space="preserve">:3 (1968), 381.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[30] L. Abbott, </w:t>
      </w:r>
      <w:r w:rsidRPr="00115CF5">
        <w:rPr>
          <w:rFonts w:ascii="Book Antiqua" w:hAnsi="Book Antiqua"/>
          <w:i/>
          <w:sz w:val="16"/>
          <w:szCs w:val="16"/>
        </w:rPr>
        <w:t>Scientific American</w:t>
      </w:r>
      <w:r w:rsidRPr="00115CF5">
        <w:rPr>
          <w:rFonts w:ascii="Book Antiqua" w:hAnsi="Book Antiqua"/>
          <w:sz w:val="16"/>
          <w:szCs w:val="16"/>
        </w:rPr>
        <w:t xml:space="preserve"> 258:5 (1988), 106.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[31] J. D. Barrow and J. Magueijo, </w:t>
      </w:r>
      <w:r w:rsidRPr="00115CF5">
        <w:rPr>
          <w:rFonts w:ascii="Book Antiqua" w:hAnsi="Book Antiqua"/>
          <w:i/>
          <w:sz w:val="16"/>
          <w:szCs w:val="16"/>
        </w:rPr>
        <w:t>Ap. J</w:t>
      </w:r>
      <w:r w:rsidRPr="00115CF5">
        <w:rPr>
          <w:rFonts w:ascii="Book Antiqua" w:hAnsi="Book Antiqua"/>
          <w:sz w:val="16"/>
          <w:szCs w:val="16"/>
        </w:rPr>
        <w:t>. 532 (2000), L87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[32] B. Greene, </w:t>
      </w:r>
      <w:r w:rsidRPr="00115CF5">
        <w:rPr>
          <w:rFonts w:ascii="Book Antiqua" w:hAnsi="Book Antiqua"/>
          <w:i/>
          <w:sz w:val="16"/>
          <w:szCs w:val="16"/>
        </w:rPr>
        <w:t>The Elegant Universe</w:t>
      </w:r>
      <w:r w:rsidRPr="00115CF5">
        <w:rPr>
          <w:rFonts w:ascii="Book Antiqua" w:hAnsi="Book Antiqua"/>
          <w:sz w:val="16"/>
          <w:szCs w:val="16"/>
        </w:rPr>
        <w:t xml:space="preserve">, p. 225, W. W. Norton &amp; Co. Inc., New York, 1999.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[33] H. E. Puthoff, Phys. </w:t>
      </w:r>
      <w:r w:rsidRPr="00115CF5">
        <w:rPr>
          <w:rFonts w:ascii="Book Antiqua" w:hAnsi="Book Antiqua"/>
          <w:i/>
          <w:sz w:val="16"/>
          <w:szCs w:val="16"/>
        </w:rPr>
        <w:t>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:9 (1989), 4857.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[34] Science Editor, </w:t>
      </w:r>
      <w:r w:rsidRPr="00115CF5">
        <w:rPr>
          <w:rFonts w:ascii="Book Antiqua" w:hAnsi="Book Antiqua"/>
          <w:i/>
          <w:sz w:val="16"/>
          <w:szCs w:val="16"/>
        </w:rPr>
        <w:t>New Scientist</w:t>
      </w:r>
      <w:r w:rsidRPr="00115CF5">
        <w:rPr>
          <w:rFonts w:ascii="Book Antiqua" w:hAnsi="Book Antiqua"/>
          <w:sz w:val="16"/>
          <w:szCs w:val="16"/>
        </w:rPr>
        <w:t xml:space="preserve">, p.14, (2 December 1989).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[35] H. E. Puthoff, 1987,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sz w:val="16"/>
          <w:szCs w:val="16"/>
        </w:rPr>
        <w:t>35</w:t>
      </w:r>
      <w:r w:rsidRPr="00115CF5">
        <w:rPr>
          <w:rFonts w:ascii="Book Antiqua" w:hAnsi="Book Antiqua"/>
          <w:sz w:val="16"/>
          <w:szCs w:val="16"/>
        </w:rPr>
        <w:t>:10 (1987), 3266.</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[36] B. Setterfield, </w:t>
      </w:r>
      <w:r w:rsidRPr="00115CF5">
        <w:rPr>
          <w:rFonts w:ascii="Book Antiqua" w:hAnsi="Book Antiqua"/>
          <w:i/>
          <w:iCs/>
          <w:sz w:val="16"/>
          <w:szCs w:val="16"/>
        </w:rPr>
        <w:t xml:space="preserve">Journal of Vectorial Relativity </w:t>
      </w:r>
      <w:r w:rsidRPr="00115CF5">
        <w:rPr>
          <w:rFonts w:ascii="Book Antiqua" w:hAnsi="Book Antiqua"/>
          <w:b/>
          <w:bCs/>
          <w:sz w:val="16"/>
          <w:szCs w:val="16"/>
        </w:rPr>
        <w:t xml:space="preserve">2 </w:t>
      </w:r>
      <w:r w:rsidRPr="00115CF5">
        <w:rPr>
          <w:rFonts w:ascii="Book Antiqua" w:hAnsi="Book Antiqua"/>
          <w:sz w:val="16"/>
          <w:szCs w:val="16"/>
        </w:rPr>
        <w:t>(3):1-28 (2007).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lastRenderedPageBreak/>
        <w:t xml:space="preserve">[37] T. Norman, B. Setterfield, </w:t>
      </w:r>
      <w:r w:rsidRPr="00115CF5">
        <w:rPr>
          <w:rFonts w:ascii="Book Antiqua" w:hAnsi="Book Antiqua"/>
          <w:i/>
          <w:sz w:val="16"/>
          <w:szCs w:val="16"/>
        </w:rPr>
        <w:t>The Atomic Constants, Light and Time,</w:t>
      </w:r>
      <w:r w:rsidRPr="00115CF5">
        <w:rPr>
          <w:rFonts w:ascii="Book Antiqua" w:hAnsi="Book Antiqua"/>
          <w:sz w:val="16"/>
          <w:szCs w:val="16"/>
        </w:rPr>
        <w:t xml:space="preserve"> report for SRI Internat. &amp; Flinders Uni.  (Aug 1987).</w:t>
      </w:r>
    </w:p>
    <w:p w:rsidR="00AC4336" w:rsidRPr="00115CF5" w:rsidRDefault="00AC4336" w:rsidP="00AC4336">
      <w:pPr>
        <w:pStyle w:val="reference"/>
        <w:ind w:left="450" w:hanging="450"/>
        <w:rPr>
          <w:szCs w:val="16"/>
        </w:rPr>
      </w:pPr>
      <w:r w:rsidRPr="00115CF5">
        <w:rPr>
          <w:color w:val="000000"/>
          <w:szCs w:val="16"/>
        </w:rPr>
        <w:t xml:space="preserve">[38] </w:t>
      </w:r>
      <w:r w:rsidRPr="00115CF5">
        <w:rPr>
          <w:szCs w:val="16"/>
        </w:rPr>
        <w:t xml:space="preserve">B. Setterfield, </w:t>
      </w:r>
      <w:r w:rsidRPr="00115CF5">
        <w:rPr>
          <w:i/>
          <w:iCs/>
          <w:szCs w:val="16"/>
        </w:rPr>
        <w:t xml:space="preserve">JVR </w:t>
      </w:r>
      <w:r w:rsidRPr="00115CF5">
        <w:rPr>
          <w:b/>
          <w:bCs/>
          <w:szCs w:val="16"/>
        </w:rPr>
        <w:t xml:space="preserve">3 </w:t>
      </w:r>
      <w:r w:rsidRPr="00115CF5">
        <w:rPr>
          <w:szCs w:val="16"/>
        </w:rPr>
        <w:t>(4):1-32 (2008).</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[39] B. Setterfield &amp; D. Dzimano, </w:t>
      </w:r>
      <w:r w:rsidRPr="00115CF5">
        <w:rPr>
          <w:rFonts w:ascii="Book Antiqua" w:hAnsi="Book Antiqua"/>
          <w:i/>
          <w:iCs/>
          <w:sz w:val="16"/>
          <w:szCs w:val="16"/>
        </w:rPr>
        <w:t>Journal of Theoretics</w:t>
      </w:r>
      <w:r w:rsidRPr="00115CF5">
        <w:rPr>
          <w:rFonts w:ascii="Book Antiqua" w:hAnsi="Book Antiqua"/>
          <w:sz w:val="16"/>
          <w:szCs w:val="16"/>
        </w:rPr>
        <w:t>, extensive papers (29 Dec 2003).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[40] F. M. Pipkin and R. C. Ritter,</w:t>
      </w:r>
      <w:r w:rsidRPr="00115CF5">
        <w:rPr>
          <w:rFonts w:ascii="Book Antiqua" w:hAnsi="Book Antiqua"/>
          <w:i/>
          <w:sz w:val="16"/>
          <w:szCs w:val="16"/>
        </w:rPr>
        <w:t xml:space="preserve"> Science</w:t>
      </w:r>
      <w:r w:rsidRPr="00115CF5">
        <w:rPr>
          <w:rFonts w:ascii="Book Antiqua" w:hAnsi="Book Antiqua"/>
          <w:sz w:val="16"/>
          <w:szCs w:val="16"/>
        </w:rPr>
        <w:t xml:space="preserve"> </w:t>
      </w:r>
      <w:r w:rsidRPr="00115CF5">
        <w:rPr>
          <w:rFonts w:ascii="Book Antiqua" w:hAnsi="Book Antiqua"/>
          <w:b/>
          <w:sz w:val="16"/>
          <w:szCs w:val="16"/>
        </w:rPr>
        <w:t>219</w:t>
      </w:r>
      <w:r w:rsidRPr="00115CF5">
        <w:rPr>
          <w:rFonts w:ascii="Book Antiqua" w:hAnsi="Book Antiqua"/>
          <w:sz w:val="16"/>
          <w:szCs w:val="16"/>
        </w:rPr>
        <w:t>, p.4587, (1983).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[41] B. Greene, </w:t>
      </w:r>
      <w:r w:rsidRPr="00115CF5">
        <w:rPr>
          <w:rFonts w:ascii="Book Antiqua" w:hAnsi="Book Antiqua"/>
          <w:i/>
          <w:sz w:val="16"/>
          <w:szCs w:val="16"/>
        </w:rPr>
        <w:t>The Elegant Universe,</w:t>
      </w:r>
      <w:r w:rsidRPr="00115CF5">
        <w:rPr>
          <w:rFonts w:ascii="Book Antiqua" w:hAnsi="Book Antiqua"/>
          <w:sz w:val="16"/>
          <w:szCs w:val="16"/>
        </w:rPr>
        <w:t xml:space="preserve"> p. 208 (W.W. Norton &amp; Co.,New York,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[42] C. W. Misner, K. S. Thorne and J. A. Wheeler, </w:t>
      </w:r>
      <w:r w:rsidRPr="00115CF5">
        <w:rPr>
          <w:rFonts w:ascii="Book Antiqua" w:hAnsi="Book Antiqua"/>
          <w:i/>
          <w:sz w:val="16"/>
          <w:szCs w:val="16"/>
        </w:rPr>
        <w:t>Gravitation</w:t>
      </w:r>
      <w:r w:rsidRPr="00115CF5">
        <w:rPr>
          <w:rFonts w:ascii="Book Antiqua" w:hAnsi="Book Antiqua"/>
          <w:sz w:val="16"/>
          <w:szCs w:val="16"/>
        </w:rPr>
        <w:t>, p.12, W. H. Freeman and Co., New York, 1997.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[43] M. Brooks, "</w:t>
      </w:r>
      <w:r w:rsidRPr="00115CF5">
        <w:rPr>
          <w:rFonts w:ascii="Book Antiqua" w:hAnsi="Book Antiqua"/>
          <w:i/>
          <w:sz w:val="16"/>
          <w:szCs w:val="16"/>
        </w:rPr>
        <w:t>Quantum Foam</w:t>
      </w:r>
      <w:r w:rsidRPr="00115CF5">
        <w:rPr>
          <w:rFonts w:ascii="Book Antiqua" w:hAnsi="Book Antiqua"/>
          <w:sz w:val="16"/>
          <w:szCs w:val="16"/>
        </w:rPr>
        <w:t>", New Scientist (19 June 1999).</w:t>
      </w:r>
    </w:p>
    <w:p w:rsidR="00AC4336" w:rsidRPr="00115CF5" w:rsidRDefault="00AC4336" w:rsidP="00AC4336">
      <w:pPr>
        <w:pStyle w:val="NoSpacing"/>
        <w:rPr>
          <w:rFonts w:ascii="Book Antiqua" w:hAnsi="Book Antiqua"/>
          <w:i/>
          <w:color w:val="0000FF"/>
          <w:sz w:val="16"/>
          <w:szCs w:val="16"/>
        </w:rPr>
      </w:pPr>
      <w:r w:rsidRPr="00115CF5">
        <w:rPr>
          <w:rFonts w:ascii="Book Antiqua" w:hAnsi="Book Antiqua"/>
          <w:sz w:val="16"/>
          <w:szCs w:val="16"/>
        </w:rPr>
        <w:t xml:space="preserve">[44] C. H. Gibson, “Turbulence and Mixing in the Early Universe”, Keynote Paper, International Conference Mechanical Engineering, haka, Bangladesh, Dec. 26 to 28, 2001, </w:t>
      </w:r>
      <w:r w:rsidRPr="00115CF5">
        <w:rPr>
          <w:rFonts w:ascii="Book Antiqua" w:hAnsi="Book Antiqua"/>
          <w:i/>
          <w:sz w:val="16"/>
          <w:szCs w:val="16"/>
        </w:rPr>
        <w:t xml:space="preserve"> </w:t>
      </w:r>
      <w:hyperlink r:id="rId61" w:history="1">
        <w:r w:rsidRPr="00115CF5">
          <w:rPr>
            <w:rStyle w:val="Hyperlink"/>
            <w:rFonts w:ascii="Book Antiqua" w:hAnsi="Book Antiqua"/>
            <w:i/>
            <w:szCs w:val="16"/>
          </w:rPr>
          <w:t>http://arxiv.org/abs/astro-ph/0110012</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[45] F. Hoyle, G. Burbidge &amp; J. Narlikar, </w:t>
      </w:r>
      <w:r w:rsidRPr="00115CF5">
        <w:rPr>
          <w:rFonts w:ascii="Book Antiqua" w:hAnsi="Book Antiqua"/>
          <w:bCs/>
          <w:i/>
          <w:sz w:val="16"/>
          <w:szCs w:val="16"/>
        </w:rPr>
        <w:t>A Different Approach to Cosmology</w:t>
      </w:r>
      <w:r w:rsidRPr="00115CF5">
        <w:rPr>
          <w:rFonts w:ascii="Book Antiqua" w:hAnsi="Book Antiqua"/>
          <w:i/>
          <w:sz w:val="16"/>
          <w:szCs w:val="16"/>
        </w:rPr>
        <w:t>,</w:t>
      </w:r>
      <w:r w:rsidRPr="00115CF5">
        <w:rPr>
          <w:rFonts w:ascii="Book Antiqua" w:hAnsi="Book Antiqua"/>
          <w:sz w:val="16"/>
          <w:szCs w:val="16"/>
        </w:rPr>
        <w:t xml:space="preserve"> pp.108 ff. (Cambridge U. P., UK, 2005).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[46] L. Ashmore, </w:t>
      </w:r>
      <w:r w:rsidRPr="00115CF5">
        <w:rPr>
          <w:rFonts w:ascii="Book Antiqua" w:hAnsi="Book Antiqua"/>
          <w:i/>
          <w:iCs/>
          <w:sz w:val="16"/>
          <w:szCs w:val="16"/>
        </w:rPr>
        <w:t>2nd Crisis in Cosmology Conference, CCC-2. ASP Conference Series</w:t>
      </w:r>
      <w:r w:rsidRPr="00115CF5">
        <w:rPr>
          <w:rFonts w:ascii="Book Antiqua" w:hAnsi="Book Antiqua"/>
          <w:sz w:val="16"/>
          <w:szCs w:val="16"/>
        </w:rPr>
        <w:t>, Vol. 413, Proceedings of the Conference held 7-11 September 2008, at Port Angeles, Washington, USA. F Potter, ed., p.3 (Astronomical Society of the Pacific, San Francisco, 2009).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[47] L. Ashmore, “An Explanation of Redshift in a Static Universe”, </w:t>
      </w:r>
      <w:r w:rsidRPr="00115CF5">
        <w:rPr>
          <w:rFonts w:ascii="Book Antiqua" w:hAnsi="Book Antiqua"/>
          <w:i/>
          <w:iCs/>
          <w:sz w:val="16"/>
          <w:szCs w:val="16"/>
        </w:rPr>
        <w:t xml:space="preserve">Proceedings of the NPA </w:t>
      </w:r>
      <w:r w:rsidRPr="00115CF5">
        <w:rPr>
          <w:rFonts w:ascii="Book Antiqua" w:hAnsi="Book Antiqua"/>
          <w:b/>
          <w:bCs/>
          <w:sz w:val="16"/>
          <w:szCs w:val="16"/>
        </w:rPr>
        <w:t>6</w:t>
      </w:r>
      <w:r w:rsidRPr="00115CF5">
        <w:rPr>
          <w:rFonts w:ascii="Book Antiqua" w:hAnsi="Book Antiqua"/>
          <w:sz w:val="16"/>
          <w:szCs w:val="16"/>
        </w:rPr>
        <w:t>, Long Beach, CA (2010).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[48] C. Bizon, et al in </w:t>
      </w:r>
      <w:r w:rsidRPr="00115CF5">
        <w:rPr>
          <w:rFonts w:ascii="Book Antiqua" w:hAnsi="Book Antiqua"/>
          <w:i/>
          <w:sz w:val="16"/>
          <w:szCs w:val="16"/>
        </w:rPr>
        <w:t>Dynamics: Models and Kinetic Methods for Nonequilibrium Many Body Systems,</w:t>
      </w:r>
      <w:r w:rsidRPr="00115CF5">
        <w:rPr>
          <w:rFonts w:ascii="Book Antiqua" w:hAnsi="Book Antiqua"/>
          <w:sz w:val="16"/>
          <w:szCs w:val="16"/>
        </w:rPr>
        <w:t xml:space="preserve"> J Karkheck, ed. (Kluwer, Dordrecht,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[49] H. E. Puthoff,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 (9):4857 (1989).</w:t>
      </w:r>
    </w:p>
    <w:p w:rsidR="00AC4336" w:rsidRDefault="00AC4336" w:rsidP="00AC4336">
      <w:pPr>
        <w:pStyle w:val="NoSpacing"/>
        <w:rPr>
          <w:rFonts w:ascii="Book Antiqua" w:hAnsi="Book Antiqua"/>
          <w:sz w:val="16"/>
          <w:szCs w:val="16"/>
        </w:rPr>
      </w:pPr>
      <w:r w:rsidRPr="00115CF5">
        <w:rPr>
          <w:rFonts w:ascii="Book Antiqua" w:hAnsi="Book Antiqua"/>
          <w:sz w:val="16"/>
          <w:szCs w:val="16"/>
        </w:rPr>
        <w:t xml:space="preserve">[50] E. A. Karlow, </w:t>
      </w:r>
      <w:r w:rsidRPr="00115CF5">
        <w:rPr>
          <w:rFonts w:ascii="Book Antiqua" w:hAnsi="Book Antiqua"/>
          <w:i/>
          <w:sz w:val="16"/>
          <w:szCs w:val="16"/>
        </w:rPr>
        <w:t>American Journal of Physics</w:t>
      </w:r>
      <w:r w:rsidRPr="00115CF5">
        <w:rPr>
          <w:rFonts w:ascii="Book Antiqua" w:hAnsi="Book Antiqua"/>
          <w:sz w:val="16"/>
          <w:szCs w:val="16"/>
        </w:rPr>
        <w:t xml:space="preserve">, </w:t>
      </w:r>
      <w:r w:rsidRPr="00115CF5">
        <w:rPr>
          <w:rFonts w:ascii="Book Antiqua" w:hAnsi="Book Antiqua"/>
          <w:b/>
          <w:sz w:val="16"/>
          <w:szCs w:val="16"/>
        </w:rPr>
        <w:t>62</w:t>
      </w:r>
      <w:r w:rsidRPr="00115CF5">
        <w:rPr>
          <w:rFonts w:ascii="Book Antiqua" w:hAnsi="Book Antiqua"/>
          <w:sz w:val="16"/>
          <w:szCs w:val="16"/>
        </w:rPr>
        <w:t>:7 (1994), 634.</w:t>
      </w:r>
    </w:p>
    <w:p w:rsidR="00850B55" w:rsidRPr="00115CF5" w:rsidRDefault="00850B55" w:rsidP="00AC4336">
      <w:pPr>
        <w:pStyle w:val="NoSpacing"/>
        <w:rPr>
          <w:rFonts w:ascii="Book Antiqua" w:hAnsi="Book Antiqua"/>
          <w:sz w:val="16"/>
          <w:szCs w:val="16"/>
        </w:rPr>
      </w:pPr>
      <w:r>
        <w:rPr>
          <w:rFonts w:ascii="Book Antiqua" w:hAnsi="Book Antiqua"/>
          <w:sz w:val="16"/>
          <w:szCs w:val="16"/>
        </w:rPr>
        <w:t>[51] See for example the situation with the Boeing 757 here:</w:t>
      </w:r>
      <w:r w:rsidRPr="00850B55">
        <w:rPr>
          <w:rFonts w:ascii="Book Antiqua" w:hAnsi="Book Antiqua"/>
          <w:i/>
          <w:sz w:val="16"/>
          <w:szCs w:val="16"/>
        </w:rPr>
        <w:t xml:space="preserve"> http://www.faa.gov/training_testing/training/media/wake/04SEC2.PDF</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i/>
          <w:sz w:val="20"/>
        </w:rPr>
      </w:pPr>
      <w:r w:rsidRPr="00115CF5">
        <w:rPr>
          <w:rFonts w:ascii="Book Antiqua" w:hAnsi="Book Antiqua"/>
          <w:b/>
          <w:sz w:val="20"/>
        </w:rPr>
        <w:t xml:space="preserve">Figure References </w:t>
      </w:r>
      <w:r w:rsidRPr="00115CF5">
        <w:rPr>
          <w:rFonts w:ascii="Book Antiqua" w:hAnsi="Book Antiqua"/>
          <w:i/>
          <w:sz w:val="20"/>
        </w:rPr>
        <w:t>– All URL’s retrieved 9/13/12</w:t>
      </w:r>
    </w:p>
    <w:p w:rsidR="00AC4336" w:rsidRPr="00115CF5" w:rsidRDefault="00AC4336" w:rsidP="00AC4336">
      <w:pPr>
        <w:pStyle w:val="NoSpacing"/>
        <w:rPr>
          <w:rFonts w:ascii="Book Antiqua" w:hAnsi="Book Antiqua"/>
          <w:b/>
          <w:sz w:val="16"/>
          <w:szCs w:val="16"/>
        </w:rPr>
      </w:pPr>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1: Black body radiation curves.     </w:t>
      </w:r>
      <w:hyperlink r:id="rId62" w:history="1">
        <w:r w:rsidRPr="00115CF5">
          <w:rPr>
            <w:rStyle w:val="Hyperlink"/>
            <w:rFonts w:ascii="Book Antiqua" w:hAnsi="Book Antiqua"/>
            <w:bCs/>
            <w:i/>
            <w:iCs/>
            <w:szCs w:val="16"/>
          </w:rPr>
          <w:t>http://spaceflight.esa.int/impress/text/education/Heat%20Transfer/Radiation.html</w:t>
        </w:r>
      </w:hyperlink>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2: </w:t>
      </w:r>
      <w:hyperlink r:id="rId63" w:history="1">
        <w:r w:rsidRPr="00115CF5">
          <w:rPr>
            <w:rStyle w:val="Hyperlink"/>
            <w:rFonts w:ascii="Book Antiqua" w:hAnsi="Book Antiqua"/>
            <w:bCs/>
            <w:i/>
            <w:iCs/>
            <w:szCs w:val="16"/>
          </w:rPr>
          <w:t>http://www.kennislink.nl/upload/193600_276_1205417537548-79872_276_1022530650861-herschepping2.jpg</w:t>
        </w:r>
      </w:hyperlink>
    </w:p>
    <w:p w:rsidR="00AC4336" w:rsidRPr="00115CF5" w:rsidRDefault="00AC4336" w:rsidP="00AC4336">
      <w:pPr>
        <w:pStyle w:val="NoSpacing"/>
        <w:rPr>
          <w:rFonts w:ascii="Book Antiqua" w:hAnsi="Book Antiqua"/>
          <w:sz w:val="16"/>
          <w:szCs w:val="16"/>
        </w:rPr>
      </w:pPr>
      <w:r w:rsidRPr="00115CF5">
        <w:rPr>
          <w:rFonts w:ascii="Book Antiqua" w:hAnsi="Book Antiqua"/>
          <w:bCs/>
          <w:iCs/>
          <w:color w:val="000000"/>
          <w:sz w:val="16"/>
          <w:szCs w:val="16"/>
        </w:rPr>
        <w:t>Figure 3</w:t>
      </w:r>
      <w:r w:rsidRPr="00115CF5">
        <w:rPr>
          <w:rFonts w:ascii="Book Antiqua" w:hAnsi="Book Antiqua"/>
          <w:bCs/>
          <w:i/>
          <w:iCs/>
          <w:color w:val="000000"/>
          <w:sz w:val="16"/>
          <w:szCs w:val="16"/>
        </w:rPr>
        <w:t xml:space="preserve">: </w:t>
      </w:r>
      <w:hyperlink r:id="rId64" w:history="1">
        <w:r w:rsidRPr="00115CF5">
          <w:rPr>
            <w:rStyle w:val="Hyperlink"/>
            <w:rFonts w:ascii="Book Antiqua" w:hAnsi="Book Antiqua"/>
            <w:i/>
            <w:szCs w:val="16"/>
          </w:rPr>
          <w:t>http://www.calphysics.org/rindler.html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4: </w:t>
      </w:r>
      <w:hyperlink r:id="rId65" w:history="1">
        <w:r w:rsidRPr="00115CF5">
          <w:rPr>
            <w:rStyle w:val="Hyperlink"/>
            <w:rFonts w:ascii="Book Antiqua" w:hAnsi="Book Antiqua"/>
            <w:i/>
            <w:szCs w:val="16"/>
          </w:rPr>
          <w:t>http://www.zamandayolculuk.com/cetinbal/elementaryparticles.htm</w:t>
        </w:r>
      </w:hyperlink>
    </w:p>
    <w:p w:rsidR="00AC4336" w:rsidRPr="00115CF5" w:rsidRDefault="00AC4336" w:rsidP="00AC4336">
      <w:pPr>
        <w:pStyle w:val="NoSpacing"/>
        <w:rPr>
          <w:rFonts w:ascii="Book Antiqua" w:hAnsi="Book Antiqua"/>
          <w:i/>
          <w:sz w:val="16"/>
          <w:szCs w:val="16"/>
        </w:rPr>
      </w:pPr>
      <w:r w:rsidRPr="00115CF5">
        <w:rPr>
          <w:rFonts w:ascii="Book Antiqua" w:hAnsi="Book Antiqua"/>
          <w:sz w:val="16"/>
          <w:szCs w:val="16"/>
        </w:rPr>
        <w:t xml:space="preserve">Figure 5: </w:t>
      </w:r>
      <w:hyperlink r:id="rId66" w:history="1">
        <w:r w:rsidRPr="00115CF5">
          <w:rPr>
            <w:rStyle w:val="Hyperlink"/>
            <w:rFonts w:ascii="Book Antiqua" w:hAnsi="Book Antiqua"/>
            <w:i/>
            <w:szCs w:val="16"/>
          </w:rPr>
          <w:t>http://sdsu-physics.org/physics180/physics180A/units/unit2/workandenergy.html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6: </w:t>
      </w:r>
      <w:hyperlink r:id="rId67" w:history="1">
        <w:r w:rsidRPr="00115CF5">
          <w:rPr>
            <w:rStyle w:val="Hyperlink"/>
            <w:rFonts w:ascii="Book Antiqua" w:hAnsi="Book Antiqua"/>
            <w:i/>
            <w:szCs w:val="16"/>
          </w:rPr>
          <w:t>http://members.wolfram.com/jeffb/visualization/stringtheory.shtml</w:t>
        </w:r>
      </w:hyperlink>
    </w:p>
    <w:p w:rsidR="00AC4336" w:rsidRPr="00115CF5" w:rsidRDefault="00AC4336" w:rsidP="00AC4336">
      <w:pPr>
        <w:pStyle w:val="NoSpacing"/>
        <w:jc w:val="both"/>
        <w:rPr>
          <w:rFonts w:ascii="Book Antiqua" w:hAnsi="Book Antiqua"/>
          <w:i/>
          <w:sz w:val="16"/>
          <w:szCs w:val="16"/>
        </w:rPr>
      </w:pPr>
      <w:r w:rsidRPr="00115CF5">
        <w:rPr>
          <w:rFonts w:ascii="Book Antiqua" w:hAnsi="Book Antiqua"/>
          <w:sz w:val="16"/>
          <w:szCs w:val="16"/>
        </w:rPr>
        <w:t>Figure 7:</w:t>
      </w:r>
      <w:r w:rsidRPr="00115CF5">
        <w:rPr>
          <w:rFonts w:ascii="Book Antiqua" w:hAnsi="Book Antiqua"/>
          <w:i/>
          <w:sz w:val="16"/>
          <w:szCs w:val="16"/>
        </w:rPr>
        <w:t xml:space="preserve"> </w:t>
      </w:r>
      <w:hyperlink r:id="rId68" w:history="1">
        <w:r w:rsidRPr="00115CF5">
          <w:rPr>
            <w:rStyle w:val="Hyperlink"/>
            <w:rFonts w:ascii="Book Antiqua" w:hAnsi="Book Antiqua"/>
            <w:i/>
            <w:szCs w:val="16"/>
          </w:rPr>
          <w:t>http://astro.ucla.edu/~wright/Lyman-alpha-forest.html</w:t>
        </w:r>
      </w:hyperlink>
    </w:p>
    <w:p w:rsidR="00AC4336" w:rsidRPr="007220EA" w:rsidRDefault="00AC4336" w:rsidP="00AC4336">
      <w:pPr>
        <w:pStyle w:val="NoSpacing"/>
        <w:rPr>
          <w:i/>
        </w:rPr>
      </w:pPr>
      <w:r w:rsidRPr="00115CF5">
        <w:rPr>
          <w:rFonts w:ascii="Book Antiqua" w:hAnsi="Book Antiqua"/>
          <w:sz w:val="16"/>
          <w:szCs w:val="16"/>
        </w:rPr>
        <w:t xml:space="preserve">Figure 8: </w:t>
      </w:r>
      <w:hyperlink r:id="rId69" w:history="1">
        <w:r w:rsidRPr="007220EA">
          <w:rPr>
            <w:rStyle w:val="Hyperlink"/>
            <w:rFonts w:ascii="Book Antiqua" w:hAnsi="Book Antiqua"/>
            <w:i/>
            <w:szCs w:val="16"/>
          </w:rPr>
          <w:t>http://astronomy.ua.edu/keel/agn/forest.html</w:t>
        </w:r>
      </w:hyperlink>
    </w:p>
    <w:p w:rsidR="007220EA" w:rsidRPr="007220EA" w:rsidRDefault="007220EA" w:rsidP="00AC4336">
      <w:pPr>
        <w:pStyle w:val="NoSpacing"/>
        <w:rPr>
          <w:rFonts w:ascii="Book Antiqua" w:hAnsi="Book Antiqua"/>
          <w:sz w:val="16"/>
          <w:szCs w:val="16"/>
        </w:rPr>
      </w:pPr>
      <w:r w:rsidRPr="007220EA">
        <w:rPr>
          <w:sz w:val="16"/>
          <w:szCs w:val="16"/>
        </w:rPr>
        <w:t>Figure 9: Wake turbulence from l aircraft</w:t>
      </w:r>
      <w:r>
        <w:rPr>
          <w:sz w:val="16"/>
          <w:szCs w:val="16"/>
        </w:rPr>
        <w:t xml:space="preserve">: </w:t>
      </w:r>
      <w:r w:rsidR="00057D91" w:rsidRPr="00057D91">
        <w:rPr>
          <w:i/>
          <w:sz w:val="16"/>
          <w:szCs w:val="16"/>
        </w:rPr>
        <w:t>http://en.wikipedia.org/wiki/Wake_turbulence</w:t>
      </w:r>
    </w:p>
    <w:p w:rsidR="00AC4336" w:rsidRPr="007220EA" w:rsidRDefault="00AC4336" w:rsidP="00AC4336">
      <w:pPr>
        <w:pStyle w:val="NoSpacing"/>
        <w:rPr>
          <w:rFonts w:ascii="Book Antiqua" w:hAnsi="Book Antiqua"/>
          <w:sz w:val="16"/>
          <w:szCs w:val="16"/>
        </w:rPr>
      </w:pPr>
    </w:p>
    <w:p w:rsidR="00153186" w:rsidRDefault="00AC4336" w:rsidP="00AC4336">
      <w:pPr>
        <w:jc w:val="center"/>
        <w:rPr>
          <w:rFonts w:ascii="Book Antiqua" w:hAnsi="Book Antiqua"/>
          <w:b/>
          <w:sz w:val="28"/>
          <w:szCs w:val="28"/>
        </w:rPr>
      </w:pPr>
      <w:r w:rsidRPr="00115CF5">
        <w:rPr>
          <w:rFonts w:ascii="Book Antiqua" w:hAnsi="Book Antiqua"/>
          <w:b/>
          <w:sz w:val="28"/>
          <w:szCs w:val="28"/>
        </w:rPr>
        <w:t>*  *  *  *  *  *  *</w:t>
      </w:r>
    </w:p>
    <w:p w:rsidR="00153186" w:rsidRDefault="00153186">
      <w:pPr>
        <w:widowControl/>
        <w:spacing w:after="200" w:line="276" w:lineRule="auto"/>
        <w:rPr>
          <w:rFonts w:ascii="Book Antiqua" w:hAnsi="Book Antiqua"/>
          <w:b/>
          <w:sz w:val="28"/>
          <w:szCs w:val="28"/>
        </w:rPr>
      </w:pPr>
      <w:r>
        <w:rPr>
          <w:rFonts w:ascii="Book Antiqua" w:hAnsi="Book Antiqua"/>
          <w:b/>
          <w:sz w:val="28"/>
          <w:szCs w:val="28"/>
        </w:rPr>
        <w:br w:type="page"/>
      </w:r>
    </w:p>
    <w:p w:rsidR="00EE348C" w:rsidRPr="00BE14F9" w:rsidRDefault="00EE348C" w:rsidP="00EE348C">
      <w:pPr>
        <w:pStyle w:val="Default"/>
        <w:jc w:val="center"/>
        <w:rPr>
          <w:rFonts w:ascii="Book Antiqua" w:hAnsi="Book Antiqua"/>
          <w:b/>
          <w:bCs/>
          <w:iCs/>
        </w:rPr>
      </w:pPr>
      <w:r w:rsidRPr="001C763F">
        <w:rPr>
          <w:rFonts w:ascii="Book Antiqua" w:hAnsi="Book Antiqua"/>
          <w:b/>
        </w:rPr>
        <w:lastRenderedPageBreak/>
        <w:t>Chapter 2:</w:t>
      </w:r>
      <w:r w:rsidRPr="00BE14F9">
        <w:rPr>
          <w:rFonts w:ascii="Book Antiqua" w:hAnsi="Book Antiqua"/>
          <w:b/>
        </w:rPr>
        <w:t xml:space="preserve"> </w:t>
      </w:r>
      <w:r w:rsidRPr="00FF3454">
        <w:rPr>
          <w:rFonts w:ascii="Book Antiqua" w:hAnsi="Book Antiqua"/>
          <w:b/>
          <w:i/>
        </w:rPr>
        <w:t>An Introduction to Planck’s Constant, h, and the Speed of Light, c.</w:t>
      </w:r>
    </w:p>
    <w:p w:rsidR="00EE348C" w:rsidRPr="00BE14F9" w:rsidRDefault="00EE348C" w:rsidP="00EE348C">
      <w:pPr>
        <w:pStyle w:val="NoSpacing"/>
        <w:rPr>
          <w:rFonts w:ascii="Book Antiqua" w:hAnsi="Book Antiqua"/>
          <w:b/>
          <w:sz w:val="20"/>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1. Zero Point Energy and Planck’s Constant, </w:t>
      </w:r>
      <w:r w:rsidRPr="00BE14F9">
        <w:rPr>
          <w:rFonts w:ascii="Book Antiqua" w:hAnsi="Book Antiqua" w:cs="Times New Roman"/>
          <w:i/>
          <w:sz w:val="20"/>
          <w:szCs w:val="20"/>
        </w:rPr>
        <w:t>h</w:t>
      </w:r>
      <w:r w:rsidRPr="00BE14F9">
        <w:rPr>
          <w:rFonts w:ascii="Book Antiqua" w:hAnsi="Book Antiqua" w:cs="Times New Roman"/>
          <w:sz w:val="20"/>
          <w:szCs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As noted before, Planck published his ‘second theory’ in 1911, demonstrating the existence of </w:t>
      </w:r>
      <w:r w:rsidR="001C763F">
        <w:rPr>
          <w:rFonts w:ascii="Book Antiqua" w:hAnsi="Book Antiqua"/>
          <w:sz w:val="20"/>
        </w:rPr>
        <w:t>a real</w:t>
      </w:r>
      <w:r w:rsidRPr="00BE14F9">
        <w:rPr>
          <w:rFonts w:ascii="Book Antiqua" w:hAnsi="Book Antiqua"/>
          <w:sz w:val="20"/>
        </w:rPr>
        <w:t xml:space="preserve"> ZPE. His equations revealed that Planck’s constant, </w:t>
      </w:r>
      <m:oMath>
        <m:r>
          <w:rPr>
            <w:rFonts w:ascii="Book Antiqua" w:hAnsi="Cambria Math"/>
            <w:sz w:val="18"/>
            <w:szCs w:val="18"/>
          </w:rPr>
          <m:t>h</m:t>
        </m:r>
      </m:oMath>
      <w:r w:rsidRPr="00BE14F9">
        <w:rPr>
          <w:rFonts w:ascii="Book Antiqua" w:hAnsi="Book Antiqua"/>
          <w:i/>
          <w:sz w:val="20"/>
        </w:rPr>
        <w:t>,</w:t>
      </w:r>
      <w:r w:rsidRPr="00BE14F9">
        <w:rPr>
          <w:rFonts w:ascii="Book Antiqua" w:hAnsi="Book Antiqua"/>
          <w:sz w:val="20"/>
        </w:rPr>
        <w:t xml:space="preserve"> was simply a scale factor which depended upon the ZPE strength. This meant that </w:t>
      </w:r>
      <m:oMath>
        <m:r>
          <w:rPr>
            <w:rFonts w:ascii="Book Antiqua" w:hAnsi="Cambria Math"/>
            <w:sz w:val="18"/>
            <w:szCs w:val="18"/>
          </w:rPr>
          <m:t>h</m:t>
        </m:r>
      </m:oMath>
      <w:r w:rsidRPr="00BE14F9">
        <w:rPr>
          <w:rFonts w:ascii="Book Antiqua" w:hAnsi="Book Antiqua"/>
          <w:sz w:val="20"/>
        </w:rPr>
        <w:t xml:space="preserve"> was a measure of the energy density of the ZPE, </w:t>
      </w:r>
      <m:oMath>
        <m:r>
          <w:rPr>
            <w:rFonts w:ascii="Cambria Math" w:hAnsi="Cambria Math"/>
            <w:sz w:val="18"/>
            <w:szCs w:val="18"/>
          </w:rPr>
          <m:t>U</m:t>
        </m:r>
      </m:oMath>
      <w:r w:rsidRPr="00BE14F9">
        <w:rPr>
          <w:rFonts w:ascii="Book Antiqua" w:hAnsi="Book Antiqua"/>
          <w:sz w:val="20"/>
        </w:rPr>
        <w:t>, as in (1) here.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df</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r>
          <w:rPr>
            <w:rFonts w:ascii="Cambria Math" w:hAnsi="Book Antiqua"/>
            <w:sz w:val="18"/>
            <w:szCs w:val="18"/>
          </w:rPr>
          <m:t xml:space="preserve"> = </m:t>
        </m:r>
        <m:r>
          <w:rPr>
            <w:rFonts w:ascii="Cambria Math" w:hAnsi="Cambria Math"/>
            <w:sz w:val="18"/>
            <w:szCs w:val="18"/>
          </w:rPr>
          <m:t>h</m:t>
        </m:r>
        <m:r>
          <w:rPr>
            <w:rFonts w:ascii="Cambria Math" w:hAnsi="Book Antiqua"/>
            <w:sz w:val="18"/>
            <w:szCs w:val="18"/>
          </w:rPr>
          <m:t xml:space="preserve"> (4</m:t>
        </m:r>
        <m:r>
          <w:rPr>
            <w:rFonts w:ascii="Cambria Math" w:hAnsi="Cambria Math"/>
            <w:sz w:val="18"/>
            <w:szCs w:val="18"/>
          </w:rPr>
          <m:t>π</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Therefore, if the ZPE strength, </w:t>
      </w:r>
      <m:oMath>
        <m:r>
          <w:rPr>
            <w:rFonts w:ascii="Cambria Math" w:hAnsi="Cambria Math"/>
            <w:sz w:val="18"/>
            <w:szCs w:val="18"/>
          </w:rPr>
          <m:t>U</m:t>
        </m:r>
      </m:oMath>
      <w:r w:rsidRPr="00BE14F9">
        <w:rPr>
          <w:rFonts w:ascii="Book Antiqua" w:hAnsi="Book Antiqua"/>
          <w:sz w:val="20"/>
        </w:rPr>
        <w:t>, increased,</w:t>
      </w:r>
      <w:r w:rsidRPr="00BE14F9">
        <w:rPr>
          <w:rFonts w:ascii="Book Antiqua" w:hAnsi="Book Antiqua"/>
          <w:i/>
          <w:sz w:val="20"/>
        </w:rPr>
        <w:t xml:space="preserve"> </w:t>
      </w:r>
      <m:oMath>
        <m:r>
          <w:rPr>
            <w:rFonts w:ascii="Book Antiqua" w:hAnsi="Cambria Math"/>
            <w:sz w:val="18"/>
            <w:szCs w:val="18"/>
          </w:rPr>
          <m:t>h</m:t>
        </m:r>
      </m:oMath>
      <w:r w:rsidRPr="00BE14F9">
        <w:rPr>
          <w:rFonts w:ascii="Book Antiqua" w:hAnsi="Book Antiqua"/>
          <w:i/>
          <w:sz w:val="20"/>
        </w:rPr>
        <w:t xml:space="preserve"> </w:t>
      </w:r>
      <w:r w:rsidRPr="00BE14F9">
        <w:rPr>
          <w:rFonts w:ascii="Book Antiqua" w:hAnsi="Book Antiqua"/>
          <w:sz w:val="20"/>
        </w:rPr>
        <w:t xml:space="preserve">must also increase proportionally. Thus we can write: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where </w:t>
      </w:r>
      <w:r w:rsidRPr="00BE14F9">
        <w:rPr>
          <w:rFonts w:ascii="Book Antiqua" w:hAnsi="Book Antiqua"/>
          <w:i/>
          <w:sz w:val="20"/>
        </w:rPr>
        <w:t>U</w:t>
      </w:r>
      <w:r w:rsidRPr="00BE14F9">
        <w:rPr>
          <w:rFonts w:ascii="Book Antiqua" w:hAnsi="Book Antiqua"/>
          <w:sz w:val="20"/>
        </w:rPr>
        <w:t xml:space="preserve"> is the energy density of the ZPE. This relationship may also be expressed as:</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241D2F"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position w:val="-8"/>
            <w:sz w:val="18"/>
            <w:szCs w:val="18"/>
            <w:vertAlign w:val="subscript"/>
          </w:rPr>
          <m:t xml:space="preserve"> </m:t>
        </m:r>
      </m:oMath>
      <w:r w:rsidR="00EE348C" w:rsidRPr="00BE14F9">
        <w:rPr>
          <w:rFonts w:ascii="Book Antiqua" w:hAnsi="Book Antiqua"/>
          <w:sz w:val="20"/>
        </w:rPr>
        <w:tab/>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(3)</w:t>
      </w:r>
    </w:p>
    <w:p w:rsidR="00EE348C" w:rsidRPr="00BE14F9" w:rsidRDefault="00EE348C" w:rsidP="00EE348C">
      <w:pPr>
        <w:pStyle w:val="NoSpacing"/>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In equation (3),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Pr="00BE14F9">
        <w:rPr>
          <w:rFonts w:ascii="Book Antiqua" w:hAnsi="Book Antiqua"/>
          <w:position w:val="-8"/>
          <w:sz w:val="20"/>
          <w:vertAlign w:val="subscript"/>
        </w:rPr>
        <w:t xml:space="preserve"> </w:t>
      </w:r>
      <w:r w:rsidRPr="00BE14F9">
        <w:rPr>
          <w:rFonts w:ascii="Book Antiqua" w:hAnsi="Book Antiqua"/>
          <w:sz w:val="20"/>
        </w:rPr>
        <w:t xml:space="preserve">is the present value of </w:t>
      </w:r>
      <m:oMath>
        <m:r>
          <w:rPr>
            <w:rFonts w:ascii="Cambria Math" w:hAnsi="Cambria Math"/>
            <w:sz w:val="18"/>
            <w:szCs w:val="18"/>
          </w:rPr>
          <m:t>h</m:t>
        </m:r>
      </m:oMath>
      <w:r w:rsidRPr="00BE14F9">
        <w:rPr>
          <w:rFonts w:ascii="Book Antiqua" w:hAnsi="Book Antiqua"/>
          <w:sz w:val="20"/>
        </w:rPr>
        <w:t xml:space="preserve">, while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oMath>
      <w:r w:rsidRPr="00BE14F9">
        <w:rPr>
          <w:rFonts w:ascii="Book Antiqua" w:hAnsi="Book Antiqua"/>
          <w:position w:val="-8"/>
          <w:sz w:val="20"/>
          <w:vertAlign w:val="subscript"/>
        </w:rPr>
        <w:t xml:space="preserve"> </w:t>
      </w:r>
      <w:r w:rsidRPr="00BE14F9">
        <w:rPr>
          <w:rFonts w:ascii="Book Antiqua" w:hAnsi="Book Antiqua"/>
          <w:sz w:val="20"/>
        </w:rPr>
        <w:t>is its value at some distant galaxy</w:t>
      </w:r>
      <w:r w:rsidRPr="001C763F">
        <w:rPr>
          <w:rFonts w:ascii="Book Antiqua" w:hAnsi="Book Antiqua"/>
          <w:sz w:val="20"/>
        </w:rPr>
        <w:t xml:space="preserve"> </w:t>
      </w:r>
      <w:r w:rsidR="008B1CEA">
        <w:rPr>
          <w:rFonts w:ascii="Book Antiqua" w:hAnsi="Book Antiqua"/>
          <w:sz w:val="20"/>
        </w:rPr>
        <w:t>(</w:t>
      </w:r>
      <w:r w:rsidRPr="001C763F">
        <w:rPr>
          <w:rFonts w:ascii="Book Antiqua" w:hAnsi="Book Antiqua"/>
          <w:sz w:val="20"/>
        </w:rPr>
        <w:t>and so at an earlier time</w:t>
      </w:r>
      <w:r w:rsidR="008B1CEA">
        <w:rPr>
          <w:rFonts w:ascii="Book Antiqua" w:hAnsi="Book Antiqua"/>
          <w:sz w:val="20"/>
        </w:rPr>
        <w:t>)</w:t>
      </w:r>
      <w:r w:rsidRPr="00BE14F9">
        <w:rPr>
          <w:rFonts w:ascii="Book Antiqua" w:hAnsi="Book Antiqua"/>
          <w:sz w:val="20"/>
        </w:rPr>
        <w:t xml:space="preserve">. This system will be adopted throughout this chapter.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 wealth of experimental evidence </w:t>
      </w:r>
      <w:r w:rsidRPr="008B1CEA">
        <w:rPr>
          <w:rFonts w:ascii="Book Antiqua" w:hAnsi="Book Antiqua"/>
          <w:sz w:val="20"/>
        </w:rPr>
        <w:t>was assessed</w:t>
      </w:r>
      <w:r w:rsidR="008B1CEA">
        <w:rPr>
          <w:rFonts w:ascii="Book Antiqua" w:hAnsi="Book Antiqua"/>
          <w:sz w:val="20"/>
        </w:rPr>
        <w:t xml:space="preserve"> qualified physicists</w:t>
      </w:r>
      <w:r w:rsidRPr="00BE14F9">
        <w:rPr>
          <w:rFonts w:ascii="Book Antiqua" w:hAnsi="Book Antiqua"/>
          <w:sz w:val="20"/>
        </w:rPr>
        <w:t xml:space="preserve"> before each internationally recommended value for the physical constants was issued and accepted. Nevertheless, a systematic variation in these constants is noted. The recommended (internationally accepted) values for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are shown in Table 1 and graphed in Figures 1 and 2. As noted, the value of </w:t>
      </w:r>
      <m:oMath>
        <m:r>
          <w:rPr>
            <w:rFonts w:ascii="Book Antiqua" w:hAnsi="Cambria Math"/>
            <w:sz w:val="18"/>
            <w:szCs w:val="18"/>
          </w:rPr>
          <m:t>h</m:t>
        </m:r>
      </m:oMath>
      <w:r w:rsidRPr="00BE14F9">
        <w:rPr>
          <w:rFonts w:ascii="Book Antiqua" w:hAnsi="Book Antiqua"/>
          <w:sz w:val="20"/>
        </w:rPr>
        <w:t xml:space="preserve"> increased systematically up to about 1970. Afterwards, the data show either a flat point or a small decline.</w:t>
      </w:r>
    </w:p>
    <w:p w:rsidR="00EE348C" w:rsidRPr="000E5755" w:rsidRDefault="00EE348C" w:rsidP="00EE348C">
      <w:pPr>
        <w:pStyle w:val="NoSpacing"/>
        <w:jc w:val="both"/>
        <w:rPr>
          <w:rFonts w:ascii="Book Antiqua" w:hAnsi="Book Antiqua"/>
          <w:i/>
          <w:sz w:val="20"/>
        </w:rPr>
      </w:pPr>
      <w:r w:rsidRPr="00BE14F9">
        <w:rPr>
          <w:rFonts w:ascii="Book Antiqua" w:hAnsi="Book Antiqua"/>
          <w:sz w:val="20"/>
        </w:rPr>
        <w:tab/>
      </w:r>
    </w:p>
    <w:p w:rsidR="00EE348C" w:rsidRPr="000E5755" w:rsidRDefault="00EE348C" w:rsidP="004E1CE7">
      <w:pPr>
        <w:pStyle w:val="NoSpacing"/>
        <w:jc w:val="center"/>
        <w:rPr>
          <w:rFonts w:ascii="Book Antiqua" w:hAnsi="Book Antiqua"/>
          <w:i/>
          <w:sz w:val="18"/>
          <w:szCs w:val="18"/>
        </w:rPr>
      </w:pPr>
      <w:r w:rsidRPr="000E5755">
        <w:rPr>
          <w:rFonts w:ascii="Book Antiqua" w:hAnsi="Book Antiqua"/>
          <w:b/>
          <w:sz w:val="18"/>
          <w:szCs w:val="18"/>
        </w:rPr>
        <w:t>Table 1</w:t>
      </w:r>
      <w:r w:rsidRPr="000E5755">
        <w:rPr>
          <w:rFonts w:ascii="Book Antiqua" w:hAnsi="Book Antiqua"/>
          <w:b/>
          <w:i/>
          <w:sz w:val="18"/>
          <w:szCs w:val="18"/>
        </w:rPr>
        <w:t>:</w:t>
      </w:r>
      <w:r w:rsidRPr="000E5755">
        <w:rPr>
          <w:rFonts w:ascii="Book Antiqua" w:hAnsi="Book Antiqua"/>
          <w:i/>
          <w:sz w:val="18"/>
          <w:szCs w:val="18"/>
        </w:rPr>
        <w:t xml:space="preserve"> </w:t>
      </w:r>
      <w:r w:rsidRPr="000E5755">
        <w:rPr>
          <w:rFonts w:ascii="Book Antiqua" w:hAnsi="Book Antiqua"/>
          <w:b/>
          <w:i/>
          <w:sz w:val="18"/>
          <w:szCs w:val="18"/>
        </w:rPr>
        <w:t xml:space="preserve">Internationally recommended values of </w:t>
      </w:r>
      <m:oMath>
        <m:r>
          <m:rPr>
            <m:sty m:val="bi"/>
          </m:rPr>
          <w:rPr>
            <w:rFonts w:ascii="Cambria Math" w:hAnsi="Cambria Math"/>
            <w:sz w:val="18"/>
            <w:szCs w:val="18"/>
          </w:rPr>
          <m:t>h</m:t>
        </m:r>
      </m:oMath>
      <w:r w:rsidRPr="000E5755">
        <w:rPr>
          <w:rFonts w:ascii="Book Antiqua" w:hAnsi="Book Antiqua"/>
          <w:b/>
          <w:i/>
          <w:sz w:val="18"/>
          <w:szCs w:val="18"/>
        </w:rPr>
        <w:t xml:space="preserve"> and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r w:rsidRPr="000E5755">
        <w:rPr>
          <w:rFonts w:ascii="Book Antiqua" w:hAnsi="Book Antiqua"/>
          <w:b/>
          <w:i/>
          <w:sz w:val="18"/>
          <w:szCs w:val="18"/>
        </w:rPr>
        <w:t>.</w:t>
      </w:r>
    </w:p>
    <w:p w:rsidR="00EE348C" w:rsidRPr="00BE14F9" w:rsidRDefault="00EE348C" w:rsidP="00EE348C">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4"/>
        <w:gridCol w:w="2324"/>
        <w:gridCol w:w="2324"/>
      </w:tblGrid>
      <w:tr w:rsidR="00EE348C" w:rsidRPr="00BE14F9" w:rsidTr="004E1CE7">
        <w:trPr>
          <w:trHeight w:val="260"/>
          <w:jc w:val="center"/>
        </w:trPr>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YEAR           REF.</w:t>
            </w:r>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oMath>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1939              [3]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6.6214</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1941              [4]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6.6242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1947              [5]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1.37926</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1950              [6]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6.62363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1.37928</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1952              [7]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1955              [8]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6.62517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1.37942</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1963              [9]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6.62559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1.379474</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1965              [10]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6.62592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1.379495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1969              [11]</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6.626196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1.3795234</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1973              [12]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6.626227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1.3795215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1986              [13]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6.6260755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1.37951075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1998              [14]</w:t>
            </w:r>
            <w:r w:rsidRPr="00E366A5">
              <w:rPr>
                <w:rFonts w:ascii="Book Antiqua" w:hAnsi="Book Antiqua"/>
                <w:b/>
                <w:color w:val="FF0000"/>
                <w:sz w:val="18"/>
                <w:szCs w:val="18"/>
              </w:rPr>
              <w:t xml:space="preserve">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6.62606876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1.37951011</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2002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6.62606930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1.37951016</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2006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2010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6.62606957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1.37951019</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1965, Sanders pointed out that the then increasing values for </w:t>
      </w:r>
      <m:oMath>
        <m:r>
          <w:rPr>
            <w:rFonts w:ascii="Cambria Math" w:hAnsi="Cambria Math"/>
            <w:sz w:val="18"/>
            <w:szCs w:val="18"/>
          </w:rPr>
          <m:t>h</m:t>
        </m:r>
      </m:oMath>
      <w:r w:rsidRPr="00BE14F9">
        <w:rPr>
          <w:rFonts w:ascii="Book Antiqua" w:hAnsi="Book Antiqua"/>
          <w:sz w:val="20"/>
        </w:rPr>
        <w:t xml:space="preserve"> could only partly be accounted for by the improvements in instrumental resolution [1]. One reviewer, preferring the changes in </w:t>
      </w:r>
      <m:oMath>
        <m:r>
          <w:rPr>
            <w:rFonts w:ascii="Cambria Math" w:hAnsi="Cambria Math"/>
            <w:sz w:val="18"/>
            <w:szCs w:val="18"/>
          </w:rPr>
          <m:t>h</m:t>
        </m:r>
      </m:oMath>
      <w:r w:rsidRPr="00BE14F9">
        <w:rPr>
          <w:rFonts w:ascii="Book Antiqua" w:hAnsi="Book Antiqua"/>
          <w:sz w:val="20"/>
        </w:rPr>
        <w:t xml:space="preserve"> to </w:t>
      </w:r>
      <w:r w:rsidR="00B07806">
        <w:rPr>
          <w:rFonts w:ascii="Book Antiqua" w:hAnsi="Book Antiqua"/>
          <w:sz w:val="20"/>
        </w:rPr>
        <w:t xml:space="preserve">merely </w:t>
      </w:r>
      <w:r w:rsidRPr="00BE14F9">
        <w:rPr>
          <w:rFonts w:ascii="Book Antiqua" w:hAnsi="Book Antiqua"/>
          <w:sz w:val="20"/>
        </w:rPr>
        <w:t>be a matter of instrumental improvements, nevertheless remarked that th</w:t>
      </w:r>
      <w:r w:rsidR="00B07806">
        <w:rPr>
          <w:rFonts w:ascii="Book Antiqua" w:hAnsi="Book Antiqua"/>
          <w:sz w:val="20"/>
        </w:rPr>
        <w:t>is</w:t>
      </w:r>
      <w:r w:rsidRPr="00BE14F9">
        <w:rPr>
          <w:rFonts w:ascii="Book Antiqua" w:hAnsi="Book Antiqua"/>
          <w:sz w:val="20"/>
        </w:rPr>
        <w:t xml:space="preserve"> </w:t>
      </w:r>
      <w:r w:rsidRPr="00BE14F9">
        <w:rPr>
          <w:rFonts w:ascii="Book Antiqua" w:hAnsi="Book Antiqua"/>
          <w:i/>
          <w:sz w:val="20"/>
        </w:rPr>
        <w:t>"may in part explain the trend in the figures, but I admit that such an explanation does not appear to be quantitatively adequate."</w:t>
      </w:r>
      <w:r w:rsidRPr="00BE14F9">
        <w:rPr>
          <w:rFonts w:ascii="Book Antiqua" w:hAnsi="Book Antiqua"/>
          <w:sz w:val="20"/>
        </w:rPr>
        <w:t>[2]</w:t>
      </w:r>
      <w:r w:rsidRPr="00BE14F9">
        <w:rPr>
          <w:rFonts w:ascii="Book Antiqua" w:hAnsi="Book Antiqua"/>
          <w:color w:val="FF0000"/>
          <w:sz w:val="20"/>
        </w:rPr>
        <w:t xml:space="preserve"> </w:t>
      </w:r>
      <w:r w:rsidRPr="00BE14F9">
        <w:rPr>
          <w:rFonts w:ascii="Book Antiqua" w:hAnsi="Book Antiqua"/>
          <w:sz w:val="20"/>
        </w:rPr>
        <w:t xml:space="preserve">That problem was compounded since other quantities such as </w:t>
      </w:r>
      <m:oMath>
        <m:r>
          <w:rPr>
            <w:rFonts w:ascii="Cambria Math" w:hAnsi="Cambria Math"/>
            <w:sz w:val="18"/>
            <w:szCs w:val="18"/>
          </w:rPr>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sz w:val="20"/>
        </w:rPr>
        <w:t xml:space="preserve"> is the electronic charge),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(the magnetic flux quantum), and </w:t>
      </w:r>
      <m:oMath>
        <m:r>
          <w:rPr>
            <w:rFonts w:ascii="Cambria Math" w:hAnsi="Book Antiqua"/>
            <w:sz w:val="18"/>
            <w:szCs w:val="18"/>
          </w:rPr>
          <m:t>2</m:t>
        </m:r>
        <m:r>
          <w:rPr>
            <w:rFonts w:ascii="Cambria Math" w:hAnsi="Cambria Math"/>
            <w:sz w:val="18"/>
            <w:szCs w:val="18"/>
          </w:rPr>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(the Josephson constant), all show </w:t>
      </w:r>
      <w:r w:rsidRPr="00BE14F9">
        <w:rPr>
          <w:rFonts w:ascii="Book Antiqua" w:hAnsi="Book Antiqua"/>
          <w:sz w:val="20"/>
        </w:rPr>
        <w:lastRenderedPageBreak/>
        <w:t xml:space="preserve">synchronous trends centered around 1970. They were each measured by different methods than those used to measure </w:t>
      </w:r>
      <m:oMath>
        <m:r>
          <w:rPr>
            <w:rFonts w:ascii="Cambria Math" w:hAnsi="Cambria Math"/>
            <w:sz w:val="18"/>
            <w:szCs w:val="18"/>
          </w:rPr>
          <m:t>h</m:t>
        </m:r>
      </m:oMath>
      <w:r w:rsidRPr="00BE14F9">
        <w:rPr>
          <w:rFonts w:ascii="Book Antiqua" w:hAnsi="Book Antiqua"/>
          <w:sz w:val="20"/>
        </w:rPr>
        <w:t>, and each had a large amount of experimental data to back up the listed value.</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tbl>
      <w:tblPr>
        <w:tblStyle w:val="TableGrid"/>
        <w:tblW w:w="0" w:type="auto"/>
        <w:jc w:val="center"/>
        <w:tblLook w:val="04A0"/>
      </w:tblPr>
      <w:tblGrid>
        <w:gridCol w:w="5295"/>
        <w:gridCol w:w="5118"/>
      </w:tblGrid>
      <w:tr w:rsidR="00EE348C" w:rsidRPr="00BE14F9" w:rsidTr="004E1CE7">
        <w:trPr>
          <w:jc w:val="center"/>
        </w:trPr>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3205997" cy="3790950"/>
                  <wp:effectExtent l="19050" t="0" r="0" b="0"/>
                  <wp:docPr id="9"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70" cstate="print">
                            <a:lum contrast="20000"/>
                          </a:blip>
                          <a:srcRect/>
                          <a:stretch>
                            <a:fillRect/>
                          </a:stretch>
                        </pic:blipFill>
                        <pic:spPr bwMode="auto">
                          <a:xfrm>
                            <a:off x="0" y="0"/>
                            <a:ext cx="3209833" cy="3795486"/>
                          </a:xfrm>
                          <a:prstGeom prst="rect">
                            <a:avLst/>
                          </a:prstGeom>
                          <a:noFill/>
                          <a:ln w="9525">
                            <a:noFill/>
                            <a:miter lim="800000"/>
                            <a:headEnd/>
                            <a:tailEnd/>
                          </a:ln>
                        </pic:spPr>
                      </pic:pic>
                    </a:graphicData>
                  </a:graphic>
                </wp:inline>
              </w:drawing>
            </w:r>
          </w:p>
        </w:tc>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3093505" cy="3790950"/>
                  <wp:effectExtent l="19050" t="0" r="0" b="0"/>
                  <wp:docPr id="13" name="Picture 5" descr="E:\ValuesOfHO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aluesOfHOverE.jpg"/>
                          <pic:cNvPicPr>
                            <a:picLocks noChangeAspect="1" noChangeArrowheads="1"/>
                          </pic:cNvPicPr>
                        </pic:nvPicPr>
                        <pic:blipFill>
                          <a:blip r:embed="rId71" cstate="print">
                            <a:lum contrast="20000"/>
                          </a:blip>
                          <a:srcRect r="4797"/>
                          <a:stretch>
                            <a:fillRect/>
                          </a:stretch>
                        </pic:blipFill>
                        <pic:spPr bwMode="auto">
                          <a:xfrm>
                            <a:off x="0" y="0"/>
                            <a:ext cx="3093505" cy="3790950"/>
                          </a:xfrm>
                          <a:prstGeom prst="rect">
                            <a:avLst/>
                          </a:prstGeom>
                          <a:noFill/>
                          <a:ln w="9525">
                            <a:noFill/>
                            <a:miter lim="800000"/>
                            <a:headEnd/>
                            <a:tailEnd/>
                          </a:ln>
                        </pic:spPr>
                      </pic:pic>
                    </a:graphicData>
                  </a:graphic>
                </wp:inline>
              </w:drawing>
            </w:r>
          </w:p>
        </w:tc>
      </w:tr>
    </w:tbl>
    <w:p w:rsidR="00EE348C" w:rsidRPr="00BE14F9" w:rsidRDefault="00EE348C" w:rsidP="00EE348C">
      <w:pPr>
        <w:pStyle w:val="NoSpacing"/>
        <w:jc w:val="both"/>
        <w:rPr>
          <w:rFonts w:ascii="Book Antiqua" w:hAnsi="Book Antiqua"/>
          <w:sz w:val="20"/>
        </w:rPr>
      </w:pPr>
    </w:p>
    <w:p w:rsidR="00EE348C" w:rsidRPr="00BE14F9" w:rsidRDefault="00EE348C" w:rsidP="004E1CE7">
      <w:pPr>
        <w:pStyle w:val="NoSpacing"/>
        <w:jc w:val="center"/>
        <w:rPr>
          <w:rFonts w:ascii="Book Antiqua" w:hAnsi="Book Antiqua"/>
          <w:sz w:val="20"/>
        </w:rPr>
      </w:pPr>
      <w:r w:rsidRPr="00F203B0">
        <w:rPr>
          <w:rFonts w:ascii="Book Antiqua" w:hAnsi="Book Antiqua"/>
          <w:b/>
          <w:i/>
          <w:sz w:val="18"/>
          <w:szCs w:val="18"/>
        </w:rPr>
        <w:t>Figure 1:</w:t>
      </w:r>
      <w:r w:rsidRPr="00F203B0">
        <w:rPr>
          <w:rFonts w:ascii="Book Antiqua" w:hAnsi="Book Antiqua"/>
          <w:i/>
          <w:sz w:val="18"/>
          <w:szCs w:val="18"/>
        </w:rPr>
        <w:t xml:space="preserve"> Graph of recommended values of Planck’s constant, </w:t>
      </w:r>
      <w:r w:rsidRPr="00F203B0">
        <w:rPr>
          <w:rFonts w:ascii="Book Antiqua" w:hAnsi="Book Antiqua"/>
          <w:sz w:val="18"/>
          <w:szCs w:val="18"/>
        </w:rPr>
        <w:t>h</w:t>
      </w:r>
      <w:r w:rsidRPr="00F203B0">
        <w:rPr>
          <w:rFonts w:ascii="Book Antiqua" w:hAnsi="Book Antiqua"/>
          <w:i/>
          <w:sz w:val="18"/>
          <w:szCs w:val="18"/>
        </w:rPr>
        <w:t xml:space="preserve"> (left) and  </w:t>
      </w:r>
      <w:r w:rsidRPr="00F203B0">
        <w:rPr>
          <w:rFonts w:ascii="Book Antiqua" w:hAnsi="Book Antiqua"/>
          <w:sz w:val="18"/>
          <w:szCs w:val="18"/>
        </w:rPr>
        <w:t>h/e</w:t>
      </w:r>
      <w:r w:rsidRPr="00F203B0">
        <w:rPr>
          <w:rFonts w:ascii="Book Antiqua" w:hAnsi="Book Antiqua"/>
          <w:i/>
          <w:sz w:val="18"/>
          <w:szCs w:val="18"/>
        </w:rPr>
        <w:t xml:space="preserve"> (right) with </w:t>
      </w:r>
      <w:r w:rsidRPr="00F203B0">
        <w:rPr>
          <w:rFonts w:ascii="Book Antiqua" w:hAnsi="Book Antiqua"/>
          <w:sz w:val="18"/>
          <w:szCs w:val="18"/>
        </w:rPr>
        <w:t>e</w:t>
      </w:r>
      <w:r w:rsidRPr="00F203B0">
        <w:rPr>
          <w:rFonts w:ascii="Book Antiqua" w:hAnsi="Book Antiqua"/>
          <w:i/>
          <w:sz w:val="18"/>
          <w:szCs w:val="18"/>
        </w:rPr>
        <w:t xml:space="preserve"> the electronic charge</w:t>
      </w:r>
      <w:r w:rsidRPr="00BE14F9">
        <w:rPr>
          <w:rFonts w:ascii="Book Antiqua" w:hAnsi="Book Antiqua"/>
          <w:sz w:val="20"/>
        </w:rPr>
        <w:t>.</w:t>
      </w:r>
    </w:p>
    <w:p w:rsidR="00EE348C" w:rsidRPr="00BE14F9" w:rsidRDefault="00EE348C" w:rsidP="00EE348C">
      <w:pPr>
        <w:pStyle w:val="NoSpacing"/>
        <w:jc w:val="both"/>
        <w:rPr>
          <w:rFonts w:ascii="Book Antiqua" w:hAnsi="Book Antiqua"/>
          <w:sz w:val="20"/>
        </w:rPr>
      </w:pPr>
    </w:p>
    <w:p w:rsidR="00EE348C" w:rsidRPr="00BE14F9" w:rsidRDefault="00EE348C" w:rsidP="00B07806">
      <w:pPr>
        <w:pStyle w:val="NoSpacing"/>
        <w:ind w:firstLine="720"/>
        <w:jc w:val="both"/>
        <w:rPr>
          <w:rFonts w:ascii="Book Antiqua" w:hAnsi="Book Antiqua"/>
          <w:sz w:val="20"/>
        </w:rPr>
      </w:pPr>
      <w:r w:rsidRPr="00BE14F9">
        <w:rPr>
          <w:rFonts w:ascii="Book Antiqua" w:hAnsi="Book Antiqua"/>
          <w:sz w:val="20"/>
        </w:rPr>
        <w:t xml:space="preserve">From the data in Table 1 and the graphs in Figure 1 (left and right), the trends in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become apparent. More complete data from individual experiments and a discussion about them can be found in </w:t>
      </w:r>
      <w:r w:rsidRPr="00BE14F9">
        <w:rPr>
          <w:rFonts w:ascii="Book Antiqua" w:hAnsi="Book Antiqua"/>
          <w:i/>
          <w:sz w:val="20"/>
        </w:rPr>
        <w:t>Atomic Constants, Light and Time</w:t>
      </w:r>
      <w:r w:rsidRPr="00BE14F9">
        <w:rPr>
          <w:rFonts w:ascii="Book Antiqua" w:hAnsi="Book Antiqua"/>
          <w:sz w:val="20"/>
        </w:rPr>
        <w:t xml:space="preserve">, available on the internet here: </w:t>
      </w:r>
      <w:hyperlink r:id="rId72" w:history="1">
        <w:r w:rsidRPr="00B07806">
          <w:rPr>
            <w:rStyle w:val="Hyperlink"/>
            <w:rFonts w:ascii="Book Antiqua" w:hAnsi="Book Antiqua"/>
            <w:i/>
            <w:sz w:val="20"/>
          </w:rPr>
          <w:t>www.setterfield.org/report/report.html</w:t>
        </w:r>
      </w:hyperlink>
      <w:r w:rsidRPr="00BE14F9">
        <w:rPr>
          <w:rFonts w:ascii="Book Antiqua" w:hAnsi="Book Antiqua"/>
          <w:sz w:val="20"/>
        </w:rPr>
        <w:t>.</w:t>
      </w:r>
    </w:p>
    <w:p w:rsidR="00EE348C" w:rsidRPr="00BE14F9" w:rsidRDefault="00EE348C" w:rsidP="00EE348C">
      <w:pPr>
        <w:pStyle w:val="NoSpacing"/>
        <w:jc w:val="both"/>
        <w:rPr>
          <w:rFonts w:ascii="Book Antiqua" w:hAnsi="Book Antiqua"/>
          <w:sz w:val="20"/>
          <w:u w:val="single"/>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2. The ZPE and the Speed of Light, </w:t>
      </w:r>
      <w:r w:rsidRPr="00BE14F9">
        <w:rPr>
          <w:rFonts w:ascii="Book Antiqua" w:hAnsi="Book Antiqua" w:cs="Times New Roman"/>
          <w:i/>
          <w:sz w:val="20"/>
          <w:szCs w:val="20"/>
        </w:rPr>
        <w:t>c</w:t>
      </w:r>
      <w:r w:rsidRPr="00BE14F9">
        <w:rPr>
          <w:rFonts w:ascii="Book Antiqua" w:hAnsi="Book Antiqua" w:cs="Times New Roman"/>
          <w:sz w:val="20"/>
          <w:szCs w:val="20"/>
        </w:rPr>
        <w:t xml:space="preserve">. </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 Data and the Invariance of hc.</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A variety of data accumulated from astronomical observations out to the frontiers of the cosmos indicate that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Cambria Math"/>
            <w:sz w:val="18"/>
            <w:szCs w:val="18"/>
          </w:rPr>
          <m:t>c</m:t>
        </m:r>
        <m:r>
          <w:rPr>
            <w:rFonts w:ascii="Cambria Math" w:hAnsi="Book Antiqua"/>
            <w:sz w:val="18"/>
            <w:szCs w:val="18"/>
          </w:rPr>
          <m:t xml:space="preserve"> = </m:t>
        </m:r>
        <m:r>
          <m:rPr>
            <m:sty m:val="bi"/>
          </m:rPr>
          <w:rPr>
            <w:rFonts w:ascii="Cambria Math" w:hAnsi="Cambria Math"/>
            <w:sz w:val="18"/>
            <w:szCs w:val="18"/>
          </w:rPr>
          <m:t>invariant</m:t>
        </m:r>
        <m:r>
          <w:rPr>
            <w:rFonts w:ascii="Cambria Math" w:hAnsi="Book Antiqua"/>
            <w:sz w:val="18"/>
            <w:szCs w:val="18"/>
          </w:rPr>
          <m:t xml:space="preserve">  </m:t>
        </m:r>
        <m:r>
          <w:rPr>
            <w:rFonts w:ascii="Cambria Math" w:hAnsi="Cambria Math"/>
            <w:sz w:val="18"/>
            <w:szCs w:val="18"/>
          </w:rPr>
          <m:t>so</m:t>
        </m:r>
        <m:r>
          <w:rPr>
            <w:rFonts w:ascii="Cambria Math" w:hAnsi="Book Antiqua"/>
            <w:sz w:val="18"/>
            <w:szCs w:val="18"/>
          </w:rPr>
          <m:t xml:space="preserve"> </m:t>
        </m:r>
        <m:r>
          <w:rPr>
            <w:rFonts w:ascii="Cambria Math" w:hAnsi="Cambria Math"/>
            <w:sz w:val="18"/>
            <w:szCs w:val="18"/>
          </w:rPr>
          <m:t>t</m:t>
        </m:r>
        <m:r>
          <w:rPr>
            <w:rFonts w:ascii="Book Antiqua" w:hAnsi="Cambria Math"/>
            <w:sz w:val="18"/>
            <w:szCs w:val="18"/>
          </w:rPr>
          <m:t>h</m:t>
        </m:r>
        <m:r>
          <w:rPr>
            <w:rFonts w:ascii="Cambria Math" w:hAnsi="Cambria Math"/>
            <w:sz w:val="18"/>
            <w:szCs w:val="18"/>
          </w:rPr>
          <m:t>at</m:t>
        </m:r>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This conclusion is supported to an accuracy of parts per million. Some of the early experiments were performed by Bahcall and Salpeter [16], Baum and Florentin-Nielsen [17] and Solheim et al [18]. Noerdlinger also obtained the early result that the quantity</w:t>
      </w:r>
      <w:r w:rsidRPr="00BE14F9">
        <w:rPr>
          <w:rFonts w:ascii="Book Antiqua" w:hAnsi="Book Antiqua"/>
          <w:i/>
          <w:sz w:val="20"/>
        </w:rPr>
        <w:t xml:space="preserve"> </w:t>
      </w:r>
      <m:oMath>
        <m:r>
          <w:rPr>
            <w:rFonts w:ascii="Cambria Math" w:hAnsi="Cambria Math"/>
            <w:sz w:val="18"/>
            <w:szCs w:val="18"/>
          </w:rPr>
          <m:t>d</m:t>
        </m:r>
        <m:r>
          <w:rPr>
            <w:rFonts w:ascii="Cambria Math" w:hAnsi="Book Antiqua"/>
            <w:sz w:val="18"/>
            <w:szCs w:val="18"/>
          </w:rPr>
          <m:t>[</m:t>
        </m:r>
        <m:r>
          <w:rPr>
            <w:rFonts w:ascii="Cambria Math" w:hAnsi="Cambria Math"/>
            <w:sz w:val="18"/>
            <w:szCs w:val="18"/>
          </w:rPr>
          <m:t>ln</m:t>
        </m:r>
        <m:r>
          <w:rPr>
            <w:rFonts w:ascii="Cambria Math" w:hAnsi="Book Antiqua"/>
            <w:sz w:val="18"/>
            <w:szCs w:val="18"/>
          </w:rPr>
          <m:t>(</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dz</m:t>
        </m:r>
        <m:r>
          <w:rPr>
            <w:rFonts w:ascii="Cambria Math" w:hAnsi="Book Antiqua"/>
            <w:sz w:val="18"/>
            <w:szCs w:val="18"/>
          </w:rPr>
          <m:t xml:space="preserve"> </m:t>
        </m:r>
        <m:r>
          <w:rPr>
            <w:rFonts w:ascii="Book Antiqua" w:hAnsi="Book Antiqua"/>
            <w:sz w:val="18"/>
            <w:szCs w:val="18"/>
            <w:u w:val="single"/>
          </w:rPr>
          <m:t>≤</m:t>
        </m:r>
        <m:r>
          <w:rPr>
            <w:rFonts w:ascii="Cambria Math" w:hAnsi="Book Antiqua"/>
            <w:sz w:val="18"/>
            <w:szCs w:val="18"/>
            <w:u w:val="single"/>
          </w:rPr>
          <m:t xml:space="preserve"> </m:t>
        </m:r>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1</m:t>
        </m:r>
        <m:sSup>
          <m:sSupPr>
            <m:ctrlPr>
              <w:rPr>
                <w:rFonts w:ascii="Cambria Math" w:hAnsi="Book Antiqua"/>
                <w:i/>
                <w:sz w:val="18"/>
                <w:szCs w:val="18"/>
              </w:rPr>
            </m:ctrlPr>
          </m:sSupPr>
          <m:e>
            <m:r>
              <w:rPr>
                <w:rFonts w:ascii="Cambria Math" w:hAnsi="Book Antiqua"/>
                <w:sz w:val="18"/>
                <w:szCs w:val="18"/>
              </w:rPr>
              <m:t>0</m:t>
            </m:r>
          </m:e>
          <m:sup>
            <m:r>
              <w:rPr>
                <w:rFonts w:ascii="Book Antiqua" w:hAnsi="Book Antiqua"/>
                <w:sz w:val="18"/>
                <w:szCs w:val="18"/>
              </w:rPr>
              <m:t>-</m:t>
            </m:r>
            <m:r>
              <w:rPr>
                <w:rFonts w:ascii="Cambria Math" w:hAnsi="Book Antiqua"/>
                <w:sz w:val="18"/>
                <w:szCs w:val="18"/>
              </w:rPr>
              <m:t>4</m:t>
            </m:r>
          </m:sup>
        </m:sSup>
      </m:oMath>
      <w:r w:rsidRPr="00BE14F9">
        <w:rPr>
          <w:rFonts w:ascii="Book Antiqua" w:hAnsi="Book Antiqua"/>
          <w:sz w:val="20"/>
        </w:rPr>
        <w:t xml:space="preserve">, where </w:t>
      </w:r>
      <m:oMath>
        <m:r>
          <w:rPr>
            <w:rFonts w:ascii="Cambria Math" w:hAnsi="Cambria Math"/>
            <w:sz w:val="18"/>
            <w:szCs w:val="18"/>
          </w:rPr>
          <m:t>z</m:t>
        </m:r>
      </m:oMath>
      <w:r w:rsidRPr="00BE14F9">
        <w:rPr>
          <w:rFonts w:ascii="Book Antiqua" w:hAnsi="Book Antiqua"/>
          <w:sz w:val="20"/>
        </w:rPr>
        <w:t xml:space="preserve"> is the redshift</w:t>
      </w:r>
      <w:r w:rsidR="00AA513F">
        <w:rPr>
          <w:rFonts w:ascii="Book Antiqua" w:hAnsi="Book Antiqua"/>
          <w:sz w:val="20"/>
        </w:rPr>
        <w:t xml:space="preserve"> [19]</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15215C" w:rsidRDefault="00EE348C" w:rsidP="0015215C">
      <w:pPr>
        <w:pStyle w:val="NoSpacing"/>
        <w:jc w:val="both"/>
        <w:rPr>
          <w:rFonts w:ascii="Book Antiqua" w:hAnsi="Book Antiqua"/>
          <w:sz w:val="20"/>
        </w:rPr>
      </w:pPr>
      <w:r w:rsidRPr="00BE14F9">
        <w:rPr>
          <w:rFonts w:ascii="Book Antiqua" w:hAnsi="Book Antiqua"/>
          <w:sz w:val="20"/>
        </w:rPr>
        <w:tab/>
        <w:t xml:space="preserve">More recent studies have focused on the fine structure constant,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[20]. This constant is a combination of four quantities such that </w:t>
      </w:r>
      <m:oMath>
        <m:r>
          <w:rPr>
            <w:rFonts w:ascii="Cambria Math" w:hAnsi="Cambria Math"/>
            <w:sz w:val="18"/>
            <w:szCs w:val="18"/>
          </w:rPr>
          <m:t>α</m:t>
        </m:r>
        <m:r>
          <w:rPr>
            <w:rFonts w:ascii="Cambria Math" w:hAnsi="Book Antiqua"/>
            <w:sz w:val="18"/>
            <w:szCs w:val="18"/>
          </w:rPr>
          <m:t xml:space="preserve"> = [</m:t>
        </m:r>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][1/(2</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is the electronic charge, and </w:t>
      </w:r>
      <m:oMath>
        <m:r>
          <w:rPr>
            <w:rFonts w:ascii="Cambria Math" w:hAnsi="Cambria Math"/>
            <w:sz w:val="18"/>
            <w:szCs w:val="18"/>
          </w:rPr>
          <m:t>ε</m:t>
        </m:r>
      </m:oMath>
      <w:r w:rsidRPr="00BE14F9">
        <w:rPr>
          <w:rFonts w:ascii="Book Antiqua" w:hAnsi="Book Antiqua"/>
          <w:sz w:val="20"/>
        </w:rPr>
        <w:t xml:space="preserve"> the vacuum permittivity. Early observations have unequivocally shown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is cosmologically invariant as in (4). However, observational evidence has </w:t>
      </w:r>
      <w:r w:rsidRPr="00BE14F9">
        <w:rPr>
          <w:rFonts w:ascii="Book Antiqua" w:hAnsi="Book Antiqua"/>
          <w:sz w:val="20"/>
        </w:rPr>
        <w:lastRenderedPageBreak/>
        <w:t xml:space="preserve">shown that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iCs/>
          <w:sz w:val="20"/>
        </w:rPr>
        <w:t xml:space="preserve">is also stable to one part in a million [21]. Given the data that leads to (4), these results </w:t>
      </w:r>
      <w:r w:rsidRPr="00BE14F9">
        <w:rPr>
          <w:rFonts w:ascii="Book Antiqua" w:hAnsi="Book Antiqua"/>
          <w:sz w:val="20"/>
        </w:rPr>
        <w:t xml:space="preserve">also require that throughout the cosmos </w:t>
      </w:r>
    </w:p>
    <w:p w:rsidR="0015215C" w:rsidRDefault="0015215C" w:rsidP="0015215C">
      <w:pPr>
        <w:pStyle w:val="NoSpacing"/>
        <w:jc w:val="both"/>
        <w:rPr>
          <w:rFonts w:ascii="Book Antiqua" w:hAnsi="Book Antiqua"/>
          <w:sz w:val="20"/>
        </w:rPr>
      </w:pPr>
    </w:p>
    <w:p w:rsidR="00EE348C" w:rsidRPr="00BE14F9" w:rsidRDefault="00241D2F" w:rsidP="0015215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constant</m:t>
        </m:r>
      </m:oMath>
      <w:r w:rsidR="00EE348C" w:rsidRPr="00BE14F9">
        <w:rPr>
          <w:rFonts w:ascii="Book Antiqua" w:hAnsi="Book Antiqua"/>
          <w:iCs/>
          <w:sz w:val="20"/>
        </w:rPr>
        <w:tab/>
        <w:t>.</w:t>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(5)</w:t>
      </w:r>
    </w:p>
    <w:p w:rsidR="0015215C" w:rsidRDefault="0015215C" w:rsidP="009A5FF9">
      <w:pPr>
        <w:pStyle w:val="NoSpacing"/>
        <w:ind w:firstLine="720"/>
        <w:jc w:val="both"/>
        <w:rPr>
          <w:rFonts w:ascii="Book Antiqua" w:hAnsi="Book Antiqua"/>
          <w:sz w:val="20"/>
        </w:rPr>
      </w:pPr>
    </w:p>
    <w:p w:rsidR="00EE348C" w:rsidRPr="00BE14F9" w:rsidRDefault="00EE348C" w:rsidP="009A5FF9">
      <w:pPr>
        <w:pStyle w:val="NoSpacing"/>
        <w:ind w:firstLine="720"/>
        <w:jc w:val="both"/>
        <w:rPr>
          <w:rFonts w:ascii="Book Antiqua" w:hAnsi="Book Antiqua"/>
          <w:sz w:val="20"/>
        </w:rPr>
      </w:pPr>
      <w:r w:rsidRPr="00BE14F9">
        <w:rPr>
          <w:rFonts w:ascii="Book Antiqua" w:hAnsi="Book Antiqua"/>
          <w:sz w:val="20"/>
        </w:rPr>
        <w:t xml:space="preserve">The basic constancy of (5) over astronomical time was established early on by Dyson [22], Peres [23], Bahcall and Schmidt [24], and Wesson [25]. However, an exception can occur in strong gravitational fields as shown in [26]. This is due to a change in the self-energy of the system that is analogous to the change in the stored energy of a charged air capacitor taken to a region of differing dielectric constant.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data, which uphold the constancy of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are often taken as applying tight restrictions on any variability of the speed of light on a cosmological time scale. This has been the research of John Webb for a number of years [27]. Recently it has been suggested that the fine structure constant may vary in space rather than time. However small these claims of variation may be, any actual variation has yet to be proved.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have been some very small suspected changes in the value of the fine structure constant, </w:t>
      </w:r>
      <m:oMath>
        <m:r>
          <w:rPr>
            <w:rFonts w:ascii="Cambria Math" w:hAnsi="Cambria Math"/>
            <w:sz w:val="18"/>
            <w:szCs w:val="18"/>
          </w:rPr>
          <m:t>a</m:t>
        </m:r>
      </m:oMath>
      <w:r w:rsidRPr="00BE14F9">
        <w:rPr>
          <w:rFonts w:ascii="Book Antiqua" w:hAnsi="Book Antiqua"/>
          <w:sz w:val="20"/>
        </w:rPr>
        <w:t xml:space="preserve">.  For this reason, those holding to a minimalist position on the variation of atomic constants have stated that </w:t>
      </w:r>
      <w:r w:rsidRPr="00BE14F9">
        <w:rPr>
          <w:rFonts w:ascii="Book Antiqua" w:hAnsi="Book Antiqua"/>
          <w:i/>
          <w:sz w:val="20"/>
        </w:rPr>
        <w:t>c</w:t>
      </w:r>
      <w:r w:rsidRPr="00BE14F9">
        <w:rPr>
          <w:rFonts w:ascii="Book Antiqua" w:hAnsi="Book Antiqua"/>
          <w:sz w:val="20"/>
        </w:rPr>
        <w:t xml:space="preserve"> cannot vary by any more than 1 part in about a million throughout astronomical time.  However, if the ZPE approach is adopted, it is expected that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will remain fixed, and the extent of any individual variation in </w:t>
      </w:r>
      <m:oMath>
        <m:r>
          <w:rPr>
            <w:rFonts w:ascii="Book Antiqua" w:hAnsi="Cambria Math"/>
            <w:sz w:val="18"/>
            <w:szCs w:val="18"/>
          </w:rPr>
          <m:t>h</m:t>
        </m:r>
      </m:oMath>
      <w:r w:rsidRPr="00BE14F9">
        <w:rPr>
          <w:rFonts w:ascii="Book Antiqua" w:hAnsi="Book Antiqua"/>
          <w:sz w:val="20"/>
        </w:rPr>
        <w:t xml:space="preserve"> and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separately cannot be deduced from these data alone.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This then indicates that quantities like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sz w:val="20"/>
        </w:rPr>
        <w:t>,</w:t>
      </w:r>
      <w:r w:rsidRPr="00BE14F9">
        <w:rPr>
          <w:rFonts w:ascii="Book Antiqua" w:hAnsi="Book Antiqua"/>
          <w:sz w:val="20"/>
        </w:rPr>
        <w:t xml:space="preserve"> or the fine structure constant, </w:t>
      </w:r>
      <m:oMath>
        <m:r>
          <w:rPr>
            <w:rFonts w:ascii="Cambria Math" w:hAnsi="Cambria Math"/>
            <w:sz w:val="18"/>
            <w:szCs w:val="18"/>
          </w:rPr>
          <m:t>α</m:t>
        </m:r>
      </m:oMath>
      <w:r w:rsidRPr="00BE14F9">
        <w:rPr>
          <w:rFonts w:ascii="Book Antiqua" w:hAnsi="Book Antiqua"/>
          <w:i/>
          <w:sz w:val="20"/>
        </w:rPr>
        <w:t>,</w:t>
      </w:r>
      <w:r w:rsidRPr="00BE14F9">
        <w:rPr>
          <w:rFonts w:ascii="Book Antiqua" w:hAnsi="Book Antiqua"/>
          <w:sz w:val="20"/>
        </w:rPr>
        <w:t xml:space="preserve"> can themselves be invariant while, at the same time, their component parts may vary synchronously. Wesson was aware of just such a possibility. He wrote: </w:t>
      </w:r>
      <w:r w:rsidRPr="00BE14F9">
        <w:rPr>
          <w:rFonts w:ascii="Book Antiqua" w:hAnsi="Book Antiqua"/>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BE14F9">
        <w:rPr>
          <w:rFonts w:ascii="Book Antiqua" w:hAnsi="Book Antiqua"/>
          <w:sz w:val="20"/>
        </w:rPr>
        <w:t xml:space="preserve"> [25, 28]</w:t>
      </w:r>
      <w:r w:rsidRPr="00BE14F9">
        <w:rPr>
          <w:rFonts w:ascii="Book Antiqua" w:hAnsi="Book Antiqua"/>
          <w:color w:val="FF0000"/>
          <w:sz w:val="20"/>
        </w:rPr>
        <w:t xml:space="preserve">  </w:t>
      </w:r>
      <w:r w:rsidRPr="00BE14F9">
        <w:rPr>
          <w:rFonts w:ascii="Book Antiqua" w:hAnsi="Book Antiqua"/>
          <w:sz w:val="20"/>
        </w:rPr>
        <w:t xml:space="preserve">A simple example can be shown with the number “12.”  The </w:t>
      </w:r>
      <w:r w:rsidR="008B1CEA">
        <w:rPr>
          <w:rFonts w:ascii="Book Antiqua" w:hAnsi="Book Antiqua"/>
          <w:sz w:val="20"/>
        </w:rPr>
        <w:t>product</w:t>
      </w:r>
      <w:r w:rsidRPr="00BE14F9">
        <w:rPr>
          <w:rFonts w:ascii="Book Antiqua" w:hAnsi="Book Antiqua"/>
          <w:sz w:val="20"/>
        </w:rPr>
        <w:t xml:space="preserve"> of 12 will remain constant whether we get there by </w:t>
      </w:r>
      <m:oMath>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BE14F9">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BE14F9">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BE14F9">
        <w:rPr>
          <w:rFonts w:ascii="Book Antiqua" w:hAnsi="Book Antiqua"/>
          <w:sz w:val="20"/>
        </w:rPr>
        <w:t xml:space="preserve">.  In the same way,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can remain constant if </w:t>
      </w:r>
      <m:oMath>
        <m:r>
          <w:rPr>
            <w:rFonts w:ascii="Book Antiqua" w:hAnsi="Cambria Math"/>
            <w:sz w:val="18"/>
            <w:szCs w:val="18"/>
          </w:rPr>
          <m:t>h</m:t>
        </m:r>
      </m:oMath>
      <w:r w:rsidRPr="00BE14F9">
        <w:rPr>
          <w:rFonts w:ascii="Book Antiqua" w:hAnsi="Book Antiqua"/>
          <w:sz w:val="20"/>
        </w:rPr>
        <w:t xml:space="preserve"> increases at the same time </w:t>
      </w:r>
      <m:oMath>
        <m:r>
          <w:rPr>
            <w:rFonts w:ascii="Cambria Math" w:hAnsi="Cambria Math"/>
            <w:sz w:val="18"/>
            <w:szCs w:val="18"/>
          </w:rPr>
          <m:t>c</m:t>
        </m:r>
      </m:oMath>
      <w:r w:rsidRPr="00BE14F9">
        <w:rPr>
          <w:rFonts w:ascii="Book Antiqua" w:hAnsi="Book Antiqua"/>
          <w:sz w:val="20"/>
        </w:rPr>
        <w:t xml:space="preserve"> decreases, or vice versa.</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We therefore need to look at the speed of light data independently, as well as examine the theoretical base that supports these data in a varying ZPE context. Let us begin by considering results obtained from experiments with the Casimir effect, and the discussion that surrounded them.</w:t>
      </w:r>
    </w:p>
    <w:p w:rsidR="00EE348C" w:rsidRPr="00BE14F9" w:rsidRDefault="00EE348C" w:rsidP="00EE348C">
      <w:pPr>
        <w:pStyle w:val="NoSpacing"/>
        <w:ind w:firstLine="720"/>
        <w:jc w:val="both"/>
        <w:rPr>
          <w:rFonts w:ascii="Book Antiqua" w:hAnsi="Book Antiqua"/>
          <w:b/>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2.2 The Casimir Effect and the Speed of Light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the Casimir experiments, the energy density of a vacuum in a flask is locally lowered between two enclosed metal plates, as they are brought closer together, when compared with the vacuum outside the plates. This occurs because long wavelengths of the ZPE are excluded and exert an excess pressure from outside the plates, </w:t>
      </w:r>
      <w:r w:rsidR="008B1CEA">
        <w:rPr>
          <w:rFonts w:ascii="Book Antiqua" w:hAnsi="Book Antiqua"/>
          <w:sz w:val="20"/>
        </w:rPr>
        <w:t>as previously explained</w:t>
      </w:r>
      <w:r w:rsidRPr="00BE14F9">
        <w:rPr>
          <w:rFonts w:ascii="Book Antiqua" w:hAnsi="Book Antiqua"/>
          <w:sz w:val="20"/>
        </w:rPr>
        <w:t xml:space="preserve">. In the meantime, studies of the Casimir effect have revealed that changes in the energy density of the ZPE would also result in changes in lightspeed.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February and March of 1990, Klaus Scharnhorst at the Humboldt University in Berlin, and Gabriel Barton of the University of Sussex in Brighton, England investigated the effects of this lower energy density between the Casimir plates more thoroughly. Scharnhorst used QED theory to calculate what happens to light travelling between the Casimir plates. He states in his Abstract that any change in vacuum energy density </w:t>
      </w:r>
      <w:r w:rsidRPr="00BE14F9">
        <w:rPr>
          <w:rFonts w:ascii="Book Antiqua" w:hAnsi="Book Antiqua"/>
          <w:i/>
          <w:sz w:val="20"/>
        </w:rPr>
        <w:t>“in the simplest terms consists in causing a change in the velocity of light.”</w:t>
      </w:r>
      <w:r w:rsidRPr="00BE14F9">
        <w:rPr>
          <w:rFonts w:ascii="Book Antiqua" w:hAnsi="Book Antiqua"/>
          <w:sz w:val="20"/>
        </w:rPr>
        <w:t xml:space="preserve"> [29] Scharnhorst elaborated: </w:t>
      </w:r>
      <w:r w:rsidRPr="00BE14F9">
        <w:rPr>
          <w:rFonts w:ascii="Book Antiqua" w:hAnsi="Book Antiqua"/>
          <w:i/>
          <w:sz w:val="20"/>
        </w:rPr>
        <w:t>“This is simply the result of the change in the vacuum structure enforced by the plates.”</w:t>
      </w:r>
      <w:r w:rsidRPr="00BE14F9">
        <w:rPr>
          <w:rFonts w:ascii="Book Antiqua" w:hAnsi="Book Antiqua"/>
          <w:sz w:val="20"/>
        </w:rPr>
        <w:t xml:space="preserve"> [30] He concludes: </w:t>
      </w:r>
      <w:r w:rsidRPr="00BE14F9">
        <w:rPr>
          <w:rFonts w:ascii="Book Antiqua" w:hAnsi="Book Antiqua"/>
          <w:i/>
          <w:sz w:val="20"/>
        </w:rPr>
        <w:t>“In the simplest terms the impact of the plates on the propagation of light in the vacuum between them can be described by saying that they cause a change (more precisely a raising) in the velocity of light for electromagnetic waves propagating perpendicular to the plates…”</w:t>
      </w:r>
      <w:r w:rsidRPr="00BE14F9">
        <w:rPr>
          <w:rFonts w:ascii="Book Antiqua" w:hAnsi="Book Antiqua"/>
          <w:sz w:val="20"/>
        </w:rPr>
        <w:t xml:space="preserve"> [29]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Barton also used the quantum interaction laws of QED physics, but took a somewhat different approach. He states:</w:t>
      </w:r>
      <w:r w:rsidRPr="00BE14F9">
        <w:rPr>
          <w:rFonts w:ascii="Book Antiqua" w:hAnsi="Book Antiqua"/>
          <w:i/>
          <w:sz w:val="20"/>
        </w:rPr>
        <w:t xml:space="preserve"> “But (as known from the Casimir effect) the intensity of the zero-point field between parallel mirrors is less than unbounded </w:t>
      </w:r>
      <w:r w:rsidRPr="00BE14F9">
        <w:rPr>
          <w:rFonts w:ascii="Book Antiqua" w:hAnsi="Book Antiqua"/>
          <w:i/>
          <w:sz w:val="20"/>
        </w:rPr>
        <w:lastRenderedPageBreak/>
        <w:t xml:space="preserve">space, which for light normal to the mirrors entails a refractive index </w:t>
      </w:r>
      <m:oMath>
        <m:r>
          <w:rPr>
            <w:rFonts w:ascii="Cambria Math" w:hAnsi="Cambria Math" w:cs="PBADFD+TimesNewRoman,Italic"/>
            <w:sz w:val="18"/>
            <w:szCs w:val="18"/>
          </w:rPr>
          <m:t>n</m:t>
        </m:r>
        <m:r>
          <w:rPr>
            <w:rFonts w:ascii="Cambria Math" w:hAnsi="Book Antiqua" w:cs="PBADFD+TimesNewRoman,Italic"/>
            <w:sz w:val="18"/>
            <w:szCs w:val="18"/>
          </w:rPr>
          <m:t xml:space="preserve"> &lt; 1</m:t>
        </m:r>
      </m:oMath>
      <w:r w:rsidRPr="00BE14F9">
        <w:rPr>
          <w:rFonts w:ascii="Book Antiqua" w:hAnsi="Book Antiqua"/>
          <w:i/>
          <w:sz w:val="20"/>
        </w:rPr>
        <w:t xml:space="preserve"> and speed </w:t>
      </w:r>
      <m:oMath>
        <m:r>
          <w:rPr>
            <w:rFonts w:ascii="Cambria Math" w:hAnsi="Cambria Math" w:cs="PBADFD+TimesNewRoman,Italic"/>
            <w:sz w:val="18"/>
            <w:szCs w:val="18"/>
          </w:rPr>
          <m:t>c</m:t>
        </m:r>
        <m:r>
          <w:rPr>
            <w:rFonts w:ascii="Cambria Math" w:hAnsi="Book Antiqua" w:cs="PBADFD+TimesNewRoman,Italic"/>
            <w:sz w:val="18"/>
            <w:szCs w:val="18"/>
          </w:rPr>
          <m:t>/</m:t>
        </m:r>
        <m:r>
          <w:rPr>
            <w:rFonts w:ascii="Cambria Math" w:hAnsi="Cambria Math" w:cs="PBADFD+TimesNewRoman,Italic"/>
            <w:sz w:val="18"/>
            <w:szCs w:val="18"/>
          </w:rPr>
          <m:t>n</m:t>
        </m:r>
        <m:r>
          <w:rPr>
            <w:rFonts w:ascii="Cambria Math" w:hAnsi="Book Antiqua" w:cs="PBADFD+TimesNewRoman,Italic"/>
            <w:sz w:val="18"/>
            <w:szCs w:val="18"/>
          </w:rPr>
          <m:t xml:space="preserve"> &gt; </m:t>
        </m:r>
        <m:r>
          <w:rPr>
            <w:rFonts w:ascii="Cambria Math" w:hAnsi="Cambria Math" w:cs="PBADFD+TimesNewRoman,Italic"/>
            <w:sz w:val="18"/>
            <w:szCs w:val="18"/>
          </w:rPr>
          <m:t>c</m:t>
        </m:r>
      </m:oMath>
      <w:r w:rsidRPr="00BE14F9">
        <w:rPr>
          <w:rFonts w:ascii="Book Antiqua" w:hAnsi="Book Antiqua"/>
          <w:i/>
          <w:sz w:val="20"/>
        </w:rPr>
        <w:t>, as Scharnhorst has recently found by other arguments."</w:t>
      </w:r>
      <w:r w:rsidRPr="00BE14F9">
        <w:rPr>
          <w:rFonts w:ascii="Book Antiqua" w:hAnsi="Book Antiqua"/>
          <w:sz w:val="20"/>
        </w:rPr>
        <w:t xml:space="preserve">[31] Barton concluded: </w:t>
      </w:r>
      <w:r w:rsidRPr="00BE14F9">
        <w:rPr>
          <w:rFonts w:ascii="Book Antiqua" w:hAnsi="Book Antiqua"/>
          <w:i/>
          <w:sz w:val="20"/>
        </w:rPr>
        <w:t>“One could say that between parallel mirrors, even at zero temperature, there is a disturbance of the electromagnetic field, and it is as if between the mirrors, the energy density of the electromagnetic field were less than zero. So it seemed to me that if a positive energy density makes light go slower, then, in a sense, a negative energy density, such as you have between mirrors, would make light go faster.”</w:t>
      </w:r>
      <w:r w:rsidRPr="00BE14F9">
        <w:rPr>
          <w:rFonts w:ascii="Book Antiqua" w:hAnsi="Book Antiqua"/>
          <w:sz w:val="20"/>
        </w:rPr>
        <w:t xml:space="preserve">[30] So where Scharnhorst noted that changes in the structure of the vacuum affected the speed of light, Barton rightly concluded that it was the electromagnetic properties of that vacuum which were responsible.  In other words, Barton is saying that if energy density of space is less than normal, the speed of light is faster; if it is greater than what we know as normal, then light slows. The words “energy density” mean the strength of the Zero Point Energy.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Stephen Barnett commented in </w:t>
      </w:r>
      <w:r w:rsidRPr="00BE14F9">
        <w:rPr>
          <w:rFonts w:ascii="Book Antiqua" w:hAnsi="Book Antiqua"/>
          <w:i/>
          <w:sz w:val="20"/>
        </w:rPr>
        <w:t>Nature</w:t>
      </w:r>
      <w:r w:rsidRPr="00BE14F9">
        <w:rPr>
          <w:rFonts w:ascii="Book Antiqua" w:hAnsi="Book Antiqua"/>
          <w:sz w:val="20"/>
        </w:rPr>
        <w:t xml:space="preserve"> on the outcome of these QED investigations, stating that </w:t>
      </w:r>
      <w:r w:rsidRPr="00BE14F9">
        <w:rPr>
          <w:rFonts w:ascii="Book Antiqua" w:hAnsi="Book Antiqua"/>
          <w:i/>
          <w:sz w:val="20"/>
        </w:rPr>
        <w:t>“The source of this surprising development is the mysterious nature of the vacuum as revealed by quantum electrodynamics. It is not an empty nothing but contains randomly fluctuating electromagnetic fields and virtual electron-positron pairs with an infinite zero-point energy. Light propagating through space interacts with the vacuum fields, and observable properties, including the speed of light, are in part determined by this interaction.”</w:t>
      </w:r>
      <w:r w:rsidRPr="00BE14F9">
        <w:rPr>
          <w:rFonts w:ascii="Book Antiqua" w:hAnsi="Book Antiqua"/>
          <w:sz w:val="20"/>
        </w:rPr>
        <w:t>[32]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Although he is mistaken about the ZPE being ‘infinite,’ his conclusions were supported by a 1995 study on </w:t>
      </w:r>
      <w:r w:rsidRPr="00BE14F9">
        <w:rPr>
          <w:rFonts w:ascii="Book Antiqua" w:hAnsi="Book Antiqua"/>
          <w:i/>
          <w:iCs/>
          <w:sz w:val="20"/>
        </w:rPr>
        <w:t xml:space="preserve">c </w:t>
      </w:r>
      <w:r w:rsidRPr="00BE14F9">
        <w:rPr>
          <w:rFonts w:ascii="Book Antiqua" w:hAnsi="Book Antiqua"/>
          <w:sz w:val="20"/>
        </w:rPr>
        <w:t xml:space="preserve">in ‘modified vacua’, including the Casimir vacuum. This later analysis read in part: </w:t>
      </w:r>
      <w:r w:rsidRPr="00BE14F9">
        <w:rPr>
          <w:rFonts w:ascii="Book Antiqua" w:hAnsi="Book Antiqua"/>
          <w:i/>
          <w:iCs/>
          <w:sz w:val="20"/>
        </w:rPr>
        <w:t xml:space="preserve">“Whether photons move faster or slower than c depends only on the lower or higher energy density of the modified vacuum respectively.” </w:t>
      </w:r>
      <w:r w:rsidRPr="00BE14F9">
        <w:rPr>
          <w:rFonts w:ascii="Book Antiqua" w:hAnsi="Book Antiqua"/>
          <w:sz w:val="20"/>
        </w:rPr>
        <w:t xml:space="preserve">[33] The analysis concluded that in all vacua </w:t>
      </w:r>
      <w:r w:rsidRPr="00BE14F9">
        <w:rPr>
          <w:rFonts w:ascii="Book Antiqua" w:hAnsi="Book Antiqua"/>
          <w:i/>
          <w:iCs/>
          <w:sz w:val="20"/>
        </w:rPr>
        <w:t xml:space="preserve">“It follows automatically that if the vacuum has a lower energy density than the standard vacuum, [lightspeed] </w:t>
      </w:r>
      <m:oMath>
        <m:r>
          <w:rPr>
            <w:rFonts w:ascii="Cambria Math" w:hAnsi="Cambria Math"/>
            <w:sz w:val="18"/>
            <w:szCs w:val="18"/>
          </w:rPr>
          <m:t>v</m:t>
        </m:r>
        <m:r>
          <w:rPr>
            <w:rFonts w:ascii="Cambria Math" w:hAnsi="Book Antiqua"/>
            <w:sz w:val="18"/>
            <w:szCs w:val="18"/>
          </w:rPr>
          <m:t xml:space="preserve"> &gt;1</m:t>
        </m:r>
      </m:oMath>
      <w:r w:rsidRPr="00BE14F9">
        <w:rPr>
          <w:rFonts w:ascii="Book Antiqua" w:hAnsi="Book Antiqua"/>
          <w:i/>
          <w:iCs/>
          <w:sz w:val="20"/>
        </w:rPr>
        <w:t xml:space="preserve">, and vice versa,” </w:t>
      </w:r>
      <w:r w:rsidRPr="00BE14F9">
        <w:rPr>
          <w:rFonts w:ascii="Book Antiqua" w:hAnsi="Book Antiqua"/>
          <w:sz w:val="20"/>
        </w:rPr>
        <w:t>(</w:t>
      </w:r>
      <m:oMath>
        <m:r>
          <w:rPr>
            <w:rFonts w:ascii="Cambria Math" w:hAnsi="Cambria Math"/>
            <w:sz w:val="18"/>
            <w:szCs w:val="18"/>
          </w:rPr>
          <m:t>v</m:t>
        </m:r>
        <m:r>
          <w:rPr>
            <w:rFonts w:ascii="Cambria Math" w:hAnsi="Book Antiqua"/>
            <w:sz w:val="18"/>
            <w:szCs w:val="18"/>
          </w:rPr>
          <m:t xml:space="preserve"> = 1</m:t>
        </m:r>
      </m:oMath>
      <w:r w:rsidRPr="00BE14F9">
        <w:rPr>
          <w:rFonts w:ascii="Book Antiqua" w:hAnsi="Book Antiqua"/>
          <w:sz w:val="20"/>
        </w:rPr>
        <w:t xml:space="preserve"> denotes the current speed of light).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Although analysis in [33]</w:t>
      </w:r>
      <w:r w:rsidRPr="00BE14F9">
        <w:rPr>
          <w:rFonts w:ascii="Book Antiqua" w:hAnsi="Book Antiqua"/>
          <w:color w:val="FF0000"/>
          <w:sz w:val="20"/>
        </w:rPr>
        <w:t xml:space="preserve"> </w:t>
      </w:r>
      <w:r w:rsidRPr="00BE14F9">
        <w:rPr>
          <w:rFonts w:ascii="Book Antiqua" w:hAnsi="Book Antiqua"/>
          <w:sz w:val="20"/>
        </w:rPr>
        <w:t>was done using QED concepts, the general principle of higher lightspeed with a lower ZPE energy density is supported by th</w:t>
      </w:r>
      <w:r w:rsidR="006F31A3">
        <w:rPr>
          <w:rFonts w:ascii="Book Antiqua" w:hAnsi="Book Antiqua"/>
          <w:sz w:val="20"/>
        </w:rPr>
        <w:t>at</w:t>
      </w:r>
      <w:r w:rsidRPr="00BE14F9">
        <w:rPr>
          <w:rFonts w:ascii="Book Antiqua" w:hAnsi="Book Antiqua"/>
          <w:sz w:val="20"/>
        </w:rPr>
        <w:t xml:space="preserve"> study.  The QED formula which resulted from these studies only works over a limited range, however, and is not applicable on an astronomical scale.  This is quite different from the approach used by SED physics in which the Zero Point Energy is a known reality and, as such, </w:t>
      </w:r>
      <w:r w:rsidR="006F31A3">
        <w:rPr>
          <w:rFonts w:ascii="Book Antiqua" w:hAnsi="Book Antiqua"/>
          <w:sz w:val="20"/>
        </w:rPr>
        <w:t xml:space="preserve">the </w:t>
      </w:r>
      <w:r w:rsidRPr="00BE14F9">
        <w:rPr>
          <w:rFonts w:ascii="Book Antiqua" w:hAnsi="Book Antiqua"/>
          <w:sz w:val="20"/>
        </w:rPr>
        <w:t xml:space="preserve">formulas derived </w:t>
      </w:r>
      <w:r w:rsidR="006F31A3">
        <w:rPr>
          <w:rFonts w:ascii="Book Antiqua" w:hAnsi="Book Antiqua"/>
          <w:sz w:val="20"/>
        </w:rPr>
        <w:t xml:space="preserve">in that context </w:t>
      </w:r>
      <w:r w:rsidR="008B6EE9">
        <w:rPr>
          <w:rFonts w:ascii="Book Antiqua" w:hAnsi="Book Antiqua"/>
          <w:sz w:val="20"/>
        </w:rPr>
        <w:t>may</w:t>
      </w:r>
      <w:r w:rsidR="006F31A3">
        <w:rPr>
          <w:rFonts w:ascii="Book Antiqua" w:hAnsi="Book Antiqua"/>
          <w:sz w:val="20"/>
        </w:rPr>
        <w:t xml:space="preserve"> </w:t>
      </w:r>
      <w:r w:rsidRPr="00BE14F9">
        <w:rPr>
          <w:rFonts w:ascii="Book Antiqua" w:hAnsi="Book Antiqua"/>
          <w:sz w:val="20"/>
        </w:rPr>
        <w:t>have universal applications.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2.3 </w:t>
      </w:r>
      <w:r w:rsidRPr="008B1CEA">
        <w:rPr>
          <w:rFonts w:ascii="Book Antiqua" w:hAnsi="Book Antiqua" w:cs="Times New Roman"/>
          <w:b w:val="0"/>
          <w:sz w:val="20"/>
          <w:szCs w:val="20"/>
        </w:rPr>
        <w:t>Virtual Particles and the Speed of Light</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SED physics has a relatively simple explanation for the effect shown by the Casimir experiments on the speed of light,</w:t>
      </w:r>
      <m:oMath>
        <m:r>
          <w:rPr>
            <w:rFonts w:ascii="Cambria Math" w:hAnsi="Cambria Math"/>
            <w:sz w:val="18"/>
            <w:szCs w:val="18"/>
          </w:rPr>
          <m:t>c</m:t>
        </m:r>
      </m:oMath>
      <w:r w:rsidRPr="00BE14F9">
        <w:rPr>
          <w:rFonts w:ascii="Book Antiqua" w:hAnsi="Book Antiqua"/>
          <w:sz w:val="20"/>
        </w:rPr>
        <w:t xml:space="preserve">. This occurs because the ZPE produces a veritable zoo of sub-atomic particle/antiparticle pairs which form briefly and then annihilate (as opposed to QED physics which states the random particles are responsible for the ZPE). As a photon of light proceeds through the vacuum, it is briefly absorbed by a virtual particle and then re-emitted as the particle pairs annihilate. An instant later the process repeats. Thus the path of a light photon is like a runner going over hurdles. As the strength of the ZPE increases, so, in direct proportion, do the number of virtual particles per unit volume. </w:t>
      </w:r>
      <w:r w:rsidRPr="00A41720">
        <w:rPr>
          <w:rFonts w:ascii="Book Antiqua" w:hAnsi="Book Antiqua"/>
          <w:sz w:val="20"/>
        </w:rPr>
        <w:t>Therefore, since a photon sweeps through a given volume of the vacuum, the number of interactions with virtual particles will increase in direct proportion to any ZPE increase.</w:t>
      </w:r>
      <w:r w:rsidRPr="00BE14F9">
        <w:rPr>
          <w:rFonts w:ascii="Book Antiqua" w:hAnsi="Book Antiqua"/>
          <w:sz w:val="20"/>
        </w:rPr>
        <w:t xml:space="preserve"> The more virtual particles per unit volume, the longer it takes light photons to traverse it. Thus, as the ZPE strength increased through time, photons took longer to reach their destination. </w:t>
      </w:r>
    </w:p>
    <w:p w:rsidR="00EE348C" w:rsidRPr="00BE14F9" w:rsidRDefault="00EE348C" w:rsidP="00EE348C">
      <w:pPr>
        <w:pStyle w:val="NoSpacing"/>
        <w:jc w:val="both"/>
        <w:rPr>
          <w:rFonts w:ascii="Book Antiqua" w:hAnsi="Book Antiqua"/>
          <w:sz w:val="20"/>
        </w:rPr>
      </w:pPr>
    </w:p>
    <w:p w:rsidR="00CD1B81" w:rsidRPr="00BE14F9" w:rsidRDefault="00EE348C" w:rsidP="00CD1B81">
      <w:pPr>
        <w:pStyle w:val="NoSpacing"/>
        <w:jc w:val="both"/>
        <w:rPr>
          <w:rFonts w:ascii="Book Antiqua" w:hAnsi="Book Antiqua"/>
          <w:sz w:val="20"/>
        </w:rPr>
      </w:pPr>
      <w:r w:rsidRPr="00BE14F9">
        <w:rPr>
          <w:rFonts w:ascii="Book Antiqua" w:hAnsi="Book Antiqua"/>
          <w:sz w:val="20"/>
        </w:rPr>
        <w:tab/>
        <w:t>There is something else which happens.  The presence of the photon can raise the local energy threshold of the ZPE high enough to allow an additional virtual particle pair to form</w:t>
      </w:r>
      <w:r w:rsidR="00A41720">
        <w:rPr>
          <w:rFonts w:ascii="Book Antiqua" w:hAnsi="Book Antiqua"/>
          <w:sz w:val="20"/>
        </w:rPr>
        <w:t xml:space="preserve"> where the ZPE has an energy peak.</w:t>
      </w:r>
      <w:r w:rsidRPr="00BE14F9">
        <w:rPr>
          <w:rFonts w:ascii="Book Antiqua" w:hAnsi="Book Antiqua"/>
          <w:sz w:val="20"/>
        </w:rPr>
        <w:t xml:space="preserve"> The virtual particle that is thus generated depends entirely on the generating photon</w:t>
      </w:r>
      <w:r w:rsidR="002F4446">
        <w:rPr>
          <w:rFonts w:ascii="Book Antiqua" w:hAnsi="Book Antiqua"/>
          <w:sz w:val="20"/>
        </w:rPr>
        <w:t>.</w:t>
      </w:r>
      <w:r w:rsidRPr="00BE14F9">
        <w:rPr>
          <w:rFonts w:ascii="Book Antiqua" w:hAnsi="Book Antiqua"/>
          <w:sz w:val="20"/>
        </w:rPr>
        <w:t xml:space="preserve"> This occurs because each </w:t>
      </w:r>
      <w:r w:rsidR="00A41720">
        <w:rPr>
          <w:rFonts w:ascii="Book Antiqua" w:hAnsi="Book Antiqua"/>
          <w:sz w:val="20"/>
        </w:rPr>
        <w:t xml:space="preserve">photon </w:t>
      </w:r>
      <w:r w:rsidRPr="00BE14F9">
        <w:rPr>
          <w:rFonts w:ascii="Book Antiqua" w:hAnsi="Book Antiqua"/>
          <w:sz w:val="20"/>
        </w:rPr>
        <w:t xml:space="preserve">has its own intrinsic energy which governs the form of the interaction. Furthermore, the virtual particle pair that is generated is required, by the very nature of the process, to be the one with which the photon can interact. </w:t>
      </w:r>
      <w:r w:rsidR="00A41720">
        <w:rPr>
          <w:rFonts w:ascii="Book Antiqua" w:hAnsi="Book Antiqua"/>
          <w:sz w:val="20"/>
        </w:rPr>
        <w:t xml:space="preserve">  The virtual pair will </w:t>
      </w:r>
      <w:r w:rsidR="00A41720" w:rsidRPr="00BE14F9">
        <w:rPr>
          <w:rFonts w:ascii="Book Antiqua" w:hAnsi="Book Antiqua"/>
          <w:sz w:val="20"/>
        </w:rPr>
        <w:t>then annihilate, and emit the photon again.</w:t>
      </w:r>
      <w:r w:rsidR="00CD1B81">
        <w:rPr>
          <w:rFonts w:ascii="Book Antiqua" w:hAnsi="Book Antiqua"/>
          <w:sz w:val="20"/>
        </w:rPr>
        <w:t xml:space="preserve"> </w:t>
      </w:r>
      <w:r w:rsidR="00CD1B81" w:rsidRPr="00BE14F9">
        <w:rPr>
          <w:rFonts w:ascii="Book Antiqua" w:hAnsi="Book Antiqua"/>
          <w:sz w:val="20"/>
        </w:rPr>
        <w:t xml:space="preserve">This is another conceptual example of how the speed of light, </w:t>
      </w:r>
      <m:oMath>
        <m:r>
          <w:rPr>
            <w:rFonts w:ascii="Cambria Math" w:hAnsi="Cambria Math"/>
            <w:sz w:val="18"/>
            <w:szCs w:val="18"/>
          </w:rPr>
          <m:t>c</m:t>
        </m:r>
      </m:oMath>
      <w:r w:rsidR="00CD1B81" w:rsidRPr="00BE14F9">
        <w:rPr>
          <w:rFonts w:ascii="Book Antiqua" w:hAnsi="Book Antiqua"/>
          <w:sz w:val="20"/>
        </w:rPr>
        <w:t>, is inversely related to ZPE strength.</w:t>
      </w:r>
    </w:p>
    <w:p w:rsidR="00A41720" w:rsidRDefault="00A41720" w:rsidP="00EE348C">
      <w:pPr>
        <w:pStyle w:val="NoSpacing"/>
        <w:jc w:val="both"/>
        <w:rPr>
          <w:rFonts w:ascii="Book Antiqua" w:hAnsi="Book Antiqua"/>
          <w:sz w:val="20"/>
        </w:rPr>
      </w:pPr>
    </w:p>
    <w:p w:rsidR="00CD1B81" w:rsidRDefault="00CD1B81" w:rsidP="00CD1B81">
      <w:pPr>
        <w:pStyle w:val="NoSpacing"/>
        <w:ind w:firstLine="720"/>
        <w:jc w:val="both"/>
        <w:rPr>
          <w:rFonts w:ascii="Book Antiqua" w:hAnsi="Book Antiqua"/>
          <w:sz w:val="20"/>
        </w:rPr>
      </w:pPr>
      <w:r>
        <w:rPr>
          <w:rFonts w:ascii="Book Antiqua" w:hAnsi="Book Antiqua"/>
          <w:sz w:val="20"/>
        </w:rPr>
        <w:t xml:space="preserve">(Tiny little neutrinos, with the least mass known, are the only particles with no charge.  Eminating from the sun, other plasmas and nuclear reactions, they travel at nearly the speed of light.  They, too, appear to interact with virtual </w:t>
      </w:r>
      <w:r>
        <w:rPr>
          <w:rFonts w:ascii="Book Antiqua" w:hAnsi="Book Antiqua"/>
          <w:sz w:val="20"/>
        </w:rPr>
        <w:lastRenderedPageBreak/>
        <w:t xml:space="preserve">particles in the same way light photons do.  Like photons, they </w:t>
      </w:r>
      <w:r w:rsidR="005B5906">
        <w:rPr>
          <w:rFonts w:ascii="Book Antiqua" w:hAnsi="Book Antiqua"/>
          <w:sz w:val="20"/>
        </w:rPr>
        <w:t>seem</w:t>
      </w:r>
      <w:r>
        <w:rPr>
          <w:rFonts w:ascii="Book Antiqua" w:hAnsi="Book Antiqua"/>
          <w:sz w:val="20"/>
        </w:rPr>
        <w:t xml:space="preserve"> to be able to generate additional virtual particle pairs that they can interact with. Again, this would </w:t>
      </w:r>
      <w:r w:rsidR="005B5906">
        <w:rPr>
          <w:rFonts w:ascii="Book Antiqua" w:hAnsi="Book Antiqua"/>
          <w:sz w:val="20"/>
        </w:rPr>
        <w:t xml:space="preserve">occur when they </w:t>
      </w:r>
      <w:r>
        <w:rPr>
          <w:rFonts w:ascii="Book Antiqua" w:hAnsi="Book Antiqua"/>
          <w:sz w:val="20"/>
        </w:rPr>
        <w:t>hit</w:t>
      </w:r>
      <w:r w:rsidR="005B5906">
        <w:rPr>
          <w:rFonts w:ascii="Book Antiqua" w:hAnsi="Book Antiqua"/>
          <w:sz w:val="20"/>
        </w:rPr>
        <w:t xml:space="preserve"> the</w:t>
      </w:r>
      <w:r>
        <w:rPr>
          <w:rFonts w:ascii="Book Antiqua" w:hAnsi="Book Antiqua"/>
          <w:sz w:val="20"/>
        </w:rPr>
        <w:t xml:space="preserve"> peaks in the ZPE field.)</w:t>
      </w:r>
    </w:p>
    <w:p w:rsidR="00CD1B81" w:rsidRDefault="00CD1B81"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2.4  Considering the ZPE as a Refractive Medium </w:t>
      </w:r>
    </w:p>
    <w:p w:rsidR="00EE348C" w:rsidRPr="00BE14F9" w:rsidRDefault="00EE348C" w:rsidP="00EE348C">
      <w:pPr>
        <w:rPr>
          <w:rFonts w:ascii="Book Antiqua" w:hAnsi="Book Antiqua"/>
        </w:rPr>
      </w:pPr>
    </w:p>
    <w:p w:rsidR="00EE348C" w:rsidRPr="00BE14F9" w:rsidRDefault="004046FE" w:rsidP="00EE348C">
      <w:pPr>
        <w:shd w:val="clear" w:color="auto" w:fill="FFFFFF"/>
        <w:ind w:firstLine="720"/>
        <w:jc w:val="both"/>
        <w:rPr>
          <w:rFonts w:ascii="Book Antiqua" w:hAnsi="Book Antiqua"/>
          <w:color w:val="000000"/>
        </w:rPr>
      </w:pPr>
      <w:r>
        <w:rPr>
          <w:rFonts w:ascii="Book Antiqua" w:hAnsi="Book Antiqua"/>
          <w:color w:val="000000"/>
        </w:rPr>
        <w:t xml:space="preserve">When a straw is put into a glass of water, the straw appears ‘broken’ at the surface of the water.  The reason for this is that when </w:t>
      </w:r>
      <w:r w:rsidR="00EE348C" w:rsidRPr="00BE14F9">
        <w:rPr>
          <w:rFonts w:ascii="Book Antiqua" w:hAnsi="Book Antiqua"/>
          <w:color w:val="000000"/>
        </w:rPr>
        <w:t xml:space="preserve">light goes from air into water there is a point in the light's path where a change in velocity takes place. At this point of change, the leading waves slow down and the ones coming behind crowd in on the leading waves. This causes the wavelengths to bunch up, so they are closer together in the water than in the air. </w:t>
      </w:r>
      <w:r>
        <w:rPr>
          <w:rFonts w:ascii="Book Antiqua" w:hAnsi="Book Antiqua"/>
          <w:color w:val="000000"/>
        </w:rPr>
        <w:t xml:space="preserve"> This is why the ‘break’ appears.</w:t>
      </w:r>
    </w:p>
    <w:p w:rsidR="0001588B" w:rsidRDefault="0001588B" w:rsidP="00EE348C">
      <w:pPr>
        <w:shd w:val="clear" w:color="auto" w:fill="FFFFFF"/>
        <w:ind w:firstLine="720"/>
        <w:jc w:val="both"/>
        <w:rPr>
          <w:rFonts w:ascii="Book Antiqua" w:hAnsi="Book Antiqua"/>
          <w:color w:val="000000"/>
        </w:rPr>
      </w:pPr>
    </w:p>
    <w:p w:rsidR="004046FE" w:rsidRPr="00BE14F9" w:rsidRDefault="00EE348C" w:rsidP="004046FE">
      <w:pPr>
        <w:shd w:val="clear" w:color="auto" w:fill="FFFFFF"/>
        <w:ind w:firstLine="720"/>
        <w:jc w:val="both"/>
        <w:rPr>
          <w:rFonts w:ascii="Book Antiqua" w:hAnsi="Book Antiqua"/>
          <w:color w:val="000000"/>
        </w:rPr>
      </w:pPr>
      <w:r w:rsidRPr="00BE14F9">
        <w:rPr>
          <w:rFonts w:ascii="Book Antiqua" w:hAnsi="Book Antiqua"/>
          <w:color w:val="000000"/>
        </w:rPr>
        <w:t xml:space="preserve">However, space is not like that. The actual changes in the ZPE are smooth, continuous and simultaneous throughout the cosmos. Because of this, there is no place in the light's path where a sudden change in velocity occurs. Therefore, the waves do not bunch up; the wavelengths remain constant throughout the whole travel distance. This happens because every part of the train of waves from the point of emission to the point of reception is, at any moment, traveling with the same velocity as the rest of the wave-train. This is where the </w:t>
      </w:r>
      <w:r w:rsidR="004046FE">
        <w:rPr>
          <w:rFonts w:ascii="Book Antiqua" w:hAnsi="Book Antiqua"/>
          <w:color w:val="000000"/>
        </w:rPr>
        <w:t>locomotive</w:t>
      </w:r>
      <w:r w:rsidRPr="00BE14F9">
        <w:rPr>
          <w:rFonts w:ascii="Book Antiqua" w:hAnsi="Book Antiqua"/>
          <w:color w:val="000000"/>
        </w:rPr>
        <w:t xml:space="preserve"> analogy comes in; as the locomotive slows, every car</w:t>
      </w:r>
      <w:r w:rsidR="004046FE">
        <w:rPr>
          <w:rFonts w:ascii="Book Antiqua" w:hAnsi="Book Antiqua"/>
          <w:color w:val="000000"/>
        </w:rPr>
        <w:t xml:space="preserve"> attached</w:t>
      </w:r>
      <w:r w:rsidRPr="00BE14F9">
        <w:rPr>
          <w:rFonts w:ascii="Book Antiqua" w:hAnsi="Book Antiqua"/>
          <w:color w:val="000000"/>
        </w:rPr>
        <w:t xml:space="preserve"> slows uniformly with it. The cars do not bunch up together but remain at a constant distance apart. </w:t>
      </w:r>
      <w:r w:rsidR="004046FE" w:rsidRPr="00BE14F9">
        <w:rPr>
          <w:rFonts w:ascii="Book Antiqua" w:hAnsi="Book Antiqua"/>
          <w:color w:val="000000"/>
        </w:rPr>
        <w:t>That is a picture of a train of light waves from a distant object going through the vacuum with a changing ZPE, which is basically the same as a varying refractive index.</w:t>
      </w:r>
      <w:r w:rsidR="004046FE">
        <w:rPr>
          <w:rFonts w:ascii="Book Antiqua" w:hAnsi="Book Antiqua"/>
          <w:color w:val="000000"/>
        </w:rPr>
        <w:t xml:space="preserve">  The</w:t>
      </w:r>
      <w:r w:rsidR="004046FE" w:rsidRPr="00BE14F9">
        <w:rPr>
          <w:rFonts w:ascii="Book Antiqua" w:hAnsi="Book Antiqua"/>
          <w:color w:val="000000"/>
        </w:rPr>
        <w:t xml:space="preserve"> simultaneously smooth changes in the ZPE strength throughout the cosmos mean that there will be no refraction of the light waves.</w:t>
      </w:r>
    </w:p>
    <w:p w:rsidR="00EE348C" w:rsidRPr="00BE14F9" w:rsidRDefault="00EE348C" w:rsidP="00EE348C">
      <w:pPr>
        <w:shd w:val="clear" w:color="auto" w:fill="FFFFFF"/>
        <w:ind w:firstLine="720"/>
        <w:jc w:val="both"/>
        <w:rPr>
          <w:rFonts w:ascii="Book Antiqua" w:hAnsi="Book Antiqua"/>
          <w:color w:val="00000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2.5 The Vacuum: a Non-Dispersive Medium</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contrast to the QED approach, which limits the possibility of changing vacuum properties </w:t>
      </w:r>
      <w:r w:rsidR="0077266B">
        <w:rPr>
          <w:rFonts w:ascii="Book Antiqua" w:hAnsi="Book Antiqua"/>
          <w:sz w:val="20"/>
        </w:rPr>
        <w:t>which would</w:t>
      </w:r>
      <w:r w:rsidRPr="00BE14F9">
        <w:rPr>
          <w:rFonts w:ascii="Book Antiqua" w:hAnsi="Book Antiqua"/>
          <w:sz w:val="20"/>
        </w:rPr>
        <w:t xml:space="preserve"> affect the speed of light, it is necessary to examine </w:t>
      </w:r>
      <w:r w:rsidR="0077266B">
        <w:rPr>
          <w:rFonts w:ascii="Book Antiqua" w:hAnsi="Book Antiqua"/>
          <w:sz w:val="20"/>
        </w:rPr>
        <w:t>the reality of a changing Zero Point Energy</w:t>
      </w:r>
      <w:r w:rsidRPr="00BE14F9">
        <w:rPr>
          <w:rFonts w:ascii="Book Antiqua" w:hAnsi="Book Antiqua"/>
          <w:sz w:val="20"/>
        </w:rPr>
        <w:t xml:space="preserve">.  Any changes in the strength of the ZPE will mean that the vacuum’s electrical permittivity, </w:t>
      </w:r>
      <m:oMath>
        <m:r>
          <w:rPr>
            <w:rFonts w:ascii="Cambria Math" w:hAnsi="Cambria Math"/>
            <w:sz w:val="18"/>
            <w:szCs w:val="18"/>
          </w:rPr>
          <m:t>ε</m:t>
        </m:r>
      </m:oMath>
      <w:r w:rsidRPr="00BE14F9">
        <w:rPr>
          <w:rFonts w:ascii="Book Antiqua" w:hAnsi="Book Antiqua"/>
          <w:sz w:val="20"/>
        </w:rPr>
        <w:t xml:space="preserve">, and magnetic permeability, </w:t>
      </w:r>
      <m:oMath>
        <m:r>
          <w:rPr>
            <w:rFonts w:ascii="Cambria Math" w:hAnsi="Cambria Math"/>
            <w:sz w:val="18"/>
            <w:szCs w:val="18"/>
          </w:rPr>
          <m:t>μ</m:t>
        </m:r>
      </m:oMath>
      <w:r w:rsidRPr="00BE14F9">
        <w:rPr>
          <w:rFonts w:ascii="Book Antiqua" w:hAnsi="Book Antiqua"/>
          <w:sz w:val="20"/>
        </w:rPr>
        <w:t xml:space="preserve">, must also change. Nevertheless, with these changes in vacuum properties, the vacuum must remain a non-dispersive medium; otherwise photographs of distant astronomical objects would appear blurred. This requires the ratio of electric energy to the magnetic energy in a traveling wave to remain constant. In turn, this means the intrinsic impedance of free space, </w:t>
      </w:r>
      <m:oMath>
        <m:r>
          <w:rPr>
            <w:rFonts w:ascii="Book Antiqua" w:hAnsi="Book Antiqua"/>
            <w:sz w:val="18"/>
            <w:szCs w:val="18"/>
          </w:rPr>
          <m:t>Ω</m:t>
        </m:r>
      </m:oMath>
      <w:r w:rsidRPr="00BE14F9">
        <w:rPr>
          <w:rFonts w:ascii="Book Antiqua" w:hAnsi="Book Antiqua"/>
          <w:sz w:val="20"/>
        </w:rPr>
        <w:t>, must be invariant. It then follows from the definition of intrinsic impedance that [34]:</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Book Antiqua" w:hAnsi="Book Antiqua"/>
            <w:sz w:val="18"/>
            <w:szCs w:val="18"/>
          </w:rPr>
          <m:t>Ω</m:t>
        </m:r>
        <m:r>
          <w:rPr>
            <w:rFonts w:ascii="Cambria Math" w:hAnsi="Book Antiqua"/>
            <w:sz w:val="18"/>
            <w:szCs w:val="18"/>
          </w:rPr>
          <m:t xml:space="preserve"> = </m:t>
        </m:r>
        <m:r>
          <w:rPr>
            <w:rFonts w:ascii="Book Antiqua" w:hAnsi="Book Antiqua"/>
            <w:sz w:val="18"/>
            <w:szCs w:val="18"/>
          </w:rPr>
          <m:t>√</m:t>
        </m:r>
        <m:r>
          <w:rPr>
            <w:rFonts w:ascii="Cambria Math" w:hAnsi="Book Antiqua"/>
            <w:sz w:val="18"/>
            <w:szCs w:val="18"/>
          </w:rPr>
          <m:t xml:space="preserve">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m:t>
        </m:r>
        <m:r>
          <m:rPr>
            <m:sty m:val="bi"/>
          </m:rPr>
          <w:rPr>
            <w:rFonts w:ascii="Cambria Math" w:hAnsi="Book Antiqua"/>
            <w:sz w:val="18"/>
            <w:szCs w:val="18"/>
          </w:rPr>
          <m:t xml:space="preserve"> </m:t>
        </m:r>
        <m:r>
          <w:rPr>
            <w:rFonts w:ascii="Cambria Math" w:hAnsi="Cambria Math"/>
            <w:sz w:val="18"/>
            <w:szCs w:val="18"/>
          </w:rPr>
          <m:t>invariant</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ε</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t xml:space="preserve"> (6)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Thus </w:t>
      </w:r>
      <m:oMath>
        <m:r>
          <w:rPr>
            <w:rFonts w:ascii="Book Antiqua" w:hAnsi="Book Antiqua"/>
            <w:sz w:val="18"/>
            <w:szCs w:val="18"/>
          </w:rPr>
          <m:t>Ω</m:t>
        </m:r>
      </m:oMath>
      <w:r w:rsidRPr="00BE14F9">
        <w:rPr>
          <w:rFonts w:ascii="Book Antiqua" w:hAnsi="Book Antiqua"/>
          <w:i/>
          <w:iCs/>
          <w:sz w:val="20"/>
        </w:rPr>
        <w:t xml:space="preserve"> </w:t>
      </w:r>
      <w:r w:rsidRPr="00BE14F9">
        <w:rPr>
          <w:rFonts w:ascii="Book Antiqua" w:hAnsi="Book Antiqua"/>
          <w:sz w:val="20"/>
        </w:rPr>
        <w:t xml:space="preserve">will always bear the value of 376.73 ohms. From (6) it follows that with all these changes,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must vary inversely to both the vacuum permittivity and permeability (which are a result of the ZPE), so that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(7)</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 xml:space="preserve">As a result, at any given instant, </w:t>
      </w:r>
      <w:r w:rsidRPr="00BE14F9">
        <w:rPr>
          <w:rFonts w:ascii="Book Antiqua" w:hAnsi="Book Antiqua"/>
          <w:i/>
          <w:iCs/>
          <w:sz w:val="20"/>
        </w:rPr>
        <w:t xml:space="preserve">c </w:t>
      </w:r>
      <w:r w:rsidRPr="00BE14F9">
        <w:rPr>
          <w:rFonts w:ascii="Book Antiqua" w:hAnsi="Book Antiqua"/>
          <w:sz w:val="20"/>
        </w:rPr>
        <w:t xml:space="preserve">would have the same value throughout the cosmos. Experimentally, this constraint has been verified by Barnet, Davis, &amp; Sanders [35].  </w:t>
      </w:r>
    </w:p>
    <w:p w:rsidR="0077266B" w:rsidRDefault="0077266B"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2.6 </w:t>
      </w:r>
      <w:r w:rsidR="002307FA">
        <w:rPr>
          <w:rFonts w:ascii="Book Antiqua" w:hAnsi="Book Antiqua" w:cs="Times New Roman"/>
          <w:b w:val="0"/>
          <w:sz w:val="20"/>
          <w:szCs w:val="20"/>
        </w:rPr>
        <w:t>Vacuum Permittivity, Permeability and</w:t>
      </w:r>
      <w:r w:rsidRPr="00BE14F9">
        <w:rPr>
          <w:rFonts w:ascii="Book Antiqua" w:hAnsi="Book Antiqua" w:cs="Times New Roman"/>
          <w:b w:val="0"/>
          <w:sz w:val="20"/>
          <w:szCs w:val="20"/>
        </w:rPr>
        <w:t xml:space="preserve"> Energy Density.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Barton's analysis, mentioned previously, considered the magnetic properties of space (the permeability) as well as the vacuum’s electric properties (the permittivity) in his calculations. Analysis has shown that the Casimir process affects both properties uniformly, regardless of wavelength.  This agrees with the requirement of an unchanging intrinsic impedance.  Scharnhorst’s treatment also confirms this as it reveals that there is no dispersion in this process. This made it possible for Barnett to comment in Nature: </w:t>
      </w:r>
      <w:r w:rsidRPr="00BE14F9">
        <w:rPr>
          <w:rFonts w:ascii="Book Antiqua" w:hAnsi="Book Antiqua"/>
          <w:i/>
          <w:sz w:val="20"/>
        </w:rPr>
        <w:t>“Scharnhorst and Barton …[show that] with the apparent increase in the velocity of light, the phase, group and signal velocities will therefore all increase by about the same amount.”</w:t>
      </w:r>
      <w:r w:rsidRPr="00BE14F9">
        <w:rPr>
          <w:rFonts w:ascii="Book Antiqua" w:hAnsi="Book Antiqua"/>
          <w:sz w:val="20"/>
        </w:rPr>
        <w:t xml:space="preserve"> [32]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Also of significance is Barton’s comment: </w:t>
      </w:r>
      <w:r w:rsidRPr="00BE14F9">
        <w:rPr>
          <w:rFonts w:ascii="Book Antiqua" w:hAnsi="Book Antiqua"/>
          <w:i/>
          <w:sz w:val="20"/>
        </w:rPr>
        <w:t>“But between [the Casimir plates or] mirrors the intensity of the zero-point oscillations of the Maxwell field is less than in unbounded space, a familiar conclusion confirmed experimentally by the Casimir effect; and the same … reduction in intensity entails a proportionate drop of the refractive index below unity (</w:t>
      </w:r>
      <m:oMath>
        <m:r>
          <w:rPr>
            <w:rFonts w:ascii="Cambria Math" w:hAnsi="Cambria Math" w:cs="PBADFD+TimesNewRoman,Italic"/>
            <w:sz w:val="18"/>
            <w:szCs w:val="18"/>
          </w:rPr>
          <m:t>Δn</m:t>
        </m:r>
        <m:r>
          <w:rPr>
            <w:rFonts w:ascii="Cambria Math" w:hAnsi="Book Antiqua" w:cs="PBADFD+TimesNewRoman,Italic"/>
            <w:sz w:val="18"/>
            <w:szCs w:val="18"/>
          </w:rPr>
          <m:t>&lt;0</m:t>
        </m:r>
      </m:oMath>
      <w:r w:rsidRPr="00BE14F9">
        <w:rPr>
          <w:rFonts w:ascii="Book Antiqua" w:hAnsi="Book Antiqua"/>
          <w:i/>
          <w:sz w:val="20"/>
        </w:rPr>
        <w:t>).”</w:t>
      </w:r>
      <w:r w:rsidRPr="00BE14F9">
        <w:rPr>
          <w:rFonts w:ascii="Book Antiqua" w:hAnsi="Book Antiqua"/>
          <w:sz w:val="20"/>
        </w:rPr>
        <w:t xml:space="preserve"> [31] In fact Barton shows that the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of the vacuum between the plates (or mirrors) are both proportional to the Casimir vacuum energy density, </w:t>
      </w:r>
      <m:oMath>
        <m:r>
          <w:rPr>
            <w:rFonts w:ascii="Cambria Math" w:hAnsi="Cambria Math" w:cs="PBADEC+TimesNewRoman"/>
            <w:sz w:val="18"/>
            <w:szCs w:val="18"/>
          </w:rPr>
          <m:t>U</m:t>
        </m:r>
      </m:oMath>
      <w:r w:rsidRPr="00BE14F9">
        <w:rPr>
          <w:rFonts w:ascii="Book Antiqua" w:hAnsi="Book Antiqua"/>
          <w:sz w:val="20"/>
        </w:rPr>
        <w:t>. As a result, from these analyses we can write: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Cs/>
          <w:sz w:val="20"/>
        </w:rPr>
        <w:t xml:space="preserve">  .</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This result will seem problematical to those who are only use</w:t>
      </w:r>
      <w:r w:rsidR="006A4A9E">
        <w:rPr>
          <w:rFonts w:ascii="Book Antiqua" w:hAnsi="Book Antiqua"/>
          <w:sz w:val="20"/>
        </w:rPr>
        <w:t>d to</w:t>
      </w:r>
      <w:r w:rsidRPr="00BE14F9">
        <w:rPr>
          <w:rFonts w:ascii="Book Antiqua" w:hAnsi="Book Antiqua"/>
          <w:sz w:val="20"/>
        </w:rPr>
        <w:t xml:space="preserve"> SI Units, since those units define both ε and µ as fixed constants. However, those who formulated the SI units did this on the basis that the speed of light itself is an absolute constant. But, if </w:t>
      </w:r>
      <w:r w:rsidRPr="00BE14F9">
        <w:rPr>
          <w:rFonts w:ascii="Book Antiqua" w:hAnsi="Book Antiqua"/>
          <w:i/>
          <w:sz w:val="20"/>
        </w:rPr>
        <w:t>c</w:t>
      </w:r>
      <w:r w:rsidRPr="00BE14F9">
        <w:rPr>
          <w:rFonts w:ascii="Book Antiqua" w:hAnsi="Book Antiqua"/>
          <w:sz w:val="20"/>
        </w:rPr>
        <w:t xml:space="preserve"> varies, then it necessarily follows that ε and µ must also vary as shown in (8). This is in perfect accord with the old system of units (the centimeter, gram, second or CGS units) used by Maxwell which were in use up to the middle of the 20</w:t>
      </w:r>
      <w:r w:rsidRPr="00BE14F9">
        <w:rPr>
          <w:rFonts w:ascii="Book Antiqua" w:hAnsi="Book Antiqua"/>
          <w:sz w:val="20"/>
          <w:vertAlign w:val="superscript"/>
        </w:rPr>
        <w:t>th</w:t>
      </w:r>
      <w:r w:rsidRPr="00BE14F9">
        <w:rPr>
          <w:rFonts w:ascii="Book Antiqua" w:hAnsi="Book Antiqua"/>
          <w:sz w:val="20"/>
        </w:rPr>
        <w:t xml:space="preserve"> century.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this basis, the result in equation (8) may be derived from classical electrodynamics.  Those equations show that if other factors are unchanged, then energy densities are generally proportional to both the permittivity and the permeability [36]. Therefore, since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are uniformly affected by the Casimir process, it follows that light speed, </w:t>
      </w:r>
      <m:oMath>
        <m:r>
          <w:rPr>
            <w:rFonts w:ascii="Cambria Math" w:hAnsi="Cambria Math" w:cs="PBADEC+TimesNewRoman"/>
            <w:sz w:val="18"/>
            <w:szCs w:val="18"/>
          </w:rPr>
          <m:t>c</m:t>
        </m:r>
      </m:oMath>
      <w:r w:rsidRPr="00BE14F9">
        <w:rPr>
          <w:rFonts w:ascii="Book Antiqua" w:hAnsi="Book Antiqua"/>
          <w:sz w:val="20"/>
        </w:rPr>
        <w:t xml:space="preserve">, is inversely proportional to each, from the standard equation </w:t>
      </w:r>
    </w:p>
    <w:p w:rsidR="00EE348C" w:rsidRPr="00BE14F9" w:rsidRDefault="00EE348C" w:rsidP="00EE348C">
      <w:pPr>
        <w:pStyle w:val="NoSpacing"/>
        <w:jc w:val="both"/>
        <w:rPr>
          <w:rFonts w:ascii="Book Antiqua" w:hAnsi="Book Antiqua"/>
          <w:sz w:val="20"/>
        </w:rPr>
      </w:pPr>
    </w:p>
    <w:p w:rsidR="00EE348C" w:rsidRPr="00BE14F9" w:rsidRDefault="00241D2F" w:rsidP="00EE348C">
      <w:pPr>
        <w:pStyle w:val="NoSpacing"/>
        <w:jc w:val="right"/>
        <w:rPr>
          <w:rFonts w:ascii="Book Antiqua" w:hAnsi="Book Antiqua"/>
          <w:sz w:val="20"/>
        </w:rPr>
      </w:pPr>
      <m:oMath>
        <m:sSup>
          <m:sSupPr>
            <m:ctrlPr>
              <w:rPr>
                <w:rFonts w:ascii="Cambria Math" w:hAnsi="Book Antiqua" w:cs="PBADEC+TimesNewRoman"/>
                <w:i/>
                <w:sz w:val="18"/>
                <w:szCs w:val="18"/>
              </w:rPr>
            </m:ctrlPr>
          </m:sSupPr>
          <m:e>
            <m:r>
              <w:rPr>
                <w:rFonts w:ascii="Cambria Math" w:hAnsi="Cambria Math" w:cs="PBADEC+TimesNewRoman"/>
                <w:sz w:val="18"/>
                <w:szCs w:val="18"/>
              </w:rPr>
              <m:t>c</m:t>
            </m:r>
          </m:e>
          <m:sup>
            <m:r>
              <w:rPr>
                <w:rFonts w:ascii="Cambria Math" w:hAnsi="Book Antiqua" w:cs="PBADEC+TimesNewRoman"/>
                <w:sz w:val="18"/>
                <w:szCs w:val="18"/>
              </w:rPr>
              <m:t>2</m:t>
            </m:r>
          </m:sup>
        </m:sSup>
        <m:r>
          <w:rPr>
            <w:rFonts w:ascii="Cambria Math" w:hAnsi="Book Antiqua" w:cs="PBADEC+TimesNewRoman"/>
            <w:sz w:val="18"/>
            <w:szCs w:val="18"/>
          </w:rPr>
          <m:t xml:space="preserve"> =  1/(</m:t>
        </m:r>
        <m:r>
          <w:rPr>
            <w:rFonts w:ascii="Cambria Math" w:hAnsi="Cambria Math" w:cs="PBADEC+TimesNewRoman"/>
            <w:sz w:val="18"/>
            <w:szCs w:val="18"/>
          </w:rPr>
          <m:t>εμ</m:t>
        </m:r>
        <m:r>
          <w:rPr>
            <w:rFonts w:ascii="Cambria Math" w:hAnsi="Book Antiqua" w:cs="PBADEC+TimesNewRoman"/>
            <w:sz w:val="18"/>
            <w:szCs w:val="18"/>
          </w:rPr>
          <m:t>)</m:t>
        </m:r>
      </m:oMath>
      <w:r w:rsidR="00EE348C" w:rsidRPr="00BE14F9">
        <w:rPr>
          <w:rFonts w:ascii="Book Antiqua" w:hAnsi="Book Antiqua"/>
          <w:i/>
          <w:sz w:val="20"/>
        </w:rPr>
        <w:t xml:space="preserve"> .</w:t>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t>(9)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Therefore, by applying the results of  (5), (7) and  (8) to (9) we get: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oMath>
      <w:r w:rsidRPr="00BE14F9">
        <w:rPr>
          <w:rFonts w:ascii="Book Antiqua" w:hAnsi="Book Antiqua"/>
          <w:i/>
          <w:sz w:val="18"/>
          <w:szCs w:val="18"/>
        </w:rPr>
        <w:t xml:space="preserve"> </w:t>
      </w:r>
      <w:r w:rsidRPr="00BE14F9">
        <w:rPr>
          <w:rFonts w:ascii="Book Antiqua" w:hAnsi="Book Antiqua"/>
          <w:i/>
          <w:iCs/>
          <w:sz w:val="20"/>
        </w:rPr>
        <w:t xml:space="preserve"> </w:t>
      </w:r>
      <w:r w:rsidRPr="00BE14F9">
        <w:rPr>
          <w:rFonts w:ascii="Book Antiqua" w:hAnsi="Book Antiqua"/>
          <w:iCs/>
          <w:sz w:val="20"/>
        </w:rPr>
        <w:tab/>
        <w:t>.</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sz w:val="20"/>
        </w:rPr>
        <w:t>(10)</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Since the energy density of electromagnetic waves, </w:t>
      </w:r>
      <m:oMath>
        <m:r>
          <w:rPr>
            <w:rFonts w:ascii="Cambria Math" w:hAnsi="Cambria Math"/>
            <w:sz w:val="18"/>
            <w:szCs w:val="18"/>
          </w:rPr>
          <m:t>ρ</m:t>
        </m:r>
      </m:oMath>
      <w:r w:rsidRPr="00BE14F9">
        <w:rPr>
          <w:rFonts w:ascii="Book Antiqua" w:hAnsi="Book Antiqua"/>
          <w:sz w:val="20"/>
        </w:rPr>
        <w:t xml:space="preserve">, also applies to the energy density of ZPE waves, </w:t>
      </w:r>
      <m:oMath>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sz w:val="20"/>
        </w:rPr>
        <w:t>then this</w:t>
      </w:r>
      <w:r w:rsidRPr="00BE14F9">
        <w:rPr>
          <w:rFonts w:ascii="Book Antiqua" w:hAnsi="Book Antiqua"/>
          <w:i/>
          <w:sz w:val="20"/>
        </w:rPr>
        <w:t xml:space="preserve"> </w:t>
      </w:r>
      <w:r w:rsidRPr="00BE14F9">
        <w:rPr>
          <w:rFonts w:ascii="Book Antiqua" w:hAnsi="Book Antiqua"/>
          <w:sz w:val="20"/>
        </w:rPr>
        <w:t>result can be more firmly established. According to classical theory as given by Starling and Woodall in [36] we get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sSup>
          <m:sSupPr>
            <m:ctrlPr>
              <w:rPr>
                <w:rFonts w:ascii="Cambria Math" w:hAnsi="Book Antiqua" w:cs="Arial"/>
                <w:i/>
                <w:sz w:val="18"/>
                <w:szCs w:val="18"/>
              </w:rPr>
            </m:ctrlPr>
          </m:sSupPr>
          <m:e>
            <m:r>
              <w:rPr>
                <w:rFonts w:ascii="Cambria Math" w:hAnsi="Cambria Math" w:cs="Arial"/>
                <w:sz w:val="18"/>
                <w:szCs w:val="18"/>
              </w:rPr>
              <m:t>E</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Book Antiqua" w:hAnsi="Book Antiqua" w:cs="Arial"/>
            <w:sz w:val="18"/>
            <w:szCs w:val="18"/>
          </w:rPr>
          <m:t>µ</m:t>
        </m:r>
        <m:sSup>
          <m:sSupPr>
            <m:ctrlPr>
              <w:rPr>
                <w:rFonts w:ascii="Cambria Math" w:hAnsi="Book Antiqua" w:cs="Arial"/>
                <w:i/>
                <w:sz w:val="18"/>
                <w:szCs w:val="18"/>
              </w:rPr>
            </m:ctrlPr>
          </m:sSupPr>
          <m:e>
            <m:r>
              <w:rPr>
                <w:rFonts w:ascii="Cambria Math" w:hAnsi="Cambria Math" w:cs="Arial"/>
                <w:sz w:val="18"/>
                <w:szCs w:val="18"/>
              </w:rPr>
              <m:t>H</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Cambria Math" w:hAnsi="Cambria Math" w:cs="Arial"/>
            <w:sz w:val="18"/>
            <w:szCs w:val="18"/>
          </w:rPr>
          <m:t>ρ</m:t>
        </m:r>
        <m:r>
          <w:rPr>
            <w:rFonts w:ascii="Cambria Math" w:hAnsi="Book Antiqua" w:cs="Arial"/>
            <w:sz w:val="18"/>
            <w:szCs w:val="18"/>
          </w:rPr>
          <m:t xml:space="preserve">  =  </m:t>
        </m:r>
        <m:r>
          <w:rPr>
            <w:rFonts w:ascii="Cambria Math" w:hAnsi="Cambria Math" w:cs="Arial"/>
            <w:sz w:val="18"/>
            <w:szCs w:val="18"/>
          </w:rPr>
          <m:t>U</m:t>
        </m:r>
      </m:oMath>
      <w:r w:rsidRPr="00BE14F9">
        <w:rPr>
          <w:rFonts w:ascii="Book Antiqua" w:hAnsi="Book Antiqua"/>
          <w:sz w:val="20"/>
        </w:rPr>
        <w:t xml:space="preserve"> ,</w:t>
      </w:r>
      <w:r w:rsidRPr="00BE14F9">
        <w:rPr>
          <w:rFonts w:ascii="Book Antiqua" w:hAnsi="Book Antiqua"/>
          <w:sz w:val="20"/>
        </w:rPr>
        <w:tab/>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(11)</w:t>
      </w:r>
    </w:p>
    <w:p w:rsidR="00EE348C" w:rsidRPr="00BE14F9" w:rsidRDefault="00EE348C" w:rsidP="00EE348C">
      <w:pPr>
        <w:pStyle w:val="NoSpacing"/>
        <w:jc w:val="both"/>
        <w:rPr>
          <w:rFonts w:ascii="Book Antiqua" w:hAnsi="Book Antiqua"/>
          <w:sz w:val="20"/>
        </w:rPr>
      </w:pPr>
    </w:p>
    <w:p w:rsidR="00EE348C" w:rsidRPr="00BE14F9" w:rsidRDefault="00EE348C" w:rsidP="00332EE3">
      <w:pPr>
        <w:pStyle w:val="NoSpacing"/>
        <w:jc w:val="both"/>
        <w:rPr>
          <w:rFonts w:ascii="Book Antiqua" w:hAnsi="Book Antiqua"/>
          <w:sz w:val="20"/>
        </w:rPr>
      </w:pPr>
      <w:r w:rsidRPr="00BE14F9">
        <w:rPr>
          <w:rFonts w:ascii="Book Antiqua" w:hAnsi="Book Antiqua"/>
          <w:sz w:val="20"/>
        </w:rPr>
        <w:t xml:space="preserve">where </w:t>
      </w:r>
      <m:oMath>
        <m:r>
          <w:rPr>
            <w:rFonts w:ascii="Cambria Math" w:hAnsi="Cambria Math" w:cs="Arial"/>
            <w:sz w:val="18"/>
            <w:szCs w:val="18"/>
          </w:rPr>
          <m:t>E</m:t>
        </m:r>
      </m:oMath>
      <w:r w:rsidRPr="00BE14F9">
        <w:rPr>
          <w:rFonts w:ascii="Book Antiqua" w:hAnsi="Book Antiqua"/>
          <w:sz w:val="20"/>
        </w:rPr>
        <w:t xml:space="preserve"> is the electric field strength and </w:t>
      </w:r>
      <m:oMath>
        <m:r>
          <w:rPr>
            <w:rFonts w:ascii="Cambria Math" w:hAnsi="Cambria Math" w:cs="Arial"/>
            <w:sz w:val="18"/>
            <w:szCs w:val="18"/>
          </w:rPr>
          <m:t>H</m:t>
        </m:r>
      </m:oMath>
      <w:r w:rsidRPr="00BE14F9">
        <w:rPr>
          <w:rFonts w:ascii="Book Antiqua" w:hAnsi="Book Antiqua"/>
          <w:sz w:val="20"/>
        </w:rPr>
        <w:t xml:space="preserve"> is the magnetic field strength of the ZPE waves. Equation</w:t>
      </w:r>
      <w:r w:rsidR="002307FA">
        <w:rPr>
          <w:rFonts w:ascii="Book Antiqua" w:hAnsi="Book Antiqua"/>
          <w:sz w:val="20"/>
        </w:rPr>
        <w:t>s (6) and</w:t>
      </w:r>
      <w:r w:rsidRPr="00BE14F9">
        <w:rPr>
          <w:rFonts w:ascii="Book Antiqua" w:hAnsi="Book Antiqua"/>
          <w:sz w:val="20"/>
        </w:rPr>
        <w:t xml:space="preserve"> (7) </w:t>
      </w:r>
      <w:r w:rsidR="002307FA">
        <w:rPr>
          <w:rFonts w:ascii="Book Antiqua" w:hAnsi="Book Antiqua"/>
          <w:sz w:val="20"/>
        </w:rPr>
        <w:t>are still valid in SI units and have</w:t>
      </w:r>
      <w:r w:rsidRPr="00BE14F9">
        <w:rPr>
          <w:rFonts w:ascii="Book Antiqua" w:hAnsi="Book Antiqua"/>
          <w:sz w:val="20"/>
        </w:rPr>
        <w:t xml:space="preserve"> already established that</w:t>
      </w:r>
      <m:oMath>
        <m:r>
          <w:rPr>
            <w:rFonts w:ascii="Cambria Math" w:hAnsi="Book Antiqua" w:cs="Arial"/>
            <w:sz w:val="18"/>
            <w:szCs w:val="18"/>
          </w:rPr>
          <m:t xml:space="preserve"> </m:t>
        </m:r>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xml:space="preserve"> are proportional to </w:t>
      </w:r>
      <m:oMath>
        <m:r>
          <w:rPr>
            <w:rFonts w:ascii="Cambria Math" w:hAnsi="Book Antiqua" w:cs="Arial"/>
            <w:sz w:val="18"/>
            <w:szCs w:val="18"/>
          </w:rPr>
          <m:t>1/</m:t>
        </m:r>
        <m:r>
          <w:rPr>
            <w:rFonts w:ascii="Cambria Math" w:hAnsi="Cambria Math" w:cs="Arial"/>
            <w:sz w:val="18"/>
            <w:szCs w:val="18"/>
          </w:rPr>
          <m:t>c</m:t>
        </m:r>
      </m:oMath>
      <w:r w:rsidRPr="00BE14F9">
        <w:rPr>
          <w:rFonts w:ascii="Book Antiqua" w:hAnsi="Book Antiqua"/>
          <w:sz w:val="20"/>
        </w:rPr>
        <w:t xml:space="preserve">.  </w:t>
      </w:r>
      <w:r w:rsidR="00332EE3">
        <w:rPr>
          <w:rFonts w:ascii="Book Antiqua" w:hAnsi="Book Antiqua"/>
          <w:sz w:val="20"/>
        </w:rPr>
        <w:t>Therefore, when using the currently accepted SI units</w:t>
      </w:r>
      <w:r w:rsidR="008911E6">
        <w:rPr>
          <w:rFonts w:ascii="Book Antiqua" w:hAnsi="Book Antiqua"/>
          <w:sz w:val="20"/>
        </w:rPr>
        <w:t xml:space="preserve"> in (11)</w:t>
      </w:r>
      <w:r w:rsidR="00332EE3">
        <w:rPr>
          <w:rFonts w:ascii="Book Antiqua" w:hAnsi="Book Antiqua"/>
          <w:sz w:val="20"/>
        </w:rPr>
        <w:t xml:space="preserve">, </w:t>
      </w:r>
      <m:oMath>
        <m:r>
          <w:rPr>
            <w:rFonts w:ascii="Cambria Math" w:hAnsi="Cambria Math" w:cs="Arial"/>
            <w:sz w:val="18"/>
            <w:szCs w:val="18"/>
          </w:rPr>
          <m:t>E</m:t>
        </m:r>
      </m:oMath>
      <w:r w:rsidRPr="00BE14F9">
        <w:rPr>
          <w:rFonts w:ascii="Book Antiqua" w:hAnsi="Book Antiqua"/>
          <w:sz w:val="20"/>
        </w:rPr>
        <w:t xml:space="preserve"> and </w:t>
      </w:r>
      <m:oMath>
        <m:r>
          <w:rPr>
            <w:rFonts w:ascii="Cambria Math" w:hAnsi="Cambria Math" w:cs="Arial"/>
            <w:sz w:val="18"/>
            <w:szCs w:val="18"/>
          </w:rPr>
          <m:t>H</m:t>
        </m:r>
      </m:oMath>
      <w:r w:rsidRPr="00BE14F9">
        <w:rPr>
          <w:rFonts w:ascii="Book Antiqua" w:hAnsi="Book Antiqua"/>
          <w:sz w:val="20"/>
        </w:rPr>
        <w:t xml:space="preserve"> </w:t>
      </w:r>
      <w:r w:rsidR="00332EE3">
        <w:rPr>
          <w:rFonts w:ascii="Book Antiqua" w:hAnsi="Book Antiqua"/>
          <w:sz w:val="20"/>
        </w:rPr>
        <w:t>must</w:t>
      </w:r>
      <w:r w:rsidRPr="00BE14F9">
        <w:rPr>
          <w:rFonts w:ascii="Book Antiqua" w:hAnsi="Book Antiqua"/>
          <w:sz w:val="20"/>
        </w:rPr>
        <w:t xml:space="preserve"> remain constant. Thus the only component to change as the ZPE changes is the electric and magnetic properties of the vacuum, </w:t>
      </w:r>
      <m:oMath>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As a result, we can conclude that</w:t>
      </w:r>
      <w:r w:rsidR="00BA7C19">
        <w:rPr>
          <w:rFonts w:ascii="Book Antiqua" w:hAnsi="Book Antiqua"/>
          <w:sz w:val="20"/>
        </w:rPr>
        <w:t>, for SI units</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r>
          <w:rPr>
            <w:rFonts w:ascii="Cambria Math" w:hAnsi="Book Antiqua" w:cs="Arial"/>
            <w:sz w:val="18"/>
            <w:szCs w:val="18"/>
          </w:rPr>
          <m:t xml:space="preserve"> ~ </m:t>
        </m:r>
        <m:r>
          <w:rPr>
            <w:rFonts w:ascii="Book Antiqua" w:hAnsi="Book Antiqua" w:cs="Arial"/>
            <w:sz w:val="18"/>
            <w:szCs w:val="18"/>
          </w:rPr>
          <m:t>µ</m:t>
        </m:r>
        <m:r>
          <w:rPr>
            <w:rFonts w:ascii="Cambria Math" w:hAnsi="Book Antiqua" w:cs="Arial"/>
            <w:sz w:val="18"/>
            <w:szCs w:val="18"/>
          </w:rPr>
          <m:t xml:space="preserve"> ~ </m:t>
        </m:r>
        <m:r>
          <w:rPr>
            <w:rFonts w:ascii="Cambria Math" w:hAnsi="Cambria Math" w:cs="Arial"/>
            <w:sz w:val="18"/>
            <w:szCs w:val="18"/>
          </w:rPr>
          <m:t>U</m:t>
        </m:r>
        <m:r>
          <w:rPr>
            <w:rFonts w:ascii="Cambria Math" w:hAnsi="Book Antiqua" w:cs="Arial"/>
            <w:sz w:val="18"/>
            <w:szCs w:val="18"/>
          </w:rPr>
          <m:t xml:space="preserve"> ~ 1/</m:t>
        </m:r>
        <m:r>
          <w:rPr>
            <w:rFonts w:ascii="Cambria Math" w:hAnsi="Cambria Math" w:cs="Arial"/>
            <w:sz w:val="18"/>
            <w:szCs w:val="18"/>
          </w:rPr>
          <m:t>c</m:t>
        </m:r>
        <m:r>
          <w:rPr>
            <w:rFonts w:ascii="Cambria Math" w:hAnsi="Book Antiqua" w:cs="Arial"/>
            <w:sz w:val="18"/>
            <w:szCs w:val="18"/>
          </w:rPr>
          <m:t xml:space="preserve"> ~ </m:t>
        </m:r>
        <m:r>
          <w:rPr>
            <w:rFonts w:ascii="Cambria Math" w:hAnsi="Cambria Math" w:cs="Arial"/>
            <w:sz w:val="18"/>
            <w:szCs w:val="18"/>
          </w:rPr>
          <m:t>h</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(12)</w:t>
      </w:r>
    </w:p>
    <w:p w:rsidR="00EE348C" w:rsidRPr="00BE14F9" w:rsidRDefault="00EE348C" w:rsidP="00EE348C">
      <w:pPr>
        <w:pStyle w:val="NoSpacing"/>
        <w:jc w:val="both"/>
        <w:rPr>
          <w:rFonts w:ascii="Book Antiqua" w:hAnsi="Book Antiqua"/>
          <w:sz w:val="20"/>
        </w:rPr>
      </w:pPr>
    </w:p>
    <w:p w:rsidR="00EE348C" w:rsidRPr="00BE14F9" w:rsidRDefault="00BA7C19" w:rsidP="00EE348C">
      <w:pPr>
        <w:pStyle w:val="NoSpacing"/>
        <w:jc w:val="both"/>
        <w:rPr>
          <w:rFonts w:ascii="Book Antiqua" w:hAnsi="Book Antiqua"/>
          <w:sz w:val="20"/>
        </w:rPr>
      </w:pPr>
      <w:r>
        <w:rPr>
          <w:rFonts w:ascii="Book Antiqua" w:hAnsi="Book Antiqua"/>
          <w:sz w:val="20"/>
        </w:rPr>
        <w:t xml:space="preserve">The result from (12) is therefore valid for both systems of units.  </w:t>
      </w:r>
      <w:r w:rsidR="00EE348C" w:rsidRPr="00BE14F9">
        <w:rPr>
          <w:rFonts w:ascii="Book Antiqua" w:hAnsi="Book Antiqua"/>
          <w:sz w:val="20"/>
        </w:rPr>
        <w:t xml:space="preserve">The considerations that lead to (10) and (12) both indicate </w:t>
      </w:r>
      <m:oMath>
        <m:r>
          <w:rPr>
            <w:rFonts w:ascii="Cambria Math" w:hAnsi="Cambria Math"/>
            <w:sz w:val="18"/>
            <w:szCs w:val="18"/>
          </w:rPr>
          <m:t>c</m:t>
        </m:r>
      </m:oMath>
      <w:r w:rsidR="00EE348C" w:rsidRPr="00BE14F9">
        <w:rPr>
          <w:rFonts w:ascii="Book Antiqua" w:hAnsi="Book Antiqua"/>
          <w:i/>
          <w:iCs/>
          <w:sz w:val="20"/>
        </w:rPr>
        <w:t xml:space="preserve"> </w:t>
      </w:r>
      <w:r w:rsidR="00EE348C" w:rsidRPr="00BE14F9">
        <w:rPr>
          <w:rFonts w:ascii="Book Antiqua" w:hAnsi="Book Antiqua"/>
          <w:sz w:val="20"/>
        </w:rPr>
        <w:t xml:space="preserve">is inversely related to </w:t>
      </w:r>
      <m:oMath>
        <m:r>
          <w:rPr>
            <w:rFonts w:ascii="Cambria Math" w:hAnsi="Cambria Math"/>
            <w:sz w:val="18"/>
            <w:szCs w:val="18"/>
          </w:rPr>
          <m:t>U</m:t>
        </m:r>
      </m:oMath>
      <w:r w:rsidR="00EE348C" w:rsidRPr="00BE14F9">
        <w:rPr>
          <w:rFonts w:ascii="Book Antiqua" w:hAnsi="Book Antiqua"/>
          <w:i/>
          <w:iCs/>
          <w:sz w:val="20"/>
        </w:rPr>
        <w:t xml:space="preserve">.  </w:t>
      </w:r>
      <w:r w:rsidR="00EE348C" w:rsidRPr="00BE14F9">
        <w:rPr>
          <w:rFonts w:ascii="Book Antiqua" w:hAnsi="Book Antiqua"/>
          <w:iCs/>
          <w:sz w:val="20"/>
        </w:rPr>
        <w:t>Therefore:</w:t>
      </w:r>
      <w:r w:rsidR="00EE348C" w:rsidRPr="00BE14F9">
        <w:rPr>
          <w:rFonts w:ascii="Book Antiqua" w:hAnsi="Book Antiqua"/>
          <w:i/>
          <w:iCs/>
          <w:sz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241D2F"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1</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2</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00EE348C" w:rsidRPr="00BE14F9">
        <w:rPr>
          <w:rFonts w:ascii="Book Antiqua" w:hAnsi="Book Antiqua"/>
          <w:sz w:val="20"/>
        </w:rPr>
        <w:tab/>
      </w:r>
      <w:r w:rsidR="00BA7C19">
        <w:rPr>
          <w:rFonts w:ascii="Book Antiqua" w:hAnsi="Book Antiqua"/>
          <w:sz w:val="20"/>
        </w:rPr>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(13)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widowControl/>
        <w:numPr>
          <w:ilvl w:val="1"/>
          <w:numId w:val="18"/>
        </w:numPr>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Varying c and Light Wave Characteristics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Apart </w:t>
      </w:r>
      <w:r w:rsidR="00BA7C19">
        <w:rPr>
          <w:rFonts w:ascii="Book Antiqua" w:hAnsi="Book Antiqua"/>
          <w:sz w:val="20"/>
        </w:rPr>
        <w:t xml:space="preserve">from </w:t>
      </w:r>
      <w:r w:rsidRPr="00BE14F9">
        <w:rPr>
          <w:rFonts w:ascii="Book Antiqua" w:hAnsi="Book Antiqua"/>
          <w:sz w:val="20"/>
        </w:rPr>
        <w:t xml:space="preserve">speed, there are other qualities of light which must be considered as well.  The amplitude of a light wave is how high it is, not how long it is.  The wave-length is how long it is -- the distance from crest to crest, and it is this that determines color. </w:t>
      </w:r>
      <w:r w:rsidR="00BA7C19">
        <w:rPr>
          <w:rFonts w:ascii="Book Antiqua" w:hAnsi="Book Antiqua"/>
          <w:sz w:val="20"/>
        </w:rPr>
        <w:t>Wave length</w:t>
      </w:r>
      <w:r w:rsidRPr="00BE14F9">
        <w:rPr>
          <w:rFonts w:ascii="Book Antiqua" w:hAnsi="Book Antiqua"/>
          <w:sz w:val="20"/>
        </w:rPr>
        <w:t xml:space="preserve"> is fixed at the moment of emission. The frequency is the number of waves passing a given point in one second. This is what varies in proportion to light speed.  The wave lengths – the colors – do not change.  </w:t>
      </w:r>
      <w:r w:rsidRPr="00BE14F9">
        <w:rPr>
          <w:rFonts w:ascii="Book Antiqua" w:hAnsi="Book Antiqua"/>
          <w:sz w:val="20"/>
        </w:rPr>
        <w:lastRenderedPageBreak/>
        <w:t xml:space="preserve">Again, it is like a train passing.  The train can speed up or slow down, but the lengths of the various cars remain the same. This approach can be formalized in the following way.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Maxwell’s equations are the basic equations describing electromagnetic phenomena, of which light is a part.  In order to achieve accord with Maxwell’s equations, and to accommodate a changing speed of light through time, it is required that photon energies, </w:t>
      </w:r>
      <m:oMath>
        <m:r>
          <w:rPr>
            <w:rFonts w:ascii="Cambria Math" w:hAnsi="Cambria Math"/>
            <w:sz w:val="18"/>
            <w:szCs w:val="18"/>
          </w:rPr>
          <m:t>E</m:t>
        </m:r>
      </m:oMath>
      <w:r w:rsidRPr="00BE14F9">
        <w:rPr>
          <w:rFonts w:ascii="Book Antiqua" w:hAnsi="Book Antiqua"/>
          <w:sz w:val="20"/>
        </w:rPr>
        <w:t xml:space="preserve">, are conserved in transit through space, regardless of any time-variations in the ZPE, </w:t>
      </w:r>
      <m:oMath>
        <m:r>
          <w:rPr>
            <w:rFonts w:ascii="Cambria Math" w:hAnsi="Cambria Math"/>
            <w:sz w:val="18"/>
            <w:szCs w:val="18"/>
          </w:rPr>
          <m:t>c</m:t>
        </m:r>
      </m:oMath>
      <w:r w:rsidRPr="00BE14F9">
        <w:rPr>
          <w:rFonts w:ascii="Book Antiqua" w:hAnsi="Book Antiqua"/>
          <w:sz w:val="20"/>
        </w:rPr>
        <w:t xml:space="preserve">, and </w:t>
      </w:r>
      <m:oMath>
        <m:r>
          <w:rPr>
            <w:rFonts w:ascii="Book Antiqua" w:hAnsi="Cambria Math"/>
            <w:sz w:val="18"/>
            <w:szCs w:val="18"/>
          </w:rPr>
          <m:t>h</m:t>
        </m:r>
      </m:oMath>
      <w:r w:rsidRPr="00BE14F9">
        <w:rPr>
          <w:rFonts w:ascii="Book Antiqua" w:hAnsi="Book Antiqua"/>
          <w:sz w:val="20"/>
        </w:rPr>
        <w:t>. Consequently, we have</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f</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t xml:space="preserve"> </w:t>
      </w:r>
      <w:r w:rsidRPr="00BE14F9">
        <w:rPr>
          <w:rFonts w:ascii="Book Antiqua" w:hAnsi="Book Antiqua"/>
          <w:i/>
          <w:sz w:val="20"/>
        </w:rPr>
        <w:t>(14)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w:r w:rsidRPr="00BE14F9">
        <w:rPr>
          <w:rFonts w:ascii="Book Antiqua" w:hAnsi="Book Antiqua"/>
          <w:i/>
          <w:iCs/>
          <w:sz w:val="20"/>
        </w:rPr>
        <w:t xml:space="preserve">h </w:t>
      </w:r>
      <w:r w:rsidRPr="00BE14F9">
        <w:rPr>
          <w:rFonts w:ascii="Book Antiqua" w:hAnsi="Book Antiqua"/>
          <w:sz w:val="20"/>
        </w:rPr>
        <w:t xml:space="preserve">is inversely proportional to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as in (4), it follows from (14) that a photon’s frequency, </w:t>
      </w:r>
      <m:oMath>
        <m:r>
          <w:rPr>
            <w:rFonts w:ascii="Cambria Math" w:hAnsi="Cambria Math"/>
            <w:sz w:val="18"/>
            <w:szCs w:val="18"/>
          </w:rPr>
          <m:t>f</m:t>
        </m:r>
      </m:oMath>
      <w:r w:rsidRPr="00BE14F9">
        <w:rPr>
          <w:rFonts w:ascii="Book Antiqua" w:hAnsi="Book Antiqua"/>
          <w:sz w:val="20"/>
        </w:rPr>
        <w:t xml:space="preserve">, must be inversely related to </w:t>
      </w:r>
      <m:oMath>
        <m:r>
          <w:rPr>
            <w:rFonts w:ascii="Book Antiqua" w:hAnsi="Cambria Math"/>
            <w:sz w:val="18"/>
            <w:szCs w:val="18"/>
          </w:rPr>
          <m:t>h</m:t>
        </m:r>
      </m:oMath>
      <w:r w:rsidRPr="00BE14F9">
        <w:rPr>
          <w:rFonts w:ascii="Book Antiqua" w:hAnsi="Book Antiqua"/>
          <w:i/>
          <w:iCs/>
          <w:sz w:val="20"/>
        </w:rPr>
        <w:t xml:space="preserve"> </w:t>
      </w:r>
      <w:r w:rsidRPr="00BE14F9">
        <w:rPr>
          <w:rFonts w:ascii="Book Antiqua" w:hAnsi="Book Antiqua"/>
          <w:sz w:val="20"/>
        </w:rPr>
        <w:t xml:space="preserve">and directly related to </w:t>
      </w:r>
      <m:oMath>
        <m:r>
          <w:rPr>
            <w:rFonts w:ascii="Cambria Math" w:hAnsi="Cambria Math"/>
            <w:sz w:val="18"/>
            <w:szCs w:val="18"/>
          </w:rPr>
          <m:t>c</m:t>
        </m:r>
      </m:oMath>
      <w:r w:rsidRPr="00BE14F9">
        <w:rPr>
          <w:rFonts w:ascii="Book Antiqua" w:hAnsi="Book Antiqua"/>
          <w:sz w:val="20"/>
        </w:rPr>
        <w:t xml:space="preserve">. Thus, as the photon travels through space and its speed declines, the wavelength, </w:t>
      </w:r>
      <m:oMath>
        <m:r>
          <w:rPr>
            <w:rFonts w:ascii="Cambria Math" w:hAnsi="Cambria Math"/>
            <w:sz w:val="18"/>
            <w:szCs w:val="18"/>
          </w:rPr>
          <m:t>λ</m:t>
        </m:r>
      </m:oMath>
      <w:r w:rsidRPr="00BE14F9">
        <w:rPr>
          <w:rFonts w:ascii="Book Antiqua" w:hAnsi="Book Antiqua"/>
          <w:sz w:val="20"/>
        </w:rPr>
        <w:t xml:space="preserve">, remains unchanged, maintaining its color and energy. Therefore, in a varying ZPE situation it is the frequency of these waves that changes in proportion to the speed [37]. So for a time-varying ZPE, and hence </w:t>
      </w:r>
      <m:oMath>
        <m:r>
          <w:rPr>
            <w:rFonts w:ascii="Cambria Math" w:hAnsi="Cambria Math"/>
            <w:sz w:val="18"/>
            <w:szCs w:val="18"/>
          </w:rPr>
          <m:t>c</m:t>
        </m:r>
      </m:oMath>
      <w:r w:rsidRPr="00BE14F9">
        <w:rPr>
          <w:rFonts w:ascii="Book Antiqua" w:hAnsi="Book Antiqua"/>
          <w:sz w:val="20"/>
        </w:rPr>
        <w:t xml:space="preserve">, we have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U</m:t>
        </m:r>
        <m:r>
          <w:rPr>
            <w:rFonts w:ascii="Cambria Math" w:hAnsi="Book Antiqua"/>
            <w:sz w:val="18"/>
            <w:szCs w:val="18"/>
          </w:rPr>
          <m:t xml:space="preserve"> </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The question then arises, can light slow down without being ‘bent?’  In the example of the straw appearing to be broken at the surface of the water, we are seeing an example of light being bent.  But this is not what is happening in space.  With the glass of water, two different mediums are present simultaneously.  But in space, through time, changes have occurred simultaneously throughout all of the cosmos, so that different mediums are not present at the same time.  Even extremely long wave-trains, such as those from distant quasars, are slowing simultaneously throughout the</w:t>
      </w:r>
      <w:r w:rsidR="005E065C">
        <w:rPr>
          <w:rFonts w:ascii="Book Antiqua" w:hAnsi="Book Antiqua"/>
          <w:sz w:val="20"/>
        </w:rPr>
        <w:t xml:space="preserve"> entire </w:t>
      </w:r>
      <w:r w:rsidRPr="00BE14F9">
        <w:rPr>
          <w:rFonts w:ascii="Book Antiqua" w:hAnsi="Book Antiqua"/>
          <w:sz w:val="20"/>
        </w:rPr>
        <w:t>cosmos</w:t>
      </w:r>
      <w:r w:rsidRPr="00BE14F9">
        <w:rPr>
          <w:rFonts w:ascii="Book Antiqua" w:hAnsi="Book Antiqua"/>
          <w:b/>
          <w:sz w:val="20"/>
        </w:rPr>
        <w:t xml:space="preserve"> </w:t>
      </w:r>
      <w:r w:rsidRPr="00BE14F9">
        <w:rPr>
          <w:rFonts w:ascii="Book Antiqua" w:hAnsi="Book Antiqua"/>
          <w:sz w:val="20"/>
        </w:rPr>
        <w:t>so there is no bunching up effect. In other words, there is no refracting or bending of light in these circumstances.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observational truth of (14) and (15) was noted by Birge </w:t>
      </w:r>
      <w:r w:rsidR="004B56B5">
        <w:rPr>
          <w:rFonts w:ascii="Book Antiqua" w:hAnsi="Book Antiqua"/>
          <w:sz w:val="20"/>
        </w:rPr>
        <w:t xml:space="preserve">in 1934 </w:t>
      </w:r>
      <w:r w:rsidRPr="00BE14F9">
        <w:rPr>
          <w:rFonts w:ascii="Book Antiqua" w:hAnsi="Book Antiqua"/>
          <w:sz w:val="20"/>
        </w:rPr>
        <w:t>[38]. Light-speed was measured as varying</w:t>
      </w:r>
      <w:r w:rsidR="004B56B5">
        <w:rPr>
          <w:rFonts w:ascii="Book Antiqua" w:hAnsi="Book Antiqua"/>
          <w:sz w:val="20"/>
        </w:rPr>
        <w:t xml:space="preserve">, but </w:t>
      </w:r>
      <w:r w:rsidRPr="00BE14F9">
        <w:rPr>
          <w:rFonts w:ascii="Book Antiqua" w:hAnsi="Book Antiqua"/>
          <w:sz w:val="20"/>
        </w:rPr>
        <w:t xml:space="preserve">without any observed change in wavelengths in interferometers. Birge admitted that this allowed only one conclusion. He said: </w:t>
      </w:r>
      <w:r w:rsidRPr="00BE14F9">
        <w:rPr>
          <w:rFonts w:ascii="Book Antiqua" w:hAnsi="Book Antiqua"/>
          <w:i/>
          <w:iCs/>
          <w:sz w:val="20"/>
        </w:rPr>
        <w:t xml:space="preserve">“if the value of </w:t>
      </w:r>
      <m:oMath>
        <m:r>
          <w:rPr>
            <w:rFonts w:ascii="Cambria Math" w:hAnsi="Cambria Math"/>
            <w:sz w:val="18"/>
            <w:szCs w:val="18"/>
          </w:rPr>
          <m:t>c</m:t>
        </m:r>
      </m:oMath>
      <w:r w:rsidRPr="00BE14F9">
        <w:rPr>
          <w:rFonts w:ascii="Book Antiqua" w:hAnsi="Book Antiqua"/>
          <w:i/>
          <w:iCs/>
          <w:sz w:val="20"/>
        </w:rPr>
        <w:t xml:space="preserve"> … is actually changing with time, but the value of </w:t>
      </w:r>
      <m:oMath>
        <m:r>
          <w:rPr>
            <w:rFonts w:ascii="Cambria Math" w:hAnsi="Cambria Math"/>
            <w:sz w:val="18"/>
            <w:szCs w:val="18"/>
          </w:rPr>
          <m:t>λ</m:t>
        </m:r>
      </m:oMath>
      <w:r w:rsidRPr="00BE14F9">
        <w:rPr>
          <w:rFonts w:ascii="Book Antiqua" w:hAnsi="Book Antiqua"/>
          <w:sz w:val="20"/>
        </w:rPr>
        <w:t xml:space="preserve"> </w:t>
      </w:r>
      <w:r w:rsidRPr="00BE14F9">
        <w:rPr>
          <w:rFonts w:ascii="Book Antiqua" w:hAnsi="Book Antiqua"/>
          <w:i/>
          <w:iCs/>
          <w:sz w:val="20"/>
        </w:rPr>
        <w:t xml:space="preserve">in terms of the standard metre shows no corresponding change, then it necessarily follows that the value of every atomic frequency ... must be changing.” </w:t>
      </w:r>
      <w:r w:rsidRPr="00BE14F9">
        <w:rPr>
          <w:rFonts w:ascii="Book Antiqua" w:hAnsi="Book Antiqua"/>
          <w:sz w:val="20"/>
        </w:rPr>
        <w:t xml:space="preserve">[38]. This is based on the standard equation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c</m:t>
        </m:r>
        <m:r>
          <w:rPr>
            <w:rFonts w:ascii="Cambria Math" w:hAnsi="Book Antiqua"/>
            <w:sz w:val="18"/>
            <w:szCs w:val="18"/>
          </w:rPr>
          <m:t xml:space="preserve"> = </m:t>
        </m:r>
        <m:r>
          <w:rPr>
            <w:rFonts w:ascii="Cambria Math" w:hAnsi="Cambria Math"/>
            <w:sz w:val="18"/>
            <w:szCs w:val="18"/>
          </w:rPr>
          <m:t>f</m:t>
        </m:r>
        <m:r>
          <w:rPr>
            <w:rFonts w:ascii="Cambria Math" w:hAnsi="Book Antiqua"/>
            <w:sz w:val="18"/>
            <w:szCs w:val="18"/>
          </w:rPr>
          <m:t xml:space="preserve"> </m:t>
        </m:r>
        <m:r>
          <w:rPr>
            <w:rFonts w:ascii="Cambria Math" w:hAnsi="Cambria Math"/>
            <w:sz w:val="18"/>
            <w:szCs w:val="18"/>
          </w:rPr>
          <m:t>λ</m:t>
        </m:r>
      </m:oMath>
      <w:r w:rsidRPr="00BE14F9">
        <w:rPr>
          <w:rFonts w:ascii="Book Antiqua" w:hAnsi="Book Antiqua"/>
          <w:i/>
          <w:iCs/>
          <w:sz w:val="20"/>
        </w:rPr>
        <w:tab/>
        <w:t>.</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 xml:space="preserve"> </w:t>
      </w:r>
      <w:r w:rsidRPr="00BE14F9">
        <w:rPr>
          <w:rFonts w:ascii="Book Antiqua" w:hAnsi="Book Antiqua"/>
          <w:i/>
          <w:sz w:val="20"/>
        </w:rPr>
        <w:t>(16)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m:oMath>
        <m:r>
          <w:rPr>
            <w:rFonts w:ascii="Cambria Math" w:hAnsi="Cambria Math"/>
            <w:sz w:val="18"/>
            <w:szCs w:val="18"/>
          </w:rPr>
          <m:t>λ</m:t>
        </m:r>
      </m:oMath>
      <w:r w:rsidRPr="00BE14F9">
        <w:rPr>
          <w:rFonts w:ascii="Book Antiqua" w:hAnsi="Book Antiqua"/>
          <w:i/>
          <w:iCs/>
          <w:sz w:val="20"/>
        </w:rPr>
        <w:t xml:space="preserve"> </w:t>
      </w:r>
      <w:r w:rsidRPr="00BE14F9">
        <w:rPr>
          <w:rFonts w:ascii="Book Antiqua" w:hAnsi="Book Antiqua"/>
          <w:sz w:val="20"/>
        </w:rPr>
        <w:t xml:space="preserve">is unchanged, then, photon frequencies, </w:t>
      </w:r>
      <m:oMath>
        <m:r>
          <w:rPr>
            <w:rFonts w:ascii="Cambria Math" w:hAnsi="Cambria Math"/>
            <w:sz w:val="18"/>
            <w:szCs w:val="18"/>
          </w:rPr>
          <m:t>f</m:t>
        </m:r>
      </m:oMath>
      <w:r w:rsidRPr="00BE14F9">
        <w:rPr>
          <w:rFonts w:ascii="Book Antiqua" w:hAnsi="Book Antiqua"/>
          <w:i/>
          <w:iCs/>
          <w:sz w:val="20"/>
        </w:rPr>
        <w:t xml:space="preserve">, </w:t>
      </w:r>
      <w:r w:rsidRPr="00BE14F9">
        <w:rPr>
          <w:rFonts w:ascii="Book Antiqua" w:hAnsi="Book Antiqua"/>
          <w:sz w:val="20"/>
        </w:rPr>
        <w:t>must go as:</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(17)</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As Birge's quote indicates, atomic frequencies and clocks are also affected by ZPE behavior.  The reason that atomic processes and clocks are affected can be found in atomic mass behavior and the ZPE. Th</w:t>
      </w:r>
      <w:r w:rsidR="004B56B5">
        <w:rPr>
          <w:rFonts w:ascii="Book Antiqua" w:hAnsi="Book Antiqua"/>
          <w:sz w:val="20"/>
        </w:rPr>
        <w:t xml:space="preserve">ese points are all </w:t>
      </w:r>
      <w:r w:rsidRPr="00BE14F9">
        <w:rPr>
          <w:rFonts w:ascii="Book Antiqua" w:hAnsi="Book Antiqua"/>
          <w:sz w:val="20"/>
        </w:rPr>
        <w:t xml:space="preserve">discussed in detail in Chapter 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rPr>
          <w:rFonts w:ascii="Book Antiqua" w:hAnsi="Book Antiqua"/>
          <w:i/>
          <w:sz w:val="20"/>
        </w:rPr>
      </w:pPr>
      <w:r w:rsidRPr="00BE14F9">
        <w:rPr>
          <w:rFonts w:ascii="Book Antiqua" w:hAnsi="Book Antiqua"/>
          <w:i/>
          <w:sz w:val="20"/>
        </w:rPr>
        <w:t xml:space="preserve">2.8 Varying c and </w:t>
      </w:r>
      <w:r w:rsidR="00AA4A30">
        <w:rPr>
          <w:rFonts w:ascii="Book Antiqua" w:hAnsi="Book Antiqua"/>
          <w:i/>
          <w:sz w:val="20"/>
        </w:rPr>
        <w:t xml:space="preserve">Electromagnetic </w:t>
      </w:r>
      <w:r w:rsidRPr="00BE14F9">
        <w:rPr>
          <w:rFonts w:ascii="Book Antiqua" w:hAnsi="Book Antiqua"/>
          <w:i/>
          <w:sz w:val="20"/>
        </w:rPr>
        <w:t>Wave Amplitudes</w:t>
      </w:r>
    </w:p>
    <w:p w:rsidR="00EE348C" w:rsidRPr="00BE14F9" w:rsidRDefault="00EE348C" w:rsidP="00EE348C">
      <w:pPr>
        <w:pStyle w:val="NoSpacing"/>
        <w:rPr>
          <w:rFonts w:ascii="Book Antiqua" w:hAnsi="Book Antiqua"/>
          <w:b/>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As mentioned above, it is usual today, using the current International System (SI) units, to take the maximum amplitude of a wave, </w:t>
      </w:r>
      <m:oMath>
        <m:r>
          <w:rPr>
            <w:rFonts w:ascii="Cambria Math" w:hAnsi="Cambria Math"/>
            <w:sz w:val="18"/>
            <w:szCs w:val="18"/>
          </w:rPr>
          <m:t>A</m:t>
        </m:r>
      </m:oMath>
      <w:r w:rsidRPr="00BE14F9">
        <w:rPr>
          <w:rFonts w:ascii="Book Antiqua" w:hAnsi="Book Antiqua"/>
          <w:sz w:val="20"/>
        </w:rPr>
        <w:t xml:space="preserve">, as being governed solely by the electric field strength </w:t>
      </w:r>
      <m:oMath>
        <m:r>
          <w:rPr>
            <w:rFonts w:ascii="Cambria Math" w:hAnsi="Cambria Math"/>
            <w:sz w:val="18"/>
            <w:szCs w:val="18"/>
          </w:rPr>
          <m:t>E</m:t>
        </m:r>
      </m:oMath>
      <w:r w:rsidRPr="00BE14F9">
        <w:rPr>
          <w:rFonts w:ascii="Book Antiqua" w:hAnsi="Book Antiqua"/>
          <w:sz w:val="20"/>
        </w:rPr>
        <w:t xml:space="preserve"> or the magnetic field strength, </w:t>
      </w:r>
      <m:oMath>
        <m:r>
          <w:rPr>
            <w:rFonts w:ascii="Cambria Math" w:hAnsi="Cambria Math"/>
            <w:sz w:val="18"/>
            <w:szCs w:val="18"/>
          </w:rPr>
          <m:t>H</m:t>
        </m:r>
      </m:oMath>
      <w:r w:rsidRPr="00BE14F9">
        <w:rPr>
          <w:rFonts w:ascii="Book Antiqua" w:hAnsi="Book Antiqua"/>
          <w:i/>
          <w:sz w:val="20"/>
        </w:rPr>
        <w:t>,</w:t>
      </w:r>
      <w:r w:rsidRPr="00BE14F9">
        <w:rPr>
          <w:rFonts w:ascii="Book Antiqua" w:hAnsi="Book Antiqua"/>
          <w:sz w:val="20"/>
        </w:rPr>
        <w:t xml:space="preserve"> as we have done above.  But there has been an historical mix-up of the quantities involved.  The system of units used up to the mid-20</w:t>
      </w:r>
      <w:r w:rsidRPr="00BE14F9">
        <w:rPr>
          <w:rFonts w:ascii="Book Antiqua" w:hAnsi="Book Antiqua"/>
          <w:sz w:val="20"/>
          <w:vertAlign w:val="superscript"/>
        </w:rPr>
        <w:t>th</w:t>
      </w:r>
      <w:r w:rsidRPr="00BE14F9">
        <w:rPr>
          <w:rFonts w:ascii="Book Antiqua" w:hAnsi="Book Antiqua"/>
          <w:sz w:val="20"/>
        </w:rPr>
        <w:t xml:space="preserve"> century, was the centimeter, gram, second (CGS) system. This was the system of units used by Maxwell when he formulated his laws. On this CGS system of units, it is the energy density rather than the field strength that the maximum amplitude, </w:t>
      </w:r>
      <m:oMath>
        <m:r>
          <w:rPr>
            <w:rFonts w:ascii="Cambria Math" w:hAnsi="Cambria Math" w:cs="Arial"/>
            <w:sz w:val="18"/>
            <w:szCs w:val="18"/>
          </w:rPr>
          <m:t>A</m:t>
        </m:r>
      </m:oMath>
      <w:r w:rsidRPr="00BE14F9">
        <w:rPr>
          <w:rFonts w:ascii="Book Antiqua" w:hAnsi="Book Antiqua"/>
          <w:sz w:val="20"/>
        </w:rPr>
        <w:t>, was related to. The relationship on the CGS system was then given as follows: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lastRenderedPageBreak/>
        <w:t xml:space="preserve">In equation (18), the factor of </w:t>
      </w:r>
      <m:oMath>
        <m:r>
          <w:rPr>
            <w:rFonts w:ascii="Book Antiqua" w:hAnsi="Book Antiqua" w:cs="Arial"/>
            <w:sz w:val="18"/>
            <w:szCs w:val="18"/>
          </w:rPr>
          <m:t>½</m:t>
        </m:r>
      </m:oMath>
      <w:r w:rsidRPr="00BE14F9">
        <w:rPr>
          <w:rFonts w:ascii="Book Antiqua" w:hAnsi="Book Antiqua"/>
          <w:sz w:val="20"/>
        </w:rPr>
        <w:t xml:space="preserve"> is used with </w:t>
      </w:r>
      <m:oMath>
        <m:r>
          <w:rPr>
            <w:rFonts w:ascii="Cambria Math" w:hAnsi="Cambria Math" w:cs="Arial"/>
            <w:sz w:val="18"/>
            <w:szCs w:val="18"/>
          </w:rPr>
          <m:t>A</m:t>
        </m:r>
      </m:oMath>
      <w:r w:rsidRPr="00BE14F9">
        <w:rPr>
          <w:rFonts w:ascii="Book Antiqua" w:hAnsi="Book Antiqua"/>
          <w:sz w:val="20"/>
        </w:rPr>
        <w:t xml:space="preserve"> since it represents the average of the square of the sine over all angles. From (18) it follows that the standard CGS definition of the intensity,</w:t>
      </w:r>
      <w:r w:rsidRPr="00BE14F9">
        <w:rPr>
          <w:rFonts w:ascii="Book Antiqua" w:hAnsi="Book Antiqua"/>
          <w:i/>
          <w:sz w:val="20"/>
        </w:rPr>
        <w:t xml:space="preserve"> </w:t>
      </w:r>
      <m:oMath>
        <m:r>
          <w:rPr>
            <w:rFonts w:ascii="Cambria Math" w:hAnsi="Cambria Math"/>
            <w:sz w:val="18"/>
            <w:szCs w:val="18"/>
          </w:rPr>
          <m:t>I</m:t>
        </m:r>
      </m:oMath>
      <w:r w:rsidRPr="00BE14F9">
        <w:rPr>
          <w:rFonts w:ascii="Book Antiqua" w:hAnsi="Book Antiqua"/>
          <w:sz w:val="20"/>
        </w:rPr>
        <w:t xml:space="preserve">, of an electromagnetic wave, given by the energy density multiplied by its velocity,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then becomes: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(19)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When equation (10) is applied to (19) we have the CGS result: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(20)</w:t>
      </w:r>
    </w:p>
    <w:p w:rsidR="00EE348C" w:rsidRPr="00BE14F9" w:rsidRDefault="00EE348C" w:rsidP="00EE348C">
      <w:pPr>
        <w:pStyle w:val="NoSpacing"/>
        <w:jc w:val="both"/>
        <w:rPr>
          <w:rFonts w:ascii="Book Antiqua" w:hAnsi="Book Antiqua"/>
          <w:sz w:val="20"/>
        </w:rPr>
      </w:pPr>
    </w:p>
    <w:p w:rsidR="00EE348C" w:rsidRPr="00BE14F9" w:rsidRDefault="00AB518D" w:rsidP="00EE348C">
      <w:pPr>
        <w:pStyle w:val="NoSpacing"/>
        <w:ind w:firstLine="720"/>
        <w:jc w:val="both"/>
        <w:rPr>
          <w:rFonts w:ascii="Book Antiqua" w:hAnsi="Book Antiqua"/>
          <w:sz w:val="20"/>
        </w:rPr>
      </w:pPr>
      <w:r>
        <w:rPr>
          <w:rFonts w:ascii="Book Antiqua" w:hAnsi="Book Antiqua"/>
          <w:sz w:val="20"/>
        </w:rPr>
        <w:t>This is why</w:t>
      </w:r>
      <w:r w:rsidR="00EE348C" w:rsidRPr="00BE14F9">
        <w:rPr>
          <w:rFonts w:ascii="Book Antiqua" w:hAnsi="Book Antiqua"/>
          <w:sz w:val="20"/>
        </w:rPr>
        <w:t xml:space="preserve"> radiation intensities will be constant with changing </w:t>
      </w:r>
      <m:oMath>
        <m:r>
          <w:rPr>
            <w:rFonts w:ascii="Cambria Math" w:hAnsi="Cambria Math"/>
            <w:sz w:val="18"/>
            <w:szCs w:val="18"/>
          </w:rPr>
          <m:t>c</m:t>
        </m:r>
      </m:oMath>
      <w:r w:rsidR="00EE348C" w:rsidRPr="00BE14F9">
        <w:rPr>
          <w:rFonts w:ascii="Book Antiqua" w:hAnsi="Book Antiqua"/>
          <w:sz w:val="20"/>
        </w:rPr>
        <w:t>. Energy density multiplied by electromagnetic wave velocity is, effectively, the Poynting vector. Therefore we can say that, with any changes in</w:t>
      </w:r>
      <m:oMath>
        <m:r>
          <w:rPr>
            <w:rFonts w:ascii="Cambria Math" w:hAnsi="Book Antiqua"/>
            <w:sz w:val="18"/>
            <w:szCs w:val="18"/>
          </w:rPr>
          <m:t xml:space="preserve"> </m:t>
        </m:r>
        <m:r>
          <w:rPr>
            <w:rFonts w:ascii="Cambria Math" w:hAnsi="Cambria Math"/>
            <w:sz w:val="18"/>
            <w:szCs w:val="18"/>
          </w:rPr>
          <m:t>U</m:t>
        </m:r>
      </m:oMath>
      <w:r w:rsidR="00EE348C" w:rsidRPr="00BE14F9">
        <w:rPr>
          <w:rFonts w:ascii="Book Antiqua" w:hAnsi="Book Antiqua"/>
          <w:sz w:val="20"/>
        </w:rPr>
        <w:t xml:space="preserve"> </w:t>
      </w:r>
      <w:r>
        <w:rPr>
          <w:rFonts w:ascii="Book Antiqua" w:hAnsi="Book Antiqua"/>
          <w:sz w:val="20"/>
        </w:rPr>
        <w:t>(</w:t>
      </w:r>
      <w:r w:rsidR="00EE348C" w:rsidRPr="00BE14F9">
        <w:rPr>
          <w:rFonts w:ascii="Book Antiqua" w:hAnsi="Book Antiqua"/>
          <w:sz w:val="20"/>
        </w:rPr>
        <w:t xml:space="preserve">and hence </w:t>
      </w:r>
      <m:oMath>
        <m:r>
          <w:rPr>
            <w:rFonts w:ascii="Cambria Math" w:hAnsi="Cambria Math"/>
            <w:sz w:val="18"/>
            <w:szCs w:val="18"/>
          </w:rPr>
          <m:t>c</m:t>
        </m:r>
      </m:oMath>
      <w:r>
        <w:rPr>
          <w:rFonts w:ascii="Book Antiqua" w:hAnsi="Book Antiqua"/>
          <w:sz w:val="18"/>
          <w:szCs w:val="18"/>
        </w:rPr>
        <w:t>)</w:t>
      </w:r>
      <w:r w:rsidR="00EE348C" w:rsidRPr="00BE14F9">
        <w:rPr>
          <w:rFonts w:ascii="Book Antiqua" w:hAnsi="Book Antiqua"/>
          <w:sz w:val="20"/>
        </w:rPr>
        <w:t>, as shown in the above two equations, the Poynting vector is conserved. As a result, the maximum amplitudes of electromagnetic radiation will behave on the CGS system in this way:</w:t>
      </w:r>
    </w:p>
    <w:p w:rsidR="00EE348C" w:rsidRPr="00BE14F9" w:rsidRDefault="00EE348C" w:rsidP="00EE348C">
      <w:pPr>
        <w:pStyle w:val="NoSpacing"/>
        <w:jc w:val="both"/>
        <w:rPr>
          <w:rFonts w:ascii="Book Antiqua" w:hAnsi="Book Antiqua"/>
          <w:sz w:val="20"/>
        </w:rPr>
      </w:pPr>
    </w:p>
    <w:p w:rsidR="00EE348C" w:rsidRPr="00BE14F9" w:rsidRDefault="00241D2F" w:rsidP="00EE348C">
      <w:pPr>
        <w:pStyle w:val="NoSpacing"/>
        <w:jc w:val="right"/>
        <w:rPr>
          <w:rFonts w:ascii="Book Antiqua" w:hAnsi="Book Antiqua"/>
          <w:sz w:val="20"/>
        </w:rPr>
      </w:pP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m:t>
        </m:r>
      </m:oMath>
      <w:r w:rsidR="00EE348C" w:rsidRPr="00BE14F9">
        <w:rPr>
          <w:rFonts w:ascii="Book Antiqua" w:hAnsi="Book Antiqua"/>
          <w:sz w:val="20"/>
        </w:rPr>
        <w:tab/>
        <w:t xml:space="preserve"> .</w:t>
      </w:r>
      <w:r w:rsidR="00EE348C" w:rsidRPr="00BE14F9">
        <w:rPr>
          <w:rFonts w:ascii="Book Antiqua" w:hAnsi="Book Antiqua"/>
          <w:sz w:val="20"/>
        </w:rPr>
        <w:tab/>
        <w:t xml:space="preserve"> </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(21)</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 xml:space="preserve">This means that, using the original CGS system, amplitudes of radiation </w:t>
      </w:r>
      <w:r w:rsidR="004A523D">
        <w:rPr>
          <w:rFonts w:ascii="Book Antiqua" w:hAnsi="Book Antiqua"/>
          <w:sz w:val="20"/>
        </w:rPr>
        <w:t xml:space="preserve">(Figure A) </w:t>
      </w:r>
      <w:r w:rsidRPr="00BE14F9">
        <w:rPr>
          <w:rFonts w:ascii="Book Antiqua" w:hAnsi="Book Antiqua"/>
          <w:sz w:val="20"/>
        </w:rPr>
        <w:t>were lower when the speed of light</w:t>
      </w:r>
      <w:r w:rsidRPr="00BE14F9">
        <w:rPr>
          <w:rFonts w:ascii="Book Antiqua" w:hAnsi="Book Antiqua"/>
          <w:i/>
          <w:sz w:val="20"/>
        </w:rPr>
        <w:t xml:space="preserve"> </w:t>
      </w:r>
      <w:r w:rsidRPr="00BE14F9">
        <w:rPr>
          <w:rFonts w:ascii="Book Antiqua" w:hAnsi="Book Antiqua"/>
          <w:sz w:val="20"/>
        </w:rPr>
        <w:t>was higher, indicating the overall intensity of light remained the same.  In other words, if the speed of light were ten times faster than now, then the square of the amplitudes would be</w:t>
      </w:r>
      <m:oMath>
        <m:r>
          <w:rPr>
            <w:rFonts w:ascii="Cambria Math" w:hAnsi="Book Antiqua"/>
            <w:sz w:val="18"/>
            <w:szCs w:val="18"/>
          </w:rPr>
          <m:t xml:space="preserve"> </m:t>
        </m:r>
        <m:f>
          <m:fPr>
            <m:type m:val="skw"/>
            <m:ctrlPr>
              <w:rPr>
                <w:rFonts w:ascii="Cambria Math" w:hAnsi="Book Antiqua"/>
                <w:i/>
                <w:sz w:val="18"/>
                <w:szCs w:val="18"/>
              </w:rPr>
            </m:ctrlPr>
          </m:fPr>
          <m:num>
            <m:r>
              <w:rPr>
                <w:rFonts w:ascii="Cambria Math" w:hAnsi="Book Antiqua"/>
                <w:sz w:val="18"/>
                <w:szCs w:val="18"/>
              </w:rPr>
              <m:t>1</m:t>
            </m:r>
          </m:num>
          <m:den>
            <m:r>
              <w:rPr>
                <w:rFonts w:ascii="Cambria Math" w:hAnsi="Book Antiqua"/>
                <w:sz w:val="18"/>
                <w:szCs w:val="18"/>
              </w:rPr>
              <m:t>10</m:t>
            </m:r>
          </m:den>
        </m:f>
      </m:oMath>
      <w:r w:rsidRPr="00BE14F9">
        <w:rPr>
          <w:rFonts w:ascii="Book Antiqua" w:hAnsi="Book Antiqua"/>
          <w:sz w:val="20"/>
        </w:rPr>
        <w:t xml:space="preserve"> of what they are now (it is the square of the amplitude which is inversely related to </w:t>
      </w:r>
      <m:oMath>
        <m:r>
          <w:rPr>
            <w:rFonts w:ascii="Cambria Math" w:hAnsi="Cambria Math"/>
            <w:sz w:val="18"/>
            <w:szCs w:val="18"/>
          </w:rPr>
          <m:t>c</m:t>
        </m:r>
      </m:oMath>
      <w:r w:rsidRPr="00BE14F9">
        <w:rPr>
          <w:rFonts w:ascii="Book Antiqua" w:hAnsi="Book Antiqua"/>
          <w:sz w:val="20"/>
        </w:rPr>
        <w:t xml:space="preserve">).  </w:t>
      </w:r>
    </w:p>
    <w:p w:rsidR="00AB518D" w:rsidRDefault="00AB518D" w:rsidP="00EE348C">
      <w:pPr>
        <w:pStyle w:val="NoSpacing"/>
        <w:jc w:val="both"/>
        <w:rPr>
          <w:rFonts w:ascii="Book Antiqua" w:hAnsi="Book Antiqua"/>
          <w:sz w:val="20"/>
        </w:rPr>
      </w:pPr>
    </w:p>
    <w:p w:rsidR="00CB587A" w:rsidRPr="007F73AB" w:rsidRDefault="00CB587A" w:rsidP="00CB587A">
      <w:pPr>
        <w:pStyle w:val="NoSpacing"/>
        <w:jc w:val="center"/>
        <w:rPr>
          <w:rFonts w:ascii="Book Antiqua" w:hAnsi="Book Antiqua"/>
          <w:sz w:val="20"/>
        </w:rPr>
      </w:pPr>
      <w:r w:rsidRPr="007F73AB">
        <w:rPr>
          <w:rFonts w:ascii="Book Antiqua" w:hAnsi="Book Antiqua"/>
          <w:noProof/>
          <w:sz w:val="20"/>
        </w:rPr>
        <w:drawing>
          <wp:inline distT="0" distB="0" distL="0" distR="0">
            <wp:extent cx="4206677" cy="3565392"/>
            <wp:effectExtent l="19050" t="0" r="3373" b="0"/>
            <wp:docPr id="781"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4209434" cy="3567729"/>
                    </a:xfrm>
                    <a:prstGeom prst="rect">
                      <a:avLst/>
                    </a:prstGeom>
                    <a:noFill/>
                    <a:ln w="9525">
                      <a:noFill/>
                      <a:miter lim="800000"/>
                      <a:headEnd/>
                      <a:tailEnd/>
                    </a:ln>
                  </pic:spPr>
                </pic:pic>
              </a:graphicData>
            </a:graphic>
          </wp:inline>
        </w:drawing>
      </w:r>
    </w:p>
    <w:p w:rsidR="00CB587A" w:rsidRPr="007F73AB" w:rsidRDefault="00CB587A" w:rsidP="00CB587A">
      <w:pPr>
        <w:pStyle w:val="NoSpacing"/>
        <w:ind w:firstLine="720"/>
        <w:rPr>
          <w:rFonts w:ascii="Book Antiqua" w:hAnsi="Book Antiqua"/>
          <w:sz w:val="20"/>
        </w:rPr>
      </w:pPr>
    </w:p>
    <w:p w:rsidR="00CB587A" w:rsidRPr="00262DE1" w:rsidRDefault="004A523D" w:rsidP="00CB587A">
      <w:pPr>
        <w:pStyle w:val="NoSpacing"/>
        <w:rPr>
          <w:rFonts w:ascii="Book Antiqua" w:hAnsi="Book Antiqua"/>
          <w:i/>
          <w:sz w:val="18"/>
          <w:szCs w:val="18"/>
        </w:rPr>
      </w:pPr>
      <w:r w:rsidRPr="004A523D">
        <w:rPr>
          <w:rFonts w:ascii="Book Antiqua" w:hAnsi="Book Antiqua"/>
          <w:b/>
          <w:i/>
          <w:sz w:val="18"/>
          <w:szCs w:val="18"/>
        </w:rPr>
        <w:t>Figure A:</w:t>
      </w:r>
      <w:r>
        <w:rPr>
          <w:rFonts w:ascii="Book Antiqua" w:hAnsi="Book Antiqua"/>
          <w:i/>
          <w:sz w:val="18"/>
          <w:szCs w:val="18"/>
        </w:rPr>
        <w:t xml:space="preserve"> </w:t>
      </w:r>
      <w:r w:rsidR="00CB587A" w:rsidRPr="00262DE1">
        <w:rPr>
          <w:rFonts w:ascii="Book Antiqua" w:hAnsi="Book Antiqua"/>
          <w:i/>
          <w:sz w:val="18"/>
          <w:szCs w:val="18"/>
        </w:rPr>
        <w:t xml:space="preserve">Waves of the same wavelength (energy or color) but with different amplitudes (heights or brightness). The top wave is the least bright of the three while the bottom wave is the brightest. When lightspeed was higher, wave heights were lower, so individual waves were less bright.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On the SI units system now used, equation (20) is basically the same, and intensities remain unchanged. But the redefinition of amplitude in SI units means that we must now write (20) as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20"/>
          </w:rPr>
          <m:t>I</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H</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const</m:t>
        </m:r>
        <m:r>
          <w:rPr>
            <w:rFonts w:ascii="Cambria Math" w:hAnsi="Book Antiqua"/>
            <w:sz w:val="20"/>
          </w:rPr>
          <m:t>.</m:t>
        </m:r>
      </m:oMath>
      <w:r w:rsidRPr="00BE14F9">
        <w:rPr>
          <w:rFonts w:ascii="Book Antiqua" w:hAnsi="Book Antiqua"/>
          <w:i/>
          <w:sz w:val="20"/>
        </w:rPr>
        <w:tab/>
        <w:t xml:space="preserve">  </w:t>
      </w:r>
      <w:r w:rsidRPr="00BE14F9">
        <w:rPr>
          <w:rFonts w:ascii="Book Antiqua" w:hAnsi="Book Antiqua"/>
          <w:i/>
          <w:sz w:val="20"/>
        </w:rPr>
        <w:tab/>
      </w:r>
      <w:r w:rsidRPr="00BE14F9">
        <w:rPr>
          <w:rFonts w:ascii="Book Antiqua" w:hAnsi="Book Antiqua"/>
          <w:i/>
          <w:sz w:val="20"/>
        </w:rPr>
        <w:tab/>
        <w:t xml:space="preserve">    (22)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The difference is that in the SI units used in (22), the amplitude, </w:t>
      </w:r>
      <m:oMath>
        <m:r>
          <w:rPr>
            <w:rFonts w:ascii="Cambria Math" w:hAnsi="Cambria Math"/>
            <w:sz w:val="18"/>
            <w:szCs w:val="18"/>
          </w:rPr>
          <m:t>A</m:t>
        </m:r>
      </m:oMath>
      <w:r w:rsidRPr="00BE14F9">
        <w:rPr>
          <w:rFonts w:ascii="Book Antiqua" w:hAnsi="Book Antiqua"/>
          <w:sz w:val="20"/>
        </w:rPr>
        <w:t xml:space="preserve">, is a constant, whereas, using the older, CGS, units as Maxwell did, </w:t>
      </w: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oMath>
      <w:r w:rsidRPr="00BE14F9">
        <w:rPr>
          <w:rFonts w:ascii="Book Antiqua" w:hAnsi="Book Antiqua"/>
          <w:sz w:val="20"/>
        </w:rPr>
        <w:t xml:space="preserve"> changes in proportion to the ZPE strength, and thus along with (and inversely to) light 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the CGS system of units, the energy density of the wave determines the wave amplitude. Therefore, as the speed drops with greater ZPE strength, the amplitude increases to compensate so that the actual intensity, or irradiance, of light from a source is constant. Appendix B on Radiant Energy Emission goes into more detail.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However, on the current SI units system, while radiation intensity is still constant, amplitudes are also considered constant. The quantity which changes in this case is the energy density; that increases as light-speed decreases.</w:t>
      </w:r>
    </w:p>
    <w:p w:rsidR="00EE348C" w:rsidRDefault="00EE348C" w:rsidP="00EE348C">
      <w:pPr>
        <w:pStyle w:val="NoSpacing"/>
        <w:ind w:firstLine="720"/>
        <w:jc w:val="both"/>
        <w:rPr>
          <w:rFonts w:ascii="Book Antiqua" w:hAnsi="Book Antiqua"/>
          <w:i/>
          <w:sz w:val="20"/>
        </w:rPr>
      </w:pPr>
    </w:p>
    <w:p w:rsidR="00644C81" w:rsidRPr="00BE14F9" w:rsidRDefault="00644C81" w:rsidP="00EE348C">
      <w:pPr>
        <w:pStyle w:val="NoSpacing"/>
        <w:ind w:firstLine="720"/>
        <w:jc w:val="both"/>
        <w:rPr>
          <w:rFonts w:ascii="Book Antiqua" w:hAnsi="Book Antiqua"/>
          <w:i/>
          <w:sz w:val="20"/>
        </w:rPr>
      </w:pPr>
    </w:p>
    <w:p w:rsidR="00EE348C" w:rsidRPr="00BE14F9" w:rsidRDefault="00EE348C" w:rsidP="00EE348C">
      <w:pPr>
        <w:pStyle w:val="NoSpacing"/>
        <w:jc w:val="both"/>
        <w:rPr>
          <w:rFonts w:ascii="Book Antiqua" w:hAnsi="Book Antiqua"/>
          <w:i/>
          <w:sz w:val="20"/>
        </w:rPr>
      </w:pPr>
      <w:r w:rsidRPr="00BE14F9">
        <w:rPr>
          <w:rFonts w:ascii="Book Antiqua" w:hAnsi="Book Antiqua"/>
          <w:i/>
          <w:sz w:val="20"/>
        </w:rPr>
        <w:t>2.9 Light as Photons Rather Than Waves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famous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 xml:space="preserve">was known before Einstein, although it is now associated with him.  What it means is that the total energy of an atomic system is the result of the mass times the speed of light squared.  It has been established that this equation is true in the atomic frame of reference.  Because we can measure the energy given out, we have also been able to determine that the energy itself is conserved, or unchanged.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difference between the CGS and SI approaches to light as shown above are based on the idea that light is a series of waves.  However, light is also considered to be a stream of photons, which behave as though they have mass.  If we look at light in this way, we find the two approaches harmonize.</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sz w:val="20"/>
        </w:rPr>
        <w:t xml:space="preserve">If we are considering photons instead of waves, then we can consider that all the photons of a given energy and hence color (or wavelength), have the same size. As the unbroken stream of photons slows down, the photon size remains the same since the color does not change (as the wavelength remains constant).  In the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the ‘</w:t>
      </w:r>
      <m:oMath>
        <m:r>
          <w:rPr>
            <w:rFonts w:ascii="Cambria Math" w:hAnsi="Cambria Math"/>
            <w:sz w:val="18"/>
            <w:szCs w:val="18"/>
          </w:rPr>
          <m:t>c</m:t>
        </m:r>
      </m:oMath>
      <w:r w:rsidRPr="00BE14F9">
        <w:rPr>
          <w:rFonts w:ascii="Book Antiqua" w:hAnsi="Book Antiqua"/>
          <w:sz w:val="20"/>
        </w:rPr>
        <w:t>’ has now changed.</w:t>
      </w:r>
      <w:r w:rsidRPr="00BE14F9">
        <w:rPr>
          <w:rFonts w:ascii="Book Antiqua" w:hAnsi="Book Antiqua"/>
          <w:i/>
          <w:sz w:val="20"/>
        </w:rPr>
        <w:t xml:space="preserve"> </w:t>
      </w:r>
      <w:r w:rsidRPr="00BE14F9">
        <w:rPr>
          <w:rFonts w:ascii="Book Antiqua" w:hAnsi="Book Antiqua"/>
          <w:sz w:val="20"/>
        </w:rPr>
        <w:t>However we know from research that the ‘</w:t>
      </w:r>
      <m:oMath>
        <m:r>
          <w:rPr>
            <w:rFonts w:ascii="Cambria Math" w:hAnsi="Cambria Math"/>
            <w:sz w:val="18"/>
            <w:szCs w:val="18"/>
          </w:rPr>
          <m:t>E</m:t>
        </m:r>
      </m:oMath>
      <w:r w:rsidRPr="00BE14F9">
        <w:rPr>
          <w:rFonts w:ascii="Book Antiqua" w:hAnsi="Book Antiqua"/>
          <w:sz w:val="20"/>
        </w:rPr>
        <w:t xml:space="preserve">’ remains constant.  Therefore, for the equation to hold true, it is the effective mass, </w:t>
      </w:r>
      <m:oMath>
        <m:r>
          <w:rPr>
            <w:rFonts w:ascii="Cambria Math" w:hAnsi="Cambria Math"/>
            <w:sz w:val="18"/>
            <w:szCs w:val="18"/>
          </w:rPr>
          <m:t>m</m:t>
        </m:r>
      </m:oMath>
      <w:r w:rsidRPr="00BE14F9">
        <w:rPr>
          <w:rFonts w:ascii="Book Antiqua" w:hAnsi="Book Antiqua"/>
          <w:sz w:val="20"/>
        </w:rPr>
        <w:t>, of the photon which must be changing.  The size must stay the same, so that means the photon itself must become “denser.” In other words, there is more mass within the fixed volume of the photon.</w:t>
      </w:r>
      <w:r w:rsidRPr="00BE14F9">
        <w:rPr>
          <w:rFonts w:ascii="Book Antiqua" w:hAnsi="Book Antiqua"/>
          <w:i/>
          <w:sz w:val="20"/>
        </w:rPr>
        <w:t xml:space="preserve"> </w:t>
      </w:r>
    </w:p>
    <w:p w:rsidR="00EE348C" w:rsidRPr="00BE14F9" w:rsidRDefault="00EE348C" w:rsidP="00EE348C">
      <w:pPr>
        <w:pStyle w:val="NoSpacing"/>
        <w:ind w:firstLine="720"/>
        <w:jc w:val="both"/>
        <w:rPr>
          <w:rFonts w:ascii="Book Antiqua" w:hAnsi="Book Antiqua"/>
          <w:i/>
          <w:sz w:val="20"/>
        </w:rPr>
      </w:pPr>
    </w:p>
    <w:p w:rsidR="00644C81" w:rsidRDefault="00EE348C" w:rsidP="00EE348C">
      <w:pPr>
        <w:pStyle w:val="NoSpacing"/>
        <w:ind w:firstLine="720"/>
        <w:jc w:val="both"/>
        <w:rPr>
          <w:rFonts w:ascii="Book Antiqua" w:hAnsi="Book Antiqua"/>
          <w:sz w:val="20"/>
        </w:rPr>
      </w:pPr>
      <w:r w:rsidRPr="00BE14F9">
        <w:rPr>
          <w:rFonts w:ascii="Book Antiqua" w:hAnsi="Book Antiqua"/>
          <w:sz w:val="20"/>
        </w:rPr>
        <w:t xml:space="preserve">As an analogy, when the speed of light was high, a photon might be considered to have the density, or mass, of a snowflake of a fixed size. However, as </w:t>
      </w:r>
      <w:r w:rsidRPr="00BE14F9">
        <w:rPr>
          <w:rFonts w:ascii="Book Antiqua" w:hAnsi="Book Antiqua"/>
          <w:i/>
          <w:sz w:val="20"/>
        </w:rPr>
        <w:t>c</w:t>
      </w:r>
      <w:r w:rsidRPr="00BE14F9">
        <w:rPr>
          <w:rFonts w:ascii="Book Antiqua" w:hAnsi="Book Antiqua"/>
          <w:sz w:val="20"/>
        </w:rPr>
        <w:t xml:space="preserve"> decreased, and the number of photons arriving at an observer per second decreased, the density, or mass, of each photon increased in compensation so that its mass was now more like that of a hailstone, even though its size was unaltered. </w:t>
      </w:r>
    </w:p>
    <w:p w:rsidR="00644C81" w:rsidRDefault="00644C81"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This change in “density” or mass in a given volume occurred as ε and µ changed. Thus light photons, while more numerous originally, when the speed of light was higher, were each “softer.” This has implications for plants which may help explain gigantism among fossil flora</w:t>
      </w:r>
      <w:r w:rsidR="00CB587A">
        <w:rPr>
          <w:rFonts w:ascii="Book Antiqua" w:hAnsi="Book Antiqua"/>
          <w:sz w:val="20"/>
        </w:rPr>
        <w:t>, as</w:t>
      </w:r>
      <w:r w:rsidRPr="00BE14F9">
        <w:rPr>
          <w:rFonts w:ascii="Book Antiqua" w:hAnsi="Book Antiqua"/>
          <w:sz w:val="20"/>
        </w:rPr>
        <w:t xml:space="preserve"> explored in Chapter 10</w:t>
      </w:r>
      <w:r w:rsidR="0050282A">
        <w:rPr>
          <w:rFonts w:ascii="Book Antiqua" w:hAnsi="Book Antiqua"/>
          <w:sz w:val="20"/>
        </w:rPr>
        <w:t>.</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is one final, but important, consequence of </w:t>
      </w:r>
      <w:r w:rsidR="00CB587A">
        <w:rPr>
          <w:rFonts w:ascii="Book Antiqua" w:hAnsi="Book Antiqua"/>
          <w:sz w:val="20"/>
        </w:rPr>
        <w:t>a change in</w:t>
      </w:r>
      <w:r w:rsidRPr="00BE14F9">
        <w:rPr>
          <w:rFonts w:ascii="Book Antiqua" w:hAnsi="Book Antiqua"/>
          <w:sz w:val="20"/>
        </w:rPr>
        <w:t xml:space="preserve"> vacuum permittivity. Equations (10) and (12) have </w:t>
      </w:r>
      <m:oMath>
        <m:r>
          <w:rPr>
            <w:rFonts w:ascii="Cambria Math" w:hAnsi="Cambria Math"/>
            <w:sz w:val="18"/>
            <w:szCs w:val="18"/>
          </w:rPr>
          <m:t>ε</m:t>
        </m:r>
      </m:oMath>
      <w:r w:rsidRPr="00BE14F9">
        <w:rPr>
          <w:rFonts w:ascii="Book Antiqua" w:hAnsi="Book Antiqua"/>
          <w:i/>
          <w:iCs/>
          <w:sz w:val="20"/>
        </w:rPr>
        <w:t xml:space="preserve"> </w:t>
      </w:r>
      <w:r w:rsidRPr="00BE14F9">
        <w:rPr>
          <w:rFonts w:ascii="Book Antiqua" w:hAnsi="Book Antiqua"/>
          <w:sz w:val="20"/>
        </w:rPr>
        <w:t xml:space="preserve">proportional to </w:t>
      </w:r>
      <m:oMath>
        <m:r>
          <w:rPr>
            <w:rFonts w:ascii="Cambria Math" w:hAnsi="Cambria Math"/>
            <w:sz w:val="18"/>
            <w:szCs w:val="18"/>
          </w:rPr>
          <m:t>U</m:t>
        </m:r>
      </m:oMath>
      <w:r w:rsidRPr="00BE14F9">
        <w:rPr>
          <w:rFonts w:ascii="Book Antiqua" w:hAnsi="Book Antiqua"/>
          <w:sz w:val="20"/>
        </w:rPr>
        <w:t xml:space="preserve">, so when this is applied to (5), it requires that </w:t>
      </w:r>
    </w:p>
    <w:p w:rsidR="00EE348C" w:rsidRPr="00BE14F9" w:rsidRDefault="00EE348C" w:rsidP="00EE348C">
      <w:pPr>
        <w:pStyle w:val="NoSpacing"/>
        <w:jc w:val="both"/>
        <w:rPr>
          <w:rFonts w:ascii="Book Antiqua" w:hAnsi="Book Antiqua"/>
          <w:iCs/>
          <w:sz w:val="20"/>
        </w:rPr>
      </w:pPr>
    </w:p>
    <w:p w:rsidR="00EE348C" w:rsidRPr="00BE14F9" w:rsidRDefault="00241D2F" w:rsidP="00EE348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 xml:space="preserve"> ~ </m:t>
        </m:r>
        <m:r>
          <w:rPr>
            <w:rFonts w:ascii="Cambria Math" w:hAnsi="Cambria Math"/>
            <w:sz w:val="18"/>
            <w:szCs w:val="18"/>
          </w:rPr>
          <m:t>U</m:t>
        </m:r>
      </m:oMath>
      <w:r w:rsidR="00EE348C" w:rsidRPr="00BE14F9">
        <w:rPr>
          <w:rFonts w:ascii="Book Antiqua" w:hAnsi="Book Antiqua"/>
          <w:i/>
          <w:iCs/>
          <w:sz w:val="20"/>
        </w:rPr>
        <w:tab/>
        <w:t>,</w:t>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(23)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Many experiments measure </w:t>
      </w:r>
      <w:r w:rsidRPr="00BE14F9">
        <w:rPr>
          <w:rFonts w:ascii="Book Antiqua" w:hAnsi="Book Antiqua"/>
          <w:i/>
          <w:iCs/>
          <w:sz w:val="20"/>
        </w:rPr>
        <w:t xml:space="preserve">e </w:t>
      </w:r>
      <w:r w:rsidRPr="00BE14F9">
        <w:rPr>
          <w:rFonts w:ascii="Book Antiqua" w:hAnsi="Book Antiqua"/>
          <w:sz w:val="20"/>
        </w:rPr>
        <w:t xml:space="preserve">in the context of the permittivity of its environment. This means changes in </w:t>
      </w:r>
      <w:r w:rsidRPr="00BE14F9">
        <w:rPr>
          <w:rFonts w:ascii="Book Antiqua" w:hAnsi="Book Antiqua"/>
          <w:i/>
          <w:iCs/>
          <w:sz w:val="20"/>
        </w:rPr>
        <w:t xml:space="preserve">e </w:t>
      </w:r>
      <w:r w:rsidRPr="00BE14F9">
        <w:rPr>
          <w:rFonts w:ascii="Book Antiqua" w:hAnsi="Book Antiqua"/>
          <w:sz w:val="20"/>
        </w:rPr>
        <w:t xml:space="preserve">alone often have to be deduced from other quantities such as the ratio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This ratio should be proportional to the square root of </w:t>
      </w:r>
      <m:oMath>
        <m:r>
          <w:rPr>
            <w:rFonts w:ascii="Cambria Math" w:hAnsi="Cambria Math"/>
            <w:sz w:val="18"/>
            <w:szCs w:val="18"/>
          </w:rPr>
          <m:t>U</m:t>
        </m:r>
      </m:oMath>
      <w:r w:rsidRPr="00BE14F9">
        <w:rPr>
          <w:rFonts w:ascii="Book Antiqua" w:hAnsi="Book Antiqua"/>
          <w:sz w:val="20"/>
        </w:rPr>
        <w:t xml:space="preserve">, as shown in (23), while </w:t>
      </w:r>
      <m:oMath>
        <m:r>
          <w:rPr>
            <w:rFonts w:ascii="Book Antiqua" w:hAnsi="Cambria Math"/>
            <w:sz w:val="18"/>
            <w:szCs w:val="18"/>
          </w:rPr>
          <m:t>h</m:t>
        </m:r>
        <m:r>
          <w:rPr>
            <w:rFonts w:ascii="Cambria Math" w:hAnsi="Book Antiqua"/>
            <w:sz w:val="18"/>
            <w:szCs w:val="18"/>
          </w:rPr>
          <m:t xml:space="preserve"> </m:t>
        </m:r>
      </m:oMath>
      <w:r w:rsidRPr="00BE14F9">
        <w:rPr>
          <w:rFonts w:ascii="Book Antiqua" w:hAnsi="Book Antiqua"/>
          <w:sz w:val="20"/>
        </w:rPr>
        <w:t xml:space="preserve">is directly proportional to </w:t>
      </w:r>
      <m:oMath>
        <m:r>
          <w:rPr>
            <w:rFonts w:ascii="Cambria Math" w:hAnsi="Cambria Math"/>
            <w:sz w:val="18"/>
            <w:szCs w:val="18"/>
          </w:rPr>
          <m:t>U</m:t>
        </m:r>
      </m:oMath>
      <w:r w:rsidRPr="00BE14F9">
        <w:rPr>
          <w:rFonts w:ascii="Book Antiqua" w:hAnsi="Book Antiqua"/>
          <w:sz w:val="20"/>
        </w:rPr>
        <w:t xml:space="preserve">. When the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data for Figure 1 are examined in detail, as in reference [2], this variation, proposed by equation (23) above, is supported.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lastRenderedPageBreak/>
        <w:t xml:space="preserve">2.10  Maxwell, Relativity and Varying c.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Einstein’s theory of Special Relativity was built upon two basic assumptions. The first was that there is no absolute reference frame anywhere in the universe. The second was the invariance in light-speed.  This is discussed in other articles as well [39].</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discovery, in the late 1960’s, of the Cosmic Microwave Background Radiation (CMBR) </w:t>
      </w:r>
      <w:r w:rsidR="00D56EFD">
        <w:rPr>
          <w:rFonts w:ascii="Book Antiqua" w:hAnsi="Book Antiqua"/>
          <w:sz w:val="20"/>
        </w:rPr>
        <w:t xml:space="preserve">seems to have </w:t>
      </w:r>
      <w:r w:rsidRPr="00BE14F9">
        <w:rPr>
          <w:rFonts w:ascii="Book Antiqua" w:hAnsi="Book Antiqua"/>
          <w:sz w:val="20"/>
        </w:rPr>
        <w:t xml:space="preserve">invalidated Einstein’s assumption that there is no absolute frame of reference anywhere in the universe. </w:t>
      </w:r>
      <w:r w:rsidR="00CB587A">
        <w:rPr>
          <w:rFonts w:ascii="Book Antiqua" w:hAnsi="Book Antiqua"/>
          <w:sz w:val="20"/>
        </w:rPr>
        <w:t>T</w:t>
      </w:r>
      <w:r w:rsidRPr="00BE14F9">
        <w:rPr>
          <w:rFonts w:ascii="Book Antiqua" w:hAnsi="Book Antiqua"/>
          <w:sz w:val="20"/>
        </w:rPr>
        <w:t xml:space="preserve">he true velocities of our solar system and our galaxy have been individually determined using the CMBR as an absolute frame of reference. In noting this development, Martin Harwit in </w:t>
      </w:r>
      <w:r w:rsidRPr="00BE14F9">
        <w:rPr>
          <w:rFonts w:ascii="Book Antiqua" w:hAnsi="Book Antiqua"/>
          <w:b/>
          <w:iCs/>
          <w:sz w:val="20"/>
        </w:rPr>
        <w:t xml:space="preserve">Astrophysical Concepts </w:t>
      </w:r>
      <w:r w:rsidRPr="00BE14F9">
        <w:rPr>
          <w:rFonts w:ascii="Book Antiqua" w:hAnsi="Book Antiqua"/>
          <w:iCs/>
          <w:sz w:val="20"/>
        </w:rPr>
        <w:t>makes this comment [40]:</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r w:rsidRPr="00BE14F9">
        <w:rPr>
          <w:rFonts w:ascii="Book Antiqua" w:hAnsi="Book Antiqua"/>
          <w:i/>
          <w:sz w:val="20"/>
        </w:rPr>
        <w:t>"It is interesting that the presence of such a radiation field should allow us to determine an absolute rest frame on the basis of a local measurement."</w:t>
      </w:r>
      <w:r w:rsidRPr="00BE14F9">
        <w:rPr>
          <w:rFonts w:ascii="Book Antiqua" w:hAnsi="Book Antiqua"/>
          <w:sz w:val="20"/>
        </w:rPr>
        <w:t xml:space="preserve"> Harwit then tries to salvage what he can for relativity by saying: </w:t>
      </w:r>
      <w:r w:rsidRPr="00BE14F9">
        <w:rPr>
          <w:rFonts w:ascii="Book Antiqua" w:hAnsi="Book Antiqua"/>
          <w:i/>
          <w:sz w:val="20"/>
        </w:rPr>
        <w:t>“Rather, the establishment of an absolute reference frame would emphasize the fact that special relativity is really only meant to deal with small-scale phenomena and that phenomena on larger scales allow us to determine a preferred frame of reference in which cosmic processes look isotropic.”</w:t>
      </w:r>
      <w:r w:rsidRPr="00BE14F9">
        <w:rPr>
          <w:rFonts w:ascii="Book Antiqua" w:hAnsi="Book Antiqua"/>
          <w:sz w:val="20"/>
        </w:rPr>
        <w:t xml:space="preserve"> In other words, special relativity must only apply to the atomic frame of reference rather than at the macroscopic level. As a consequence, Relativity's insistence on a constant </w:t>
      </w:r>
      <w:r w:rsidRPr="00BE14F9">
        <w:rPr>
          <w:rFonts w:ascii="Book Antiqua" w:hAnsi="Book Antiqua"/>
          <w:i/>
          <w:sz w:val="20"/>
        </w:rPr>
        <w:t>c</w:t>
      </w:r>
      <w:r w:rsidRPr="00BE14F9">
        <w:rPr>
          <w:rFonts w:ascii="Book Antiqua" w:hAnsi="Book Antiqua"/>
          <w:sz w:val="20"/>
        </w:rPr>
        <w:t xml:space="preserve"> may likewise only apply in the atomic realm. Van Flandern agreed. He wrote: </w:t>
      </w:r>
      <w:r w:rsidRPr="00BE14F9">
        <w:rPr>
          <w:rFonts w:ascii="Book Antiqua" w:hAnsi="Book Antiqua"/>
          <w:i/>
          <w:sz w:val="20"/>
        </w:rPr>
        <w:t>"Assumptions such as the constancy of the velocity of light ... may be true in only one set of units [atomic or orbital], but not the other."</w:t>
      </w:r>
      <w:r w:rsidRPr="00BE14F9">
        <w:rPr>
          <w:rFonts w:ascii="Book Antiqua" w:hAnsi="Book Antiqua"/>
          <w:sz w:val="20"/>
        </w:rPr>
        <w:t xml:space="preserve"> </w:t>
      </w:r>
      <w:r w:rsidRPr="006F62E5">
        <w:rPr>
          <w:rFonts w:ascii="Book Antiqua" w:hAnsi="Book Antiqua"/>
          <w:sz w:val="20"/>
        </w:rPr>
        <w:t>[41]</w:t>
      </w:r>
      <w:r w:rsidR="006F62E5">
        <w:rPr>
          <w:rFonts w:ascii="Book Antiqua" w:hAnsi="Book Antiqua"/>
          <w:sz w:val="20"/>
        </w:rPr>
        <w:t xml:space="preserve"> </w:t>
      </w:r>
      <w:r w:rsidRPr="00BE14F9">
        <w:rPr>
          <w:rFonts w:ascii="Book Antiqua" w:hAnsi="Book Antiqua"/>
          <w:sz w:val="20"/>
        </w:rPr>
        <w:t xml:space="preserve"> This statement will be shown to be true after further examination of the behavior of atomic constants with a changing ZPE.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second of Einstein's two assumptions was the constancy of the speed of light. As mentioned, this has been the topic of scientific discussion by Albrecht and Magueijo and others. Indeed, Magueijo pointed out that </w:t>
      </w:r>
      <w:r w:rsidRPr="00BE14F9">
        <w:rPr>
          <w:rStyle w:val="Emphasis"/>
          <w:rFonts w:ascii="Book Antiqua" w:hAnsi="Book Antiqua"/>
          <w:sz w:val="20"/>
        </w:rPr>
        <w:t>“…the urge to reconcile VSL [variable speed of light] to relativity is motivating much ongoing work… It now appears that the constancy of c is not so essential to relativity after all; the theory can be based on other postulates.” [42]</w:t>
      </w:r>
      <w:r w:rsidRPr="00BE14F9">
        <w:rPr>
          <w:rFonts w:ascii="Book Antiqua" w:hAnsi="Book Antiqua"/>
          <w:sz w:val="20"/>
        </w:rPr>
        <w:t xml:space="preserv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Style w:val="Emphasis"/>
          <w:rFonts w:ascii="Book Antiqua" w:hAnsi="Book Antiqua"/>
          <w:sz w:val="20"/>
        </w:rPr>
      </w:pPr>
      <w:r w:rsidRPr="00BE14F9">
        <w:rPr>
          <w:rFonts w:ascii="Book Antiqua" w:hAnsi="Book Antiqua"/>
          <w:sz w:val="20"/>
        </w:rPr>
        <w:t xml:space="preserve">Conclusions from Cahill’s work at Flinders University go even further. His experimental results mean </w:t>
      </w:r>
      <w:r w:rsidRPr="00BE14F9">
        <w:rPr>
          <w:rStyle w:val="Emphasis"/>
          <w:rFonts w:ascii="Book Antiqua" w:hAnsi="Book Antiqua"/>
          <w:sz w:val="20"/>
        </w:rPr>
        <w:t xml:space="preserve">“that the Einstein postulate regarding the invariance of the speed of light was incorrect – in disagreement with experiment, and had been so from the beginning. This meant that the Special Relativity effects required a different explanation, and indeed Lorentz had supplied that some 100 years ago: in this it is the absolute motion of systems through the dynamical 3-space that causes SR effects, and which is diametrically opposite to the Einstein formalism.” </w:t>
      </w:r>
      <w:r w:rsidRPr="00687FED">
        <w:rPr>
          <w:rStyle w:val="Emphasis"/>
          <w:rFonts w:ascii="Book Antiqua" w:hAnsi="Book Antiqua"/>
          <w:i w:val="0"/>
          <w:sz w:val="20"/>
        </w:rPr>
        <w:t>[43]</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In a similar vein, a banner headline in New Scientist for the 1st November 2008, pp. 28-31, read </w:t>
      </w:r>
      <w:r w:rsidRPr="00BE14F9">
        <w:rPr>
          <w:rFonts w:ascii="Book Antiqua" w:hAnsi="Book Antiqua"/>
          <w:b/>
          <w:sz w:val="20"/>
        </w:rPr>
        <w:t>"</w:t>
      </w:r>
      <w:r w:rsidRPr="00BE14F9">
        <w:rPr>
          <w:rFonts w:ascii="Book Antiqua" w:hAnsi="Book Antiqua"/>
          <w:i/>
          <w:sz w:val="20"/>
        </w:rPr>
        <w:t>Why Einstein was wrong about Relativity. The speed of light is nothing special</w:t>
      </w:r>
      <w:r w:rsidRPr="00BE14F9">
        <w:rPr>
          <w:rFonts w:ascii="Book Antiqua" w:hAnsi="Book Antiqua"/>
          <w:b/>
          <w:sz w:val="20"/>
        </w:rPr>
        <w:t>."</w:t>
      </w:r>
      <w:r w:rsidRPr="00BE14F9">
        <w:rPr>
          <w:rFonts w:ascii="Book Antiqua" w:hAnsi="Book Antiqua"/>
          <w:sz w:val="20"/>
        </w:rPr>
        <w:t xml:space="preserve"> In the article it was pointed out that Mitchell Feigenbaum of the Rockefeller University, New York, had demonstrated a different way of deriving Relativity theory. He shows that in this approach, </w:t>
      </w:r>
      <w:r w:rsidRPr="00BE14F9">
        <w:rPr>
          <w:rFonts w:ascii="Book Antiqua" w:hAnsi="Book Antiqua"/>
          <w:i/>
          <w:sz w:val="20"/>
        </w:rPr>
        <w:t>"Relativity emerges, complete with a definite but unspecified maximum speed that the sum of individual relative speeds cannot exceed."</w:t>
      </w:r>
      <w:r w:rsidRPr="00BE14F9">
        <w:rPr>
          <w:rFonts w:ascii="Book Antiqua" w:hAnsi="Book Antiqua"/>
          <w:sz w:val="20"/>
        </w:rPr>
        <w:t xml:space="preserve"> Feigenbaum goes on to show that the current speed of light may not be that maximum [44].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usual way to derive Maxwell’s equations today is to begin with Relativity.  For this reason, the criticism has been made that standard equations (7) and (9) were derived using a constant speed of light.  But these equations, are readily derived without any initial assumptions about the behavior of </w:t>
      </w:r>
      <m:oMath>
        <m:r>
          <w:rPr>
            <w:rFonts w:ascii="Cambria Math" w:hAnsi="Cambria Math"/>
            <w:sz w:val="18"/>
            <w:szCs w:val="18"/>
          </w:rPr>
          <m:t>c</m:t>
        </m:r>
      </m:oMath>
      <w:r w:rsidRPr="00BE14F9">
        <w:rPr>
          <w:rFonts w:ascii="Book Antiqua" w:hAnsi="Book Antiqua"/>
          <w:sz w:val="20"/>
        </w:rPr>
        <w:t xml:space="preserve">, </w:t>
      </w:r>
      <m:oMath>
        <m:r>
          <w:rPr>
            <w:rFonts w:ascii="Cambria Math" w:hAnsi="Cambria Math"/>
            <w:sz w:val="18"/>
            <w:szCs w:val="18"/>
          </w:rPr>
          <m:t>ε</m:t>
        </m:r>
      </m:oMath>
      <w:r w:rsidRPr="00BE14F9">
        <w:rPr>
          <w:rFonts w:ascii="Book Antiqua" w:hAnsi="Book Antiqua"/>
          <w:sz w:val="20"/>
        </w:rPr>
        <w:t xml:space="preserve">, or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iCs/>
          <w:sz w:val="20"/>
        </w:rPr>
        <w:t xml:space="preserve">This is </w:t>
      </w:r>
      <w:r w:rsidRPr="00BE14F9">
        <w:rPr>
          <w:rFonts w:ascii="Book Antiqua" w:hAnsi="Book Antiqua"/>
          <w:sz w:val="20"/>
        </w:rPr>
        <w:t xml:space="preserve">precisely what Maxwell did originally. (This is treated in more detail in Chapter 7 on the ZPE and Relativity)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Meanwhile, Maxwell’s equations have recently been shown to support very large cosmological variations in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with time, provided both the permittivity and permeability of free space varied, as shown in equations (6) and (7), [37]. Maxwell used the CGS (centimeter/gram/second) system of units where this variation is permitted.  However, the introduction of SI (international system) units has created a problem because </w:t>
      </w:r>
      <m:oMath>
        <m:r>
          <w:rPr>
            <w:rFonts w:ascii="Cambria Math" w:hAnsi="Cambria Math"/>
            <w:sz w:val="18"/>
            <w:szCs w:val="18"/>
          </w:rPr>
          <m:t>μ</m:t>
        </m:r>
      </m:oMath>
      <w:r w:rsidRPr="00BE14F9">
        <w:rPr>
          <w:rFonts w:ascii="Book Antiqua" w:hAnsi="Book Antiqua"/>
          <w:sz w:val="20"/>
        </w:rPr>
        <w:t xml:space="preserve"> (permeability) is considered to be invariant. This problem arose because </w:t>
      </w:r>
      <m:oMath>
        <m:r>
          <w:rPr>
            <w:rFonts w:ascii="Cambria Math" w:hAnsi="Cambria Math"/>
            <w:sz w:val="18"/>
            <w:szCs w:val="18"/>
          </w:rPr>
          <m:t>c</m:t>
        </m:r>
      </m:oMath>
      <w:r w:rsidRPr="00BE14F9">
        <w:rPr>
          <w:rFonts w:ascii="Book Antiqua" w:hAnsi="Book Antiqua"/>
          <w:iCs/>
          <w:sz w:val="20"/>
        </w:rPr>
        <w:t xml:space="preserve"> itself (the speed of light) was </w:t>
      </w:r>
      <w:r w:rsidRPr="00BE14F9">
        <w:rPr>
          <w:rFonts w:ascii="Book Antiqua" w:hAnsi="Book Antiqua"/>
          <w:sz w:val="20"/>
        </w:rPr>
        <w:t xml:space="preserve">assumed to be invariant when those units were formulated. It was on this basis that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sz w:val="20"/>
        </w:rPr>
        <w:t xml:space="preserve">was designated as having a constant value. The old CGS units did not have this problem, as they did not presume constancy where it might not exist. It is very easy to see light change its speed.  Put a </w:t>
      </w:r>
      <w:r w:rsidRPr="00BE14F9">
        <w:rPr>
          <w:rFonts w:ascii="Book Antiqua" w:hAnsi="Book Antiqua"/>
          <w:sz w:val="20"/>
        </w:rPr>
        <w:lastRenderedPageBreak/>
        <w:t xml:space="preserve">straw into a glass of water and note how the straw seems ‘broken’ at the water’s surface.  This is because light slows down going through the denser medium of water.  Thus, Relativity is not dependent upon a constant </w:t>
      </w:r>
      <w:r w:rsidRPr="00BE14F9">
        <w:rPr>
          <w:rFonts w:ascii="Book Antiqua" w:hAnsi="Book Antiqua"/>
          <w:i/>
          <w:sz w:val="20"/>
        </w:rPr>
        <w:t>c</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If the Zero Point Energy has changed through time, then we also have a change in the medium through which light has passed, and this means light must have changed its speed.  Currently, the upper limit to the speed of light is considered to be what we see in the ‘vacuum’ of space.  When it travels through air or water, the velocity slows, as there are more particles with which the light must interact.  However, knowing what we now know about the ‘vacuum’ of space, and how it is jammed with virtual particles, we cannot consider the upper limit to the speed of light to be what we are currently seeing there. There are an enormous number of particles it must interact with on its journey to its final point of absorption. Originally, when the ZPE was much lower, there were significantly fewer virtual particles, so light-speed was significantly higher. </w:t>
      </w:r>
      <w:r w:rsidR="0089357C">
        <w:rPr>
          <w:rFonts w:ascii="Book Antiqua" w:hAnsi="Book Antiqua"/>
          <w:sz w:val="20"/>
        </w:rPr>
        <w:t>This occurred since space has effectively become “thicker” with virtual particles over time.</w:t>
      </w:r>
    </w:p>
    <w:p w:rsidR="00EE348C" w:rsidRPr="00BE14F9" w:rsidRDefault="00EE348C" w:rsidP="00EE348C">
      <w:pPr>
        <w:pStyle w:val="NoSpacing"/>
        <w:ind w:firstLine="720"/>
        <w:jc w:val="both"/>
        <w:rPr>
          <w:rFonts w:ascii="Book Antiqua" w:hAnsi="Book Antiqua"/>
          <w:sz w:val="20"/>
        </w:rPr>
      </w:pPr>
    </w:p>
    <w:p w:rsidR="00EE348C" w:rsidRDefault="0089357C" w:rsidP="00EE348C">
      <w:pPr>
        <w:pStyle w:val="NoSpacing"/>
        <w:ind w:firstLine="720"/>
        <w:jc w:val="both"/>
        <w:rPr>
          <w:rFonts w:ascii="Book Antiqua" w:hAnsi="Book Antiqua"/>
          <w:sz w:val="20"/>
        </w:rPr>
      </w:pPr>
      <w:r>
        <w:rPr>
          <w:rFonts w:ascii="Book Antiqua" w:hAnsi="Book Antiqua"/>
          <w:sz w:val="20"/>
        </w:rPr>
        <w:t>Therefore, s</w:t>
      </w:r>
      <w:r w:rsidR="00EE348C" w:rsidRPr="00BE14F9">
        <w:rPr>
          <w:rFonts w:ascii="Book Antiqua" w:hAnsi="Book Antiqua"/>
          <w:sz w:val="20"/>
        </w:rPr>
        <w:t>ince the slowing of light through air or water is not a problem for Relativity, then the slowing of light through space as the ZPE built up should not be a problem either</w:t>
      </w:r>
      <w:r w:rsidR="00400EA0">
        <w:rPr>
          <w:rFonts w:ascii="Book Antiqua" w:hAnsi="Book Antiqua"/>
          <w:sz w:val="20"/>
        </w:rPr>
        <w:t>,</w:t>
      </w:r>
      <w:r>
        <w:rPr>
          <w:rFonts w:ascii="Book Antiqua" w:hAnsi="Book Antiqua"/>
          <w:sz w:val="20"/>
        </w:rPr>
        <w:t xml:space="preserve"> </w:t>
      </w:r>
      <w:r w:rsidR="004657CA">
        <w:rPr>
          <w:rFonts w:ascii="Book Antiqua" w:hAnsi="Book Antiqua"/>
          <w:sz w:val="20"/>
        </w:rPr>
        <w:t xml:space="preserve">as </w:t>
      </w:r>
      <w:r>
        <w:rPr>
          <w:rFonts w:ascii="Book Antiqua" w:hAnsi="Book Antiqua"/>
          <w:sz w:val="20"/>
        </w:rPr>
        <w:t xml:space="preserve">space </w:t>
      </w:r>
      <w:r w:rsidR="004657CA">
        <w:rPr>
          <w:rFonts w:ascii="Book Antiqua" w:hAnsi="Book Antiqua"/>
          <w:sz w:val="20"/>
        </w:rPr>
        <w:t xml:space="preserve">effectively </w:t>
      </w:r>
      <w:r>
        <w:rPr>
          <w:rFonts w:ascii="Book Antiqua" w:hAnsi="Book Antiqua"/>
          <w:sz w:val="20"/>
        </w:rPr>
        <w:t>bec</w:t>
      </w:r>
      <w:r w:rsidR="004657CA">
        <w:rPr>
          <w:rFonts w:ascii="Book Antiqua" w:hAnsi="Book Antiqua"/>
          <w:sz w:val="20"/>
        </w:rPr>
        <w:t>a</w:t>
      </w:r>
      <w:r>
        <w:rPr>
          <w:rFonts w:ascii="Book Antiqua" w:hAnsi="Book Antiqua"/>
          <w:sz w:val="20"/>
        </w:rPr>
        <w:t>me “thicker” over time</w:t>
      </w:r>
      <w:r w:rsidR="00EE348C" w:rsidRPr="00BE14F9">
        <w:rPr>
          <w:rFonts w:ascii="Book Antiqua" w:hAnsi="Book Antiqua"/>
          <w:sz w:val="20"/>
        </w:rPr>
        <w:t xml:space="preserve">. </w:t>
      </w:r>
      <w:r w:rsidR="007D4DE6">
        <w:rPr>
          <w:rFonts w:ascii="Book Antiqua" w:hAnsi="Book Antiqua"/>
          <w:sz w:val="20"/>
        </w:rPr>
        <w:t>O</w:t>
      </w:r>
      <w:r w:rsidR="00EE348C" w:rsidRPr="00BE14F9">
        <w:rPr>
          <w:rFonts w:ascii="Book Antiqua" w:hAnsi="Book Antiqua"/>
          <w:sz w:val="20"/>
        </w:rPr>
        <w:t xml:space="preserve">ther options for Relativity apart from a constant </w:t>
      </w:r>
      <w:r w:rsidR="00EE348C" w:rsidRPr="00BE14F9">
        <w:rPr>
          <w:rFonts w:ascii="Book Antiqua" w:hAnsi="Book Antiqua"/>
          <w:i/>
          <w:sz w:val="20"/>
        </w:rPr>
        <w:t>c</w:t>
      </w:r>
      <w:r w:rsidR="00EE348C" w:rsidRPr="00BE14F9">
        <w:rPr>
          <w:rFonts w:ascii="Book Antiqua" w:hAnsi="Book Antiqua"/>
          <w:sz w:val="20"/>
        </w:rPr>
        <w:t xml:space="preserve"> are discussed in other articles as well [45].</w:t>
      </w:r>
    </w:p>
    <w:p w:rsidR="00164B49" w:rsidRPr="00BE14F9" w:rsidRDefault="00164B49" w:rsidP="00EE348C">
      <w:pPr>
        <w:pStyle w:val="NoSpacing"/>
        <w:ind w:firstLine="720"/>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2.11 Varying c Cosmologies</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idea that the speed of light might not be a constant has been considered in the past decades by a number of authors who have demonstrated that serious problems facing cosmologists could be solved by a very high value for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at the inception of the cosmos. Thus in 1987, V.S. Troitskii proposed that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was initially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10</m:t>
            </m:r>
          </m:sup>
        </m:sSup>
      </m:oMath>
      <w:r w:rsidRPr="00BE14F9">
        <w:rPr>
          <w:rFonts w:ascii="Book Antiqua" w:hAnsi="Book Antiqua"/>
          <w:position w:val="8"/>
          <w:sz w:val="20"/>
          <w:vertAlign w:val="superscript"/>
        </w:rPr>
        <w:t xml:space="preserve"> </w:t>
      </w:r>
      <w:r w:rsidRPr="00BE14F9">
        <w:rPr>
          <w:rFonts w:ascii="Book Antiqua" w:hAnsi="Book Antiqua"/>
          <w:sz w:val="20"/>
        </w:rPr>
        <w:t xml:space="preserve">times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 xml:space="preserve">now, and it then declined to its present value as the universe aged, along with synchronous variations in several atomic constants [46]. In 1993, Moffat published two articles that suggested a high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value during the earliest moments of the universe with an immediate drop to its present value [45]. Albrecht and Magueijo agreed with that concept, and proposed in 1999 that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was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60</m:t>
            </m:r>
          </m:sup>
        </m:sSup>
      </m:oMath>
      <w:r w:rsidRPr="00BE14F9">
        <w:rPr>
          <w:rFonts w:ascii="Book Antiqua" w:hAnsi="Book Antiqua"/>
          <w:position w:val="8"/>
          <w:sz w:val="20"/>
          <w:vertAlign w:val="superscript"/>
        </w:rPr>
        <w:t xml:space="preserve"> </w:t>
      </w:r>
      <w:r w:rsidRPr="00BE14F9">
        <w:rPr>
          <w:rFonts w:ascii="Book Antiqua" w:hAnsi="Book Antiqua"/>
          <w:sz w:val="20"/>
        </w:rPr>
        <w:t>times the current speed of light at the origin of the cosmos [47]. John Barrow agreed with the initial value proposed, but suggested it dropped over the lifetime of the cosmos rather than soon after its inception [48]. Unlike Troitskii, the other authors adopted a minimalist position in which only the speed of light varied, and did not consider synchronous changes in related atomic constants</w:t>
      </w:r>
      <w:r w:rsidR="00EC68C1">
        <w:rPr>
          <w:rFonts w:ascii="Book Antiqua" w:hAnsi="Book Antiqua"/>
          <w:sz w:val="20"/>
        </w:rPr>
        <w:t xml:space="preserve"> (or any reason the speed of light might have varied)</w:t>
      </w:r>
      <w:r w:rsidRPr="00BE14F9">
        <w:rPr>
          <w:rFonts w:ascii="Book Antiqua" w:hAnsi="Book Antiqua"/>
          <w:sz w:val="20"/>
        </w:rPr>
        <w:t xml:space="preserve">. Without this synchronism, based on the ZPE, deep space data demand that any </w:t>
      </w:r>
      <w:r w:rsidRPr="00BE14F9">
        <w:rPr>
          <w:rFonts w:ascii="Book Antiqua" w:hAnsi="Book Antiqua"/>
          <w:i/>
          <w:iCs/>
          <w:sz w:val="20"/>
        </w:rPr>
        <w:t xml:space="preserve">c </w:t>
      </w:r>
      <w:r w:rsidRPr="00BE14F9">
        <w:rPr>
          <w:rFonts w:ascii="Book Antiqua" w:hAnsi="Book Antiqua"/>
          <w:sz w:val="20"/>
        </w:rPr>
        <w:t xml:space="preserve">changes be very limited.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authors mentioned above were all dealing theoretically with problems cosmologists face if all the atomic ‘constants’ are truly constant.  In the meantime, there are over a hundred years of specific and exact measurements which show the speed of light</w:t>
      </w:r>
      <w:r w:rsidR="00EC68C1">
        <w:rPr>
          <w:rFonts w:ascii="Book Antiqua" w:hAnsi="Book Antiqua"/>
          <w:sz w:val="20"/>
        </w:rPr>
        <w:t>,</w:t>
      </w:r>
      <w:r w:rsidRPr="00BE14F9">
        <w:rPr>
          <w:rFonts w:ascii="Book Antiqua" w:hAnsi="Book Antiqua"/>
          <w:sz w:val="20"/>
        </w:rPr>
        <w:t xml:space="preserve"> </w:t>
      </w:r>
      <w:r w:rsidR="00EC68C1">
        <w:rPr>
          <w:rFonts w:ascii="Book Antiqua" w:hAnsi="Book Antiqua"/>
          <w:sz w:val="20"/>
        </w:rPr>
        <w:t xml:space="preserve">and other “constants,” have </w:t>
      </w:r>
      <w:r w:rsidRPr="00BE14F9">
        <w:rPr>
          <w:rFonts w:ascii="Book Antiqua" w:hAnsi="Book Antiqua"/>
          <w:sz w:val="20"/>
        </w:rPr>
        <w:t>changed.  This was a major topic in a number of peer reviewed journals until 1941 when Birge, the “keeper of the constants” simply declared the speed of light to be constant, and this despite his own tally of changing measurements.  This is dealt with in detail later. At the very least, then, we need to have a more open approach regarding the data and the speed of light.  Putting relativity on hold until Chapter 7, let us look at some comments in the scientific literature about the speed of light data.</w:t>
      </w:r>
    </w:p>
    <w:p w:rsidR="00EE348C" w:rsidRPr="00BE14F9" w:rsidRDefault="00EE348C" w:rsidP="00EE348C">
      <w:pPr>
        <w:pStyle w:val="NoSpacing"/>
        <w:jc w:val="both"/>
        <w:rPr>
          <w:rFonts w:ascii="Book Antiqua" w:hAnsi="Book Antiqua"/>
          <w:sz w:val="20"/>
        </w:rPr>
      </w:pPr>
    </w:p>
    <w:p w:rsidR="00EE348C" w:rsidRPr="00BE14F9" w:rsidRDefault="00EE348C" w:rsidP="00AA4A30">
      <w:pPr>
        <w:pStyle w:val="Heading1"/>
        <w:numPr>
          <w:ilvl w:val="0"/>
          <w:numId w:val="8"/>
        </w:numPr>
        <w:spacing w:before="0" w:line="240" w:lineRule="atLeast"/>
        <w:rPr>
          <w:rFonts w:ascii="Book Antiqua" w:hAnsi="Book Antiqua" w:cs="Times New Roman"/>
          <w:sz w:val="20"/>
          <w:szCs w:val="20"/>
        </w:rPr>
      </w:pPr>
      <w:r w:rsidRPr="00BE14F9">
        <w:rPr>
          <w:rFonts w:ascii="Book Antiqua" w:hAnsi="Book Antiqua" w:cs="Times New Roman"/>
          <w:sz w:val="20"/>
          <w:szCs w:val="20"/>
        </w:rPr>
        <w:t>Overview of Discussion on c Variation.</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3.1 Introduction.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From the mid 1800’s until the 1940’s, there was ongoing, and sometimes passionate, discussion in scientific journals regarding the fact that the speed of light had been measured as changing. The data indicating this progressive change were the result of </w:t>
      </w:r>
      <w:r w:rsidR="00EC68C1">
        <w:rPr>
          <w:rFonts w:ascii="Book Antiqua" w:hAnsi="Book Antiqua"/>
          <w:sz w:val="20"/>
        </w:rPr>
        <w:t xml:space="preserve">many </w:t>
      </w:r>
      <w:r w:rsidRPr="00BE14F9">
        <w:rPr>
          <w:rFonts w:ascii="Book Antiqua" w:hAnsi="Book Antiqua"/>
          <w:sz w:val="20"/>
        </w:rPr>
        <w:t xml:space="preserve">hundreds of experiments by </w:t>
      </w:r>
      <w:r w:rsidR="00185FDF">
        <w:rPr>
          <w:rFonts w:ascii="Book Antiqua" w:hAnsi="Book Antiqua"/>
          <w:sz w:val="20"/>
        </w:rPr>
        <w:t>more than a dozen</w:t>
      </w:r>
      <w:r w:rsidRPr="00BE14F9">
        <w:rPr>
          <w:rFonts w:ascii="Book Antiqua" w:hAnsi="Book Antiqua"/>
          <w:sz w:val="20"/>
        </w:rPr>
        <w:t xml:space="preserve"> methods over many years</w:t>
      </w:r>
      <w:r w:rsidR="00EC68C1">
        <w:rPr>
          <w:rFonts w:ascii="Book Antiqua" w:hAnsi="Book Antiqua"/>
          <w:sz w:val="20"/>
        </w:rPr>
        <w:t xml:space="preserve"> (see chapter 3)</w:t>
      </w:r>
      <w:r w:rsidRPr="00BE14F9">
        <w:rPr>
          <w:rFonts w:ascii="Book Antiqua" w:hAnsi="Book Antiqua"/>
          <w:sz w:val="20"/>
        </w:rPr>
        <w:t xml:space="preserve">. Physicists, who had a strong preference for the constancy of atomic quantities, were forced to agree with Dorsey's admission: </w:t>
      </w:r>
      <w:r w:rsidRPr="00BE14F9">
        <w:rPr>
          <w:rFonts w:ascii="Book Antiqua" w:hAnsi="Book Antiqua"/>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BE14F9">
        <w:rPr>
          <w:rFonts w:ascii="Book Antiqua" w:hAnsi="Book Antiqua"/>
          <w:sz w:val="20"/>
        </w:rPr>
        <w:t xml:space="preserve">[49] Even Dorsey's re-working of the data could not avoid that conclusion.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8F4EE0" w:rsidRDefault="00EE348C" w:rsidP="008F4EE0">
      <w:pPr>
        <w:pStyle w:val="NoSpacing"/>
        <w:jc w:val="both"/>
        <w:rPr>
          <w:rFonts w:ascii="Book Antiqua" w:hAnsi="Book Antiqua"/>
          <w:sz w:val="20"/>
        </w:rPr>
      </w:pPr>
      <w:r w:rsidRPr="00BE14F9">
        <w:rPr>
          <w:rFonts w:ascii="Book Antiqua" w:hAnsi="Book Antiqua"/>
          <w:sz w:val="20"/>
        </w:rPr>
        <w:tab/>
        <w:t xml:space="preserve">In 1886, Newcomb reluctantly concluded that the values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obtained around 1740 were in agreement with each other, but were about 1% higher than in his own time [50]. In 1941, Raymond Birge, physics professor at the University of </w:t>
      </w:r>
      <w:r w:rsidRPr="00BE14F9">
        <w:rPr>
          <w:rFonts w:ascii="Book Antiqua" w:hAnsi="Book Antiqua"/>
          <w:sz w:val="20"/>
        </w:rPr>
        <w:lastRenderedPageBreak/>
        <w:t xml:space="preserve">California, Berkeley, made a parallel statement while writing about the </w:t>
      </w:r>
      <w:r w:rsidRPr="00BE14F9">
        <w:rPr>
          <w:rFonts w:ascii="Book Antiqua" w:hAnsi="Book Antiqua"/>
          <w:i/>
          <w:iCs/>
          <w:sz w:val="20"/>
        </w:rPr>
        <w:t xml:space="preserve">c </w:t>
      </w:r>
      <w:r w:rsidRPr="00BE14F9">
        <w:rPr>
          <w:rFonts w:ascii="Book Antiqua" w:hAnsi="Book Antiqua"/>
          <w:sz w:val="20"/>
        </w:rPr>
        <w:t xml:space="preserve">values obtained by Newcomb, Michelson and others around 1880. Birge conceded that: </w:t>
      </w:r>
      <w:r w:rsidRPr="00BE14F9">
        <w:rPr>
          <w:rFonts w:ascii="Book Antiqua" w:hAnsi="Book Antiqua"/>
          <w:i/>
          <w:iCs/>
          <w:sz w:val="20"/>
        </w:rPr>
        <w:t xml:space="preserve">“…these older results are entirely consistent among themselves, but their average is nearly 100 km/s greater than that given by the eight more recent results.” </w:t>
      </w:r>
      <w:r w:rsidRPr="00BE14F9">
        <w:rPr>
          <w:rFonts w:ascii="Book Antiqua" w:hAnsi="Book Antiqua"/>
          <w:sz w:val="20"/>
        </w:rPr>
        <w:t xml:space="preserve">[51] The fact these scientists wanted to hold </w:t>
      </w:r>
      <m:oMath>
        <m:r>
          <w:rPr>
            <w:rFonts w:ascii="Cambria Math" w:hAnsi="Cambria Math"/>
            <w:sz w:val="18"/>
            <w:szCs w:val="18"/>
          </w:rPr>
          <m:t>c</m:t>
        </m:r>
      </m:oMath>
      <w:r w:rsidRPr="00BE14F9">
        <w:rPr>
          <w:rFonts w:ascii="Book Antiqua" w:hAnsi="Book Antiqua"/>
          <w:sz w:val="20"/>
        </w:rPr>
        <w:t xml:space="preserve"> as unchanging makes their admission of declining experimental values significant. </w:t>
      </w:r>
      <w:r w:rsidR="008F4EE0">
        <w:rPr>
          <w:rFonts w:ascii="Book Antiqua" w:hAnsi="Book Antiqua"/>
          <w:sz w:val="20"/>
        </w:rPr>
        <w:t xml:space="preserve"> </w:t>
      </w:r>
    </w:p>
    <w:p w:rsidR="008F4EE0" w:rsidRDefault="008F4EE0" w:rsidP="008F4EE0">
      <w:pPr>
        <w:pStyle w:val="NoSpacing"/>
        <w:jc w:val="both"/>
        <w:rPr>
          <w:rFonts w:ascii="Book Antiqua" w:hAnsi="Book Antiqua"/>
          <w:sz w:val="20"/>
        </w:rPr>
      </w:pPr>
    </w:p>
    <w:p w:rsidR="00EE348C" w:rsidRPr="00BE14F9" w:rsidRDefault="00EE348C" w:rsidP="008F4EE0">
      <w:pPr>
        <w:pStyle w:val="NoSpacing"/>
        <w:ind w:firstLine="720"/>
        <w:jc w:val="both"/>
        <w:rPr>
          <w:rFonts w:ascii="Book Antiqua" w:hAnsi="Book Antiqua"/>
          <w:sz w:val="20"/>
        </w:rPr>
      </w:pPr>
      <w:r w:rsidRPr="00BE14F9">
        <w:rPr>
          <w:rFonts w:ascii="Book Antiqua" w:hAnsi="Book Antiqua"/>
          <w:sz w:val="20"/>
        </w:rPr>
        <w:t xml:space="preserve">This consistency </w:t>
      </w:r>
      <w:r w:rsidRPr="00BE14F9">
        <w:rPr>
          <w:rFonts w:ascii="Book Antiqua" w:hAnsi="Book Antiqua"/>
          <w:i/>
          <w:sz w:val="20"/>
        </w:rPr>
        <w:t>"among themselves,"</w:t>
      </w:r>
      <w:r w:rsidRPr="00BE14F9">
        <w:rPr>
          <w:rFonts w:ascii="Book Antiqua" w:hAnsi="Book Antiqua"/>
          <w:sz w:val="20"/>
        </w:rPr>
        <w:t xml:space="preserve"> that is, among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values obtained by various methods at any given time, is apparent in the data. For example, in the period of one year from 1882-1883, three separate determinations were made by different experimenters using different methods as in Table 2.</w:t>
      </w:r>
    </w:p>
    <w:p w:rsidR="00EE348C" w:rsidRPr="000E5755" w:rsidRDefault="00EE348C" w:rsidP="00EE348C">
      <w:pPr>
        <w:pStyle w:val="NoSpacing"/>
        <w:ind w:firstLine="720"/>
        <w:jc w:val="both"/>
        <w:rPr>
          <w:rFonts w:ascii="Book Antiqua" w:hAnsi="Book Antiqua"/>
          <w:b/>
          <w:sz w:val="20"/>
        </w:rPr>
      </w:pPr>
    </w:p>
    <w:p w:rsidR="00EE348C" w:rsidRPr="000E5755" w:rsidRDefault="00EE348C" w:rsidP="00061E9B">
      <w:pPr>
        <w:pStyle w:val="NoSpacing"/>
        <w:jc w:val="center"/>
        <w:rPr>
          <w:rFonts w:ascii="Book Antiqua" w:hAnsi="Book Antiqua"/>
          <w:b/>
          <w:i/>
          <w:sz w:val="18"/>
          <w:szCs w:val="18"/>
        </w:rPr>
      </w:pPr>
      <w:r w:rsidRPr="000E5755">
        <w:rPr>
          <w:rFonts w:ascii="Book Antiqua" w:hAnsi="Book Antiqua"/>
          <w:b/>
          <w:sz w:val="18"/>
          <w:szCs w:val="18"/>
        </w:rPr>
        <w:t xml:space="preserve">Table 2: </w:t>
      </w:r>
      <w:r w:rsidRPr="000E5755">
        <w:rPr>
          <w:rFonts w:ascii="Book Antiqua" w:hAnsi="Book Antiqua"/>
          <w:b/>
          <w:i/>
          <w:sz w:val="18"/>
          <w:szCs w:val="18"/>
        </w:rPr>
        <w:t>Consistent Results At A Given Time.</w:t>
      </w:r>
    </w:p>
    <w:p w:rsidR="00EE348C" w:rsidRPr="00BE14F9" w:rsidRDefault="00EE348C" w:rsidP="00EE348C">
      <w:pPr>
        <w:pStyle w:val="NoSpacing"/>
        <w:jc w:val="both"/>
        <w:rPr>
          <w:rFonts w:ascii="Book Antiqua" w:hAnsi="Book Antiqu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59"/>
        <w:gridCol w:w="1575"/>
        <w:gridCol w:w="1687"/>
        <w:gridCol w:w="2699"/>
      </w:tblGrid>
      <w:tr w:rsidR="00EE348C" w:rsidRPr="00BE14F9" w:rsidTr="00061E9B">
        <w:trPr>
          <w:trHeight w:val="305"/>
          <w:jc w:val="center"/>
        </w:trPr>
        <w:tc>
          <w:tcPr>
            <w:tcW w:w="125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DATE</w:t>
            </w:r>
          </w:p>
        </w:tc>
        <w:tc>
          <w:tcPr>
            <w:tcW w:w="1575"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PERSON</w:t>
            </w:r>
          </w:p>
        </w:tc>
        <w:tc>
          <w:tcPr>
            <w:tcW w:w="1687"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c-VALUE</w:t>
            </w:r>
          </w:p>
        </w:tc>
        <w:tc>
          <w:tcPr>
            <w:tcW w:w="269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 xml:space="preserve">METHOD           </w:t>
            </w:r>
            <w:r w:rsidR="00E6145A">
              <w:rPr>
                <w:rFonts w:ascii="Book Antiqua" w:hAnsi="Book Antiqua"/>
                <w:b/>
                <w:i/>
                <w:sz w:val="18"/>
                <w:szCs w:val="18"/>
              </w:rPr>
              <w:t xml:space="preserve">   </w:t>
            </w:r>
            <w:r w:rsidRPr="00E366A5">
              <w:rPr>
                <w:rFonts w:ascii="Book Antiqua" w:hAnsi="Book Antiqua"/>
                <w:b/>
                <w:i/>
                <w:sz w:val="18"/>
                <w:szCs w:val="18"/>
              </w:rPr>
              <w:t xml:space="preserve">  </w:t>
            </w:r>
            <w:r w:rsidR="00E6145A">
              <w:rPr>
                <w:rFonts w:ascii="Book Antiqua" w:hAnsi="Book Antiqua"/>
                <w:b/>
                <w:i/>
                <w:sz w:val="18"/>
                <w:szCs w:val="18"/>
              </w:rPr>
              <w:t xml:space="preserve">   </w:t>
            </w:r>
            <w:r w:rsidRPr="00E366A5">
              <w:rPr>
                <w:rFonts w:ascii="Book Antiqua" w:hAnsi="Book Antiqua"/>
                <w:b/>
                <w:i/>
                <w:sz w:val="18"/>
                <w:szCs w:val="18"/>
              </w:rPr>
              <w:t xml:space="preserve">  No.</w:t>
            </w:r>
          </w:p>
        </w:tc>
      </w:tr>
      <w:tr w:rsidR="00EE348C" w:rsidRPr="00BE14F9" w:rsidTr="00061E9B">
        <w:trPr>
          <w:trHeight w:val="287"/>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1882.7</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Newcomb</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299,860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Polygonal Mirror  </w:t>
            </w:r>
            <w:r w:rsidR="00E6145A">
              <w:rPr>
                <w:rFonts w:ascii="Book Antiqua" w:hAnsi="Book Antiqua"/>
                <w:b/>
                <w:sz w:val="18"/>
                <w:szCs w:val="18"/>
              </w:rPr>
              <w:t xml:space="preserve">   </w:t>
            </w:r>
            <w:r w:rsidRPr="00E366A5">
              <w:rPr>
                <w:rFonts w:ascii="Book Antiqua" w:hAnsi="Book Antiqua"/>
                <w:b/>
                <w:sz w:val="18"/>
                <w:szCs w:val="18"/>
              </w:rPr>
              <w:t xml:space="preserve">  255</w:t>
            </w:r>
          </w:p>
        </w:tc>
      </w:tr>
      <w:tr w:rsidR="00EE348C" w:rsidRPr="00BE14F9" w:rsidTr="00061E9B">
        <w:trPr>
          <w:trHeight w:val="260"/>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1882.8</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Michelson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299,853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Rotating Mirrors   </w:t>
            </w:r>
            <w:r w:rsidR="00E6145A">
              <w:rPr>
                <w:rFonts w:ascii="Book Antiqua" w:hAnsi="Book Antiqua"/>
                <w:b/>
                <w:sz w:val="18"/>
                <w:szCs w:val="18"/>
              </w:rPr>
              <w:t xml:space="preserve">   </w:t>
            </w:r>
            <w:r w:rsidRPr="00E366A5">
              <w:rPr>
                <w:rFonts w:ascii="Book Antiqua" w:hAnsi="Book Antiqua"/>
                <w:b/>
                <w:sz w:val="18"/>
                <w:szCs w:val="18"/>
              </w:rPr>
              <w:t xml:space="preserve">  563</w:t>
            </w:r>
          </w:p>
        </w:tc>
      </w:tr>
      <w:tr w:rsidR="00EE348C" w:rsidRPr="00BE14F9" w:rsidTr="00061E9B">
        <w:trPr>
          <w:trHeight w:val="242"/>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1883.0</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Nyren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Aberration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1780</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results were obtained within five months of each other, and are in very close agreement. Their mean is 299,854 km/s, which is 61.8 km/s above today's value. Yet the standard deviation of these three values is only </w:t>
      </w:r>
      <m:oMath>
        <m:r>
          <w:rPr>
            <w:rFonts w:ascii="Book Antiqua" w:hAnsi="Book Antiqua"/>
            <w:sz w:val="18"/>
            <w:szCs w:val="18"/>
          </w:rPr>
          <m:t>±</m:t>
        </m:r>
        <m:r>
          <w:rPr>
            <w:rFonts w:ascii="Cambria Math" w:hAnsi="Book Antiqua"/>
            <w:sz w:val="18"/>
            <w:szCs w:val="18"/>
          </w:rPr>
          <m:t xml:space="preserve"> 5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BE14F9">
        <w:rPr>
          <w:rFonts w:ascii="Book Antiqua" w:hAnsi="Book Antiqua"/>
          <w:sz w:val="20"/>
        </w:rPr>
        <w:t xml:space="preserve">; a result which is backed up by the 2500 individual observations which led to these published results.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 In 1927, M.E.J. Gheury de Bray was responsible for an initial analysis of the </w:t>
      </w:r>
      <w:r w:rsidRPr="00BE14F9">
        <w:rPr>
          <w:rFonts w:ascii="Book Antiqua" w:hAnsi="Book Antiqua"/>
          <w:iCs/>
          <w:sz w:val="20"/>
        </w:rPr>
        <w:t>speed of light</w:t>
      </w:r>
      <w:r w:rsidRPr="00BE14F9">
        <w:rPr>
          <w:rFonts w:ascii="Book Antiqua" w:hAnsi="Book Antiqua"/>
          <w:i/>
          <w:iCs/>
          <w:sz w:val="20"/>
        </w:rPr>
        <w:t xml:space="preserve"> </w:t>
      </w:r>
      <w:r w:rsidRPr="00BE14F9">
        <w:rPr>
          <w:rFonts w:ascii="Book Antiqua" w:hAnsi="Book Antiqua"/>
          <w:sz w:val="20"/>
        </w:rPr>
        <w:t xml:space="preserve">data [52]. After four new determinations by April of 1931, he said </w:t>
      </w:r>
      <w:r w:rsidRPr="00BE14F9">
        <w:rPr>
          <w:rFonts w:ascii="Book Antiqua" w:hAnsi="Book Antiqua"/>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BE14F9">
        <w:rPr>
          <w:rFonts w:ascii="Book Antiqua" w:hAnsi="Book Antiqua"/>
          <w:sz w:val="20"/>
        </w:rPr>
        <w:t xml:space="preserve">[52] Later in 1931 he said, </w:t>
      </w:r>
      <w:r w:rsidRPr="00BE14F9">
        <w:rPr>
          <w:rFonts w:ascii="Book Antiqua" w:hAnsi="Book Antiqua"/>
          <w:i/>
          <w:iCs/>
          <w:sz w:val="20"/>
        </w:rPr>
        <w:t xml:space="preserve">“I believe that in any other field of inquiry such a discrepancy between observation and theory would be felt intolerable.” </w:t>
      </w:r>
      <w:r w:rsidRPr="00BE14F9">
        <w:rPr>
          <w:rFonts w:ascii="Book Antiqua" w:hAnsi="Book Antiqua"/>
          <w:sz w:val="20"/>
        </w:rPr>
        <w:t xml:space="preserve">[52] The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values that Birge recommended be accepted in 1941 [51] are given in Table 3 &amp; plotted in Figure 2.</w:t>
      </w:r>
    </w:p>
    <w:p w:rsidR="00EE348C" w:rsidRPr="00BE14F9" w:rsidRDefault="00EE348C" w:rsidP="00EE348C">
      <w:pPr>
        <w:pStyle w:val="NoSpacing"/>
        <w:jc w:val="both"/>
        <w:rPr>
          <w:rFonts w:ascii="Book Antiqua" w:hAnsi="Book Antiqua"/>
          <w:sz w:val="20"/>
        </w:rPr>
      </w:pPr>
    </w:p>
    <w:p w:rsidR="00EE348C" w:rsidRPr="000E5755" w:rsidRDefault="00EE348C" w:rsidP="00061E9B">
      <w:pPr>
        <w:pStyle w:val="NoSpacing"/>
        <w:jc w:val="center"/>
        <w:rPr>
          <w:rFonts w:ascii="Book Antiqua" w:hAnsi="Book Antiqua"/>
          <w:i/>
          <w:sz w:val="18"/>
          <w:szCs w:val="18"/>
        </w:rPr>
      </w:pPr>
      <w:r w:rsidRPr="000E5755">
        <w:rPr>
          <w:rFonts w:ascii="Book Antiqua" w:hAnsi="Book Antiqua"/>
          <w:b/>
          <w:sz w:val="18"/>
          <w:szCs w:val="18"/>
        </w:rPr>
        <w:t>Table 3:</w:t>
      </w:r>
      <w:r w:rsidRPr="000E5755">
        <w:rPr>
          <w:rFonts w:ascii="Book Antiqua" w:hAnsi="Book Antiqua"/>
          <w:i/>
          <w:sz w:val="18"/>
          <w:szCs w:val="18"/>
        </w:rPr>
        <w:t xml:space="preserve"> </w:t>
      </w:r>
      <w:r w:rsidR="00E366A5" w:rsidRPr="000E5755">
        <w:rPr>
          <w:rFonts w:ascii="Book Antiqua" w:hAnsi="Book Antiqua"/>
          <w:i/>
          <w:sz w:val="18"/>
          <w:szCs w:val="18"/>
        </w:rPr>
        <w:t>L</w:t>
      </w:r>
      <w:r w:rsidRPr="000E5755">
        <w:rPr>
          <w:rFonts w:ascii="Book Antiqua" w:hAnsi="Book Antiqua"/>
          <w:i/>
          <w:sz w:val="18"/>
          <w:szCs w:val="18"/>
        </w:rPr>
        <w:t>ight speed values accepted by Birge</w:t>
      </w:r>
    </w:p>
    <w:p w:rsidR="00EE348C" w:rsidRPr="00BE14F9" w:rsidRDefault="00EE348C" w:rsidP="00EE348C">
      <w:pPr>
        <w:pStyle w:val="NoSpacing"/>
        <w:jc w:val="center"/>
        <w:rPr>
          <w:rFonts w:ascii="Book Antiqua" w:hAnsi="Book Antiqu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89"/>
        <w:gridCol w:w="2989"/>
      </w:tblGrid>
      <w:tr w:rsidR="00EE348C" w:rsidRPr="00BE14F9" w:rsidTr="00061E9B">
        <w:trPr>
          <w:trHeight w:val="253"/>
          <w:jc w:val="center"/>
        </w:trPr>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YEAR</w:t>
            </w:r>
          </w:p>
        </w:tc>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km/sec</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1874.8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299990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1879.5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299910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299860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299853</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1902.4</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299901</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1906</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299803</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1923</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299795</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1926.5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299798</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299786</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1932.5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299774</w:t>
            </w:r>
          </w:p>
        </w:tc>
      </w:tr>
      <w:tr w:rsidR="00EE348C" w:rsidRPr="00BE14F9" w:rsidTr="00061E9B">
        <w:trPr>
          <w:trHeight w:val="270"/>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1936.8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r w:rsidR="00EE348C" w:rsidRPr="00BE14F9" w:rsidTr="00061E9B">
        <w:trPr>
          <w:trHeight w:val="270"/>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bl>
    <w:p w:rsidR="00EE348C" w:rsidRDefault="00EE348C" w:rsidP="00EE348C">
      <w:pPr>
        <w:pStyle w:val="NoSpacing"/>
        <w:jc w:val="both"/>
        <w:rPr>
          <w:rFonts w:ascii="Book Antiqua" w:hAnsi="Book Antiqua"/>
          <w:sz w:val="20"/>
        </w:rPr>
      </w:pPr>
    </w:p>
    <w:p w:rsidR="00904D33" w:rsidRDefault="00904D33" w:rsidP="00904D33">
      <w:pPr>
        <w:pStyle w:val="NoSpacing"/>
        <w:ind w:firstLine="720"/>
        <w:jc w:val="both"/>
        <w:rPr>
          <w:rFonts w:ascii="Book Antiqua" w:hAnsi="Book Antiqua"/>
          <w:bCs/>
          <w:iCs/>
          <w:sz w:val="20"/>
        </w:rPr>
      </w:pPr>
    </w:p>
    <w:p w:rsidR="00904D33" w:rsidRPr="00BE14F9" w:rsidRDefault="00904D33" w:rsidP="00904D33">
      <w:pPr>
        <w:pStyle w:val="NoSpacing"/>
        <w:ind w:firstLine="720"/>
        <w:jc w:val="both"/>
        <w:rPr>
          <w:rFonts w:ascii="Book Antiqua" w:hAnsi="Book Antiqua"/>
          <w:bCs/>
          <w:iCs/>
          <w:sz w:val="20"/>
        </w:rPr>
      </w:pPr>
      <w:r w:rsidRPr="00BE14F9">
        <w:rPr>
          <w:rFonts w:ascii="Book Antiqua" w:hAnsi="Book Antiqua"/>
          <w:bCs/>
          <w:iCs/>
          <w:sz w:val="20"/>
        </w:rPr>
        <w:t xml:space="preserve">It has been suggested that the measured drop in the speed of light was due to an improvement in equipment and the elimination of instrumental errors. Dorsey used that argument as the basis for his analysis in the early 1940’s [49]. However, all he could do in the end was to suggest that error bars be extended as a result of his desire to support a constant speed of light, regardless of the data. His analysis produced no significant changes in the measured values of </w:t>
      </w:r>
      <m:oMath>
        <m:r>
          <w:rPr>
            <w:rFonts w:ascii="Cambria Math" w:hAnsi="Cambria Math"/>
            <w:sz w:val="18"/>
            <w:szCs w:val="18"/>
          </w:rPr>
          <m:t>c</m:t>
        </m:r>
      </m:oMath>
      <w:r w:rsidRPr="00BE14F9">
        <w:rPr>
          <w:rFonts w:ascii="Book Antiqua" w:hAnsi="Book Antiqua"/>
          <w:bCs/>
          <w:iCs/>
          <w:sz w:val="20"/>
        </w:rPr>
        <w:t xml:space="preserve">, despite concerted efforts on his part to find reasons for changes. </w:t>
      </w:r>
    </w:p>
    <w:p w:rsidR="00904D33" w:rsidRPr="00BE14F9" w:rsidRDefault="00904D33" w:rsidP="00EE348C">
      <w:pPr>
        <w:pStyle w:val="NoSpacing"/>
        <w:jc w:val="both"/>
        <w:rPr>
          <w:rFonts w:ascii="Book Antiqua" w:hAnsi="Book Antiqua"/>
          <w:sz w:val="20"/>
        </w:rPr>
      </w:pPr>
    </w:p>
    <w:p w:rsidR="00EE348C" w:rsidRPr="00BE14F9" w:rsidRDefault="00EE348C" w:rsidP="00EE348C">
      <w:pPr>
        <w:pStyle w:val="NoSpacing"/>
        <w:jc w:val="center"/>
        <w:rPr>
          <w:rFonts w:ascii="Book Antiqua" w:hAnsi="Book Antiqua"/>
          <w:b/>
          <w:bCs/>
          <w:i/>
          <w:iCs/>
          <w:sz w:val="20"/>
        </w:rPr>
      </w:pPr>
      <w:r w:rsidRPr="00BE14F9">
        <w:rPr>
          <w:rFonts w:ascii="Book Antiqua" w:hAnsi="Book Antiqua"/>
          <w:noProof/>
          <w:sz w:val="20"/>
        </w:rPr>
        <w:lastRenderedPageBreak/>
        <w:drawing>
          <wp:inline distT="0" distB="0" distL="0" distR="0">
            <wp:extent cx="4737367" cy="5391298"/>
            <wp:effectExtent l="19050" t="0" r="6083" b="0"/>
            <wp:docPr id="152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3" cstate="print">
                      <a:lum contrast="20000"/>
                    </a:blip>
                    <a:srcRect/>
                    <a:stretch>
                      <a:fillRect/>
                    </a:stretch>
                  </pic:blipFill>
                  <pic:spPr bwMode="auto">
                    <a:xfrm>
                      <a:off x="0" y="0"/>
                      <a:ext cx="4740927" cy="5395349"/>
                    </a:xfrm>
                    <a:prstGeom prst="rect">
                      <a:avLst/>
                    </a:prstGeom>
                    <a:noFill/>
                    <a:ln w="9525">
                      <a:noFill/>
                      <a:miter lim="800000"/>
                      <a:headEnd/>
                      <a:tailEnd/>
                    </a:ln>
                  </pic:spPr>
                </pic:pic>
              </a:graphicData>
            </a:graphic>
          </wp:inline>
        </w:drawing>
      </w:r>
    </w:p>
    <w:p w:rsidR="00EE348C" w:rsidRPr="00BE14F9" w:rsidRDefault="00EE348C" w:rsidP="00EE348C">
      <w:pPr>
        <w:pStyle w:val="NoSpacing"/>
        <w:jc w:val="both"/>
        <w:rPr>
          <w:rFonts w:ascii="Book Antiqua" w:hAnsi="Book Antiqua"/>
          <w:bCs/>
          <w:iCs/>
          <w:sz w:val="20"/>
        </w:rPr>
      </w:pPr>
    </w:p>
    <w:p w:rsidR="00EE348C" w:rsidRPr="00644C81" w:rsidRDefault="00EE348C" w:rsidP="00061E9B">
      <w:pPr>
        <w:pStyle w:val="NoSpacing"/>
        <w:jc w:val="center"/>
        <w:rPr>
          <w:rFonts w:ascii="Book Antiqua" w:hAnsi="Book Antiqua"/>
          <w:bCs/>
          <w:i/>
          <w:iCs/>
          <w:sz w:val="18"/>
          <w:szCs w:val="18"/>
        </w:rPr>
      </w:pPr>
      <w:r w:rsidRPr="00644C81">
        <w:rPr>
          <w:rFonts w:ascii="Book Antiqua" w:hAnsi="Book Antiqua"/>
          <w:b/>
          <w:bCs/>
          <w:i/>
          <w:iCs/>
          <w:sz w:val="18"/>
          <w:szCs w:val="18"/>
        </w:rPr>
        <w:t>Figure 2:</w:t>
      </w:r>
      <w:r w:rsidRPr="00644C81">
        <w:rPr>
          <w:rFonts w:ascii="Book Antiqua" w:hAnsi="Book Antiqua"/>
          <w:bCs/>
          <w:i/>
          <w:iCs/>
          <w:sz w:val="18"/>
          <w:szCs w:val="18"/>
        </w:rPr>
        <w:t xml:space="preserve"> Experimental</w:t>
      </w:r>
      <w:r w:rsidR="00644C81">
        <w:rPr>
          <w:rFonts w:ascii="Book Antiqua" w:hAnsi="Book Antiqua"/>
          <w:bCs/>
          <w:i/>
          <w:iCs/>
          <w:sz w:val="18"/>
          <w:szCs w:val="18"/>
        </w:rPr>
        <w:t xml:space="preserve"> values of the speed of light,</w:t>
      </w:r>
      <w:r w:rsidRPr="00644C81">
        <w:rPr>
          <w:rFonts w:ascii="Book Antiqua" w:hAnsi="Book Antiqua"/>
          <w:bCs/>
          <w:i/>
          <w:iCs/>
          <w:sz w:val="18"/>
          <w:szCs w:val="18"/>
        </w:rPr>
        <w:t xml:space="preserve"> </w:t>
      </w:r>
      <m:oMath>
        <m:r>
          <w:rPr>
            <w:rFonts w:ascii="Cambria Math" w:hAnsi="Book Antiqua"/>
            <w:sz w:val="18"/>
            <w:szCs w:val="18"/>
          </w:rPr>
          <m:t>c</m:t>
        </m:r>
      </m:oMath>
      <w:r w:rsidR="00644C81">
        <w:rPr>
          <w:rFonts w:ascii="Book Antiqua" w:hAnsi="Book Antiqua"/>
          <w:bCs/>
          <w:i/>
          <w:iCs/>
          <w:sz w:val="18"/>
          <w:szCs w:val="18"/>
        </w:rPr>
        <w:t>,</w:t>
      </w:r>
      <w:r w:rsidRPr="00644C81">
        <w:rPr>
          <w:rFonts w:ascii="Book Antiqua" w:hAnsi="Book Antiqua"/>
          <w:bCs/>
          <w:i/>
          <w:iCs/>
          <w:sz w:val="18"/>
          <w:szCs w:val="18"/>
        </w:rPr>
        <w:t xml:space="preserve"> accepted by Birge</w:t>
      </w:r>
    </w:p>
    <w:p w:rsidR="00EE348C" w:rsidRPr="00BE14F9" w:rsidRDefault="00EE348C" w:rsidP="00EE348C">
      <w:pPr>
        <w:pStyle w:val="NoSpacing"/>
        <w:ind w:firstLine="720"/>
        <w:jc w:val="both"/>
        <w:rPr>
          <w:rFonts w:ascii="Book Antiqua" w:hAnsi="Book Antiqua"/>
          <w:bCs/>
          <w:iCs/>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3.2 Results from Pulkovo Observatory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noProof/>
          <w:sz w:val="20"/>
        </w:rPr>
      </w:pPr>
      <w:r w:rsidRPr="00BE14F9">
        <w:rPr>
          <w:rFonts w:ascii="Book Antiqua" w:hAnsi="Book Antiqua"/>
          <w:bCs/>
          <w:iCs/>
          <w:sz w:val="20"/>
        </w:rPr>
        <w:tab/>
        <w:t>That Dorsey's argument regarding instrumental error is not viable is shown by the aberration measurements taken at Pulkovo Observatory in Russia. There, the same observers used the same equipment over a period of about 100 years and a decline in c was apparent. Thus equipment and personal errors are effectively eliminated. This negates Dorsey’s argument. Although they are discussed more fully in Chapter 3, the graph of the Pulkovo observations appears in Figure 3.</w:t>
      </w:r>
      <w:r w:rsidRPr="00BE14F9">
        <w:rPr>
          <w:rFonts w:ascii="Book Antiqua" w:hAnsi="Book Antiqua"/>
          <w:noProof/>
          <w:sz w:val="20"/>
        </w:rPr>
        <w:t xml:space="preserve"> </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center"/>
        <w:rPr>
          <w:rFonts w:ascii="Book Antiqua" w:hAnsi="Book Antiqua"/>
          <w:noProof/>
          <w:sz w:val="20"/>
        </w:rPr>
      </w:pPr>
      <w:r w:rsidRPr="00BE14F9">
        <w:rPr>
          <w:rFonts w:ascii="Book Antiqua" w:hAnsi="Book Antiqua"/>
          <w:noProof/>
          <w:sz w:val="20"/>
        </w:rPr>
        <w:lastRenderedPageBreak/>
        <w:drawing>
          <wp:inline distT="0" distB="0" distL="0" distR="0">
            <wp:extent cx="4638675" cy="3724275"/>
            <wp:effectExtent l="19050" t="0" r="9525" b="0"/>
            <wp:docPr id="152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E348C" w:rsidRPr="00BE14F9" w:rsidRDefault="00EE348C" w:rsidP="00EE348C">
      <w:pPr>
        <w:pStyle w:val="NoSpacing"/>
        <w:ind w:firstLine="720"/>
        <w:rPr>
          <w:rFonts w:ascii="Book Antiqua" w:hAnsi="Book Antiqua"/>
          <w:noProof/>
          <w:sz w:val="18"/>
          <w:szCs w:val="18"/>
        </w:rPr>
      </w:pPr>
    </w:p>
    <w:p w:rsidR="00EE348C" w:rsidRPr="00644C81" w:rsidRDefault="00EE348C" w:rsidP="00EE348C">
      <w:pPr>
        <w:pStyle w:val="NoSpacing"/>
        <w:rPr>
          <w:rFonts w:ascii="Book Antiqua" w:hAnsi="Book Antiqua"/>
          <w:i/>
          <w:noProof/>
          <w:sz w:val="18"/>
          <w:szCs w:val="18"/>
        </w:rPr>
      </w:pPr>
      <w:r w:rsidRPr="00644C81">
        <w:rPr>
          <w:rFonts w:ascii="Book Antiqua" w:hAnsi="Book Antiqua"/>
          <w:b/>
          <w:bCs/>
          <w:i/>
          <w:iCs/>
          <w:sz w:val="18"/>
          <w:szCs w:val="18"/>
        </w:rPr>
        <w:t>Figure 3:</w:t>
      </w:r>
      <w:r w:rsidRPr="00644C81">
        <w:rPr>
          <w:rFonts w:ascii="Book Antiqua" w:hAnsi="Book Antiqua"/>
          <w:bCs/>
          <w:i/>
          <w:iCs/>
          <w:sz w:val="18"/>
          <w:szCs w:val="18"/>
        </w:rPr>
        <w:t xml:space="preserve"> Speed of light data from Pulkovo Observatory above their 1935 datum line (the zero line). Values are in km/s above that value. The least squares linear fit to the data gives a decline in c of 6.15 km/s per year.</w:t>
      </w:r>
    </w:p>
    <w:p w:rsidR="00EE348C" w:rsidRDefault="00EE348C" w:rsidP="00EE348C">
      <w:pPr>
        <w:pStyle w:val="NoSpacing"/>
        <w:jc w:val="both"/>
        <w:rPr>
          <w:rFonts w:ascii="Book Antiqua" w:hAnsi="Book Antiqua"/>
          <w:noProof/>
          <w:sz w:val="20"/>
        </w:rPr>
      </w:pPr>
    </w:p>
    <w:p w:rsidR="001D2317" w:rsidRPr="00BE14F9" w:rsidRDefault="001D2317" w:rsidP="001D2317">
      <w:pPr>
        <w:pStyle w:val="NoSpacing"/>
        <w:ind w:firstLine="720"/>
        <w:jc w:val="both"/>
        <w:rPr>
          <w:rFonts w:ascii="Book Antiqua" w:hAnsi="Book Antiqua"/>
          <w:noProof/>
          <w:sz w:val="20"/>
        </w:rPr>
      </w:pPr>
      <w:r w:rsidRPr="00BE14F9">
        <w:rPr>
          <w:rFonts w:ascii="Book Antiqua" w:hAnsi="Book Antiqua"/>
          <w:noProof/>
          <w:sz w:val="20"/>
        </w:rPr>
        <w:t xml:space="preserve">Because most aberration measurements register a systematically low value for </w:t>
      </w:r>
      <m:oMath>
        <m:r>
          <w:rPr>
            <w:rFonts w:ascii="Cambria Math" w:hAnsi="Cambria Math"/>
            <w:noProof/>
            <w:sz w:val="18"/>
            <w:szCs w:val="18"/>
          </w:rPr>
          <m:t>c</m:t>
        </m:r>
      </m:oMath>
      <w:r w:rsidRPr="00BE14F9">
        <w:rPr>
          <w:rFonts w:ascii="Book Antiqua" w:hAnsi="Book Antiqua"/>
          <w:noProof/>
          <w:sz w:val="20"/>
        </w:rPr>
        <w:t>, the graph shows the values above the local Pulkovo datum for 1935. The declining trend is immediately apparent. The first two values on the graph were obtained by Bradley and Lindenau using the aberration method before Pulkovo was opened. They are given for comparison to show that the trend was consistent when extended back in time.</w:t>
      </w:r>
    </w:p>
    <w:p w:rsidR="001D2317" w:rsidRPr="00BE14F9" w:rsidRDefault="001D2317" w:rsidP="00EE348C">
      <w:pPr>
        <w:pStyle w:val="NoSpacing"/>
        <w:jc w:val="both"/>
        <w:rPr>
          <w:rFonts w:ascii="Book Antiqua" w:hAnsi="Book Antiqua"/>
          <w:noProof/>
          <w:sz w:val="2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3.3 Analyses of the Speed of Light Data</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noProof/>
          <w:sz w:val="20"/>
        </w:rPr>
      </w:pPr>
      <w:r w:rsidRPr="00BE14F9">
        <w:rPr>
          <w:rFonts w:ascii="Book Antiqua" w:hAnsi="Book Antiqua"/>
          <w:sz w:val="20"/>
        </w:rPr>
        <w:t xml:space="preserve">In all, thousands of individual experiments, using 16 methods over 330 years resulted in the 163 determinations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Cs/>
          <w:sz w:val="20"/>
        </w:rPr>
        <w:t>as published in science journals</w:t>
      </w:r>
      <w:r w:rsidRPr="00BE14F9">
        <w:rPr>
          <w:rFonts w:ascii="Book Antiqua" w:hAnsi="Book Antiqua"/>
          <w:i/>
          <w:iCs/>
          <w:sz w:val="20"/>
        </w:rPr>
        <w:t xml:space="preserve">.  </w:t>
      </w:r>
      <w:r w:rsidRPr="00BE14F9">
        <w:rPr>
          <w:rFonts w:ascii="Book Antiqua" w:hAnsi="Book Antiqua"/>
          <w:sz w:val="20"/>
        </w:rPr>
        <w:t>These data were documented along with the synchronously changing atomic constants in the 1987 Report done for Stanford Research Institute (SRI) International and Flinders University [2]</w:t>
      </w:r>
      <w:r w:rsidR="00EC68C1">
        <w:rPr>
          <w:rFonts w:ascii="Book Antiqua" w:hAnsi="Book Antiqua"/>
          <w:sz w:val="20"/>
        </w:rPr>
        <w:t>, h</w:t>
      </w:r>
      <w:r w:rsidRPr="00BE14F9">
        <w:rPr>
          <w:rFonts w:ascii="Book Antiqua" w:hAnsi="Book Antiqua"/>
          <w:bCs/>
          <w:iCs/>
          <w:sz w:val="20"/>
        </w:rPr>
        <w:t>ereafter called “The Report”. The statistical treatment of these data is extensive in the 1987 Report, and a</w:t>
      </w:r>
      <w:r w:rsidRPr="00BE14F9">
        <w:rPr>
          <w:rFonts w:ascii="Book Antiqua" w:hAnsi="Book Antiqua"/>
          <w:noProof/>
          <w:sz w:val="20"/>
        </w:rPr>
        <w:t xml:space="preserve">nalysis there showed that the results from each individual method statistically supported a decline in the measured value of the speed of light.  Additionally, all data taken together collectively also revealed that decline. </w:t>
      </w:r>
      <w:r w:rsidR="00185FDF">
        <w:rPr>
          <w:rFonts w:ascii="Book Antiqua" w:hAnsi="Book Antiqua"/>
          <w:noProof/>
          <w:sz w:val="20"/>
        </w:rPr>
        <w:t xml:space="preserve">In 1993, </w:t>
      </w:r>
      <w:r w:rsidRPr="00BE14F9">
        <w:rPr>
          <w:rFonts w:ascii="Book Antiqua" w:hAnsi="Book Antiqua"/>
          <w:noProof/>
          <w:sz w:val="20"/>
        </w:rPr>
        <w:t xml:space="preserve">Montgomery and Dolphin did an independent analysis of lightspeed data in reference [53]. If the best values with errors less than 0.1% are graphed, then Figure 4 results. </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What we see in Figures 2, 3 and 4 is not what would be seen if the only cause for change was apparatus whose precision and accuracy were increasing. Should increasing accuracy have been the cause, there should be a scatter of data points around the true value, not the one-sided approach that is apparent in these three Figures. If a constant quantity were involved, the data graph should appear rather like that for the recommended value of the Rydberg constant in references [4 - 15], which is graphed in Figure 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lastRenderedPageBreak/>
        <w:drawing>
          <wp:inline distT="0" distB="0" distL="0" distR="0">
            <wp:extent cx="5514975" cy="3801908"/>
            <wp:effectExtent l="19050" t="0" r="9525" b="0"/>
            <wp:docPr id="1521"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5" cstate="print">
                      <a:lum contrast="20000"/>
                    </a:blip>
                    <a:srcRect t="10458" b="7625"/>
                    <a:stretch>
                      <a:fillRect/>
                    </a:stretch>
                  </pic:blipFill>
                  <pic:spPr bwMode="auto">
                    <a:xfrm>
                      <a:off x="0" y="0"/>
                      <a:ext cx="5526938" cy="3810155"/>
                    </a:xfrm>
                    <a:prstGeom prst="rect">
                      <a:avLst/>
                    </a:prstGeom>
                    <a:noFill/>
                    <a:ln w="9525">
                      <a:noFill/>
                      <a:miter lim="800000"/>
                      <a:headEnd/>
                      <a:tailEnd/>
                    </a:ln>
                  </pic:spPr>
                </pic:pic>
              </a:graphicData>
            </a:graphic>
          </wp:inline>
        </w:drawing>
      </w:r>
    </w:p>
    <w:p w:rsidR="00EE348C" w:rsidRPr="00BE14F9" w:rsidRDefault="00EE348C" w:rsidP="00644C81">
      <w:pPr>
        <w:pStyle w:val="NoSpacing"/>
        <w:rPr>
          <w:rFonts w:ascii="Book Antiqua" w:hAnsi="Book Antiqua"/>
          <w:sz w:val="20"/>
        </w:rPr>
      </w:pPr>
    </w:p>
    <w:p w:rsidR="00EE348C" w:rsidRPr="00644C81" w:rsidRDefault="00EE348C" w:rsidP="00061E9B">
      <w:pPr>
        <w:pStyle w:val="NoSpacing"/>
        <w:jc w:val="center"/>
        <w:rPr>
          <w:rFonts w:ascii="Book Antiqua" w:hAnsi="Book Antiqua"/>
          <w:bCs/>
          <w:i/>
          <w:iCs/>
          <w:sz w:val="18"/>
          <w:szCs w:val="18"/>
        </w:rPr>
      </w:pPr>
      <w:r w:rsidRPr="00644C81">
        <w:rPr>
          <w:rFonts w:ascii="Book Antiqua" w:hAnsi="Book Antiqua"/>
          <w:b/>
          <w:bCs/>
          <w:i/>
          <w:iCs/>
          <w:sz w:val="18"/>
          <w:szCs w:val="18"/>
        </w:rPr>
        <w:t>Figure 4:</w:t>
      </w:r>
      <w:r w:rsidRPr="00644C81">
        <w:rPr>
          <w:rFonts w:ascii="Book Antiqua" w:hAnsi="Book Antiqua"/>
          <w:bCs/>
          <w:i/>
          <w:iCs/>
          <w:sz w:val="18"/>
          <w:szCs w:val="18"/>
        </w:rPr>
        <w:t xml:space="preserve"> Speed of light data from reference [53] with errors less than 0.1%</w:t>
      </w:r>
    </w:p>
    <w:p w:rsidR="00904D33" w:rsidRPr="00BE14F9" w:rsidRDefault="00904D33" w:rsidP="00EE348C">
      <w:pPr>
        <w:pStyle w:val="NoSpacing"/>
        <w:jc w:val="both"/>
        <w:rPr>
          <w:rFonts w:ascii="Book Antiqua" w:hAnsi="Book Antiqua"/>
          <w:bCs/>
          <w:iCs/>
          <w:sz w:val="18"/>
          <w:szCs w:val="18"/>
        </w:rPr>
      </w:pP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4095750" cy="3028745"/>
            <wp:effectExtent l="19050" t="0" r="0" b="0"/>
            <wp:docPr id="1520" name="Picture 8" descr="E:\RydbergCons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ydbergConstant.jpg"/>
                    <pic:cNvPicPr>
                      <a:picLocks noChangeAspect="1" noChangeArrowheads="1"/>
                    </pic:cNvPicPr>
                  </pic:nvPicPr>
                  <pic:blipFill>
                    <a:blip r:embed="rId76" cstate="print">
                      <a:lum contrast="20000"/>
                    </a:blip>
                    <a:srcRect/>
                    <a:stretch>
                      <a:fillRect/>
                    </a:stretch>
                  </pic:blipFill>
                  <pic:spPr bwMode="auto">
                    <a:xfrm>
                      <a:off x="0" y="0"/>
                      <a:ext cx="4095750" cy="3028745"/>
                    </a:xfrm>
                    <a:prstGeom prst="rect">
                      <a:avLst/>
                    </a:prstGeom>
                    <a:noFill/>
                    <a:ln w="9525">
                      <a:noFill/>
                      <a:miter lim="800000"/>
                      <a:headEnd/>
                      <a:tailEnd/>
                    </a:ln>
                  </pic:spPr>
                </pic:pic>
              </a:graphicData>
            </a:graphic>
          </wp:inline>
        </w:drawing>
      </w:r>
    </w:p>
    <w:p w:rsidR="00EE348C" w:rsidRPr="00BE14F9" w:rsidRDefault="00EE348C" w:rsidP="00EE348C">
      <w:pPr>
        <w:pStyle w:val="NoSpacing"/>
        <w:jc w:val="center"/>
        <w:rPr>
          <w:rFonts w:ascii="Book Antiqua" w:hAnsi="Book Antiqua"/>
          <w:b/>
          <w:i/>
          <w:sz w:val="20"/>
        </w:rPr>
      </w:pPr>
    </w:p>
    <w:p w:rsidR="00EE348C" w:rsidRPr="00644C81" w:rsidRDefault="00EE348C" w:rsidP="00061E9B">
      <w:pPr>
        <w:pStyle w:val="NoSpacing"/>
        <w:jc w:val="center"/>
        <w:rPr>
          <w:rFonts w:ascii="Book Antiqua" w:hAnsi="Book Antiqua"/>
          <w:i/>
          <w:sz w:val="18"/>
          <w:szCs w:val="18"/>
        </w:rPr>
      </w:pPr>
      <w:r w:rsidRPr="00644C81">
        <w:rPr>
          <w:rFonts w:ascii="Book Antiqua" w:hAnsi="Book Antiqua"/>
          <w:b/>
          <w:i/>
          <w:sz w:val="18"/>
          <w:szCs w:val="18"/>
        </w:rPr>
        <w:t>Figure 5:</w:t>
      </w:r>
      <w:r w:rsidRPr="00644C81">
        <w:rPr>
          <w:rFonts w:ascii="Book Antiqua" w:hAnsi="Book Antiqua"/>
          <w:i/>
          <w:sz w:val="18"/>
          <w:szCs w:val="18"/>
        </w:rPr>
        <w:t xml:space="preserve">  Recommended values of the Rydberg Constant</w:t>
      </w:r>
    </w:p>
    <w:p w:rsidR="00904D33" w:rsidRPr="00BE14F9" w:rsidRDefault="00904D33" w:rsidP="00EE348C">
      <w:pPr>
        <w:pStyle w:val="NoSpacing"/>
        <w:rPr>
          <w:rFonts w:ascii="Book Antiqua" w:hAnsi="Book Antiqua"/>
          <w:sz w:val="18"/>
          <w:szCs w:val="18"/>
        </w:rPr>
      </w:pPr>
    </w:p>
    <w:p w:rsidR="001D2317" w:rsidRDefault="001D2317" w:rsidP="001D2317">
      <w:pPr>
        <w:pStyle w:val="NoSpacing"/>
        <w:ind w:firstLine="720"/>
        <w:jc w:val="both"/>
        <w:rPr>
          <w:rFonts w:ascii="Book Antiqua" w:hAnsi="Book Antiqua"/>
          <w:sz w:val="20"/>
        </w:rPr>
      </w:pPr>
    </w:p>
    <w:p w:rsidR="001D2317" w:rsidRPr="00BE14F9" w:rsidRDefault="001D2317" w:rsidP="001D2317">
      <w:pPr>
        <w:pStyle w:val="NoSpacing"/>
        <w:ind w:firstLine="720"/>
        <w:jc w:val="both"/>
        <w:rPr>
          <w:rFonts w:ascii="Book Antiqua" w:hAnsi="Book Antiqua"/>
          <w:b/>
          <w:bCs/>
          <w:i/>
          <w:iCs/>
          <w:sz w:val="20"/>
        </w:rPr>
      </w:pPr>
      <w:r w:rsidRPr="00BE14F9">
        <w:rPr>
          <w:rFonts w:ascii="Book Antiqua" w:hAnsi="Book Antiqua"/>
          <w:sz w:val="20"/>
        </w:rPr>
        <w:lastRenderedPageBreak/>
        <w:t>In Figure 5, the evidence is that, whether above or below the final value, the measurements were gradually zeroing in on it.  The difference between Figure 5 and Figures 2, 3, and 4 is remarkable. It strongly implies the speed of light was a declining quantity. This may be expressed in another way</w:t>
      </w:r>
      <w:r>
        <w:rPr>
          <w:rFonts w:ascii="Book Antiqua" w:hAnsi="Book Antiqua"/>
          <w:sz w:val="20"/>
        </w:rPr>
        <w:t>, which is discussed in the next paragraph</w:t>
      </w:r>
      <w:r w:rsidRPr="00BE14F9">
        <w:rPr>
          <w:rFonts w:ascii="Book Antiqua" w:hAnsi="Book Antiqua"/>
          <w:sz w:val="20"/>
        </w:rPr>
        <w:t>.</w:t>
      </w:r>
    </w:p>
    <w:p w:rsidR="001D2317" w:rsidRDefault="001D2317" w:rsidP="00EE348C">
      <w:pPr>
        <w:pStyle w:val="Heading2"/>
        <w:spacing w:before="80" w:after="80" w:line="240" w:lineRule="atLeast"/>
        <w:rPr>
          <w:rFonts w:ascii="Book Antiqua" w:hAnsi="Book Antiqua" w:cs="Times New Roman"/>
          <w:i w:val="0"/>
          <w:sz w:val="20"/>
          <w:szCs w:val="20"/>
        </w:rPr>
      </w:pPr>
    </w:p>
    <w:p w:rsidR="00EE348C" w:rsidRPr="00373858" w:rsidRDefault="00373858" w:rsidP="00EE348C">
      <w:pPr>
        <w:pStyle w:val="Heading2"/>
        <w:spacing w:before="80" w:after="80" w:line="240" w:lineRule="atLeast"/>
        <w:rPr>
          <w:rFonts w:ascii="Book Antiqua" w:hAnsi="Book Antiqua" w:cs="Times New Roman"/>
          <w:i w:val="0"/>
          <w:sz w:val="20"/>
          <w:szCs w:val="20"/>
        </w:rPr>
      </w:pPr>
      <w:r w:rsidRPr="00373858">
        <w:rPr>
          <w:rFonts w:ascii="Book Antiqua" w:hAnsi="Book Antiqua" w:cs="Times New Roman"/>
          <w:i w:val="0"/>
          <w:sz w:val="20"/>
          <w:szCs w:val="20"/>
        </w:rPr>
        <w:t>4.</w:t>
      </w:r>
      <w:r w:rsidR="00EE348C" w:rsidRPr="00373858">
        <w:rPr>
          <w:rFonts w:ascii="Book Antiqua" w:hAnsi="Book Antiqua" w:cs="Times New Roman"/>
          <w:i w:val="0"/>
          <w:sz w:val="20"/>
          <w:szCs w:val="20"/>
        </w:rPr>
        <w:t xml:space="preserve"> </w:t>
      </w:r>
      <w:r w:rsidRPr="00373858">
        <w:rPr>
          <w:rFonts w:ascii="Book Antiqua" w:hAnsi="Book Antiqua" w:cs="Times New Roman"/>
          <w:i w:val="0"/>
          <w:sz w:val="20"/>
          <w:szCs w:val="20"/>
        </w:rPr>
        <w:t>Closing the Data Discussion and Universal Oscillation</w:t>
      </w:r>
    </w:p>
    <w:p w:rsidR="00EE348C" w:rsidRPr="00BE14F9" w:rsidRDefault="00EE348C" w:rsidP="00EE348C">
      <w:pPr>
        <w:pStyle w:val="Heading2"/>
        <w:spacing w:before="80" w:after="80" w:line="240" w:lineRule="atLeast"/>
        <w:rPr>
          <w:rFonts w:ascii="Book Antiqua" w:hAnsi="Book Antiqua" w:cs="Times New Roman"/>
          <w:sz w:val="20"/>
          <w:szCs w:val="20"/>
        </w:rPr>
      </w:pPr>
      <w:r w:rsidRPr="00BE14F9">
        <w:rPr>
          <w:rFonts w:ascii="Book Antiqua" w:hAnsi="Book Antiqua" w:cs="Times New Roman"/>
          <w:i w:val="0"/>
          <w:sz w:val="20"/>
          <w:szCs w:val="20"/>
        </w:rPr>
        <w:t xml:space="preserve"> </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color w:val="000000"/>
          <w:sz w:val="20"/>
        </w:rPr>
        <w:t>In any given series of measurements, some equipment will register systematically above the true value, and some will register systematically below. In other words, when these results are plotted on a graph, there is a scatter above and below the true value. When improved instrumentation and equipment are used the measured values approach more closely to the true value. In other words, the scatter is still there but is getting less</w:t>
      </w:r>
      <w:r w:rsidR="00EC68C1">
        <w:rPr>
          <w:rFonts w:ascii="Book Antiqua" w:hAnsi="Book Antiqua"/>
          <w:color w:val="000000"/>
          <w:sz w:val="20"/>
        </w:rPr>
        <w:t>, as seen in Figure 5.</w:t>
      </w:r>
      <w:r w:rsidRPr="00BE14F9">
        <w:rPr>
          <w:rFonts w:ascii="Book Antiqua" w:hAnsi="Book Antiqua"/>
          <w:color w:val="000000"/>
          <w:sz w:val="20"/>
        </w:rPr>
        <w:t xml:space="preserve"> </w:t>
      </w:r>
    </w:p>
    <w:p w:rsidR="00EE348C" w:rsidRPr="00BE14F9" w:rsidRDefault="00EE348C" w:rsidP="00EE348C">
      <w:pPr>
        <w:shd w:val="clear" w:color="auto" w:fill="FFFFFF"/>
        <w:jc w:val="both"/>
        <w:rPr>
          <w:rFonts w:ascii="Book Antiqua" w:hAnsi="Book Antiqua"/>
          <w:color w:val="000000"/>
        </w:rPr>
      </w:pPr>
    </w:p>
    <w:p w:rsidR="00EE348C" w:rsidRPr="00BE14F9" w:rsidRDefault="00EC68C1" w:rsidP="00EE348C">
      <w:pPr>
        <w:shd w:val="clear" w:color="auto" w:fill="FFFFFF"/>
        <w:ind w:firstLine="720"/>
        <w:jc w:val="both"/>
        <w:rPr>
          <w:rFonts w:ascii="Book Antiqua" w:hAnsi="Book Antiqua"/>
          <w:color w:val="000000"/>
        </w:rPr>
      </w:pPr>
      <w:r>
        <w:rPr>
          <w:rFonts w:ascii="Book Antiqua" w:hAnsi="Book Antiqua"/>
          <w:color w:val="000000"/>
        </w:rPr>
        <w:t>However, although w</w:t>
      </w:r>
      <w:r w:rsidR="00EE348C" w:rsidRPr="00BE14F9">
        <w:rPr>
          <w:rFonts w:ascii="Book Antiqua" w:hAnsi="Book Antiqua"/>
          <w:color w:val="000000"/>
        </w:rPr>
        <w:t xml:space="preserve">hat we are seeing with the lightspeed measurements includes a scatter, the key point is that the scatter is about a line that is dropping with time. </w:t>
      </w:r>
      <w:r>
        <w:rPr>
          <w:rFonts w:ascii="Book Antiqua" w:hAnsi="Book Antiqua"/>
          <w:color w:val="000000"/>
        </w:rPr>
        <w:t>This makes</w:t>
      </w:r>
      <w:r w:rsidR="00EE348C" w:rsidRPr="00BE14F9">
        <w:rPr>
          <w:rFonts w:ascii="Book Antiqua" w:hAnsi="Book Antiqua"/>
          <w:color w:val="000000"/>
        </w:rPr>
        <w:t xml:space="preserve"> the instrumental improvement apparent in the data, but the overall trend is still the same - downwards. As the graph of the best 144 lightspeed values in Figure </w:t>
      </w:r>
      <w:r>
        <w:rPr>
          <w:rFonts w:ascii="Book Antiqua" w:hAnsi="Book Antiqua"/>
          <w:color w:val="000000"/>
        </w:rPr>
        <w:t>4</w:t>
      </w:r>
      <w:r w:rsidR="00EE348C" w:rsidRPr="00BE14F9">
        <w:rPr>
          <w:rFonts w:ascii="Book Antiqua" w:hAnsi="Book Antiqua"/>
          <w:color w:val="000000"/>
        </w:rPr>
        <w:t xml:space="preserve"> is inspected, it can be seen that the scatter in the data point values increases as we go back in time. However, the same trend, a decline in </w:t>
      </w:r>
      <w:r w:rsidR="00EE348C" w:rsidRPr="00BE14F9">
        <w:rPr>
          <w:rFonts w:ascii="Book Antiqua" w:hAnsi="Book Antiqua"/>
          <w:i/>
          <w:color w:val="000000"/>
        </w:rPr>
        <w:t>c</w:t>
      </w:r>
      <w:r w:rsidR="00EE348C" w:rsidRPr="00BE14F9">
        <w:rPr>
          <w:rFonts w:ascii="Book Antiqua" w:hAnsi="Book Antiqua"/>
          <w:color w:val="000000"/>
        </w:rPr>
        <w:t>, is apparent in all the data; the scatter merely gets greater</w:t>
      </w:r>
      <w:r>
        <w:rPr>
          <w:rFonts w:ascii="Book Antiqua" w:hAnsi="Book Antiqua"/>
          <w:color w:val="000000"/>
        </w:rPr>
        <w:t xml:space="preserve"> with the earlier measurements</w:t>
      </w:r>
      <w:r w:rsidR="00EE348C" w:rsidRPr="00BE14F9">
        <w:rPr>
          <w:rFonts w:ascii="Book Antiqua" w:hAnsi="Book Antiqua"/>
          <w:color w:val="000000"/>
        </w:rPr>
        <w:t xml:space="preserve">. If it were a constant quantity, the scatter would be about a horizontal line. </w:t>
      </w:r>
    </w:p>
    <w:p w:rsidR="00EE348C" w:rsidRPr="00BE14F9" w:rsidRDefault="000310D5" w:rsidP="00EE348C">
      <w:pPr>
        <w:pStyle w:val="NoSpacing"/>
        <w:jc w:val="center"/>
        <w:rPr>
          <w:rFonts w:ascii="Book Antiqua" w:hAnsi="Book Antiqua"/>
          <w:i/>
          <w:sz w:val="20"/>
        </w:rPr>
      </w:pPr>
      <w:r w:rsidRPr="00BE14F9">
        <w:rPr>
          <w:rFonts w:ascii="Book Antiqua" w:hAnsi="Book Antiqua"/>
          <w:sz w:val="20"/>
        </w:rPr>
        <w:object w:dxaOrig="7188" w:dyaOrig="5388">
          <v:shape id="_x0000_i1027" type="#_x0000_t75" style="width:471.35pt;height:334pt" o:ole="">
            <v:imagedata r:id="rId77" o:title="" cropbottom="8757f"/>
          </v:shape>
          <o:OLEObject Type="Embed" ProgID="PowerPoint.Slide.12" ShapeID="_x0000_i1027" DrawAspect="Content" ObjectID="_1438188839" r:id="rId78"/>
        </w:object>
      </w:r>
    </w:p>
    <w:p w:rsidR="00EE348C" w:rsidRPr="00BE14F9" w:rsidRDefault="00EE348C" w:rsidP="00EE348C">
      <w:pPr>
        <w:pStyle w:val="NoSpacing"/>
        <w:rPr>
          <w:rFonts w:ascii="Book Antiqua" w:hAnsi="Book Antiqua"/>
          <w:b/>
          <w:i/>
          <w:sz w:val="20"/>
        </w:rPr>
      </w:pPr>
    </w:p>
    <w:p w:rsidR="00EE348C" w:rsidRPr="00644C81" w:rsidRDefault="00EE348C" w:rsidP="000310D5">
      <w:pPr>
        <w:pStyle w:val="NoSpacing"/>
        <w:rPr>
          <w:rFonts w:ascii="Book Antiqua" w:hAnsi="Book Antiqua"/>
          <w:i/>
          <w:sz w:val="18"/>
          <w:szCs w:val="18"/>
        </w:rPr>
      </w:pPr>
      <w:r w:rsidRPr="00644C81">
        <w:rPr>
          <w:rFonts w:ascii="Book Antiqua" w:hAnsi="Book Antiqua"/>
          <w:b/>
          <w:i/>
          <w:sz w:val="18"/>
          <w:szCs w:val="18"/>
        </w:rPr>
        <w:t>Figure 6:</w:t>
      </w:r>
      <w:r w:rsidRPr="00644C81">
        <w:rPr>
          <w:rFonts w:ascii="Book Antiqua" w:hAnsi="Book Antiqua"/>
          <w:i/>
          <w:sz w:val="18"/>
          <w:szCs w:val="18"/>
        </w:rPr>
        <w:t xml:space="preserve"> Speed of light data 1947 - 1983. [2]</w:t>
      </w:r>
      <w:r w:rsidRPr="00644C81">
        <w:rPr>
          <w:rFonts w:ascii="Book Antiqua" w:hAnsi="Book Antiqua"/>
          <w:i/>
          <w:color w:val="FF0000"/>
          <w:sz w:val="18"/>
          <w:szCs w:val="18"/>
        </w:rPr>
        <w:t xml:space="preserve"> </w:t>
      </w:r>
      <w:r w:rsidRPr="00644C81">
        <w:rPr>
          <w:rFonts w:ascii="Book Antiqua" w:hAnsi="Book Antiqua"/>
          <w:i/>
          <w:sz w:val="18"/>
          <w:szCs w:val="18"/>
        </w:rPr>
        <w:t>The “flat-point” is in evidence here. Note the trend in the curve since the mid-1940’s.</w:t>
      </w:r>
      <w:r w:rsidR="000310D5">
        <w:rPr>
          <w:rFonts w:ascii="Book Antiqua" w:hAnsi="Book Antiqua"/>
          <w:i/>
          <w:sz w:val="18"/>
          <w:szCs w:val="18"/>
        </w:rPr>
        <w:t xml:space="preserve"> This Flat-point is delineated in greater detail by the data in Figure 3 of Chapter 4.</w:t>
      </w:r>
    </w:p>
    <w:p w:rsidR="00164B49" w:rsidRDefault="00164B49" w:rsidP="00EE348C">
      <w:pPr>
        <w:pStyle w:val="NoSpacing"/>
        <w:ind w:firstLine="720"/>
        <w:jc w:val="both"/>
        <w:rPr>
          <w:rFonts w:ascii="Book Antiqua" w:hAnsi="Book Antiqua"/>
          <w:sz w:val="20"/>
        </w:rPr>
      </w:pPr>
    </w:p>
    <w:p w:rsidR="000824FD" w:rsidRPr="00BE14F9" w:rsidRDefault="000824FD" w:rsidP="000824FD">
      <w:pPr>
        <w:pStyle w:val="NoSpacing"/>
        <w:ind w:firstLine="720"/>
        <w:jc w:val="both"/>
        <w:rPr>
          <w:rFonts w:ascii="Book Antiqua" w:hAnsi="Book Antiqua"/>
          <w:noProof/>
          <w:sz w:val="20"/>
        </w:rPr>
      </w:pPr>
      <w:r w:rsidRPr="00BE14F9">
        <w:rPr>
          <w:rFonts w:ascii="Book Antiqua" w:hAnsi="Book Antiqua"/>
          <w:sz w:val="20"/>
        </w:rPr>
        <w:t xml:space="preserve">In 1993, Montgomery and Dolphin performed a thorough statistical analysis of all the speed of light data and confirmed the declining trend was significant, but had flattened out in the period 1970 to 1980 [53]. This flattening, as seen </w:t>
      </w:r>
      <w:r w:rsidRPr="00BE14F9">
        <w:rPr>
          <w:rFonts w:ascii="Book Antiqua" w:hAnsi="Book Antiqua"/>
          <w:sz w:val="20"/>
        </w:rPr>
        <w:lastRenderedPageBreak/>
        <w:t xml:space="preserve">in Figure 6, influenced a decision to declare </w:t>
      </w:r>
      <w:r w:rsidRPr="00BE14F9">
        <w:rPr>
          <w:rFonts w:ascii="Book Antiqua" w:hAnsi="Book Antiqua"/>
          <w:i/>
          <w:iCs/>
          <w:sz w:val="20"/>
        </w:rPr>
        <w:t xml:space="preserve">c </w:t>
      </w:r>
      <w:r w:rsidRPr="00BE14F9">
        <w:rPr>
          <w:rFonts w:ascii="Book Antiqua" w:hAnsi="Book Antiqua"/>
          <w:sz w:val="20"/>
        </w:rPr>
        <w:t xml:space="preserve">a universal constant in 1983. Since then, it has only been possible to detect changes in </w:t>
      </w:r>
      <w:r w:rsidRPr="00BE14F9">
        <w:rPr>
          <w:rFonts w:ascii="Book Antiqua" w:hAnsi="Book Antiqua"/>
          <w:i/>
          <w:iCs/>
          <w:sz w:val="20"/>
        </w:rPr>
        <w:t xml:space="preserve">c </w:t>
      </w:r>
      <w:r w:rsidRPr="00BE14F9">
        <w:rPr>
          <w:rFonts w:ascii="Book Antiqua" w:hAnsi="Book Antiqua"/>
          <w:sz w:val="20"/>
        </w:rPr>
        <w:t>indirectly; for example, by comparing orbital phenomena with atomic phenomena</w:t>
      </w:r>
      <w:r w:rsidR="00FE226D">
        <w:rPr>
          <w:rFonts w:ascii="Book Antiqua" w:hAnsi="Book Antiqua"/>
          <w:sz w:val="20"/>
        </w:rPr>
        <w:t xml:space="preserve"> (see Chapter 4)</w:t>
      </w:r>
      <w:r w:rsidRPr="00BE14F9">
        <w:rPr>
          <w:rFonts w:ascii="Book Antiqua" w:hAnsi="Book Antiqua"/>
          <w:sz w:val="20"/>
        </w:rPr>
        <w:t xml:space="preserve">. </w:t>
      </w:r>
    </w:p>
    <w:p w:rsidR="000824FD" w:rsidRDefault="000824FD"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It is possible that the 1970 data minimum may simply be a "flat point" due to the change in the oscillation mode of the cosmos suggested by Narlikar and Arp [54] and </w:t>
      </w:r>
      <w:r w:rsidR="00FE226D">
        <w:rPr>
          <w:rFonts w:ascii="Book Antiqua" w:hAnsi="Book Antiqua"/>
          <w:sz w:val="20"/>
        </w:rPr>
        <w:t xml:space="preserve">is </w:t>
      </w:r>
      <w:r w:rsidRPr="00BE14F9">
        <w:rPr>
          <w:rFonts w:ascii="Book Antiqua" w:hAnsi="Book Antiqua"/>
          <w:sz w:val="20"/>
        </w:rPr>
        <w:t xml:space="preserve">following the pattern of interacting oscillation modes shown by Karlow in the </w:t>
      </w:r>
      <w:r w:rsidRPr="00BE14F9">
        <w:rPr>
          <w:rFonts w:ascii="Book Antiqua" w:hAnsi="Book Antiqua"/>
          <w:i/>
          <w:sz w:val="20"/>
        </w:rPr>
        <w:t>American Journal of Physics</w:t>
      </w:r>
      <w:r w:rsidRPr="00BE14F9">
        <w:rPr>
          <w:rFonts w:ascii="Book Antiqua" w:hAnsi="Book Antiqua"/>
          <w:sz w:val="20"/>
        </w:rPr>
        <w:t xml:space="preserve"> [55]. A similar pattern is shown in Figure 7.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5081764" cy="2047875"/>
            <wp:effectExtent l="19050" t="0" r="4586" b="0"/>
            <wp:docPr id="1519"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9" cstate="print"/>
                    <a:srcRect/>
                    <a:stretch>
                      <a:fillRect/>
                    </a:stretch>
                  </pic:blipFill>
                  <pic:spPr bwMode="auto">
                    <a:xfrm>
                      <a:off x="0" y="0"/>
                      <a:ext cx="5081764" cy="2047875"/>
                    </a:xfrm>
                    <a:prstGeom prst="rect">
                      <a:avLst/>
                    </a:prstGeom>
                    <a:noFill/>
                    <a:ln w="9525">
                      <a:noFill/>
                      <a:miter lim="800000"/>
                      <a:headEnd/>
                      <a:tailEnd/>
                    </a:ln>
                  </pic:spPr>
                </pic:pic>
              </a:graphicData>
            </a:graphic>
          </wp:inline>
        </w:drawing>
      </w:r>
    </w:p>
    <w:p w:rsidR="00EE348C" w:rsidRPr="00BE14F9" w:rsidRDefault="00EE348C" w:rsidP="00EE348C">
      <w:pPr>
        <w:pStyle w:val="NoSpacing"/>
        <w:rPr>
          <w:rFonts w:ascii="Book Antiqua" w:hAnsi="Book Antiqua"/>
          <w:b/>
          <w:i/>
          <w:sz w:val="20"/>
        </w:rPr>
      </w:pPr>
    </w:p>
    <w:p w:rsidR="00EE348C" w:rsidRPr="00644C81" w:rsidRDefault="00EE348C" w:rsidP="00EE348C">
      <w:pPr>
        <w:pStyle w:val="NoSpacing"/>
        <w:rPr>
          <w:rFonts w:ascii="Book Antiqua" w:hAnsi="Book Antiqua"/>
          <w:i/>
          <w:sz w:val="18"/>
          <w:szCs w:val="18"/>
        </w:rPr>
      </w:pPr>
      <w:r w:rsidRPr="00644C81">
        <w:rPr>
          <w:rFonts w:ascii="Book Antiqua" w:hAnsi="Book Antiqua"/>
          <w:b/>
          <w:i/>
          <w:sz w:val="18"/>
          <w:szCs w:val="18"/>
        </w:rPr>
        <w:t>Figure 7:</w:t>
      </w:r>
      <w:r w:rsidRPr="00644C81">
        <w:rPr>
          <w:rFonts w:ascii="Book Antiqua" w:hAnsi="Book Antiqua"/>
          <w:i/>
          <w:sz w:val="18"/>
          <w:szCs w:val="18"/>
        </w:rPr>
        <w:t xml:space="preserve"> Oscillation modes – adding </w:t>
      </w:r>
      <w:r w:rsidR="0095112E">
        <w:rPr>
          <w:rFonts w:ascii="Book Antiqua" w:hAnsi="Book Antiqua"/>
          <w:i/>
          <w:sz w:val="18"/>
          <w:szCs w:val="18"/>
        </w:rPr>
        <w:t>wave 1 and wave 2</w:t>
      </w:r>
      <w:r w:rsidRPr="00644C81">
        <w:rPr>
          <w:rFonts w:ascii="Book Antiqua" w:hAnsi="Book Antiqua"/>
          <w:i/>
          <w:sz w:val="18"/>
          <w:szCs w:val="18"/>
        </w:rPr>
        <w:t xml:space="preserve"> give</w:t>
      </w:r>
      <w:r w:rsidR="0095112E">
        <w:rPr>
          <w:rFonts w:ascii="Book Antiqua" w:hAnsi="Book Antiqua"/>
          <w:i/>
          <w:sz w:val="18"/>
          <w:szCs w:val="18"/>
        </w:rPr>
        <w:t>s</w:t>
      </w:r>
      <w:r w:rsidRPr="00644C81">
        <w:rPr>
          <w:rFonts w:ascii="Book Antiqua" w:hAnsi="Book Antiqua"/>
          <w:i/>
          <w:sz w:val="18"/>
          <w:szCs w:val="18"/>
        </w:rPr>
        <w:t xml:space="preserve"> the overall oscillation shown by the </w:t>
      </w:r>
      <w:r w:rsidR="00EF1EF8">
        <w:rPr>
          <w:rFonts w:ascii="Book Antiqua" w:hAnsi="Book Antiqua"/>
          <w:i/>
          <w:sz w:val="18"/>
          <w:szCs w:val="18"/>
        </w:rPr>
        <w:t>broad</w:t>
      </w:r>
      <w:r w:rsidR="0095112E">
        <w:rPr>
          <w:rFonts w:ascii="Book Antiqua" w:hAnsi="Book Antiqua"/>
          <w:i/>
          <w:sz w:val="18"/>
          <w:szCs w:val="18"/>
        </w:rPr>
        <w:t>est of the three</w:t>
      </w:r>
      <w:r w:rsidRPr="00644C81">
        <w:rPr>
          <w:rFonts w:ascii="Book Antiqua" w:hAnsi="Book Antiqua"/>
          <w:i/>
          <w:sz w:val="18"/>
          <w:szCs w:val="18"/>
        </w:rPr>
        <w:t xml:space="preserve"> line</w:t>
      </w:r>
      <w:r w:rsidR="0095112E">
        <w:rPr>
          <w:rFonts w:ascii="Book Antiqua" w:hAnsi="Book Antiqua"/>
          <w:i/>
          <w:sz w:val="18"/>
          <w:szCs w:val="18"/>
        </w:rPr>
        <w:t>s</w:t>
      </w:r>
      <w:r w:rsidRPr="00644C81">
        <w:rPr>
          <w:rFonts w:ascii="Book Antiqua" w:hAnsi="Book Antiqua"/>
          <w:i/>
          <w:sz w:val="18"/>
          <w:szCs w:val="18"/>
        </w:rPr>
        <w:t xml:space="preserve"> which contains “flat-points.”</w:t>
      </w:r>
    </w:p>
    <w:p w:rsidR="00EE348C" w:rsidRPr="00BE14F9" w:rsidRDefault="00EE348C" w:rsidP="00EE348C">
      <w:pPr>
        <w:pStyle w:val="NoSpacing"/>
        <w:rPr>
          <w:rFonts w:ascii="Book Antiqua" w:hAnsi="Book Antiqua"/>
          <w:i/>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In Figure 7, just two modes of oscillation are shown, represented by the red and dark blue lines. However, since oscillation modes are additive, the combined overall oscillation, shown by the</w:t>
      </w:r>
      <w:r w:rsidR="00AF1206">
        <w:rPr>
          <w:rFonts w:ascii="Book Antiqua" w:hAnsi="Book Antiqua"/>
          <w:sz w:val="20"/>
        </w:rPr>
        <w:t xml:space="preserve"> broader</w:t>
      </w:r>
      <w:r w:rsidRPr="00BE14F9">
        <w:rPr>
          <w:rFonts w:ascii="Book Antiqua" w:hAnsi="Book Antiqua"/>
          <w:sz w:val="20"/>
        </w:rPr>
        <w:t xml:space="preserve"> light blue line, reveals resultant flat regions. The modes of oscillation of the cosmos are most likely more complex than this</w:t>
      </w:r>
      <w:r w:rsidR="00AF1206">
        <w:rPr>
          <w:rFonts w:ascii="Book Antiqua" w:hAnsi="Book Antiqua"/>
          <w:sz w:val="20"/>
        </w:rPr>
        <w:t xml:space="preserve"> simple</w:t>
      </w:r>
      <w:r w:rsidRPr="00BE14F9">
        <w:rPr>
          <w:rFonts w:ascii="Book Antiqua" w:hAnsi="Book Antiqua"/>
          <w:sz w:val="20"/>
        </w:rPr>
        <w:t xml:space="preserve"> illustration. The actual curve could go up after the flat region, not just down as shown here. More data and time are needed to determine this. As will be discussed later, other ZPE-dependent “constants” also show related oscillation patterns.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whole scientific journal discussion about the change in the speed of light was brought to a strange conclusion in 1941 by Birge, the so-called 'Keeper of the Constants.' The article in question was entitled </w:t>
      </w:r>
      <w:r w:rsidRPr="00BE14F9">
        <w:rPr>
          <w:rFonts w:ascii="Book Antiqua" w:hAnsi="Book Antiqua"/>
          <w:i/>
          <w:sz w:val="20"/>
        </w:rPr>
        <w:t>"</w:t>
      </w:r>
      <w:r w:rsidRPr="00BE14F9">
        <w:rPr>
          <w:rFonts w:ascii="Book Antiqua" w:hAnsi="Book Antiqua"/>
          <w:sz w:val="20"/>
        </w:rPr>
        <w:t xml:space="preserve">The General Physical Constants as of August 1941 With Details on the Velocity of Light Only" and appeared in </w:t>
      </w:r>
      <w:r w:rsidRPr="00BE14F9">
        <w:rPr>
          <w:rFonts w:ascii="Book Antiqua" w:hAnsi="Book Antiqua"/>
          <w:i/>
          <w:sz w:val="20"/>
        </w:rPr>
        <w:t>Reports on Progress in Physics</w:t>
      </w:r>
      <w:r w:rsidRPr="00BE14F9">
        <w:rPr>
          <w:rFonts w:ascii="Book Antiqua" w:hAnsi="Book Antiqua"/>
          <w:sz w:val="20"/>
        </w:rPr>
        <w:t xml:space="preserve"> Volume 8 (1941) page 90 ff. The article began by saying</w:t>
      </w:r>
      <w:r w:rsidRPr="00BE14F9">
        <w:rPr>
          <w:rFonts w:ascii="Book Antiqua" w:hAnsi="Book Antiqua"/>
          <w:color w:val="0070C0"/>
          <w:sz w:val="20"/>
        </w:rPr>
        <w:t xml:space="preserve">: </w:t>
      </w:r>
    </w:p>
    <w:p w:rsidR="00EE348C" w:rsidRPr="00BE14F9" w:rsidRDefault="00EE348C" w:rsidP="00EE348C">
      <w:pPr>
        <w:pStyle w:val="NoSpacing"/>
        <w:jc w:val="both"/>
        <w:rPr>
          <w:rFonts w:ascii="Book Antiqua" w:hAnsi="Book Antiqua"/>
          <w:i/>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i/>
          <w:sz w:val="20"/>
        </w:rPr>
        <w:t xml:space="preserve">“This paper is being written </w:t>
      </w:r>
      <w:r w:rsidRPr="00BE14F9">
        <w:rPr>
          <w:rFonts w:ascii="Book Antiqua" w:hAnsi="Book Antiqua"/>
          <w:i/>
          <w:sz w:val="20"/>
          <w:u w:val="single"/>
        </w:rPr>
        <w:t>on request</w:t>
      </w:r>
      <w:r w:rsidRPr="00BE14F9">
        <w:rPr>
          <w:rFonts w:ascii="Book Antiqua" w:hAnsi="Book Antiqua"/>
          <w:i/>
          <w:sz w:val="20"/>
        </w:rPr>
        <w:t xml:space="preserve"> and at </w:t>
      </w:r>
      <w:r w:rsidRPr="00BE14F9">
        <w:rPr>
          <w:rFonts w:ascii="Book Antiqua" w:hAnsi="Book Antiqua"/>
          <w:i/>
          <w:sz w:val="20"/>
          <w:u w:val="single"/>
        </w:rPr>
        <w:t>this time</w:t>
      </w:r>
      <w:r w:rsidRPr="00BE14F9">
        <w:rPr>
          <w:rFonts w:ascii="Book Antiqua" w:hAnsi="Book Antiqua"/>
          <w:i/>
          <w:sz w:val="20"/>
        </w:rPr>
        <w:t xml:space="preserve"> on request.  In spite of the delusive word “Constant” appearing in the title, it is the continual variation in the values of these quantities that furnishes most of the interest in the subject.  It would indeed be disheartening to any real scientist to feel that an accepted value of any physical constant would never again be changed.  The most characteristic feature of science – in general and in particular – is its never-ending change.  But what one must not overlook is the fact that it is the </w:t>
      </w:r>
      <w:r w:rsidRPr="00BE14F9">
        <w:rPr>
          <w:rFonts w:ascii="Book Antiqua" w:hAnsi="Book Antiqua"/>
          <w:i/>
          <w:sz w:val="20"/>
          <w:u w:val="single"/>
        </w:rPr>
        <w:t>probable</w:t>
      </w:r>
      <w:r w:rsidRPr="00BE14F9">
        <w:rPr>
          <w:rFonts w:ascii="Book Antiqua" w:hAnsi="Book Antiqua"/>
          <w:i/>
          <w:sz w:val="20"/>
        </w:rPr>
        <w:t xml:space="preserve"> value of any given constant that changes, not its </w:t>
      </w:r>
      <w:r w:rsidRPr="00BE14F9">
        <w:rPr>
          <w:rFonts w:ascii="Book Antiqua" w:hAnsi="Book Antiqua"/>
          <w:i/>
          <w:sz w:val="20"/>
          <w:u w:val="single"/>
        </w:rPr>
        <w:t>actual</w:t>
      </w:r>
      <w:r w:rsidRPr="00BE14F9">
        <w:rPr>
          <w:rFonts w:ascii="Book Antiqua" w:hAnsi="Book Antiqua"/>
          <w:i/>
          <w:sz w:val="20"/>
        </w:rPr>
        <w:t xml:space="preserve"> value.  A belief in any significant variability of the constants of nature is fatal to the spirit of science, as science is now understood." </w:t>
      </w:r>
      <w:r w:rsidRPr="00BE14F9">
        <w:rPr>
          <w:rFonts w:ascii="Book Antiqua" w:hAnsi="Book Antiqua"/>
          <w:sz w:val="20"/>
        </w:rPr>
        <w:t>[56]  (author’s emphases retained)</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ab/>
        <w:t>Birge effectively contradicts himself in this opening paragraph.  He first mentions “</w:t>
      </w:r>
      <w:r w:rsidRPr="00BE14F9">
        <w:rPr>
          <w:rFonts w:ascii="Book Antiqua" w:hAnsi="Book Antiqua"/>
          <w:i/>
          <w:sz w:val="20"/>
        </w:rPr>
        <w:t>continual variation</w:t>
      </w:r>
      <w:r w:rsidRPr="00BE14F9">
        <w:rPr>
          <w:rFonts w:ascii="Book Antiqua" w:hAnsi="Book Antiqua"/>
          <w:sz w:val="20"/>
        </w:rPr>
        <w:t>” evidenced by the data, and then states that any significant variability in the physical constants “</w:t>
      </w:r>
      <w:r w:rsidRPr="00BE14F9">
        <w:rPr>
          <w:rFonts w:ascii="Book Antiqua" w:hAnsi="Book Antiqua"/>
          <w:i/>
          <w:sz w:val="20"/>
        </w:rPr>
        <w:t>is fatal to the spirit of science, as science is now understood.</w:t>
      </w:r>
      <w:r w:rsidRPr="00BE14F9">
        <w:rPr>
          <w:rFonts w:ascii="Book Antiqua" w:hAnsi="Book Antiqua"/>
          <w:sz w:val="20"/>
        </w:rPr>
        <w:t>”  The outcome of this highly unusual statement was that Birge's article effectively closed the light-speed debate historically.  But, at that same time, discussions were going on about Dirac's Large Numbers Hypothesis [57 - 60]. This involved the potential variability of some constants associated with Dirac's concepts, such as the Newtonian gravitational constant,</w:t>
      </w:r>
      <w:r w:rsidRPr="00BE14F9">
        <w:rPr>
          <w:rFonts w:ascii="Book Antiqua" w:hAnsi="Book Antiqua"/>
          <w:i/>
          <w:sz w:val="20"/>
        </w:rPr>
        <w:t xml:space="preserve"> </w:t>
      </w:r>
      <m:oMath>
        <m:r>
          <w:rPr>
            <w:rFonts w:ascii="Cambria Math" w:hAnsi="Cambria Math"/>
            <w:sz w:val="18"/>
            <w:szCs w:val="18"/>
          </w:rPr>
          <m:t>G</m:t>
        </m:r>
      </m:oMath>
      <w:r w:rsidRPr="00BE14F9">
        <w:rPr>
          <w:rFonts w:ascii="Book Antiqua" w:hAnsi="Book Antiqua"/>
          <w:sz w:val="20"/>
        </w:rPr>
        <w:t>, the mass of the universe, and others.  Aspects of this discussion continue to this day.  However the speed of light was declared a constant due to Birge’s statement, and that was, apparently, final.  Even ideas about a possible changing speed of light in the early universe in the last 10 – 15 years have been fueled by Dirac’s works and not by the actual measurements of the speed of light.</w:t>
      </w:r>
    </w:p>
    <w:p w:rsidR="000824FD" w:rsidRPr="00BE14F9" w:rsidRDefault="000824FD"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lastRenderedPageBreak/>
        <w:t xml:space="preserve">One way of overcoming the problem of checking if the speed of light is currently changing may be to use aberration-type measurements. There, an angle is measured rather than measuring meters or seconds or other units which are influenced by the 1983 decision to declare the speed of light as being invariant at 299,792,458 km/s. This at least offers the possibility of checking the behavior of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in a manner independent of current definition restrictions</w:t>
      </w:r>
      <w:r w:rsidR="00FE226D">
        <w:rPr>
          <w:rFonts w:ascii="Book Antiqua" w:hAnsi="Book Antiqua"/>
          <w:sz w:val="20"/>
        </w:rPr>
        <w:t>, and other, possibly synchronous, atomic processes</w:t>
      </w:r>
      <w:r w:rsidRPr="00BE14F9">
        <w:rPr>
          <w:rFonts w:ascii="Book Antiqua" w:hAnsi="Book Antiqua"/>
          <w:sz w:val="20"/>
        </w:rPr>
        <w:t xml:space="preserve">. Measurements of angles have become much more precise with the space-age, so this may be one option worth following up. Alternately, minute changes </w:t>
      </w:r>
      <w:r w:rsidR="0078542E">
        <w:rPr>
          <w:rFonts w:ascii="Book Antiqua" w:hAnsi="Book Antiqua"/>
          <w:sz w:val="20"/>
        </w:rPr>
        <w:t>over</w:t>
      </w:r>
      <w:r w:rsidRPr="00BE14F9">
        <w:rPr>
          <w:rFonts w:ascii="Book Antiqua" w:hAnsi="Book Antiqua"/>
          <w:sz w:val="20"/>
        </w:rPr>
        <w:t xml:space="preserve"> time in the length of the official meter when compared with earlier versions would also indicate changes in c [61].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Finally, in the 1987 Report</w:t>
      </w:r>
      <w:r w:rsidR="00FE226D">
        <w:rPr>
          <w:rFonts w:ascii="Book Antiqua" w:hAnsi="Book Antiqua"/>
          <w:sz w:val="20"/>
        </w:rPr>
        <w:t>,</w:t>
      </w:r>
      <w:r w:rsidRPr="00BE14F9">
        <w:rPr>
          <w:rFonts w:ascii="Book Antiqua" w:hAnsi="Book Antiqua"/>
          <w:sz w:val="20"/>
        </w:rPr>
        <w:t xml:space="preserve"> we suggested the decline in </w:t>
      </w:r>
      <w:r w:rsidRPr="00BE14F9">
        <w:rPr>
          <w:rFonts w:ascii="Book Antiqua" w:hAnsi="Book Antiqua"/>
          <w:iCs/>
          <w:sz w:val="20"/>
        </w:rPr>
        <w:t>the speed of light</w:t>
      </w:r>
      <w:r w:rsidRPr="00BE14F9">
        <w:rPr>
          <w:rFonts w:ascii="Book Antiqua" w:hAnsi="Book Antiqua"/>
          <w:i/>
          <w:iCs/>
          <w:sz w:val="20"/>
        </w:rPr>
        <w:t xml:space="preserve"> </w:t>
      </w:r>
      <w:r w:rsidRPr="00BE14F9">
        <w:rPr>
          <w:rFonts w:ascii="Book Antiqua" w:hAnsi="Book Antiqua"/>
          <w:sz w:val="20"/>
        </w:rPr>
        <w:t xml:space="preserve">implied it had a high initial value at the inception of the cosmos, in synchrony with other atomic ‘constants’, even though the basic cause of a changing ZPE strength had not been dealt with at that time. </w:t>
      </w:r>
      <w:r w:rsidR="00FE226D">
        <w:rPr>
          <w:rFonts w:ascii="Book Antiqua" w:hAnsi="Book Antiqua"/>
          <w:sz w:val="20"/>
        </w:rPr>
        <w:t>That</w:t>
      </w:r>
      <w:r w:rsidRPr="00BE14F9">
        <w:rPr>
          <w:rFonts w:ascii="Book Antiqua" w:hAnsi="Book Antiqua"/>
          <w:sz w:val="20"/>
        </w:rPr>
        <w:t xml:space="preserve"> analysis indicated that energy was being conserved in any process involving variation in the value of constants. With the further developments outlined here, it emerges that an increasing ZPE strength causes changes in the value of associated atomic constants. In addition, it holds the possibility of answering some of the astronomical problems associated with the origin of the universe</w:t>
      </w:r>
      <w:r w:rsidR="005428B2">
        <w:rPr>
          <w:rFonts w:ascii="Book Antiqua" w:hAnsi="Book Antiqua"/>
          <w:sz w:val="20"/>
        </w:rPr>
        <w:t xml:space="preserve"> and the formation and subsequent history of the solar system</w:t>
      </w:r>
      <w:r w:rsidRPr="00BE14F9">
        <w:rPr>
          <w:rFonts w:ascii="Book Antiqua" w:hAnsi="Book Antiqua"/>
          <w:sz w:val="20"/>
        </w:rPr>
        <w:t xml:space="preserve">. </w:t>
      </w:r>
    </w:p>
    <w:p w:rsidR="00904D33" w:rsidRDefault="00904D33" w:rsidP="00EE348C">
      <w:pPr>
        <w:pStyle w:val="NoSpacing"/>
        <w:rPr>
          <w:rFonts w:ascii="Book Antiqua" w:hAnsi="Book Antiqua"/>
          <w:b/>
          <w:color w:val="000000"/>
          <w:sz w:val="20"/>
        </w:rPr>
      </w:pPr>
    </w:p>
    <w:p w:rsidR="00EE348C" w:rsidRPr="00BE14F9" w:rsidRDefault="00EE348C" w:rsidP="00EE348C">
      <w:pPr>
        <w:pStyle w:val="NoSpacing"/>
        <w:rPr>
          <w:rFonts w:ascii="Book Antiqua" w:hAnsi="Book Antiqua"/>
          <w:b/>
          <w:color w:val="000000"/>
          <w:sz w:val="20"/>
        </w:rPr>
      </w:pPr>
      <w:r w:rsidRPr="00BE14F9">
        <w:rPr>
          <w:rFonts w:ascii="Book Antiqua" w:hAnsi="Book Antiqua"/>
          <w:b/>
          <w:color w:val="000000"/>
          <w:sz w:val="20"/>
        </w:rPr>
        <w:t xml:space="preserve">References </w:t>
      </w:r>
      <w:r w:rsidRPr="00BE14F9">
        <w:rPr>
          <w:rFonts w:ascii="Book Antiqua" w:hAnsi="Book Antiqua"/>
          <w:color w:val="000000"/>
          <w:sz w:val="20"/>
        </w:rPr>
        <w:t xml:space="preserve">– </w:t>
      </w:r>
      <w:r w:rsidRPr="00BE14F9">
        <w:rPr>
          <w:rFonts w:ascii="Book Antiqua" w:hAnsi="Book Antiqua"/>
          <w:i/>
          <w:color w:val="000000"/>
          <w:sz w:val="20"/>
        </w:rPr>
        <w:t>All URL’s retrieved 9/13/12</w:t>
      </w:r>
    </w:p>
    <w:p w:rsidR="00EE348C" w:rsidRPr="00BE14F9" w:rsidRDefault="00EE348C" w:rsidP="00EE348C">
      <w:pPr>
        <w:pStyle w:val="NoSpacing"/>
        <w:rPr>
          <w:rFonts w:ascii="Book Antiqua" w:hAnsi="Book Antiqua"/>
          <w:color w:val="000000"/>
          <w:sz w:val="20"/>
        </w:rPr>
      </w:pP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[1] J. H. Sanders, </w:t>
      </w:r>
      <w:r w:rsidRPr="00BE14F9">
        <w:rPr>
          <w:rFonts w:ascii="Book Antiqua" w:hAnsi="Book Antiqua"/>
          <w:i/>
          <w:iCs/>
          <w:color w:val="000000"/>
          <w:sz w:val="16"/>
          <w:szCs w:val="16"/>
        </w:rPr>
        <w:t xml:space="preserve">The Fundamental Atomic Constants, </w:t>
      </w:r>
      <w:r w:rsidRPr="00BE14F9">
        <w:rPr>
          <w:rFonts w:ascii="Book Antiqua" w:hAnsi="Book Antiqua"/>
          <w:iCs/>
          <w:color w:val="000000"/>
          <w:sz w:val="16"/>
          <w:szCs w:val="16"/>
        </w:rPr>
        <w:t>p.13,</w:t>
      </w:r>
      <w:r w:rsidRPr="00BE14F9">
        <w:rPr>
          <w:rFonts w:ascii="Book Antiqua" w:hAnsi="Book Antiqua"/>
          <w:i/>
          <w:iCs/>
          <w:color w:val="000000"/>
          <w:sz w:val="16"/>
          <w:szCs w:val="16"/>
        </w:rPr>
        <w:t xml:space="preserve"> </w:t>
      </w:r>
      <w:r w:rsidRPr="00BE14F9">
        <w:rPr>
          <w:rFonts w:ascii="Book Antiqua" w:hAnsi="Book Antiqua"/>
          <w:color w:val="000000"/>
          <w:sz w:val="16"/>
          <w:szCs w:val="16"/>
        </w:rPr>
        <w:t>Oxford University Press, Oxford,(1965).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[2]</w:t>
      </w:r>
      <w:r w:rsidRPr="00BE14F9">
        <w:rPr>
          <w:rFonts w:ascii="Book Antiqua" w:hAnsi="Book Antiqua"/>
          <w:sz w:val="16"/>
          <w:szCs w:val="16"/>
        </w:rPr>
        <w:t xml:space="preserve"> </w:t>
      </w:r>
      <w:r w:rsidRPr="00BE14F9">
        <w:rPr>
          <w:rFonts w:ascii="Book Antiqua" w:hAnsi="Book Antiqua"/>
          <w:color w:val="000000"/>
          <w:sz w:val="16"/>
          <w:szCs w:val="16"/>
        </w:rPr>
        <w:t>T. Norman, B. Setterfield,</w:t>
      </w:r>
      <w:r w:rsidRPr="00BE14F9">
        <w:rPr>
          <w:rFonts w:ascii="Book Antiqua" w:hAnsi="Book Antiqua"/>
          <w:b/>
          <w:iCs/>
          <w:color w:val="000000"/>
          <w:sz w:val="16"/>
          <w:szCs w:val="16"/>
        </w:rPr>
        <w:t xml:space="preserve"> </w:t>
      </w:r>
      <w:r w:rsidRPr="00BE14F9">
        <w:rPr>
          <w:rFonts w:ascii="Book Antiqua" w:hAnsi="Book Antiqua"/>
          <w:i/>
          <w:iCs/>
          <w:color w:val="000000"/>
          <w:sz w:val="16"/>
          <w:szCs w:val="16"/>
        </w:rPr>
        <w:t>Atomic Constants, Light, and Time</w:t>
      </w:r>
      <w:r w:rsidRPr="00BE14F9">
        <w:rPr>
          <w:rFonts w:ascii="Book Antiqua" w:hAnsi="Book Antiqua"/>
          <w:color w:val="000000"/>
          <w:sz w:val="16"/>
          <w:szCs w:val="16"/>
        </w:rPr>
        <w:t>,  Research Report, Stanford Research Institute (</w:t>
      </w:r>
      <w:smartTag w:uri="urn:schemas-microsoft-com:office:smarttags" w:element="stockticker">
        <w:r w:rsidRPr="00BE14F9">
          <w:rPr>
            <w:rFonts w:ascii="Book Antiqua" w:hAnsi="Book Antiqua"/>
            <w:color w:val="000000"/>
            <w:sz w:val="16"/>
            <w:szCs w:val="16"/>
          </w:rPr>
          <w:t>SRI</w:t>
        </w:r>
      </w:smartTag>
      <w:r w:rsidRPr="00BE14F9">
        <w:rPr>
          <w:rFonts w:ascii="Book Antiqua" w:hAnsi="Book Antiqua"/>
          <w:color w:val="000000"/>
          <w:sz w:val="16"/>
          <w:szCs w:val="16"/>
        </w:rPr>
        <w:t>) International &amp;  Flinders University, South Australia, August (1987) , p.35.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[3] F. G. </w:t>
      </w:r>
      <w:r w:rsidRPr="00BE14F9">
        <w:rPr>
          <w:rFonts w:ascii="Book Antiqua" w:hAnsi="Book Antiqua"/>
          <w:sz w:val="16"/>
          <w:szCs w:val="16"/>
        </w:rPr>
        <w:t xml:space="preserve">Dunnington, “The Atomic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11</w:t>
      </w:r>
      <w:r w:rsidRPr="00BE14F9">
        <w:rPr>
          <w:rFonts w:ascii="Book Antiqua" w:hAnsi="Book Antiqua"/>
          <w:sz w:val="16"/>
          <w:szCs w:val="16"/>
        </w:rPr>
        <w:t xml:space="preserve"> (2), 65-83, Apr. 1939</w:t>
      </w:r>
      <w:r w:rsidRPr="00BE14F9">
        <w:rPr>
          <w:rFonts w:ascii="Book Antiqua" w:hAnsi="Book Antiqua"/>
          <w:color w:val="000000"/>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 R. T. Birge, “A New Table of Values of the General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13</w:t>
      </w:r>
      <w:r w:rsidRPr="00BE14F9">
        <w:rPr>
          <w:rFonts w:ascii="Book Antiqua" w:hAnsi="Book Antiqua"/>
          <w:sz w:val="16"/>
          <w:szCs w:val="16"/>
        </w:rPr>
        <w:t xml:space="preserve"> (4), 233-239, Oct. 1941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 J. W. M. DuMond and E. R. Cohen, “Our Knowledge of the Atomic Constants F, N, m and h in 1947, and of Other Constants Derivable Therefrom,”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20</w:t>
      </w:r>
      <w:r w:rsidRPr="00BE14F9">
        <w:rPr>
          <w:rFonts w:ascii="Book Antiqua" w:hAnsi="Book Antiqua"/>
          <w:sz w:val="16"/>
          <w:szCs w:val="16"/>
        </w:rPr>
        <w:t xml:space="preserve"> (1), 82-108, Jan. 1948.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 J. A. Bearden and H. M. Watts, “A Re-Evaluation of the Fundamental Atomic Constants,” </w:t>
      </w:r>
      <w:r w:rsidRPr="00BE14F9">
        <w:rPr>
          <w:rFonts w:ascii="Book Antiqua" w:hAnsi="Book Antiqua"/>
          <w:i/>
          <w:iCs/>
          <w:sz w:val="16"/>
          <w:szCs w:val="16"/>
        </w:rPr>
        <w:t>Physical Review</w:t>
      </w:r>
      <w:r w:rsidRPr="00BE14F9">
        <w:rPr>
          <w:rFonts w:ascii="Book Antiqua" w:hAnsi="Book Antiqua"/>
          <w:sz w:val="16"/>
          <w:szCs w:val="16"/>
        </w:rPr>
        <w:t>, 81, 73-81, Jan. 1, 1951.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[7] J. W. M. DuMond and E. R. Cohen, “Least Squares Adjustment of the Atomic Constants, 1952,”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25</w:t>
      </w:r>
      <w:r w:rsidRPr="00BE14F9">
        <w:rPr>
          <w:rFonts w:ascii="Book Antiqua" w:hAnsi="Book Antiqua"/>
          <w:sz w:val="16"/>
          <w:szCs w:val="16"/>
        </w:rPr>
        <w:t xml:space="preserve"> (3), 691-708, Jul. 1953.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[8] E. R. Cohen, et al., “Analysis of Variance of the 1952 Data on the Atomic Constants and a New Adjustment, 1955,”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27</w:t>
      </w:r>
      <w:r w:rsidRPr="00BE14F9">
        <w:rPr>
          <w:rFonts w:ascii="Book Antiqua" w:hAnsi="Book Antiqua"/>
          <w:sz w:val="16"/>
          <w:szCs w:val="16"/>
        </w:rPr>
        <w:t xml:space="preserve"> (4), 363-380, Oct. 1955.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[9] E. R. Cohen and J. W. M. DuMond, “Present Status of our Knowledge of the Numerical Values of the Fundamental Constants,” p.152-186, </w:t>
      </w:r>
      <w:r w:rsidRPr="00BE14F9">
        <w:rPr>
          <w:rFonts w:ascii="Book Antiqua" w:hAnsi="Book Antiqua"/>
          <w:i/>
          <w:iCs/>
          <w:sz w:val="16"/>
          <w:szCs w:val="16"/>
        </w:rPr>
        <w:t>Proceedings of the Second International Conference on Nuclidic Masses</w:t>
      </w:r>
      <w:r w:rsidRPr="00BE14F9">
        <w:rPr>
          <w:rFonts w:ascii="Book Antiqua" w:hAnsi="Book Antiqua"/>
          <w:sz w:val="16"/>
          <w:szCs w:val="16"/>
        </w:rPr>
        <w:t>, Vienna, Austria, July 15-19, 1963, W.H. Johnson, Jr., editor, Springer-Verlag, Wien, 1964.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[10] E. R. Cohen and J. W. M. DuMond, “Our Knowledge of the Fundamental Constants of Physics and Chemistry in 1965,”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37</w:t>
      </w:r>
      <w:r w:rsidRPr="00BE14F9">
        <w:rPr>
          <w:rFonts w:ascii="Book Antiqua" w:hAnsi="Book Antiqua"/>
          <w:sz w:val="16"/>
          <w:szCs w:val="16"/>
        </w:rPr>
        <w:t xml:space="preserve"> (4), 537-594, Oct. 1965.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[11] B. N. Taylor, W. H. Parker, D. N. Langenberg, “Determination of e/h Using Macroscopic Quantum Phase Coherence in Superconductors: Implications for Quantum Electrodynamics and the Fundamental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41</w:t>
      </w:r>
      <w:r w:rsidRPr="00BE14F9">
        <w:rPr>
          <w:rFonts w:ascii="Book Antiqua" w:hAnsi="Book Antiqua"/>
          <w:sz w:val="16"/>
          <w:szCs w:val="16"/>
        </w:rPr>
        <w:t xml:space="preserve"> (3), 375-496, Jul. 1969.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[12] E. R. Cohen and B. N. Taylor, “The 1973 Least-Squares Adjustment of the Fundamental Constants,” </w:t>
      </w:r>
      <w:r w:rsidRPr="00BE14F9">
        <w:rPr>
          <w:rFonts w:ascii="Book Antiqua" w:hAnsi="Book Antiqua"/>
          <w:i/>
          <w:iCs/>
          <w:sz w:val="16"/>
          <w:szCs w:val="16"/>
        </w:rPr>
        <w:t>Journal of Physical and Chemical Reference Data</w:t>
      </w:r>
      <w:r w:rsidRPr="00BE14F9">
        <w:rPr>
          <w:rFonts w:ascii="Book Antiqua" w:hAnsi="Book Antiqua"/>
          <w:sz w:val="16"/>
          <w:szCs w:val="16"/>
        </w:rPr>
        <w:t xml:space="preserve">, </w:t>
      </w:r>
      <w:r w:rsidRPr="00BE14F9">
        <w:rPr>
          <w:rFonts w:ascii="Book Antiqua" w:hAnsi="Book Antiqua"/>
          <w:b/>
          <w:bCs/>
          <w:sz w:val="16"/>
          <w:szCs w:val="16"/>
        </w:rPr>
        <w:t>2</w:t>
      </w:r>
      <w:r w:rsidRPr="00BE14F9">
        <w:rPr>
          <w:rFonts w:ascii="Book Antiqua" w:hAnsi="Book Antiqua"/>
          <w:sz w:val="16"/>
          <w:szCs w:val="16"/>
        </w:rPr>
        <w:t xml:space="preserve"> (4), 663-718, 1973.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[13] E. R. Cohen , B. M. Taylor, “The 1986 Adjustment of the Fundamental Physical Constants,” </w:t>
      </w:r>
      <w:r w:rsidRPr="00BE14F9">
        <w:rPr>
          <w:rFonts w:ascii="Book Antiqua" w:hAnsi="Book Antiqua"/>
          <w:i/>
          <w:sz w:val="16"/>
          <w:szCs w:val="16"/>
        </w:rPr>
        <w:t xml:space="preserve">Codata Bulletin </w:t>
      </w:r>
      <w:r w:rsidRPr="00BE14F9">
        <w:rPr>
          <w:rFonts w:ascii="Book Antiqua" w:hAnsi="Book Antiqua"/>
          <w:sz w:val="16"/>
          <w:szCs w:val="16"/>
        </w:rPr>
        <w:t>#</w:t>
      </w:r>
      <w:r w:rsidRPr="00BE14F9">
        <w:rPr>
          <w:rFonts w:ascii="Book Antiqua" w:hAnsi="Book Antiqua"/>
          <w:b/>
          <w:sz w:val="16"/>
          <w:szCs w:val="16"/>
        </w:rPr>
        <w:t>63</w:t>
      </w:r>
      <w:r w:rsidRPr="00BE14F9">
        <w:rPr>
          <w:rFonts w:ascii="Book Antiqua" w:hAnsi="Book Antiqua"/>
          <w:sz w:val="16"/>
          <w:szCs w:val="16"/>
        </w:rPr>
        <w:t xml:space="preserve">, Pergamum Press, Nov. 1986.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[14] P. J. Mohr and B. N. Taylor, “Codata Recommended Values of the Fundamental Physical Constants, 1998,”  </w:t>
      </w:r>
      <w:r w:rsidRPr="00BE14F9">
        <w:rPr>
          <w:rFonts w:ascii="Book Antiqua" w:hAnsi="Book Antiqua"/>
          <w:i/>
          <w:iCs/>
          <w:sz w:val="16"/>
          <w:szCs w:val="16"/>
        </w:rPr>
        <w:t>Reviews of Modern Physics</w:t>
      </w:r>
      <w:r w:rsidRPr="00BE14F9">
        <w:rPr>
          <w:rFonts w:ascii="Book Antiqua" w:hAnsi="Book Antiqua"/>
          <w:sz w:val="16"/>
          <w:szCs w:val="16"/>
        </w:rPr>
        <w:t>, April, 2000. </w:t>
      </w:r>
    </w:p>
    <w:p w:rsidR="00EE348C" w:rsidRPr="00BE14F9" w:rsidRDefault="00EE348C" w:rsidP="00EE348C">
      <w:pPr>
        <w:pStyle w:val="NoSpacing"/>
        <w:rPr>
          <w:rFonts w:ascii="Book Antiqua" w:hAnsi="Book Antiqua"/>
          <w:i/>
          <w:sz w:val="16"/>
          <w:szCs w:val="16"/>
        </w:rPr>
      </w:pPr>
      <w:r w:rsidRPr="00BE14F9">
        <w:rPr>
          <w:rFonts w:ascii="Book Antiqua" w:hAnsi="Book Antiqua"/>
          <w:sz w:val="16"/>
          <w:szCs w:val="16"/>
        </w:rPr>
        <w:t xml:space="preserve">[15] From </w:t>
      </w:r>
      <w:hyperlink r:id="rId80" w:history="1">
        <w:r w:rsidRPr="00BE14F9">
          <w:rPr>
            <w:rStyle w:val="Hyperlink"/>
            <w:rFonts w:ascii="Book Antiqua" w:hAnsi="Book Antiqua"/>
            <w:i/>
            <w:szCs w:val="16"/>
          </w:rPr>
          <w:t>http://physics.nist.gov/cuu/Constants/index.html</w:t>
        </w:r>
      </w:hyperlink>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[16] J. N. Bahcall, E. E. Salpeter,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142</w:t>
      </w:r>
      <w:r w:rsidRPr="00BE14F9">
        <w:rPr>
          <w:rFonts w:ascii="Book Antiqua" w:hAnsi="Book Antiqua"/>
          <w:sz w:val="16"/>
          <w:szCs w:val="16"/>
        </w:rPr>
        <w:t xml:space="preserve"> (1965), 1677-1681.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[17] W. A. Baum, R. Florentin-Nielsen,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319-329.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[18] J. E. Solheim, T. G. Barnes III, H. J. Smith,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330-334.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[19] P. D. Noerdlinger,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30</w:t>
      </w:r>
      <w:r w:rsidRPr="00BE14F9">
        <w:rPr>
          <w:rFonts w:ascii="Book Antiqua" w:hAnsi="Book Antiqua"/>
          <w:sz w:val="16"/>
          <w:szCs w:val="16"/>
        </w:rPr>
        <w:t xml:space="preserve"> (1973), pp. 761-762.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[20] R. Srianand et al. also D. Monroe,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92</w:t>
      </w:r>
      <w:r w:rsidRPr="00BE14F9">
        <w:rPr>
          <w:rFonts w:ascii="Book Antiqua" w:hAnsi="Book Antiqua"/>
          <w:sz w:val="16"/>
          <w:szCs w:val="16"/>
        </w:rPr>
        <w:t xml:space="preserve"> (2004) 121302.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[21] L. L. Cowie, A. Songaila,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428</w:t>
      </w:r>
      <w:r w:rsidRPr="00BE14F9">
        <w:rPr>
          <w:rFonts w:ascii="Book Antiqua" w:hAnsi="Book Antiqua"/>
          <w:sz w:val="16"/>
          <w:szCs w:val="16"/>
        </w:rPr>
        <w:t xml:space="preserve"> (2004), p.132.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[22] F. J. Dyson,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19</w:t>
      </w:r>
      <w:r w:rsidRPr="00BE14F9">
        <w:rPr>
          <w:rFonts w:ascii="Book Antiqua" w:hAnsi="Book Antiqua"/>
          <w:sz w:val="16"/>
          <w:szCs w:val="16"/>
        </w:rPr>
        <w:t xml:space="preserve"> (1967), 1291-1293.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[23] A. Peres,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1293-1294.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[24] J. N. Bahcall, M. Schmidt,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1294-1295.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[25] P. S. Wesson, </w:t>
      </w:r>
      <w:r w:rsidRPr="00BE14F9">
        <w:rPr>
          <w:rFonts w:ascii="Book Antiqua" w:hAnsi="Book Antiqua"/>
          <w:i/>
          <w:sz w:val="16"/>
          <w:szCs w:val="16"/>
        </w:rPr>
        <w:t>Cosmology and Geophysics,</w:t>
      </w:r>
      <w:r w:rsidRPr="00BE14F9">
        <w:rPr>
          <w:rFonts w:ascii="Book Antiqua" w:hAnsi="Book Antiqua"/>
          <w:sz w:val="16"/>
          <w:szCs w:val="16"/>
        </w:rPr>
        <w:t xml:space="preserve"> Monographs on Astronomical Subjects:3. pp.65-66, 88-89, 115-122, 207-208, Adam Hilger Ltd, Bristol (1978).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[26] B. Setterfield, </w:t>
      </w:r>
      <w:r w:rsidRPr="00BE14F9">
        <w:rPr>
          <w:rFonts w:ascii="Book Antiqua" w:hAnsi="Book Antiqua"/>
          <w:i/>
          <w:iCs/>
          <w:sz w:val="16"/>
          <w:szCs w:val="16"/>
        </w:rPr>
        <w:t>Journal of Theoretics</w:t>
      </w:r>
      <w:r w:rsidRPr="00BE14F9">
        <w:rPr>
          <w:rFonts w:ascii="Book Antiqua" w:hAnsi="Book Antiqua"/>
          <w:sz w:val="16"/>
          <w:szCs w:val="16"/>
        </w:rPr>
        <w:t>, extensive papers (15 Oct. 2003).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[27] M. Brooks, 'Operation Alpha', </w:t>
      </w:r>
      <w:r w:rsidRPr="00BE14F9">
        <w:rPr>
          <w:rFonts w:ascii="Book Antiqua" w:hAnsi="Book Antiqua"/>
          <w:i/>
          <w:sz w:val="16"/>
          <w:szCs w:val="16"/>
        </w:rPr>
        <w:t>New Scientist</w:t>
      </w:r>
      <w:r w:rsidRPr="00BE14F9">
        <w:rPr>
          <w:rFonts w:ascii="Book Antiqua" w:hAnsi="Book Antiqua"/>
          <w:sz w:val="16"/>
          <w:szCs w:val="16"/>
        </w:rPr>
        <w:t>, 23 Oct. 2010, p33-35.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[28] M. Harwit, </w:t>
      </w:r>
      <w:r w:rsidRPr="00BE14F9">
        <w:rPr>
          <w:rFonts w:ascii="Book Antiqua" w:hAnsi="Book Antiqua"/>
          <w:i/>
          <w:sz w:val="16"/>
          <w:szCs w:val="16"/>
        </w:rPr>
        <w:t>Bull. Astron. Inst. Czech</w:t>
      </w:r>
      <w:r w:rsidRPr="00BE14F9">
        <w:rPr>
          <w:rFonts w:ascii="Book Antiqua" w:hAnsi="Book Antiqua"/>
          <w:sz w:val="16"/>
          <w:szCs w:val="16"/>
        </w:rPr>
        <w:t>., 22 (1971): 22-29.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[29] K. Scharnhorst,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236</w:t>
      </w:r>
      <w:r w:rsidRPr="00BE14F9">
        <w:rPr>
          <w:rFonts w:ascii="Book Antiqua" w:hAnsi="Book Antiqua"/>
          <w:sz w:val="16"/>
          <w:szCs w:val="16"/>
        </w:rPr>
        <w:t xml:space="preserve"> (1990), p.354.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[30] Science Editor, </w:t>
      </w:r>
      <w:r w:rsidRPr="00BE14F9">
        <w:rPr>
          <w:rFonts w:ascii="Book Antiqua" w:hAnsi="Book Antiqua"/>
          <w:i/>
          <w:sz w:val="16"/>
          <w:szCs w:val="16"/>
        </w:rPr>
        <w:t>Science News</w:t>
      </w:r>
      <w:r w:rsidRPr="00BE14F9">
        <w:rPr>
          <w:rFonts w:ascii="Book Antiqua" w:hAnsi="Book Antiqua"/>
          <w:sz w:val="16"/>
          <w:szCs w:val="16"/>
        </w:rPr>
        <w:t xml:space="preserve">, </w:t>
      </w:r>
      <w:r w:rsidRPr="00BE14F9">
        <w:rPr>
          <w:rFonts w:ascii="Book Antiqua" w:hAnsi="Book Antiqua"/>
          <w:b/>
          <w:sz w:val="16"/>
          <w:szCs w:val="16"/>
        </w:rPr>
        <w:t>137</w:t>
      </w:r>
      <w:r w:rsidRPr="00BE14F9">
        <w:rPr>
          <w:rFonts w:ascii="Book Antiqua" w:hAnsi="Book Antiqua"/>
          <w:sz w:val="16"/>
          <w:szCs w:val="16"/>
        </w:rPr>
        <w:t>, 12th May 1990, p.303.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[31] G. Barton,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237</w:t>
      </w:r>
      <w:r w:rsidRPr="00BE14F9">
        <w:rPr>
          <w:rFonts w:ascii="Book Antiqua" w:hAnsi="Book Antiqua"/>
          <w:sz w:val="16"/>
          <w:szCs w:val="16"/>
        </w:rPr>
        <w:t xml:space="preserve"> (1990), p.559.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[32] S. Barnett, </w:t>
      </w:r>
      <w:r w:rsidRPr="00BE14F9">
        <w:rPr>
          <w:rFonts w:ascii="Book Antiqua" w:hAnsi="Book Antiqua"/>
          <w:i/>
          <w:sz w:val="16"/>
          <w:szCs w:val="16"/>
        </w:rPr>
        <w:t>Nature</w:t>
      </w:r>
      <w:r w:rsidRPr="00BE14F9">
        <w:rPr>
          <w:rFonts w:ascii="Book Antiqua" w:hAnsi="Book Antiqua"/>
          <w:sz w:val="16"/>
          <w:szCs w:val="16"/>
        </w:rPr>
        <w:t xml:space="preserve"> 344 (1990), p.289.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[33] J. I. Latorre, P. Pascual, R. Tarrach, </w:t>
      </w:r>
      <w:r w:rsidRPr="00BE14F9">
        <w:rPr>
          <w:rFonts w:ascii="Book Antiqua" w:hAnsi="Book Antiqua"/>
          <w:i/>
          <w:sz w:val="16"/>
          <w:szCs w:val="16"/>
        </w:rPr>
        <w:t>Nuclear Physics</w:t>
      </w:r>
      <w:r w:rsidRPr="00BE14F9">
        <w:rPr>
          <w:rFonts w:ascii="Book Antiqua" w:hAnsi="Book Antiqua"/>
          <w:sz w:val="16"/>
          <w:szCs w:val="16"/>
        </w:rPr>
        <w:t xml:space="preserve"> B 437 (1995), p.60-82.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[34] B. I. Bleany, B. Bleany, </w:t>
      </w:r>
      <w:r w:rsidRPr="00BE14F9">
        <w:rPr>
          <w:rFonts w:ascii="Book Antiqua" w:hAnsi="Book Antiqua"/>
          <w:i/>
          <w:sz w:val="16"/>
          <w:szCs w:val="16"/>
        </w:rPr>
        <w:t>Electricity and Magnetism</w:t>
      </w:r>
      <w:r w:rsidRPr="00BE14F9">
        <w:rPr>
          <w:rFonts w:ascii="Book Antiqua" w:hAnsi="Book Antiqua"/>
          <w:sz w:val="16"/>
          <w:szCs w:val="16"/>
        </w:rPr>
        <w:t>, pp.242-243, Oxford at the Clarendon Press, 1962.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lastRenderedPageBreak/>
        <w:t xml:space="preserve">[35] C. Barnet, R. Davis and W.L. Sanders, </w:t>
      </w:r>
      <w:r w:rsidRPr="00BE14F9">
        <w:rPr>
          <w:rFonts w:ascii="Book Antiqua" w:hAnsi="Book Antiqua"/>
          <w:i/>
          <w:sz w:val="16"/>
          <w:szCs w:val="16"/>
        </w:rPr>
        <w:t>Astrophysical Journal</w:t>
      </w:r>
      <w:r w:rsidRPr="00BE14F9">
        <w:rPr>
          <w:rFonts w:ascii="Book Antiqua" w:hAnsi="Book Antiqua"/>
          <w:sz w:val="16"/>
          <w:szCs w:val="16"/>
        </w:rPr>
        <w:t xml:space="preserve"> </w:t>
      </w:r>
      <w:r w:rsidRPr="00BE14F9">
        <w:rPr>
          <w:rFonts w:ascii="Book Antiqua" w:hAnsi="Book Antiqua"/>
          <w:b/>
          <w:sz w:val="16"/>
          <w:szCs w:val="16"/>
        </w:rPr>
        <w:t>295</w:t>
      </w:r>
      <w:r w:rsidRPr="00BE14F9">
        <w:rPr>
          <w:rFonts w:ascii="Book Antiqua" w:hAnsi="Book Antiqua"/>
          <w:sz w:val="16"/>
          <w:szCs w:val="16"/>
        </w:rPr>
        <w:t xml:space="preserve"> (1985), pp. 24-27.</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[36] S. G. Starling and A. J. Woodall, </w:t>
      </w:r>
      <w:r w:rsidRPr="00BE14F9">
        <w:rPr>
          <w:rFonts w:ascii="Book Antiqua" w:hAnsi="Book Antiqua"/>
          <w:b/>
          <w:sz w:val="16"/>
          <w:szCs w:val="16"/>
        </w:rPr>
        <w:t>Physics</w:t>
      </w:r>
      <w:r w:rsidRPr="00BE14F9">
        <w:rPr>
          <w:rFonts w:ascii="Book Antiqua" w:hAnsi="Book Antiqua"/>
          <w:sz w:val="16"/>
          <w:szCs w:val="16"/>
        </w:rPr>
        <w:t>, p.1129, Longmans, London, 1958.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[37] K. Wanser, Dept. Physics, Fullerton University, private communication about his article in press.</w:t>
      </w:r>
    </w:p>
    <w:p w:rsidR="00EE348C" w:rsidRPr="00BE14F9" w:rsidRDefault="00EE348C" w:rsidP="00EE348C">
      <w:pPr>
        <w:pStyle w:val="NoSpacing"/>
        <w:rPr>
          <w:rFonts w:ascii="Book Antiqua" w:hAnsi="Book Antiqua"/>
          <w:b/>
          <w:bCs/>
          <w:iCs/>
          <w:color w:val="000000"/>
          <w:sz w:val="16"/>
          <w:szCs w:val="16"/>
        </w:rPr>
      </w:pPr>
      <w:r w:rsidRPr="00BE14F9">
        <w:rPr>
          <w:rFonts w:ascii="Book Antiqua" w:hAnsi="Book Antiqua"/>
          <w:sz w:val="16"/>
          <w:szCs w:val="16"/>
        </w:rPr>
        <w:t xml:space="preserve">[38] R. T. Birge,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134</w:t>
      </w:r>
      <w:r w:rsidRPr="00BE14F9">
        <w:rPr>
          <w:rFonts w:ascii="Book Antiqua" w:hAnsi="Book Antiqua"/>
          <w:sz w:val="16"/>
          <w:szCs w:val="16"/>
        </w:rPr>
        <w:t xml:space="preserve"> (1934): pp.771-772.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[39] For example, J. A. Franco et al., </w:t>
      </w:r>
      <w:r w:rsidRPr="00BE14F9">
        <w:rPr>
          <w:rFonts w:ascii="Book Antiqua" w:hAnsi="Book Antiqua"/>
          <w:i/>
          <w:sz w:val="16"/>
          <w:szCs w:val="16"/>
        </w:rPr>
        <w:t>Journal of Vectorial Relativity</w:t>
      </w:r>
      <w:r w:rsidRPr="00BE14F9">
        <w:rPr>
          <w:rFonts w:ascii="Book Antiqua" w:hAnsi="Book Antiqua"/>
          <w:sz w:val="16"/>
          <w:szCs w:val="16"/>
        </w:rPr>
        <w:t xml:space="preserve">, </w:t>
      </w:r>
      <w:r w:rsidRPr="00BE14F9">
        <w:rPr>
          <w:rFonts w:ascii="Book Antiqua" w:hAnsi="Book Antiqua"/>
          <w:b/>
          <w:sz w:val="16"/>
          <w:szCs w:val="16"/>
        </w:rPr>
        <w:t xml:space="preserve">1 </w:t>
      </w:r>
      <w:r w:rsidRPr="00BE14F9">
        <w:rPr>
          <w:rFonts w:ascii="Book Antiqua" w:hAnsi="Book Antiqua"/>
          <w:sz w:val="16"/>
          <w:szCs w:val="16"/>
        </w:rPr>
        <w:t>(2006), 1-16.</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[40] M. Harwit,</w:t>
      </w:r>
      <w:r w:rsidRPr="00BE14F9">
        <w:rPr>
          <w:rFonts w:ascii="Book Antiqua" w:hAnsi="Book Antiqua"/>
          <w:b/>
          <w:iCs/>
          <w:sz w:val="16"/>
          <w:szCs w:val="16"/>
        </w:rPr>
        <w:t xml:space="preserve"> </w:t>
      </w:r>
      <w:r w:rsidRPr="00BE14F9">
        <w:rPr>
          <w:rFonts w:ascii="Book Antiqua" w:hAnsi="Book Antiqua"/>
          <w:i/>
          <w:iCs/>
          <w:sz w:val="16"/>
          <w:szCs w:val="16"/>
        </w:rPr>
        <w:t xml:space="preserve">Astrophysical Concepts, </w:t>
      </w:r>
      <w:r w:rsidRPr="00BE14F9">
        <w:rPr>
          <w:rFonts w:ascii="Book Antiqua" w:hAnsi="Book Antiqua"/>
          <w:sz w:val="16"/>
          <w:szCs w:val="16"/>
        </w:rPr>
        <w:t>second Edition, p. 178, (Springer-Verlag, New York, 1988).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[41] T. C. Van Flandern, </w:t>
      </w:r>
      <w:r w:rsidRPr="00BE14F9">
        <w:rPr>
          <w:rFonts w:ascii="Book Antiqua" w:hAnsi="Book Antiqua"/>
          <w:i/>
          <w:sz w:val="16"/>
          <w:szCs w:val="16"/>
        </w:rPr>
        <w:t>Precision Measurements and Fundamental Constants II,</w:t>
      </w:r>
      <w:r w:rsidRPr="00BE14F9">
        <w:rPr>
          <w:rFonts w:ascii="Book Antiqua" w:hAnsi="Book Antiqua"/>
          <w:sz w:val="16"/>
          <w:szCs w:val="16"/>
        </w:rPr>
        <w:t xml:space="preserve"> pp.625-627. B.N. Taylor and W.D. Phillips (Eds.), National Bureau of Standards (U.S.) Special Publication 617 (1984).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[42] J. Magueijo, “Plan B for the Cosmos,” </w:t>
      </w:r>
      <w:r w:rsidRPr="00BE14F9">
        <w:rPr>
          <w:rFonts w:ascii="Book Antiqua" w:hAnsi="Book Antiqua"/>
          <w:i/>
          <w:sz w:val="16"/>
          <w:szCs w:val="16"/>
        </w:rPr>
        <w:t>Scientific American</w:t>
      </w:r>
      <w:r w:rsidRPr="00BE14F9">
        <w:rPr>
          <w:rFonts w:ascii="Book Antiqua" w:hAnsi="Book Antiqua"/>
          <w:sz w:val="16"/>
          <w:szCs w:val="16"/>
        </w:rPr>
        <w:t xml:space="preserve">, p. 47 (January 2001). </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[43] R. T. Cahill, </w:t>
      </w:r>
      <w:r w:rsidRPr="00BE14F9">
        <w:rPr>
          <w:rFonts w:ascii="Book Antiqua" w:hAnsi="Book Antiqua"/>
          <w:i/>
          <w:sz w:val="16"/>
          <w:szCs w:val="16"/>
        </w:rPr>
        <w:t>Progress in Physics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 pp.73-92 (2006).</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[44] M. Feigenbaum, quoted by science editor in </w:t>
      </w:r>
      <w:r w:rsidRPr="00BE14F9">
        <w:rPr>
          <w:rFonts w:ascii="Book Antiqua" w:hAnsi="Book Antiqua"/>
          <w:i/>
          <w:sz w:val="16"/>
          <w:szCs w:val="16"/>
        </w:rPr>
        <w:t>New Scientist</w:t>
      </w:r>
      <w:r w:rsidRPr="00BE14F9">
        <w:rPr>
          <w:rFonts w:ascii="Book Antiqua" w:hAnsi="Book Antiqua"/>
          <w:sz w:val="16"/>
          <w:szCs w:val="16"/>
        </w:rPr>
        <w:t xml:space="preserve">, pp.28-31 (1st November 2008).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[45] J. Moffat,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w:t>
      </w:r>
      <w:r w:rsidRPr="00BE14F9">
        <w:rPr>
          <w:rFonts w:ascii="Book Antiqua" w:hAnsi="Book Antiqua"/>
          <w:sz w:val="16"/>
          <w:szCs w:val="16"/>
        </w:rPr>
        <w:t xml:space="preserve"> (1993) 351 and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23</w:t>
      </w:r>
      <w:r w:rsidRPr="00BE14F9">
        <w:rPr>
          <w:rFonts w:ascii="Book Antiqua" w:hAnsi="Book Antiqua"/>
          <w:sz w:val="16"/>
          <w:szCs w:val="16"/>
        </w:rPr>
        <w:t xml:space="preserve"> (1993) 411.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[46] V. S. Troitskii, </w:t>
      </w:r>
      <w:r w:rsidRPr="00BE14F9">
        <w:rPr>
          <w:rFonts w:ascii="Book Antiqua" w:hAnsi="Book Antiqua"/>
          <w:i/>
          <w:sz w:val="16"/>
          <w:szCs w:val="16"/>
        </w:rPr>
        <w:t>Astrophys. &amp; Space Science</w:t>
      </w:r>
      <w:r w:rsidRPr="00BE14F9">
        <w:rPr>
          <w:rFonts w:ascii="Book Antiqua" w:hAnsi="Book Antiqua"/>
          <w:sz w:val="16"/>
          <w:szCs w:val="16"/>
        </w:rPr>
        <w:t xml:space="preserve"> </w:t>
      </w:r>
      <w:r w:rsidRPr="00BE14F9">
        <w:rPr>
          <w:rFonts w:ascii="Book Antiqua" w:hAnsi="Book Antiqua"/>
          <w:b/>
          <w:sz w:val="16"/>
          <w:szCs w:val="16"/>
        </w:rPr>
        <w:t>139</w:t>
      </w:r>
      <w:r w:rsidRPr="00BE14F9">
        <w:rPr>
          <w:rFonts w:ascii="Book Antiqua" w:hAnsi="Book Antiqua"/>
          <w:sz w:val="16"/>
          <w:szCs w:val="16"/>
        </w:rPr>
        <w:t xml:space="preserve"> (1987) 389.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[47] A. Albrecht, J. Magueijo, </w:t>
      </w:r>
      <w:r w:rsidRPr="00BE14F9">
        <w:rPr>
          <w:rFonts w:ascii="Book Antiqua" w:hAnsi="Book Antiqua"/>
          <w:i/>
          <w:sz w:val="16"/>
          <w:szCs w:val="16"/>
        </w:rPr>
        <w:t>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 xml:space="preserve">:4 (1999) 3515 .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[48] J. D. Barrow,</w:t>
      </w:r>
      <w:r w:rsidRPr="00BE14F9">
        <w:rPr>
          <w:rFonts w:ascii="Book Antiqua" w:hAnsi="Book Antiqua"/>
          <w:i/>
          <w:sz w:val="16"/>
          <w:szCs w:val="16"/>
        </w:rPr>
        <w:t xml:space="preserve"> 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:4 (1999) 043515-1.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[49] N. E. Dorsey, </w:t>
      </w:r>
      <w:r w:rsidRPr="00BE14F9">
        <w:rPr>
          <w:rFonts w:ascii="Book Antiqua" w:hAnsi="Book Antiqua"/>
          <w:i/>
          <w:sz w:val="16"/>
          <w:szCs w:val="16"/>
        </w:rPr>
        <w:t>Trans. Am. Phil. Soc.</w:t>
      </w:r>
      <w:r w:rsidRPr="00BE14F9">
        <w:rPr>
          <w:rFonts w:ascii="Book Antiqua" w:hAnsi="Book Antiqua"/>
          <w:sz w:val="16"/>
          <w:szCs w:val="16"/>
        </w:rPr>
        <w:t xml:space="preserve"> </w:t>
      </w:r>
      <w:r w:rsidRPr="00BE14F9">
        <w:rPr>
          <w:rFonts w:ascii="Book Antiqua" w:hAnsi="Book Antiqua"/>
          <w:b/>
          <w:sz w:val="16"/>
          <w:szCs w:val="16"/>
        </w:rPr>
        <w:t>34</w:t>
      </w:r>
      <w:r w:rsidRPr="00BE14F9">
        <w:rPr>
          <w:rFonts w:ascii="Book Antiqua" w:hAnsi="Book Antiqua"/>
          <w:sz w:val="16"/>
          <w:szCs w:val="16"/>
        </w:rPr>
        <w:t xml:space="preserve">:1 (1944) 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[50] S. Newcomb, </w:t>
      </w:r>
      <w:r w:rsidRPr="00BE14F9">
        <w:rPr>
          <w:rFonts w:ascii="Book Antiqua" w:hAnsi="Book Antiqua"/>
          <w:i/>
          <w:sz w:val="16"/>
          <w:szCs w:val="16"/>
        </w:rPr>
        <w:t>Nature</w:t>
      </w:r>
      <w:r w:rsidRPr="00BE14F9">
        <w:rPr>
          <w:rFonts w:ascii="Book Antiqua" w:hAnsi="Book Antiqua"/>
          <w:sz w:val="16"/>
          <w:szCs w:val="16"/>
        </w:rPr>
        <w:t xml:space="preserve">, May 13 (1886) 29.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[51] R. T. Birge, </w:t>
      </w:r>
      <w:r w:rsidRPr="00BE14F9">
        <w:rPr>
          <w:rFonts w:ascii="Book Antiqua" w:hAnsi="Book Antiqua"/>
          <w:i/>
          <w:sz w:val="16"/>
          <w:szCs w:val="16"/>
        </w:rPr>
        <w:t>Rep. Prog. Phys</w:t>
      </w:r>
      <w:r w:rsidRPr="00BE14F9">
        <w:rPr>
          <w:rFonts w:ascii="Book Antiqua" w:hAnsi="Book Antiqua"/>
          <w:sz w:val="16"/>
          <w:szCs w:val="16"/>
        </w:rPr>
        <w:t>.</w:t>
      </w:r>
      <w:r w:rsidRPr="00BE14F9">
        <w:rPr>
          <w:rFonts w:ascii="Book Antiqua" w:hAnsi="Book Antiqua"/>
          <w:b/>
          <w:sz w:val="16"/>
          <w:szCs w:val="16"/>
        </w:rPr>
        <w:t xml:space="preserve"> 8</w:t>
      </w:r>
      <w:r w:rsidRPr="00BE14F9">
        <w:rPr>
          <w:rFonts w:ascii="Book Antiqua" w:hAnsi="Book Antiqua"/>
          <w:sz w:val="16"/>
          <w:szCs w:val="16"/>
        </w:rPr>
        <w:t xml:space="preserve"> (1941) 90.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[52] M. E. J. Gheury de Bray,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120</w:t>
      </w:r>
      <w:r w:rsidRPr="00BE14F9">
        <w:rPr>
          <w:rFonts w:ascii="Book Antiqua" w:hAnsi="Book Antiqua"/>
          <w:sz w:val="16"/>
          <w:szCs w:val="16"/>
        </w:rPr>
        <w:t xml:space="preserve"> (1927) 602; </w:t>
      </w:r>
      <w:r w:rsidRPr="00BE14F9">
        <w:rPr>
          <w:rFonts w:ascii="Book Antiqua" w:hAnsi="Book Antiqua"/>
          <w:b/>
          <w:sz w:val="16"/>
          <w:szCs w:val="16"/>
        </w:rPr>
        <w:t>127</w:t>
      </w:r>
      <w:r w:rsidRPr="00BE14F9">
        <w:rPr>
          <w:rFonts w:ascii="Book Antiqua" w:hAnsi="Book Antiqua"/>
          <w:sz w:val="16"/>
          <w:szCs w:val="16"/>
        </w:rPr>
        <w:t xml:space="preserve"> (1931) 522; and </w:t>
      </w:r>
      <w:r w:rsidRPr="00BE14F9">
        <w:rPr>
          <w:rFonts w:ascii="Book Antiqua" w:hAnsi="Book Antiqua"/>
          <w:b/>
          <w:sz w:val="16"/>
          <w:szCs w:val="16"/>
        </w:rPr>
        <w:t>127</w:t>
      </w:r>
      <w:r w:rsidRPr="00BE14F9">
        <w:rPr>
          <w:rFonts w:ascii="Book Antiqua" w:hAnsi="Book Antiqua"/>
          <w:sz w:val="16"/>
          <w:szCs w:val="16"/>
        </w:rPr>
        <w:t xml:space="preserve"> (1931) 892.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[53] A. Montgomery, L. Dolphin, </w:t>
      </w:r>
      <w:r w:rsidRPr="00BE14F9">
        <w:rPr>
          <w:rFonts w:ascii="Book Antiqua" w:hAnsi="Book Antiqua"/>
          <w:i/>
          <w:sz w:val="16"/>
          <w:szCs w:val="16"/>
        </w:rPr>
        <w:t>Galilean Electrodynamics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:5 (1993) 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[54] J. Narlikar &amp; H. Arp, </w:t>
      </w:r>
      <w:r w:rsidRPr="00BE14F9">
        <w:rPr>
          <w:rFonts w:ascii="Book Antiqua" w:hAnsi="Book Antiqua"/>
          <w:i/>
          <w:iCs/>
          <w:sz w:val="16"/>
          <w:szCs w:val="16"/>
        </w:rPr>
        <w:t xml:space="preserve">Astrophysical Journal </w:t>
      </w:r>
      <w:r w:rsidRPr="00BE14F9">
        <w:rPr>
          <w:rFonts w:ascii="Book Antiqua" w:hAnsi="Book Antiqua"/>
          <w:b/>
          <w:bCs/>
          <w:sz w:val="16"/>
          <w:szCs w:val="16"/>
        </w:rPr>
        <w:t>405</w:t>
      </w:r>
      <w:r w:rsidRPr="00BE14F9">
        <w:rPr>
          <w:rFonts w:ascii="Book Antiqua" w:hAnsi="Book Antiqua"/>
          <w:sz w:val="16"/>
          <w:szCs w:val="16"/>
        </w:rPr>
        <w:t>:51 (1993).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[55] E. A. Karlow, </w:t>
      </w:r>
      <w:r w:rsidRPr="00BE14F9">
        <w:rPr>
          <w:rFonts w:ascii="Book Antiqua" w:hAnsi="Book Antiqua"/>
          <w:i/>
          <w:sz w:val="16"/>
          <w:szCs w:val="16"/>
        </w:rPr>
        <w:t>American Journal of Physics</w:t>
      </w:r>
      <w:r w:rsidRPr="00BE14F9">
        <w:rPr>
          <w:rFonts w:ascii="Book Antiqua" w:hAnsi="Book Antiqua"/>
          <w:sz w:val="16"/>
          <w:szCs w:val="16"/>
        </w:rPr>
        <w:t xml:space="preserve">, </w:t>
      </w:r>
      <w:r w:rsidRPr="00BE14F9">
        <w:rPr>
          <w:rFonts w:ascii="Book Antiqua" w:hAnsi="Book Antiqua"/>
          <w:b/>
          <w:sz w:val="16"/>
          <w:szCs w:val="16"/>
        </w:rPr>
        <w:t>62</w:t>
      </w:r>
      <w:r w:rsidRPr="00BE14F9">
        <w:rPr>
          <w:rFonts w:ascii="Book Antiqua" w:hAnsi="Book Antiqua"/>
          <w:sz w:val="16"/>
          <w:szCs w:val="16"/>
        </w:rPr>
        <w:t>:7 (1994), 634.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[56] R. T. Birge, </w:t>
      </w:r>
      <w:r w:rsidRPr="00BE14F9">
        <w:rPr>
          <w:rFonts w:ascii="Book Antiqua" w:hAnsi="Book Antiqua"/>
          <w:i/>
          <w:sz w:val="16"/>
          <w:szCs w:val="16"/>
        </w:rPr>
        <w:t>Reports on Progress in Physics</w:t>
      </w:r>
      <w:r w:rsidRPr="00BE14F9">
        <w:rPr>
          <w:rFonts w:ascii="Book Antiqua" w:hAnsi="Book Antiqua"/>
          <w:sz w:val="16"/>
          <w:szCs w:val="16"/>
        </w:rPr>
        <w:t xml:space="preserve">, </w:t>
      </w:r>
      <w:r w:rsidRPr="00BE14F9">
        <w:rPr>
          <w:rFonts w:ascii="Book Antiqua" w:hAnsi="Book Antiqua"/>
          <w:b/>
          <w:sz w:val="16"/>
          <w:szCs w:val="16"/>
        </w:rPr>
        <w:t>8</w:t>
      </w:r>
      <w:r w:rsidRPr="00BE14F9">
        <w:rPr>
          <w:rFonts w:ascii="Book Antiqua" w:hAnsi="Book Antiqua"/>
          <w:sz w:val="16"/>
          <w:szCs w:val="16"/>
        </w:rPr>
        <w:t xml:space="preserve"> (1941), p.90.</w:t>
      </w:r>
    </w:p>
    <w:p w:rsidR="00EE348C" w:rsidRPr="00BE14F9" w:rsidRDefault="00EE348C" w:rsidP="00EE348C">
      <w:pPr>
        <w:pStyle w:val="NoSpacing"/>
        <w:rPr>
          <w:rStyle w:val="citation"/>
          <w:rFonts w:ascii="Book Antiqua" w:hAnsi="Book Antiqua"/>
          <w:sz w:val="16"/>
          <w:szCs w:val="16"/>
        </w:rPr>
      </w:pPr>
      <w:r w:rsidRPr="00BE14F9">
        <w:rPr>
          <w:rFonts w:ascii="Book Antiqua" w:hAnsi="Book Antiqua"/>
          <w:sz w:val="16"/>
          <w:szCs w:val="16"/>
        </w:rPr>
        <w:t xml:space="preserve">[57] </w:t>
      </w:r>
      <w:r w:rsidRPr="00BE14F9">
        <w:rPr>
          <w:rStyle w:val="citation"/>
          <w:rFonts w:ascii="Book Antiqua" w:hAnsi="Book Antiqua"/>
          <w:sz w:val="16"/>
          <w:szCs w:val="16"/>
        </w:rPr>
        <w:t xml:space="preserve">P. A. M. Dirac, "The Cosmological Constants,” </w:t>
      </w:r>
      <w:r w:rsidRPr="00BE14F9">
        <w:rPr>
          <w:rStyle w:val="citation"/>
          <w:rFonts w:ascii="Book Antiqua" w:hAnsi="Book Antiqua"/>
          <w:i/>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139</w:t>
      </w:r>
      <w:r w:rsidRPr="00BE14F9">
        <w:rPr>
          <w:rStyle w:val="citation"/>
          <w:rFonts w:ascii="Book Antiqua" w:hAnsi="Book Antiqua"/>
          <w:sz w:val="16"/>
          <w:szCs w:val="16"/>
        </w:rPr>
        <w:t xml:space="preserve"> #3512: (1937), p. 323.</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[58] P. A. M. Dirac, "A New Basis for Cosmology,"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165</w:t>
      </w:r>
      <w:r w:rsidRPr="00BE14F9">
        <w:rPr>
          <w:rStyle w:val="citation"/>
          <w:rFonts w:ascii="Book Antiqua" w:hAnsi="Book Antiqua"/>
          <w:sz w:val="16"/>
          <w:szCs w:val="16"/>
        </w:rPr>
        <w:t xml:space="preserve"> #921: (1938), pp. 199–208.</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[59] </w:t>
      </w:r>
      <w:r w:rsidRPr="00BE14F9">
        <w:rPr>
          <w:rStyle w:val="z3988"/>
          <w:rFonts w:ascii="Book Antiqua" w:hAnsi="Book Antiqua"/>
          <w:vanish/>
          <w:sz w:val="16"/>
          <w:szCs w:val="16"/>
        </w:rPr>
        <w:t xml:space="preserve"> </w:t>
      </w:r>
      <w:r w:rsidRPr="00BE14F9">
        <w:rPr>
          <w:rStyle w:val="z3988"/>
          <w:rFonts w:ascii="Book Antiqua" w:hAnsi="Book Antiqua"/>
          <w:sz w:val="16"/>
          <w:szCs w:val="16"/>
        </w:rPr>
        <w:t xml:space="preserve">P. </w:t>
      </w:r>
      <w:r w:rsidRPr="00BE14F9">
        <w:rPr>
          <w:rStyle w:val="citation"/>
          <w:rFonts w:ascii="Book Antiqua" w:hAnsi="Book Antiqua"/>
          <w:sz w:val="16"/>
          <w:szCs w:val="16"/>
        </w:rPr>
        <w:t xml:space="preserve">A. M. Dirac, "Cosmological Models and the Large Numbers Hypothesis,”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338</w:t>
      </w:r>
      <w:r w:rsidRPr="00BE14F9">
        <w:rPr>
          <w:rStyle w:val="citation"/>
          <w:rFonts w:ascii="Book Antiqua" w:hAnsi="Book Antiqua"/>
          <w:sz w:val="16"/>
          <w:szCs w:val="16"/>
        </w:rPr>
        <w:t xml:space="preserve"> #1615: (1974), pp. 439–446.</w:t>
      </w:r>
    </w:p>
    <w:p w:rsidR="00EE348C" w:rsidRPr="00BE14F9" w:rsidRDefault="00EE348C" w:rsidP="00EE348C">
      <w:pPr>
        <w:pStyle w:val="NoSpacing"/>
        <w:rPr>
          <w:rFonts w:ascii="Book Antiqua" w:hAnsi="Book Antiqua"/>
          <w:sz w:val="16"/>
          <w:szCs w:val="16"/>
        </w:rPr>
      </w:pPr>
      <w:r w:rsidRPr="00BE14F9">
        <w:rPr>
          <w:rStyle w:val="citation"/>
          <w:rFonts w:ascii="Book Antiqua" w:hAnsi="Book Antiqua"/>
          <w:sz w:val="16"/>
          <w:szCs w:val="16"/>
        </w:rPr>
        <w:t xml:space="preserve">[60] R. H. Dicke, R. H. (1961). "Dirac's Cosmology and Mach's Principle," </w:t>
      </w:r>
      <w:r w:rsidRPr="00BE14F9">
        <w:rPr>
          <w:rStyle w:val="citation"/>
          <w:rFonts w:ascii="Book Antiqua" w:hAnsi="Book Antiqua"/>
          <w:i/>
          <w:iCs/>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192</w:t>
      </w:r>
      <w:r w:rsidRPr="00BE14F9">
        <w:rPr>
          <w:rStyle w:val="citation"/>
          <w:rFonts w:ascii="Book Antiqua" w:hAnsi="Book Antiqua"/>
          <w:sz w:val="16"/>
          <w:szCs w:val="16"/>
        </w:rPr>
        <w:t xml:space="preserve"> #4801: (1961), pp. 440–441.</w:t>
      </w:r>
      <w:r w:rsidRPr="00BE14F9">
        <w:rPr>
          <w:rStyle w:val="z3988"/>
          <w:rFonts w:ascii="Book Antiqua" w:hAnsi="Book Antiqua"/>
          <w:vanish/>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[61] T. Wilkie, “Time to Remeasure the Metre,” </w:t>
      </w:r>
      <w:r w:rsidRPr="00BE14F9">
        <w:rPr>
          <w:rFonts w:ascii="Book Antiqua" w:hAnsi="Book Antiqua"/>
          <w:i/>
          <w:sz w:val="16"/>
          <w:szCs w:val="16"/>
        </w:rPr>
        <w:t>New Scientist</w:t>
      </w:r>
      <w:r w:rsidRPr="00BE14F9">
        <w:rPr>
          <w:rFonts w:ascii="Book Antiqua" w:hAnsi="Book Antiqua"/>
          <w:sz w:val="16"/>
          <w:szCs w:val="16"/>
        </w:rPr>
        <w:t xml:space="preserve">, </w:t>
      </w:r>
      <w:r w:rsidRPr="00BE14F9">
        <w:rPr>
          <w:rFonts w:ascii="Book Antiqua" w:hAnsi="Book Antiqua"/>
          <w:b/>
          <w:sz w:val="16"/>
          <w:szCs w:val="16"/>
        </w:rPr>
        <w:t>100</w:t>
      </w:r>
      <w:r w:rsidRPr="00BE14F9">
        <w:rPr>
          <w:rFonts w:ascii="Book Antiqua" w:hAnsi="Book Antiqua"/>
          <w:sz w:val="16"/>
          <w:szCs w:val="16"/>
        </w:rPr>
        <w:t>, #1381, pp. 258-263, Oct. 27, 1983.</w:t>
      </w:r>
    </w:p>
    <w:p w:rsidR="00EE348C" w:rsidRPr="00BE14F9" w:rsidRDefault="00EE348C" w:rsidP="00EE348C">
      <w:pPr>
        <w:pStyle w:val="NoSpacing"/>
        <w:rPr>
          <w:rFonts w:ascii="Book Antiqua" w:hAnsi="Book Antiqua"/>
          <w:bCs/>
          <w:iCs/>
          <w:color w:val="000000"/>
          <w:sz w:val="16"/>
          <w:szCs w:val="16"/>
        </w:rPr>
      </w:pPr>
    </w:p>
    <w:p w:rsidR="00EE348C" w:rsidRPr="00BE14F9" w:rsidRDefault="00EE348C" w:rsidP="00EE348C">
      <w:pPr>
        <w:pStyle w:val="NoSpacing"/>
        <w:jc w:val="center"/>
        <w:rPr>
          <w:rFonts w:ascii="Book Antiqua" w:hAnsi="Book Antiqua" w:cs="Arial"/>
          <w:b/>
          <w:bCs/>
          <w:iCs/>
          <w:color w:val="000000"/>
          <w:sz w:val="28"/>
          <w:szCs w:val="28"/>
        </w:rPr>
      </w:pPr>
      <w:r w:rsidRPr="00BE14F9">
        <w:rPr>
          <w:rFonts w:ascii="Book Antiqua" w:hAnsi="Book Antiqua" w:cs="Arial"/>
          <w:b/>
          <w:bCs/>
          <w:iCs/>
          <w:color w:val="000000"/>
          <w:sz w:val="28"/>
          <w:szCs w:val="28"/>
        </w:rPr>
        <w:t>*  *  *  *  *  *  *</w:t>
      </w:r>
    </w:p>
    <w:p w:rsidR="008F4EE0" w:rsidRDefault="008F4EE0">
      <w:pPr>
        <w:widowControl/>
        <w:spacing w:after="200" w:line="276" w:lineRule="auto"/>
      </w:pPr>
      <w:r>
        <w:br w:type="page"/>
      </w:r>
    </w:p>
    <w:p w:rsidR="00821A88" w:rsidRPr="007F536A" w:rsidRDefault="00821A88" w:rsidP="00821A88">
      <w:pPr>
        <w:pStyle w:val="NoSpacing"/>
        <w:jc w:val="center"/>
        <w:rPr>
          <w:rFonts w:ascii="Book Antiqua" w:hAnsi="Book Antiqua"/>
          <w:b/>
          <w:bCs/>
          <w:iCs/>
          <w:color w:val="000000"/>
          <w:szCs w:val="24"/>
        </w:rPr>
      </w:pPr>
      <w:r w:rsidRPr="007F536A">
        <w:rPr>
          <w:rFonts w:ascii="Book Antiqua" w:hAnsi="Book Antiqua"/>
          <w:b/>
          <w:bCs/>
          <w:iCs/>
          <w:color w:val="000000"/>
          <w:szCs w:val="24"/>
        </w:rPr>
        <w:lastRenderedPageBreak/>
        <w:t xml:space="preserve">Chapter 3: </w:t>
      </w:r>
      <w:r w:rsidR="00FF3454" w:rsidRPr="00FF3454">
        <w:rPr>
          <w:rFonts w:ascii="Book Antiqua" w:hAnsi="Book Antiqua"/>
          <w:b/>
          <w:bCs/>
          <w:i/>
          <w:iCs/>
          <w:color w:val="000000"/>
          <w:szCs w:val="24"/>
        </w:rPr>
        <w:t xml:space="preserve">The </w:t>
      </w:r>
      <w:r w:rsidRPr="00FF3454">
        <w:rPr>
          <w:rFonts w:ascii="Book Antiqua" w:hAnsi="Book Antiqua"/>
          <w:b/>
          <w:bCs/>
          <w:i/>
          <w:iCs/>
          <w:color w:val="000000"/>
          <w:szCs w:val="24"/>
        </w:rPr>
        <w:t>Speed of Light Measurements</w:t>
      </w:r>
      <w:r w:rsidRPr="007F536A">
        <w:rPr>
          <w:rFonts w:ascii="Book Antiqua" w:hAnsi="Book Antiqua"/>
          <w:b/>
          <w:bCs/>
          <w:iCs/>
          <w:color w:val="000000"/>
          <w:szCs w:val="24"/>
        </w:rPr>
        <w:t>.</w:t>
      </w:r>
    </w:p>
    <w:p w:rsidR="00821A88" w:rsidRPr="007F536A" w:rsidRDefault="00821A88" w:rsidP="00821A88">
      <w:pPr>
        <w:pStyle w:val="NoSpacing"/>
        <w:rPr>
          <w:rFonts w:ascii="Book Antiqua" w:hAnsi="Book Antiqua"/>
          <w:b/>
          <w:bCs/>
          <w:iCs/>
          <w:color w:val="000000"/>
          <w:sz w:val="20"/>
          <w:u w:val="single"/>
        </w:rPr>
      </w:pPr>
    </w:p>
    <w:p w:rsidR="00821A88" w:rsidRPr="007F536A" w:rsidRDefault="00821A88" w:rsidP="00821A88">
      <w:pPr>
        <w:pStyle w:val="NoSpacing"/>
        <w:rPr>
          <w:rFonts w:ascii="Book Antiqua" w:hAnsi="Book Antiqua"/>
          <w:b/>
          <w:bCs/>
          <w:iCs/>
          <w:color w:val="000000"/>
          <w:sz w:val="20"/>
        </w:rPr>
      </w:pPr>
      <w:r w:rsidRPr="00F64A8E">
        <w:rPr>
          <w:rFonts w:ascii="Book Antiqua" w:hAnsi="Book Antiqua"/>
          <w:b/>
          <w:bCs/>
          <w:iCs/>
          <w:color w:val="000000"/>
          <w:sz w:val="20"/>
        </w:rPr>
        <w:t>Section One: Early Work on Light Speed</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0"/>
          <w:numId w:val="20"/>
        </w:numPr>
        <w:jc w:val="both"/>
        <w:rPr>
          <w:rStyle w:val="Strong"/>
          <w:rFonts w:ascii="Book Antiqua" w:hAnsi="Book Antiqua"/>
          <w:b w:val="0"/>
          <w:i/>
          <w:sz w:val="20"/>
        </w:rPr>
      </w:pPr>
      <w:bookmarkStart w:id="0" w:name="infinite"/>
      <w:bookmarkEnd w:id="0"/>
      <w:r w:rsidRPr="007F536A">
        <w:rPr>
          <w:rStyle w:val="Strong"/>
          <w:rFonts w:ascii="Book Antiqua" w:hAnsi="Book Antiqua"/>
          <w:b w:val="0"/>
          <w:i/>
          <w:sz w:val="20"/>
        </w:rPr>
        <w:t>1. An Infinite Speed of Light?</w:t>
      </w:r>
    </w:p>
    <w:p w:rsidR="00821A88" w:rsidRPr="007F536A" w:rsidRDefault="00821A88" w:rsidP="00821A88">
      <w:pPr>
        <w:pStyle w:val="NoSpacing"/>
        <w:rPr>
          <w:rStyle w:val="Strong"/>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many ages, men thought that light had no speed. It simply was. It was instantaneous. If speed was referred to, it was referred to as infinite. Greek philosophers generally followed Aristotle's belief that the speed of light was infinite. However, there were exceptions such as Empedocles of Acragas (c. 450 B.C.) who spoke of light, </w:t>
      </w:r>
      <w:r w:rsidRPr="007F536A">
        <w:rPr>
          <w:rFonts w:ascii="Book Antiqua" w:hAnsi="Book Antiqua"/>
          <w:i/>
          <w:sz w:val="20"/>
        </w:rPr>
        <w:t>"traveling or being at any given moment between the earth and its envelope, its movement being unobservable to us."</w:t>
      </w:r>
      <w:r w:rsidRPr="007F536A">
        <w:rPr>
          <w:rFonts w:ascii="Book Antiqua" w:hAnsi="Book Antiqua"/>
          <w:sz w:val="20"/>
        </w:rPr>
        <w:t xml:space="preserve">[1] Around 1000 A.D., the Moslem scientists Avicenna and Alhazen both believed in a finite speed for light [2].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Roger Bacon (1250 A.D.) and Francis Bacon (1600 A.D.) both accepted that the speed of light was finite though very rapid. The latter wrote</w:t>
      </w:r>
      <w:r w:rsidRPr="007F536A">
        <w:rPr>
          <w:rFonts w:ascii="Book Antiqua" w:hAnsi="Book Antiqua"/>
          <w:i/>
          <w:sz w:val="20"/>
        </w:rPr>
        <w:t xml:space="preserve">, "Even in sight, whereof the action is most rapid, it appears that there are required certain moments of time for its accomplishment...things which by reason of the velocity of their motion cannot be seen-as when a ball is discharged from a musket." </w:t>
      </w:r>
      <w:r w:rsidRPr="007F536A">
        <w:rPr>
          <w:rFonts w:ascii="Book Antiqua" w:hAnsi="Book Antiqua"/>
          <w:sz w:val="20"/>
        </w:rPr>
        <w:t>[3]</w:t>
      </w:r>
      <w:r w:rsidRPr="007F536A">
        <w:rPr>
          <w:rFonts w:ascii="Book Antiqua" w:hAnsi="Book Antiqua"/>
          <w:i/>
          <w:sz w:val="20"/>
        </w:rPr>
        <w:t xml:space="preserve"> </w:t>
      </w:r>
      <w:r w:rsidRPr="007F536A">
        <w:rPr>
          <w:rFonts w:ascii="Book Antiqua" w:hAnsi="Book Antiqua"/>
          <w:sz w:val="20"/>
        </w:rPr>
        <w:t>Nevertheless, in 1600 A.D., Kepler maintained the majority view that light speed was instantaneous, since space could offer no resistance to its motion [4].</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t xml:space="preserve"> </w:t>
      </w:r>
      <w:r w:rsidRPr="007F536A">
        <w:rPr>
          <w:rFonts w:ascii="Book Antiqua" w:hAnsi="Book Antiqua"/>
          <w:sz w:val="20"/>
        </w:rPr>
        <w:tab/>
        <w:t xml:space="preserve">It was Galileo in his </w:t>
      </w:r>
      <w:r w:rsidRPr="00F64A8E">
        <w:rPr>
          <w:rFonts w:ascii="Book Antiqua" w:hAnsi="Book Antiqua"/>
          <w:i/>
          <w:sz w:val="20"/>
        </w:rPr>
        <w:t>Discorsi</w:t>
      </w:r>
      <w:r w:rsidRPr="00F64A8E">
        <w:rPr>
          <w:rFonts w:ascii="Book Antiqua" w:hAnsi="Book Antiqua"/>
          <w:sz w:val="20"/>
        </w:rPr>
        <w:t>...,</w:t>
      </w:r>
      <w:r w:rsidRPr="007F536A">
        <w:rPr>
          <w:rFonts w:ascii="Book Antiqua" w:hAnsi="Book Antiqua"/>
          <w:sz w:val="20"/>
        </w:rPr>
        <w:t xml:space="preserve"> published in Leyden in 1638, who proposed that the question might be settled in true scientific fashion by an experiment over a number of miles using lanterns, telescopes, and shutters. The Accademia del Cimento of Florence reported in 1667 that such an experiment over a distance of one mile was tried</w:t>
      </w:r>
      <w:r w:rsidRPr="007F536A">
        <w:rPr>
          <w:rFonts w:ascii="Book Antiqua" w:hAnsi="Book Antiqua"/>
          <w:i/>
          <w:sz w:val="20"/>
        </w:rPr>
        <w:t xml:space="preserve">, "without any observable delay." </w:t>
      </w:r>
      <w:r w:rsidRPr="007F536A">
        <w:rPr>
          <w:rFonts w:ascii="Book Antiqua" w:hAnsi="Book Antiqua"/>
          <w:sz w:val="20"/>
        </w:rPr>
        <w:t>[5] However, after reporting the experimental results, Salviati, by analogy with the rapid spread of light from lightning, maintained that light velocity was fast but finite.</w:t>
      </w:r>
    </w:p>
    <w:p w:rsidR="00821A88" w:rsidRPr="007F536A" w:rsidRDefault="00821A88" w:rsidP="00821A88">
      <w:pPr>
        <w:pStyle w:val="NoSpacing"/>
        <w:jc w:val="both"/>
        <w:rPr>
          <w:rFonts w:ascii="Book Antiqua" w:hAnsi="Book Antiqua"/>
          <w:sz w:val="20"/>
        </w:rPr>
      </w:pPr>
    </w:p>
    <w:p w:rsidR="00821A88" w:rsidRPr="007F536A" w:rsidRDefault="00F64A8E" w:rsidP="00821A88">
      <w:pPr>
        <w:pStyle w:val="NoSpacing"/>
        <w:ind w:firstLine="720"/>
        <w:jc w:val="both"/>
        <w:rPr>
          <w:rFonts w:ascii="Book Antiqua" w:hAnsi="Book Antiqua"/>
          <w:sz w:val="20"/>
        </w:rPr>
      </w:pPr>
      <w:r>
        <w:rPr>
          <w:rFonts w:ascii="Book Antiqua" w:hAnsi="Book Antiqua"/>
          <w:sz w:val="20"/>
        </w:rPr>
        <w:t>At this time</w:t>
      </w:r>
      <w:r w:rsidR="00821A88" w:rsidRPr="007F536A">
        <w:rPr>
          <w:rFonts w:ascii="Book Antiqua" w:hAnsi="Book Antiqua"/>
          <w:sz w:val="20"/>
        </w:rPr>
        <w:t xml:space="preserve"> some things were coming together which would allow the speed of light to be measured. Galileo had discovered the first four satellites of the planet Jupiter in January of 1610 [6]. This would provide a source of measurement, as it was discovered later that the moons would eclipse behind Jupiter at regular intervals.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not until almost fifty years later, however, that a sufficiently accurate timing device was invented. In 1657, Huygens had invented a clock with a free-swinging pendulum, capable of counting seconds [7]. </w:t>
      </w:r>
      <w:r w:rsidR="00F64A8E">
        <w:rPr>
          <w:rFonts w:ascii="Book Antiqua" w:hAnsi="Book Antiqua"/>
          <w:sz w:val="20"/>
        </w:rPr>
        <w:t>In 1673 he improved in his earlier version</w:t>
      </w:r>
      <w:r w:rsidRPr="007F536A">
        <w:rPr>
          <w:rFonts w:ascii="Book Antiqua" w:hAnsi="Book Antiqua"/>
          <w:sz w:val="20"/>
        </w:rPr>
        <w:t xml:space="preserve"> [8].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Descartes (who died in 1650) strongly held to a belief in the instantaneous propagation of light and, accordingly, influenced the following generation of scientists.  </w:t>
      </w:r>
      <w:r w:rsidR="00F64A8E">
        <w:rPr>
          <w:rFonts w:ascii="Book Antiqua" w:hAnsi="Book Antiqua"/>
          <w:sz w:val="20"/>
        </w:rPr>
        <w:t>(</w:t>
      </w:r>
      <w:r w:rsidRPr="00F64A8E">
        <w:rPr>
          <w:rFonts w:ascii="Book Antiqua" w:hAnsi="Book Antiqua"/>
          <w:sz w:val="20"/>
        </w:rPr>
        <w:t>This, despite Ole Roemer’s 1675 experiments which showed light speed was not only finite but measureable.</w:t>
      </w:r>
      <w:r w:rsidR="00F64A8E">
        <w:rPr>
          <w:rFonts w:ascii="Book Antiqua" w:hAnsi="Book Antiqua"/>
          <w:sz w:val="20"/>
        </w:rPr>
        <w:t>)</w:t>
      </w:r>
      <w:r w:rsidRPr="007F536A">
        <w:rPr>
          <w:rFonts w:ascii="Book Antiqua" w:hAnsi="Book Antiqua"/>
          <w:sz w:val="20"/>
        </w:rPr>
        <w:t xml:space="preserve">  These scientists usually accepted Descartes arguments. He had pointed out that if light took, say, one hour to travel from earth to moon, we would be able to see the sun and at least part of the eclipsed moon simultaneously, as the moon would have started to move out of the umbra of  the earth’s shadow in one hour.  The straight line between sun, earth and moon which results in an eclipse would no longer be a straight line.  As it is, we never see the sun and the eclipsed moon simultaneously [9].  In 1678 Christiaan Huygens demolished Descartes' argument by pointing out, using Roemer's measurements, that light took (of the order of) seconds to get from moon to earth, maintaining both the co-linearity and a finite speed [9].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not until January 1, 1729, Bradley's independent confirmation ended the opposition to a finite value for the speed of light. Roemer's work, which had split the scientific community, was at last vindicated. After 53 years of struggle, science accepted the observational fact that light traveled at a finite speed. Since the early 20</w:t>
      </w:r>
      <w:r w:rsidRPr="007F536A">
        <w:rPr>
          <w:rFonts w:ascii="Book Antiqua" w:hAnsi="Book Antiqua"/>
          <w:sz w:val="20"/>
          <w:vertAlign w:val="superscript"/>
        </w:rPr>
        <w:t>th</w:t>
      </w:r>
      <w:r w:rsidRPr="007F536A">
        <w:rPr>
          <w:rFonts w:ascii="Book Antiqua" w:hAnsi="Book Antiqua"/>
          <w:sz w:val="20"/>
        </w:rPr>
        <w:t xml:space="preserve"> century, the proposition that light had a fixed speed became popular.  However evidence both before and after that time (much of which was discussed in peer-reviewed journals up until 1941) suggests that this assumption should be questioned.</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r>
      <w:r w:rsidRPr="007F536A">
        <w:rPr>
          <w:rFonts w:ascii="Book Antiqua" w:hAnsi="Book Antiqua"/>
          <w:sz w:val="20"/>
        </w:rPr>
        <w:tab/>
        <w:t xml:space="preserve">Scientifically speaking, the velocity of light, </w:t>
      </w:r>
      <m:oMath>
        <m:r>
          <w:rPr>
            <w:rFonts w:ascii="Cambria Math" w:hAnsi="Cambria Math"/>
            <w:sz w:val="20"/>
          </w:rPr>
          <m:t>c</m:t>
        </m:r>
      </m:oMath>
      <w:r w:rsidRPr="007F536A">
        <w:rPr>
          <w:rFonts w:ascii="Book Antiqua" w:hAnsi="Book Antiqua"/>
          <w:sz w:val="20"/>
        </w:rPr>
        <w:t xml:space="preserve">, is the highest known velocity in the physical universe. The present value has been fixed (by definition) since 1983 and declared to be an absolute constant at 299,792.458 kilometers per second. Almost everyone rounds this off to </w:t>
      </w:r>
      <m:oMath>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meters/second, or 186,000 miles/second. Electronics technicians often </w:t>
      </w:r>
      <w:r w:rsidRPr="007F536A">
        <w:rPr>
          <w:rFonts w:ascii="Book Antiqua" w:hAnsi="Book Antiqua"/>
          <w:sz w:val="20"/>
        </w:rPr>
        <w:lastRenderedPageBreak/>
        <w:t>prefer to remember the approximate speed of light as one foot per nanosecond in air or vacuum-the distance light travels in one-billionth of a second. In dielectric media the velocity of light (electromagnetic waves) is slower than in the vacuum of space.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sz w:val="20"/>
        </w:rPr>
      </w:pPr>
      <w:r w:rsidRPr="007F536A">
        <w:rPr>
          <w:rStyle w:val="Strong"/>
          <w:rFonts w:ascii="Book Antiqua" w:hAnsi="Book Antiqua"/>
          <w:b w:val="0"/>
          <w:sz w:val="20"/>
        </w:rPr>
        <w:t>Let us now start a detailed examination of the speed of light experiments themselves beginning with Ole Roemer.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1" w:name="Roemer"/>
      <w:bookmarkEnd w:id="1"/>
      <w:r w:rsidRPr="007F536A">
        <w:rPr>
          <w:rStyle w:val="Strong"/>
          <w:rFonts w:ascii="Book Antiqua" w:hAnsi="Book Antiqua"/>
          <w:b w:val="0"/>
          <w:i/>
          <w:sz w:val="20"/>
        </w:rPr>
        <w:t>1.2 Ole Christensen Rømer</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5406"/>
        <w:gridCol w:w="5196"/>
      </w:tblGrid>
      <w:tr w:rsidR="00821A88" w:rsidRPr="007F536A" w:rsidTr="00061E9B">
        <w:trPr>
          <w:trHeight w:val="3750"/>
          <w:jc w:val="center"/>
        </w:trPr>
        <w:tc>
          <w:tcPr>
            <w:tcW w:w="3221"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276600" cy="3705225"/>
                  <wp:effectExtent l="19050" t="0" r="0" b="0"/>
                  <wp:docPr id="2" name="Picture 1" descr="File:Ole Rømer (Coning painting).jpg"/>
                  <wp:cNvGraphicFramePr/>
                  <a:graphic xmlns:a="http://schemas.openxmlformats.org/drawingml/2006/main">
                    <a:graphicData uri="http://schemas.openxmlformats.org/drawingml/2006/picture">
                      <pic:pic xmlns:pic="http://schemas.openxmlformats.org/drawingml/2006/picture">
                        <pic:nvPicPr>
                          <pic:cNvPr id="4" name="Picture 3" descr="File:Ole Rømer (Coning painting).jpg"/>
                          <pic:cNvPicPr/>
                        </pic:nvPicPr>
                        <pic:blipFill>
                          <a:blip r:embed="rId81" cstate="print"/>
                          <a:srcRect/>
                          <a:stretch>
                            <a:fillRect/>
                          </a:stretch>
                        </pic:blipFill>
                        <pic:spPr bwMode="auto">
                          <a:xfrm>
                            <a:off x="0" y="0"/>
                            <a:ext cx="3276600" cy="3705225"/>
                          </a:xfrm>
                          <a:prstGeom prst="rect">
                            <a:avLst/>
                          </a:prstGeom>
                          <a:noFill/>
                          <a:ln w="9525">
                            <a:noFill/>
                            <a:miter lim="800000"/>
                            <a:headEnd/>
                            <a:tailEnd/>
                          </a:ln>
                        </pic:spPr>
                      </pic:pic>
                    </a:graphicData>
                  </a:graphic>
                </wp:inline>
              </w:drawing>
            </w:r>
          </w:p>
        </w:tc>
        <w:tc>
          <w:tcPr>
            <w:tcW w:w="3367"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143209" cy="3657600"/>
                  <wp:effectExtent l="19050" t="0" r="41" b="0"/>
                  <wp:docPr id="4" name="Picture 2" descr="File:Ole Rømer at work.jpg"/>
                  <wp:cNvGraphicFramePr/>
                  <a:graphic xmlns:a="http://schemas.openxmlformats.org/drawingml/2006/main">
                    <a:graphicData uri="http://schemas.openxmlformats.org/drawingml/2006/picture">
                      <pic:pic xmlns:pic="http://schemas.openxmlformats.org/drawingml/2006/picture">
                        <pic:nvPicPr>
                          <pic:cNvPr id="4" name="Picture 3" descr="File:Ole Rømer at work.jpg"/>
                          <pic:cNvPicPr/>
                        </pic:nvPicPr>
                        <pic:blipFill>
                          <a:blip r:embed="rId82" cstate="print"/>
                          <a:srcRect/>
                          <a:stretch>
                            <a:fillRect/>
                          </a:stretch>
                        </pic:blipFill>
                        <pic:spPr bwMode="auto">
                          <a:xfrm>
                            <a:off x="0" y="0"/>
                            <a:ext cx="3143209" cy="36576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41498D" w:rsidRDefault="00821A88" w:rsidP="00061E9B">
      <w:pPr>
        <w:pStyle w:val="NoSpacing"/>
        <w:jc w:val="center"/>
        <w:rPr>
          <w:rFonts w:ascii="Book Antiqua" w:hAnsi="Book Antiqua"/>
          <w:i/>
          <w:sz w:val="18"/>
          <w:szCs w:val="18"/>
        </w:rPr>
      </w:pPr>
      <w:r w:rsidRPr="0041498D">
        <w:rPr>
          <w:rFonts w:ascii="Book Antiqua" w:hAnsi="Book Antiqua"/>
          <w:b/>
          <w:i/>
          <w:sz w:val="18"/>
          <w:szCs w:val="18"/>
        </w:rPr>
        <w:t>Figure 1:</w:t>
      </w:r>
      <w:r w:rsidRPr="0041498D">
        <w:rPr>
          <w:rFonts w:ascii="Book Antiqua" w:hAnsi="Book Antiqua"/>
          <w:i/>
          <w:sz w:val="18"/>
          <w:szCs w:val="18"/>
        </w:rPr>
        <w:t xml:space="preserve"> Left - Ole Rømer 1644-1710. Painting by Jacob Coning about 1700. Right - Ole Rømer at work in his home observatory in Copenhagen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Ole Roemer, born in Denmark on September 25, 1644, had begun studies in mathematics and astronomy at Copenhagen University in 1662. Ten years later, in 1672, he was appointed to the newly constructed observatory in Paris. In 1675, he discovered that the epicycloid was the best shape for teeth in gears and communicated to Huygens that such gears would be advisable in his clocks</w:t>
      </w:r>
      <w:bookmarkStart w:id="2" w:name="_ednref4"/>
      <w:r w:rsidRPr="007F536A">
        <w:rPr>
          <w:rFonts w:ascii="Book Antiqua" w:hAnsi="Book Antiqua"/>
          <w:sz w:val="20"/>
        </w:rPr>
        <w:t xml:space="preserve"> [10</w:t>
      </w:r>
      <w:bookmarkEnd w:id="2"/>
      <w:r w:rsidRPr="007F536A">
        <w:rPr>
          <w:rFonts w:ascii="Book Antiqua" w:hAnsi="Book Antiqua"/>
          <w:sz w:val="20"/>
        </w:rPr>
        <w:t xml:space="preserve">]. This resulted in an improvement so significant that clocks of this caliber made the determination of longitude possible.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With such accurate clocks and the knowledge that Jupiter’s moons eclipsed regularly, it was possible for ships to use observations of Jupiter’s moons to get an absolute time, which allowed them to calculate their longitude.  The eclipses provided a regular astronomical phenomenon that was visible from both a standard observatory and the place whose longitude was to be determined. The Paris Observatory was chosen as the standard.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as the earth moved in its orbit around the sun, there was a realization that the times of the eclipses were progressively changing.  They were changing in a manner which seemed to depend on the distance of the earth from Jupiter.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Accurate tables were needed to predict these eclipse times, and to check if these suspected changes were real. Picard, then later Cassini and Roemer, made a series of observations so that the tables could be prepared. Cassini </w:t>
      </w:r>
      <w:r w:rsidRPr="007F536A">
        <w:rPr>
          <w:rFonts w:ascii="Book Antiqua" w:hAnsi="Book Antiqua"/>
          <w:sz w:val="20"/>
        </w:rPr>
        <w:lastRenderedPageBreak/>
        <w:t>published the first reliable times for these astronomical events</w:t>
      </w:r>
      <w:bookmarkStart w:id="3" w:name="_ednref5"/>
      <w:r w:rsidRPr="007F536A">
        <w:rPr>
          <w:rFonts w:ascii="Book Antiqua" w:hAnsi="Book Antiqua"/>
          <w:sz w:val="20"/>
        </w:rPr>
        <w:t xml:space="preserve"> [11</w:t>
      </w:r>
      <w:bookmarkEnd w:id="3"/>
      <w:r w:rsidRPr="007F536A">
        <w:rPr>
          <w:rFonts w:ascii="Book Antiqua" w:hAnsi="Book Antiqua"/>
          <w:sz w:val="20"/>
        </w:rPr>
        <w:t xml:space="preserve">]. Roemer collected more than seventy observations by Picard and himself of Jupiter’s inner moon, Io, from 1668 to 1677. Of these, half came from the period 1671-1673, when Jupiter was at the most distant point in its orbit and consequently moving the most slowly as seen from earth.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any given time, Jupiter’s moon Io would take approximately one day, 18 hours, and 28.5 minutes to complete one revolution around its giant parent planet. The times when it either went into eclipse behind Jupiter, or emerged from eclipse could thus be accurately predicted. The giant planet itself takes about </w:t>
      </w:r>
      <w:r w:rsidRPr="00F64A8E">
        <w:rPr>
          <w:rFonts w:ascii="Book Antiqua" w:hAnsi="Book Antiqua"/>
          <w:sz w:val="20"/>
        </w:rPr>
        <w:t xml:space="preserve">12 </w:t>
      </w:r>
      <w:r w:rsidR="00F64A8E">
        <w:rPr>
          <w:rFonts w:ascii="Book Antiqua" w:hAnsi="Book Antiqua"/>
          <w:sz w:val="20"/>
        </w:rPr>
        <w:t xml:space="preserve">Earth </w:t>
      </w:r>
      <w:r w:rsidRPr="00F64A8E">
        <w:rPr>
          <w:rFonts w:ascii="Book Antiqua" w:hAnsi="Book Antiqua"/>
          <w:sz w:val="20"/>
        </w:rPr>
        <w:t>years</w:t>
      </w:r>
      <w:r w:rsidRPr="007F536A">
        <w:rPr>
          <w:rFonts w:ascii="Book Antiqua" w:hAnsi="Book Antiqua"/>
          <w:sz w:val="20"/>
        </w:rPr>
        <w:t xml:space="preserve"> to go around the sun once.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course of these observations, Roemer noticed something: as the earth drew away from Jupiter, the eclipse times of Io fell further and further behind schedule. However, once the furthest point in our orbit was passed, and the earth began to approach Jupiter, the eclipse times began to catch up again.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 could the position of the earth in its orbit affect the time it took Io to go around Jupiter once and be eclipsed? It didn’t, said Roemer. What is happening is that the light carrying the information from the Jupiter-Io system is taking time to travel across the diameter of the earth’s orbit, so the eclipse information takes longer to get to the earth when it is at the furthest point in its orbit.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noProof/>
          <w:sz w:val="20"/>
        </w:rPr>
      </w:pPr>
      <w:r w:rsidRPr="007F536A">
        <w:rPr>
          <w:rFonts w:ascii="Book Antiqua" w:hAnsi="Book Antiqua"/>
          <w:noProof/>
          <w:sz w:val="20"/>
        </w:rPr>
        <w:drawing>
          <wp:inline distT="0" distB="0" distL="0" distR="0">
            <wp:extent cx="4838700" cy="3314240"/>
            <wp:effectExtent l="19050" t="0" r="0" b="0"/>
            <wp:docPr id="17" name="Picture 4" descr="http://www.olympusmicro.com/primer/lightandcolor/images/lightspeed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lympusmicro.com/primer/lightandcolor/images/lightspeedfigure3.jpg"/>
                    <pic:cNvPicPr>
                      <a:picLocks noChangeAspect="1" noChangeArrowheads="1"/>
                    </pic:cNvPicPr>
                  </pic:nvPicPr>
                  <pic:blipFill rotWithShape="1">
                    <a:blip r:embed="rId83" cstate="print">
                      <a:lum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6658" r="1190" b="9969"/>
                    <a:stretch/>
                  </pic:blipFill>
                  <pic:spPr bwMode="auto">
                    <a:xfrm>
                      <a:off x="0" y="0"/>
                      <a:ext cx="4840275" cy="331531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821A88" w:rsidRPr="0041498D" w:rsidRDefault="00821A88" w:rsidP="0041498D">
      <w:pPr>
        <w:pStyle w:val="NoSpacing"/>
        <w:rPr>
          <w:rFonts w:ascii="Book Antiqua" w:hAnsi="Book Antiqua"/>
          <w:i/>
          <w:sz w:val="20"/>
        </w:rPr>
      </w:pPr>
    </w:p>
    <w:p w:rsidR="00821A88" w:rsidRPr="0041498D" w:rsidRDefault="00821A88" w:rsidP="00061E9B">
      <w:pPr>
        <w:pStyle w:val="NoSpacing"/>
        <w:jc w:val="center"/>
        <w:rPr>
          <w:rFonts w:ascii="Book Antiqua" w:hAnsi="Book Antiqua"/>
          <w:i/>
          <w:sz w:val="18"/>
          <w:szCs w:val="18"/>
        </w:rPr>
      </w:pPr>
      <w:r w:rsidRPr="0041498D">
        <w:rPr>
          <w:rFonts w:ascii="Book Antiqua" w:hAnsi="Book Antiqua"/>
          <w:b/>
          <w:i/>
          <w:sz w:val="18"/>
          <w:szCs w:val="18"/>
        </w:rPr>
        <w:t>Figure 2:</w:t>
      </w:r>
      <w:r w:rsidRPr="0041498D">
        <w:rPr>
          <w:rFonts w:ascii="Book Antiqua" w:hAnsi="Book Antiqua"/>
          <w:i/>
          <w:sz w:val="18"/>
          <w:szCs w:val="18"/>
        </w:rPr>
        <w:t xml:space="preserve"> Roemer’s Drawing of Io’s Jupiter Eclipse.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was the discovery that Roemer announced to the Paris Academie des Sciences in September of 1676. He then predicted to them that the eclipse of Io that was due on November 9 of 1676 at 05 hours, </w:t>
      </w:r>
      <w:r w:rsidRPr="00F64A8E">
        <w:rPr>
          <w:rFonts w:ascii="Book Antiqua" w:hAnsi="Book Antiqua"/>
          <w:sz w:val="20"/>
        </w:rPr>
        <w:t>25</w:t>
      </w:r>
      <w:r w:rsidRPr="007F536A">
        <w:rPr>
          <w:rFonts w:ascii="Book Antiqua" w:hAnsi="Book Antiqua"/>
          <w:sz w:val="20"/>
        </w:rPr>
        <w:t xml:space="preserve"> minutes and 45 seconds would, in fact, be ten minutes late. They listened. They doubted. Then they watched.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On November 9, 1676, the eclipse was observed at the Observatoire Royale at precisely 05 hours, </w:t>
      </w:r>
      <w:r w:rsidRPr="00F64A8E">
        <w:rPr>
          <w:rFonts w:ascii="Book Antiqua" w:hAnsi="Book Antiqua"/>
          <w:sz w:val="20"/>
        </w:rPr>
        <w:t>35</w:t>
      </w:r>
      <w:r w:rsidRPr="007F536A">
        <w:rPr>
          <w:rFonts w:ascii="Book Antiqua" w:hAnsi="Book Antiqua"/>
          <w:sz w:val="20"/>
        </w:rPr>
        <w:t xml:space="preserve"> minutes, and 45 seconds, exactly as Roemer had predicted, evidently because of the time it took the light to travel across the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5188032" cy="4438650"/>
            <wp:effectExtent l="19050" t="0" r="0" b="0"/>
            <wp:docPr id="18" name="il_fi" descr="http://www.wikinoticia.com/images/espaciociencia.com/espaciociencia.com.wp-content.uploads.2010.11.image_thumb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ikinoticia.com/images/espaciociencia.com/espaciociencia.com.wp-content.uploads.2010.11.image_thumb18.png"/>
                    <pic:cNvPicPr>
                      <a:picLocks noChangeAspect="1" noChangeArrowheads="1"/>
                    </pic:cNvPicPr>
                  </pic:nvPicPr>
                  <pic:blipFill>
                    <a:blip r:embed="rId84" cstate="print"/>
                    <a:srcRect/>
                    <a:stretch>
                      <a:fillRect/>
                    </a:stretch>
                  </pic:blipFill>
                  <pic:spPr bwMode="auto">
                    <a:xfrm>
                      <a:off x="0" y="0"/>
                      <a:ext cx="5188032" cy="443865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41498D" w:rsidRDefault="00821A88" w:rsidP="00C1021A">
      <w:pPr>
        <w:pStyle w:val="NoSpacing"/>
        <w:jc w:val="center"/>
        <w:rPr>
          <w:rFonts w:ascii="Book Antiqua" w:hAnsi="Book Antiqua"/>
          <w:i/>
          <w:sz w:val="18"/>
          <w:szCs w:val="18"/>
        </w:rPr>
      </w:pPr>
      <w:r w:rsidRPr="0041498D">
        <w:rPr>
          <w:rFonts w:ascii="Book Antiqua" w:hAnsi="Book Antiqua"/>
          <w:b/>
          <w:i/>
          <w:sz w:val="18"/>
          <w:szCs w:val="18"/>
        </w:rPr>
        <w:t>Figure 3:</w:t>
      </w:r>
      <w:r w:rsidRPr="0041498D">
        <w:rPr>
          <w:rFonts w:ascii="Book Antiqua" w:hAnsi="Book Antiqua"/>
          <w:i/>
          <w:sz w:val="18"/>
          <w:szCs w:val="18"/>
        </w:rPr>
        <w:t xml:space="preserve"> Explanation of the light travel time across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be expected that, with the above information, Roemer would pronounce a definitive value for the speed of light (or </w:t>
      </w:r>
      <w:r w:rsidRPr="007F536A">
        <w:rPr>
          <w:rFonts w:ascii="Book Antiqua" w:hAnsi="Book Antiqua"/>
          <w:i/>
          <w:sz w:val="20"/>
        </w:rPr>
        <w:t>“</w:t>
      </w:r>
      <m:oMath>
        <m:r>
          <w:rPr>
            <w:rStyle w:val="Emphasis"/>
            <w:rFonts w:ascii="Cambria Math" w:hAnsi="Cambria Math"/>
            <w:sz w:val="20"/>
          </w:rPr>
          <m:t>c</m:t>
        </m:r>
      </m:oMath>
      <w:r w:rsidRPr="007F536A">
        <w:rPr>
          <w:rFonts w:ascii="Book Antiqua" w:hAnsi="Book Antiqua"/>
          <w:i/>
          <w:sz w:val="20"/>
        </w:rPr>
        <w:t>”</w:t>
      </w:r>
      <w:r w:rsidRPr="007F536A">
        <w:rPr>
          <w:rFonts w:ascii="Book Antiqua" w:hAnsi="Book Antiqua"/>
          <w:sz w:val="20"/>
        </w:rPr>
        <w:t xml:space="preserve">), but this was not his main purpose. His prime concern was to demonstrate that light was not transmitted instantaneously, but had instead a definite velocity, as evidenced by the observations. In this he eventually succeeded. The main factor that was unknown to Roemer, and that prevented accurate calculation of the speed of light was the radius of the earth’s orbit. Without that knowledge it was impossible to know exactly how far the light had traveled and therefore also impossible to determine its speed.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Today we know the radius of the earth’s orbit to be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w:t>
      </w:r>
      <w:bookmarkStart w:id="4" w:name="_ednref6"/>
      <w:r w:rsidRPr="007F536A">
        <w:rPr>
          <w:rFonts w:ascii="Book Antiqua" w:hAnsi="Book Antiqua"/>
          <w:sz w:val="20"/>
        </w:rPr>
        <w:t>[12</w:t>
      </w:r>
      <w:bookmarkEnd w:id="4"/>
      <w:r w:rsidRPr="007F536A">
        <w:rPr>
          <w:rFonts w:ascii="Book Antiqua" w:hAnsi="Book Antiqua"/>
          <w:sz w:val="20"/>
        </w:rPr>
        <w:t>] a value that is adopted in all the following calculations.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Due to the precision needed in the measuring devices, there would have been further problems for Roemer if he had tried to calculate the speed of light. First of all, though Huygenian clocks could count seconds, the metal in the pendulum rod was temperature sensitive. A rise of </w:t>
      </w:r>
      <m:oMath>
        <m:sSup>
          <m:sSupPr>
            <m:ctrlPr>
              <w:rPr>
                <w:rFonts w:ascii="Cambria Math" w:hAnsi="Book Antiqua"/>
                <w:i/>
                <w:sz w:val="20"/>
              </w:rPr>
            </m:ctrlPr>
          </m:sSupPr>
          <m:e>
            <m:r>
              <w:rPr>
                <w:rFonts w:ascii="Cambria Math" w:hAnsi="Book Antiqua"/>
                <w:sz w:val="20"/>
              </w:rPr>
              <m:t>5</m:t>
            </m:r>
          </m:e>
          <m:sup>
            <m:r>
              <w:rPr>
                <w:rFonts w:ascii="Cambria Math" w:hAnsi="Book Antiqua"/>
                <w:sz w:val="20"/>
              </w:rPr>
              <m:t>0</m:t>
            </m:r>
          </m:sup>
        </m:sSup>
      </m:oMath>
      <w:r w:rsidRPr="007F536A">
        <w:rPr>
          <w:rFonts w:ascii="Book Antiqua" w:hAnsi="Book Antiqua"/>
          <w:sz w:val="20"/>
        </w:rPr>
        <w:t xml:space="preserve"> C caused a loss of 2.5 seconds per day</w:t>
      </w:r>
      <w:bookmarkStart w:id="5" w:name="_ednref7"/>
      <w:r w:rsidRPr="007F536A">
        <w:rPr>
          <w:rFonts w:ascii="Book Antiqua" w:hAnsi="Book Antiqua"/>
          <w:sz w:val="20"/>
        </w:rPr>
        <w:t xml:space="preserve"> [13</w:t>
      </w:r>
      <w:bookmarkEnd w:id="5"/>
      <w:r w:rsidRPr="007F536A">
        <w:rPr>
          <w:rFonts w:ascii="Book Antiqua" w:hAnsi="Book Antiqua"/>
          <w:sz w:val="20"/>
        </w:rPr>
        <w:t xml:space="preserve">]. With temperature variation on a daily scale, it is possible that Roemer’s clocks were accurate only to five seconds. While this accuracy was quite sufficient to pick up a ten minute time difference in the observations, it was not until 1869, about 200 years later, that temperature effect was corrected for by making only evening transit timings for Jupiter’s moons. </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The other major problem Roemer would have faced had to do with human error in observation. Io is about 3632 kilometers in diameter, and it goes into or emerges from its total eclipse in a period of 3.5 minutes. During the time that it goes into eclipse, it becomes progressively fainter until the observer times the disappearance of the last speck of light from </w:t>
      </w:r>
      <w:r w:rsidRPr="007F536A">
        <w:rPr>
          <w:rFonts w:ascii="Book Antiqua" w:hAnsi="Book Antiqua"/>
          <w:sz w:val="20"/>
        </w:rPr>
        <w:lastRenderedPageBreak/>
        <w:t xml:space="preserve">the fast-fading satellite. When Io is emerging from Jupiter’s shadow, the first speck of light is timed. With a small telescope, this timing can be accurate </w:t>
      </w:r>
      <w:r w:rsidRPr="001633A4">
        <w:rPr>
          <w:rFonts w:ascii="Book Antiqua" w:hAnsi="Book Antiqua"/>
          <w:sz w:val="20"/>
        </w:rPr>
        <w:t>to within ten seconds,</w:t>
      </w:r>
      <w:bookmarkStart w:id="6" w:name="_ednref8"/>
      <w:r w:rsidRPr="001633A4">
        <w:rPr>
          <w:rFonts w:ascii="Book Antiqua" w:hAnsi="Book Antiqua"/>
          <w:sz w:val="20"/>
        </w:rPr>
        <w:t xml:space="preserve"> [14</w:t>
      </w:r>
      <w:bookmarkEnd w:id="6"/>
      <w:r w:rsidRPr="001633A4">
        <w:rPr>
          <w:rFonts w:ascii="Book Antiqua" w:hAnsi="Book Antiqua"/>
          <w:sz w:val="20"/>
        </w:rPr>
        <w:t>], which would</w:t>
      </w:r>
      <w:r w:rsidRPr="007F536A">
        <w:rPr>
          <w:rFonts w:ascii="Book Antiqua" w:hAnsi="Book Antiqua"/>
          <w:sz w:val="20"/>
        </w:rPr>
        <w:t xml:space="preserve"> approximate what Roemer achieved with his equipment. </w:t>
      </w:r>
    </w:p>
    <w:p w:rsidR="003D5E13" w:rsidRPr="007F536A" w:rsidRDefault="003D5E13"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Obviously, an exact timing of the moment of extinction of the disappearing Io is going to be easier than the exact timing of its re-emergence out of darkness. Consequently, it comes as no surprise that Roemer’s value for the period of Io in its orbit as timed by its emergence from Jupiter’s shadow varied from 8 seconds up to 29 seconds longer than the timing of its disappearance. The average variation was about 20.7 seconds. As the November 9 eclipse timing in 1676 was one of a re-emergence, it is inevitable that it would be timed late. Roemer’s period for Io’s orbit in November was 27 seco</w:t>
      </w:r>
      <w:bookmarkStart w:id="7" w:name="_ednref9"/>
      <w:r w:rsidRPr="007F536A">
        <w:rPr>
          <w:rFonts w:ascii="Book Antiqua" w:hAnsi="Book Antiqua"/>
          <w:sz w:val="20"/>
        </w:rPr>
        <w:t>nds longer than in June of 1676 [15</w:t>
      </w:r>
      <w:bookmarkEnd w:id="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8" w:name="Roemeranalysis"/>
      <w:bookmarkEnd w:id="8"/>
      <w:r w:rsidRPr="007F536A">
        <w:rPr>
          <w:rStyle w:val="Strong"/>
          <w:rFonts w:ascii="Book Antiqua" w:hAnsi="Book Antiqua"/>
          <w:b w:val="0"/>
          <w:i/>
          <w:sz w:val="20"/>
        </w:rPr>
        <w:t>Analysis of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Contrary to some misinformation, Roemer himself never calculated, or tried to calculate, the speed of light. A variety of values for the speed of light have been extracted from Roemer’s figures. They range from 193,120 km/s up to 327,000 km/s</w:t>
      </w:r>
      <w:bookmarkStart w:id="9" w:name="_ednref10"/>
      <w:r w:rsidRPr="007F536A">
        <w:rPr>
          <w:rFonts w:ascii="Book Antiqua" w:hAnsi="Book Antiqua"/>
          <w:sz w:val="20"/>
        </w:rPr>
        <w:t xml:space="preserve"> [16</w:t>
      </w:r>
      <w:bookmarkEnd w:id="9"/>
      <w:r w:rsidRPr="007F536A">
        <w:rPr>
          <w:rFonts w:ascii="Book Antiqua" w:hAnsi="Book Antiqua"/>
          <w:sz w:val="20"/>
        </w:rPr>
        <w:t>]. If we take Roemer’s delay as being the ten minutes that he quoted, less the 27 seconds due to the late emergence timing for November, less a further 5 seconds for the clock running fast in the cold November weather, we end up with a delay of the order of 568 seconds.</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1915, Danish mathematician K. Meyer rediscovered Roemer’s own observations in an original notebook. Meyer’s calculations show that “</w:t>
      </w:r>
      <w:r w:rsidRPr="007F536A">
        <w:rPr>
          <w:rStyle w:val="Emphasis"/>
          <w:rFonts w:ascii="Book Antiqua" w:hAnsi="Book Antiqua"/>
          <w:sz w:val="20"/>
        </w:rPr>
        <w:t>the increment in the distance from Jupiter to the earth between August 23 (the last eclipse of Roemer’s list before that of November 9, and the one on which it is probable he based his startling prediction) and November 9 of 1676 was 1.14 r</w:t>
      </w:r>
      <w:r w:rsidRPr="007F536A">
        <w:rPr>
          <w:rFonts w:ascii="Book Antiqua" w:hAnsi="Book Antiqua"/>
          <w:sz w:val="20"/>
        </w:rPr>
        <w:t xml:space="preserve">” where </w:t>
      </w:r>
      <w:r w:rsidRPr="007F536A">
        <w:rPr>
          <w:rStyle w:val="Emphasis"/>
          <w:rFonts w:ascii="Book Antiqua" w:hAnsi="Book Antiqua"/>
          <w:sz w:val="20"/>
        </w:rPr>
        <w:t>r</w:t>
      </w:r>
      <w:r w:rsidRPr="007F536A">
        <w:rPr>
          <w:rFonts w:ascii="Book Antiqua" w:hAnsi="Book Antiqua"/>
          <w:sz w:val="20"/>
        </w:rPr>
        <w:t xml:space="preserve"> is the radius of the earth’s orbit</w:t>
      </w:r>
      <w:bookmarkStart w:id="10" w:name="_ednref11"/>
      <w:r w:rsidRPr="007F536A">
        <w:rPr>
          <w:rFonts w:ascii="Book Antiqua" w:hAnsi="Book Antiqua"/>
          <w:sz w:val="20"/>
        </w:rPr>
        <w:t xml:space="preserve"> [17</w:t>
      </w:r>
      <w:bookmarkEnd w:id="10"/>
      <w:r w:rsidRPr="007F536A">
        <w:rPr>
          <w:rFonts w:ascii="Book Antiqua" w:hAnsi="Book Antiqua"/>
          <w:sz w:val="20"/>
        </w:rPr>
        <w:t>].</w:t>
      </w:r>
      <w:r w:rsidRPr="007F536A">
        <w:rPr>
          <w:rStyle w:val="Strong"/>
          <w:rFonts w:ascii="Book Antiqua" w:hAnsi="Book Antiqua"/>
          <w:sz w:val="20"/>
        </w:rPr>
        <w:t xml:space="preserve"> </w:t>
      </w:r>
      <w:r w:rsidRPr="007F536A">
        <w:rPr>
          <w:rFonts w:ascii="Book Antiqua" w:hAnsi="Book Antiqua"/>
          <w:sz w:val="20"/>
        </w:rPr>
        <w:t xml:space="preserve">We thus divide 568 seconds by 1.14, giving us 498.2 second for the delay across the radius of the earth’s orbit of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 This results in a value for</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of 300,280 km/s -- but this is little more than a ‘guesstimate’.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Roemer estimated the delay across the diameter of the earth’s orbit as about 22 minutes, a result that he obtained by averaging what he considered his best figures</w:t>
      </w:r>
      <w:bookmarkStart w:id="11" w:name="_ednref12"/>
      <w:r w:rsidRPr="007F536A">
        <w:rPr>
          <w:rFonts w:ascii="Book Antiqua" w:hAnsi="Book Antiqua"/>
          <w:sz w:val="20"/>
        </w:rPr>
        <w:t xml:space="preserve"> [18</w:t>
      </w:r>
      <w:bookmarkEnd w:id="11"/>
      <w:r w:rsidRPr="007F536A">
        <w:rPr>
          <w:rFonts w:ascii="Book Antiqua" w:hAnsi="Book Antiqua"/>
          <w:sz w:val="20"/>
        </w:rPr>
        <w:t>]. In 1686, in his first edition of “Principia”, Newton quoted the radius delay discovered by Roemer as ten minutes, [19] but in his own revision in the second edition, he quotes it as seven or eight minutes [20]. By contrast, in 1693 Cassini, from his own observations, gave the delay for the orbit radius as 7 minutes and 5 seconds</w:t>
      </w:r>
      <w:bookmarkStart w:id="12" w:name="_ednref13"/>
      <w:r w:rsidRPr="007F536A">
        <w:rPr>
          <w:rFonts w:ascii="Book Antiqua" w:hAnsi="Book Antiqua"/>
          <w:sz w:val="20"/>
        </w:rPr>
        <w:t xml:space="preserve"> [21</w:t>
      </w:r>
      <w:bookmarkEnd w:id="12"/>
      <w:r w:rsidRPr="007F536A">
        <w:rPr>
          <w:rFonts w:ascii="Book Antiqua" w:hAnsi="Book Antiqua"/>
          <w:sz w:val="20"/>
        </w:rPr>
        <w:t>]. Halley noted that Roemer’s figure of 11 minutes for the time delay across the radius was too large, while that of Cassini was too small</w:t>
      </w:r>
      <w:bookmarkStart w:id="13" w:name="_ednref14"/>
      <w:r w:rsidRPr="007F536A">
        <w:rPr>
          <w:rFonts w:ascii="Book Antiqua" w:hAnsi="Book Antiqua"/>
          <w:sz w:val="20"/>
        </w:rPr>
        <w:t xml:space="preserve"> [22</w:t>
      </w:r>
      <w:bookmarkEnd w:id="13"/>
      <w:r w:rsidRPr="007F536A">
        <w:rPr>
          <w:rFonts w:ascii="Book Antiqua" w:hAnsi="Book Antiqua"/>
          <w:sz w:val="20"/>
        </w:rPr>
        <w:t xml:space="preserve">]. Cassini agreed about the delay but debated its cause. Newton noted the orbit radius delay in 1704 in these words: </w:t>
      </w:r>
      <w:r w:rsidRPr="007F536A">
        <w:rPr>
          <w:rStyle w:val="Emphasis"/>
          <w:rFonts w:ascii="Book Antiqua" w:hAnsi="Book Antiqua"/>
          <w:sz w:val="20"/>
        </w:rPr>
        <w:t>“Light is propagated from luminous bodies in time, and spends about seven or eight minutes of an hour in passing from the sun to the Earth.”</w:t>
      </w:r>
      <w:bookmarkStart w:id="14" w:name="_ednref15"/>
      <w:r w:rsidRPr="007F536A">
        <w:rPr>
          <w:rStyle w:val="Emphasis"/>
          <w:rFonts w:ascii="Book Antiqua" w:hAnsi="Book Antiqua"/>
          <w:i w:val="0"/>
          <w:sz w:val="20"/>
        </w:rPr>
        <w:t>[23</w:t>
      </w:r>
      <w:bookmarkEnd w:id="14"/>
      <w:r w:rsidRPr="007F536A">
        <w:rPr>
          <w:rStyle w:val="Emphasis"/>
          <w:rFonts w:ascii="Book Antiqua" w:hAnsi="Book Antiqua"/>
          <w:i w:val="0"/>
          <w:sz w:val="20"/>
        </w:rPr>
        <w:t>]</w:t>
      </w:r>
      <w:r w:rsidRPr="007F536A">
        <w:rPr>
          <w:rFonts w:ascii="Book Antiqua" w:hAnsi="Book Antiqua"/>
          <w:i/>
          <w:sz w:val="20"/>
        </w:rPr>
        <w:t xml:space="preserve"> </w:t>
      </w:r>
      <w:r w:rsidRPr="007F536A">
        <w:rPr>
          <w:rFonts w:ascii="Book Antiqua" w:hAnsi="Book Antiqua"/>
          <w:sz w:val="20"/>
        </w:rPr>
        <w:t xml:space="preserve">In May of 1706, a translation of sections of Newton’s </w:t>
      </w:r>
      <w:r w:rsidRPr="007F536A">
        <w:rPr>
          <w:rFonts w:ascii="Book Antiqua" w:hAnsi="Book Antiqua"/>
          <w:i/>
          <w:sz w:val="20"/>
        </w:rPr>
        <w:t>“Opticks”</w:t>
      </w:r>
      <w:r w:rsidRPr="007F536A">
        <w:rPr>
          <w:rFonts w:ascii="Book Antiqua" w:hAnsi="Book Antiqua"/>
          <w:sz w:val="20"/>
        </w:rPr>
        <w:t xml:space="preserve"> appeared in French quoting the figure as eight minutes</w:t>
      </w:r>
      <w:bookmarkStart w:id="15" w:name="_ednref18"/>
      <w:r w:rsidRPr="007F536A">
        <w:rPr>
          <w:rFonts w:ascii="Book Antiqua" w:hAnsi="Book Antiqua"/>
          <w:sz w:val="20"/>
        </w:rPr>
        <w:t xml:space="preserve"> [24</w:t>
      </w:r>
      <w:bookmarkEnd w:id="15"/>
      <w:r w:rsidRPr="007F536A">
        <w:rPr>
          <w:rFonts w:ascii="Book Antiqua" w:hAnsi="Book Antiqua"/>
          <w:sz w:val="20"/>
        </w:rPr>
        <w:t>]. This gives a speed of light equal to 311,660 km/s.</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describing Roemer’s method in the section on Astronomy in the Encyclopedia Britannica for 1711, the conclusion is presented from the latest observations that “</w:t>
      </w:r>
      <w:r w:rsidRPr="007F536A">
        <w:rPr>
          <w:rStyle w:val="Emphasis"/>
          <w:rFonts w:ascii="Book Antiqua" w:hAnsi="Book Antiqua"/>
          <w:sz w:val="20"/>
        </w:rPr>
        <w:t>it is undeniably certain that the motion of light is not instantaneous since it takes about 16.5 minutes of time to go through a space equal to the diameter of the earth’s orbit…And…it must be 8.25 minutes coming from the sun to us.</w:t>
      </w:r>
      <w:r w:rsidRPr="007F536A">
        <w:rPr>
          <w:rFonts w:ascii="Book Antiqua" w:hAnsi="Book Antiqua"/>
          <w:sz w:val="20"/>
        </w:rPr>
        <w:t>”</w:t>
      </w:r>
      <w:bookmarkStart w:id="16" w:name="_ednref19"/>
      <w:r w:rsidRPr="007F536A">
        <w:rPr>
          <w:rFonts w:ascii="Book Antiqua" w:hAnsi="Book Antiqua"/>
          <w:sz w:val="20"/>
        </w:rPr>
        <w:t>[25</w:t>
      </w:r>
      <w:bookmarkEnd w:id="16"/>
      <w:r w:rsidRPr="007F536A">
        <w:rPr>
          <w:rFonts w:ascii="Book Antiqua" w:hAnsi="Book Antiqua"/>
          <w:sz w:val="20"/>
        </w:rPr>
        <w:t xml:space="preserve">] This then gives a 1710 value of </w:t>
      </w:r>
      <m:oMath>
        <m:r>
          <w:rPr>
            <w:rStyle w:val="Emphasis"/>
            <w:rFonts w:ascii="Cambria Math" w:hAnsi="Cambria Math"/>
            <w:sz w:val="20"/>
          </w:rPr>
          <m:t>c</m:t>
        </m:r>
      </m:oMath>
      <w:r w:rsidRPr="007F536A">
        <w:rPr>
          <w:rFonts w:ascii="Book Antiqua" w:hAnsi="Book Antiqua"/>
          <w:sz w:val="20"/>
        </w:rPr>
        <w:t xml:space="preserve"> of 302,220 km/s.</w:t>
      </w:r>
    </w:p>
    <w:p w:rsidR="00A02F8C" w:rsidRPr="007F536A" w:rsidRDefault="00A02F8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Apart from Roemer’s statement about the 11 minutes, it seems that Cassini, Halley, Flamstead, and Newton quote figures that suggest that the speed of light prior to 1700 may have been higher than now. The orbit delay quoted in the Encyclopedia Britannica tends to confirm this, as does Bradley’s later comment about his own method. Roemer’s statement thus leaves an element of ambiguity that is in contrast with the other observers of his day. This suggests that a closer examination of Roemer’s figures is needed.</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By 1729, Bradley had published his findings on the aberration of light and wrote that “…</w:t>
      </w:r>
      <w:r w:rsidRPr="007F536A">
        <w:rPr>
          <w:rStyle w:val="Emphasis"/>
          <w:rFonts w:ascii="Book Antiqua" w:hAnsi="Book Antiqua"/>
          <w:sz w:val="20"/>
        </w:rPr>
        <w:t>from when it would follow, that Light moves, or is propagated as far as from the Sun to the Earth in 8 minutes 12 seconds</w:t>
      </w:r>
      <w:r w:rsidRPr="007F536A">
        <w:rPr>
          <w:rFonts w:ascii="Book Antiqua" w:hAnsi="Book Antiqua"/>
          <w:sz w:val="20"/>
        </w:rPr>
        <w:t xml:space="preserve">…”. This gives the result that </w:t>
      </w:r>
      <m:oMath>
        <m:r>
          <w:rPr>
            <w:rStyle w:val="Emphasis"/>
            <w:rFonts w:ascii="Cambria Math" w:hAnsi="Cambria Math"/>
            <w:sz w:val="20"/>
          </w:rPr>
          <m:t>c</m:t>
        </m:r>
      </m:oMath>
      <w:r w:rsidRPr="007F536A">
        <w:rPr>
          <w:rFonts w:ascii="Book Antiqua" w:hAnsi="Book Antiqua"/>
          <w:sz w:val="20"/>
        </w:rPr>
        <w:t xml:space="preserve"> was equal to 304,060 ± 310 km/s. Bradley then commented that his result was “…</w:t>
      </w:r>
      <w:r w:rsidRPr="007F536A">
        <w:rPr>
          <w:rStyle w:val="Emphasis"/>
          <w:rFonts w:ascii="Book Antiqua" w:hAnsi="Book Antiqua"/>
          <w:sz w:val="20"/>
        </w:rPr>
        <w:t>as it were a Mean betwixt what had at different times been determined from the Eclipses of Jupiter’s satellites</w:t>
      </w:r>
      <w:r w:rsidRPr="007F536A">
        <w:rPr>
          <w:rFonts w:ascii="Book Antiqua" w:hAnsi="Book Antiqua"/>
          <w:sz w:val="20"/>
        </w:rPr>
        <w:t>.”</w:t>
      </w:r>
      <w:bookmarkStart w:id="17" w:name="_ednref20"/>
      <w:r w:rsidRPr="007F536A">
        <w:rPr>
          <w:rFonts w:ascii="Book Antiqua" w:hAnsi="Book Antiqua"/>
          <w:sz w:val="20"/>
        </w:rPr>
        <w:t>[26</w:t>
      </w:r>
      <w:bookmarkEnd w:id="17"/>
      <w:r w:rsidRPr="007F536A">
        <w:rPr>
          <w:rFonts w:ascii="Book Antiqua" w:hAnsi="Book Antiqua"/>
          <w:sz w:val="20"/>
        </w:rPr>
        <w:t>]</w:t>
      </w:r>
    </w:p>
    <w:p w:rsidR="00FF4BDC" w:rsidRPr="007F536A" w:rsidRDefault="00FF4BDC"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0"/>
        </w:numPr>
        <w:jc w:val="both"/>
        <w:rPr>
          <w:rFonts w:ascii="Book Antiqua" w:hAnsi="Book Antiqua"/>
          <w:b/>
          <w:i/>
          <w:sz w:val="20"/>
        </w:rPr>
      </w:pPr>
      <w:bookmarkStart w:id="18" w:name="Roemermodern"/>
      <w:bookmarkEnd w:id="18"/>
      <w:r w:rsidRPr="007F536A">
        <w:rPr>
          <w:rStyle w:val="Strong"/>
          <w:rFonts w:ascii="Book Antiqua" w:hAnsi="Book Antiqua"/>
          <w:b w:val="0"/>
          <w:i/>
          <w:sz w:val="20"/>
        </w:rPr>
        <w:t>A Modern Look at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1973, an attempt was made by Goldstein et al. to reanalyze 40 of Roemer’s original observations to come to some definite conclusions. What Goldstein and his team did was to adopt a model for the Jupiter-Io system and calculate the eclipse times for any given position of the earth. They chose the forty most reliable eclipse times from Roemer’s diary which were then compared with times from their model. They concluded that “</w:t>
      </w:r>
      <w:r w:rsidRPr="007F536A">
        <w:rPr>
          <w:rStyle w:val="Emphasis"/>
          <w:rFonts w:ascii="Book Antiqua" w:hAnsi="Book Antiqua"/>
          <w:sz w:val="20"/>
        </w:rPr>
        <w:t>The best fitting value for the light travel time across one astronomical unit [the radius of the earth’s orbit] does not differ from the currently accepted value by one part in 200</w:t>
      </w:r>
      <w:r w:rsidRPr="007F536A">
        <w:rPr>
          <w:rFonts w:ascii="Book Antiqua" w:hAnsi="Book Antiqua"/>
          <w:sz w:val="20"/>
        </w:rPr>
        <w:t>.” Their final statement was that “</w:t>
      </w:r>
      <w:r w:rsidRPr="007F536A">
        <w:rPr>
          <w:rStyle w:val="Emphasis"/>
          <w:rFonts w:ascii="Book Antiqua" w:hAnsi="Book Antiqua"/>
          <w:sz w:val="20"/>
        </w:rPr>
        <w:t>the velocity of light did not differ by 0.5% in 1668 to 1678 from the current value</w:t>
      </w:r>
      <w:r w:rsidRPr="007F536A">
        <w:rPr>
          <w:rFonts w:ascii="Book Antiqua" w:hAnsi="Book Antiqua"/>
          <w:sz w:val="20"/>
        </w:rPr>
        <w:t>.”</w:t>
      </w:r>
      <w:bookmarkStart w:id="19" w:name="_ednref21"/>
      <w:r w:rsidRPr="007F536A">
        <w:rPr>
          <w:rFonts w:ascii="Book Antiqua" w:hAnsi="Book Antiqua"/>
          <w:sz w:val="20"/>
        </w:rPr>
        <w:t>[27</w:t>
      </w:r>
      <w:bookmarkEnd w:id="19"/>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apparently negates the idea of any variation in </w:t>
      </w:r>
      <m:oMath>
        <m:r>
          <w:rPr>
            <w:rStyle w:val="Emphasis"/>
            <w:rFonts w:ascii="Cambria Math" w:hAnsi="Cambria Math"/>
            <w:sz w:val="20"/>
          </w:rPr>
          <m:t>c</m:t>
        </m:r>
      </m:oMath>
      <w:r w:rsidRPr="007F536A">
        <w:rPr>
          <w:rFonts w:ascii="Book Antiqua" w:hAnsi="Book Antiqua"/>
          <w:sz w:val="20"/>
        </w:rPr>
        <w:t xml:space="preserve">. However, an immediate problem with the analysis surfaces when we look at what was done in 1973. As Goldstein and his co-workers point out, their method results in what is known as a “root mean square” (rms) deviation of observed times of 118 seconds when compared with the model. In other words, the predicted times from their model disagreed with Roemer’s observations by an average of almost two minutes! The claim that </w:t>
      </w:r>
      <m:oMath>
        <m:r>
          <w:rPr>
            <w:rStyle w:val="Emphasis"/>
            <w:rFonts w:ascii="Cambria Math" w:hAnsi="Cambria Math"/>
            <w:sz w:val="20"/>
          </w:rPr>
          <m:t>c</m:t>
        </m:r>
      </m:oMath>
      <w:r w:rsidRPr="007F536A">
        <w:rPr>
          <w:rStyle w:val="Emphasis"/>
          <w:rFonts w:ascii="Book Antiqua" w:hAnsi="Book Antiqua"/>
          <w:sz w:val="20"/>
        </w:rPr>
        <w:t xml:space="preserve"> </w:t>
      </w:r>
      <w:r w:rsidRPr="007F536A">
        <w:rPr>
          <w:rFonts w:ascii="Book Antiqua" w:hAnsi="Book Antiqua"/>
          <w:sz w:val="20"/>
        </w:rPr>
        <w:t xml:space="preserve">did not differ by 0.5% about 1675 is therefore meaningless. An rms error of 118 seconds in about 1000 seconds for the observed delay across the diameter of the earth’s orbit is an 11.8% error, which is equivalent to ± 35,000 km/s in the value of </w:t>
      </w:r>
      <m:oMath>
        <m:r>
          <w:rPr>
            <w:rStyle w:val="Emphasis"/>
            <w:rFonts w:ascii="Cambria Math" w:hAnsi="Cambria Math"/>
            <w:sz w:val="20"/>
          </w:rPr>
          <m:t>c</m:t>
        </m:r>
      </m:oMath>
      <w:r w:rsidRPr="007F536A">
        <w:rPr>
          <w:rFonts w:ascii="Book Antiqua" w:hAnsi="Book Antiqua"/>
          <w:sz w:val="20"/>
        </w:rPr>
        <w:t>. An 11.8% error margin is literally unheard of in statistical analyses.  Of course any suggested variation in</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is very liberally covered by this error margin!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Mammel noted another, ev</w:t>
      </w:r>
      <w:bookmarkStart w:id="20" w:name="_ednref22"/>
      <w:r w:rsidRPr="007F536A">
        <w:rPr>
          <w:rFonts w:ascii="Book Antiqua" w:hAnsi="Book Antiqua"/>
          <w:sz w:val="20"/>
        </w:rPr>
        <w:t>en more interesting, difficulty [28</w:t>
      </w:r>
      <w:bookmarkEnd w:id="20"/>
      <w:r w:rsidRPr="007F536A">
        <w:rPr>
          <w:rFonts w:ascii="Book Antiqua" w:hAnsi="Book Antiqua"/>
          <w:sz w:val="20"/>
        </w:rPr>
        <w:t xml:space="preserve">]. In 1973, the actual visible phase of Io was not projected back over a period of 300 years to get the exact times of eclipses from the model. To do this would have involved knowing the orbital period of the satellite to an accuracy of better than one part per billion. So instead, Golstein et al. calculated via an adjustment made on what was seen now, or the empirical initial point. To get this initial point they used the current value of the speed of light to adjust the average time of observation to get the best agreement with the average predicted time. Consequently, their answer gave them back the same value of </w:t>
      </w:r>
      <m:oMath>
        <m:r>
          <w:rPr>
            <w:rStyle w:val="Emphasis"/>
            <w:rFonts w:ascii="Cambria Math" w:hAnsi="Cambria Math"/>
            <w:sz w:val="20"/>
          </w:rPr>
          <m:t>c</m:t>
        </m:r>
      </m:oMath>
      <w:r w:rsidRPr="007F536A">
        <w:rPr>
          <w:rFonts w:ascii="Book Antiqua" w:hAnsi="Book Antiqua"/>
          <w:sz w:val="20"/>
        </w:rPr>
        <w:t xml:space="preserve"> that they started with! Instead they should have been adjusting </w:t>
      </w:r>
      <m:oMath>
        <m:r>
          <w:rPr>
            <w:rStyle w:val="Emphasis"/>
            <w:rFonts w:ascii="Cambria Math" w:hAnsi="Cambria Math"/>
            <w:sz w:val="20"/>
          </w:rPr>
          <m:t>c</m:t>
        </m:r>
      </m:oMath>
      <w:r w:rsidRPr="007F536A">
        <w:rPr>
          <w:rFonts w:ascii="Book Antiqua" w:hAnsi="Book Antiqua"/>
          <w:sz w:val="20"/>
        </w:rPr>
        <w:t xml:space="preserve"> to account for the variation in the apparent period of Io. In other words, because they started with an assumption that the speed of light was constant, their conclusions included that assumption.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pointing out this problem, Lew Mammel Jr. went on to correct the conceptual error and do his own calculation from the data used by Goldstein et al. As he is not a supporter of any variation in the speed of light, his results are the more interesting. He found that he had to subtract 6% of the nominal delay time for each datum to get the best fit. The predicted delay times were therefore being reduced by 6%, meaning that the value of </w:t>
      </w:r>
      <m:oMath>
        <m:r>
          <w:rPr>
            <w:rStyle w:val="Emphasis"/>
            <w:rFonts w:ascii="Cambria Math" w:hAnsi="Cambria Math"/>
            <w:sz w:val="20"/>
          </w:rPr>
          <m:t>c</m:t>
        </m:r>
      </m:oMath>
      <w:r w:rsidRPr="007F536A">
        <w:rPr>
          <w:rFonts w:ascii="Book Antiqua" w:hAnsi="Book Antiqua"/>
          <w:sz w:val="20"/>
        </w:rPr>
        <w:t xml:space="preserve"> was 6% higher than now. This places Roemer’s value for the speed of light at 317,700 km/s, with an expected error of 8.6%. The conclusion is that when Roemer’s data is re-worked by the current Goldstein method, it suggests that </w:t>
      </w:r>
      <m:oMath>
        <m:r>
          <w:rPr>
            <w:rStyle w:val="Emphasis"/>
            <w:rFonts w:ascii="Cambria Math" w:hAnsi="Cambria Math"/>
            <w:sz w:val="20"/>
          </w:rPr>
          <m:t>c</m:t>
        </m:r>
        <m:r>
          <m:rPr>
            <m:sty m:val="p"/>
          </m:rPr>
          <w:rPr>
            <w:rFonts w:ascii="Cambria Math" w:hAnsi="Book Antiqua"/>
            <w:sz w:val="20"/>
          </w:rPr>
          <m:t xml:space="preserve"> </m:t>
        </m:r>
      </m:oMath>
      <w:r w:rsidRPr="007F536A">
        <w:rPr>
          <w:rFonts w:ascii="Book Antiqua" w:hAnsi="Book Antiqua"/>
          <w:sz w:val="20"/>
        </w:rPr>
        <w:t>was somewhat above its current value, in good accord with the statements by Cassini, Halley, Flamstead and Newton, who were contemporary observers with Roemer.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also be noted here that since about 1995 or so, observations of Io, the moon that was used for the Roemer data, has shown that its orbit is continually evolving. Part of the problem is that Io lies well within the magnetosphere of Jupiter and is magnetically coupled to this giant planet. In June 2002, A. Bhardwaj and M. Michael wrote the following [29]: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i/>
          <w:sz w:val="20"/>
        </w:rPr>
      </w:pPr>
      <w:r w:rsidRPr="007F536A">
        <w:rPr>
          <w:rFonts w:ascii="Book Antiqua" w:hAnsi="Book Antiqua"/>
          <w:i/>
          <w:sz w:val="20"/>
        </w:rPr>
        <w:t xml:space="preserve"> “Io and Jupiter constitute a moon-planet system that is unique in our solar system. Io is the most volcanically active planetary body, while Jupiter is the first among the planets in terms of size, mass, magnetic field strength, spin rate and volume of the magnetosphere. That Io is electrodynamically linked to Jupiter is known for nearly four decades from radio emissions. Io influences Jupiter by supplying heavy ions to its magnetosphere, which dominates it energetic and dynamics. Jupiter influences Io by tidally heating its interior, which in turn drives the volcanic activity on Io….The interaction of magnetospheric particles with the Io’s atmosphere and surface causes sputtering and the sputtered ions …[become] the Io plasma torus….Recent Galileo [spacecraft] instruments detected strongly perturbed fields, beams of energetic electrons and ions, and a dense, cold decelerated plasma flow in Io’s wake.</w:t>
      </w:r>
      <w:r w:rsidRPr="007F536A">
        <w:rPr>
          <w:rFonts w:ascii="Book Antiqua" w:hAnsi="Book Antiqua"/>
          <w:sz w:val="20"/>
        </w:rPr>
        <w:t xml:space="preserve"> …</w:t>
      </w:r>
      <w:r w:rsidRPr="007F536A">
        <w:rPr>
          <w:rFonts w:ascii="Book Antiqua" w:hAnsi="Book Antiqua"/>
          <w:color w:val="FF0000"/>
          <w:sz w:val="20"/>
        </w:rPr>
        <w:t xml:space="preserve"> </w:t>
      </w:r>
      <w:r w:rsidRPr="007F536A">
        <w:rPr>
          <w:rFonts w:ascii="Book Antiqua" w:hAnsi="Book Antiqua"/>
          <w:i/>
          <w:sz w:val="20"/>
        </w:rPr>
        <w:t xml:space="preserve">An analogy of the Io-Jupiter system is now being applied to astrophysical and cosmic objects. A conducting body traversing </w:t>
      </w:r>
      <w:r w:rsidRPr="007F536A">
        <w:rPr>
          <w:rFonts w:ascii="Book Antiqua" w:hAnsi="Book Antiqua"/>
          <w:i/>
          <w:sz w:val="20"/>
        </w:rPr>
        <w:lastRenderedPageBreak/>
        <w:t xml:space="preserve">a magnetic field produces an induced electric field. When the circuit is closed, a current will be set up, resulting in resistive dissipation. The Jupiter-Io system therefore operates as a unipolar inductor.” </w:t>
      </w:r>
      <w:r w:rsidRPr="007F536A">
        <w:rPr>
          <w:rFonts w:ascii="Book Antiqua" w:hAnsi="Book Antiqua"/>
          <w:sz w:val="20"/>
        </w:rPr>
        <w:t>[29]</w:t>
      </w:r>
    </w:p>
    <w:p w:rsidR="00AE13DC" w:rsidRDefault="00AE13D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Therefore, the resistive dissipation, the electro-magnetic coupling and the intense tidal braking that Jupiter exerts on Io results in ongoing changes in Io’s orbital characteristics. This process makes it virtually impossible to go back in time and determine the exact eclipse times Roemer and his colleagues were observing.</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21" w:name="Delambre"/>
      <w:bookmarkEnd w:id="21"/>
      <w:r w:rsidRPr="007F536A">
        <w:rPr>
          <w:rStyle w:val="Strong"/>
          <w:rFonts w:ascii="Book Antiqua" w:hAnsi="Book Antiqua"/>
          <w:b w:val="0"/>
          <w:i/>
          <w:sz w:val="20"/>
        </w:rPr>
        <w:t>Jean Baptiste Joseph Delambre</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1792 the Paris Academie des Sciences decided to compile a definitive set of tables of the motions of Jupiter’s satellites. This was accomplished by Delambr</w:t>
      </w:r>
      <w:bookmarkStart w:id="22" w:name="_ednref23"/>
      <w:r w:rsidRPr="007F536A">
        <w:rPr>
          <w:rFonts w:ascii="Book Antiqua" w:hAnsi="Book Antiqua"/>
          <w:sz w:val="20"/>
        </w:rPr>
        <w:t>e in 1809 and published in 1817 [30</w:t>
      </w:r>
      <w:bookmarkEnd w:id="22"/>
      <w:r w:rsidRPr="007F536A">
        <w:rPr>
          <w:rFonts w:ascii="Book Antiqua" w:hAnsi="Book Antiqua"/>
          <w:sz w:val="20"/>
        </w:rPr>
        <w:t>]. To do this, Delambre processed all observations of Io and the other satellites in the 150 years since 1667. In all, nearly one thousand observations of those moons were processed. Unfortunately, Delambre’s manuscripts containing his calculations have been lost, so that it is impossible to cross-check his results. Irksome though this may be, all are forced to admit that Delambre’s final result of 8 minutes 13.2 seconds for the earth orbit radius delay was generally received as definitive for the median date of 1738 ± 71 years. Even Newcomb admitted this and at the same time acknowledged that it was “</w:t>
      </w:r>
      <w:r w:rsidRPr="007F536A">
        <w:rPr>
          <w:rStyle w:val="Emphasis"/>
          <w:rFonts w:ascii="Book Antiqua" w:hAnsi="Book Antiqua"/>
          <w:sz w:val="20"/>
        </w:rPr>
        <w:t>remarkable that the early determinations of the constant of aberration agreed with Delambre’s determination</w:t>
      </w:r>
      <w:r w:rsidRPr="007F536A">
        <w:rPr>
          <w:rFonts w:ascii="Book Antiqua" w:hAnsi="Book Antiqua"/>
          <w:sz w:val="20"/>
        </w:rPr>
        <w:t>,” even though “</w:t>
      </w:r>
      <w:r w:rsidRPr="007F536A">
        <w:rPr>
          <w:rStyle w:val="Emphasis"/>
          <w:rFonts w:ascii="Book Antiqua" w:hAnsi="Book Antiqua"/>
          <w:sz w:val="20"/>
        </w:rPr>
        <w:t>there was an apparent difference of 1 per cent</w:t>
      </w:r>
      <w:r w:rsidRPr="007F536A">
        <w:rPr>
          <w:rFonts w:ascii="Book Antiqua" w:hAnsi="Book Antiqua"/>
          <w:sz w:val="20"/>
        </w:rPr>
        <w:t xml:space="preserve">” when they were compared to the </w:t>
      </w:r>
      <m:oMath>
        <m:r>
          <w:rPr>
            <w:rStyle w:val="Emphasis"/>
            <w:rFonts w:ascii="Cambria Math" w:hAnsi="Cambria Math"/>
            <w:sz w:val="20"/>
          </w:rPr>
          <m:t>c</m:t>
        </m:r>
      </m:oMath>
      <w:r w:rsidRPr="007F536A">
        <w:rPr>
          <w:rFonts w:ascii="Book Antiqua" w:hAnsi="Book Antiqua"/>
          <w:sz w:val="20"/>
        </w:rPr>
        <w:t xml:space="preserve"> values of the mid-1800’s</w:t>
      </w:r>
      <w:bookmarkStart w:id="23" w:name="_ednref24"/>
      <w:r w:rsidRPr="007F536A">
        <w:rPr>
          <w:rFonts w:ascii="Book Antiqua" w:hAnsi="Book Antiqua"/>
          <w:sz w:val="20"/>
        </w:rPr>
        <w:t xml:space="preserve"> </w:t>
      </w:r>
      <w:r w:rsidRPr="007F536A">
        <w:rPr>
          <w:rFonts w:ascii="Book Antiqua" w:hAnsi="Book Antiqua"/>
          <w:color w:val="FF0000"/>
          <w:sz w:val="20"/>
        </w:rPr>
        <w:t>[31</w:t>
      </w:r>
      <w:bookmarkEnd w:id="23"/>
      <w:r w:rsidRPr="007F536A">
        <w:rPr>
          <w:rFonts w:ascii="Book Antiqua" w:hAnsi="Book Antiqua"/>
          <w:color w:val="FF0000"/>
          <w:sz w:val="20"/>
        </w:rPr>
        <w:t>]</w:t>
      </w:r>
      <w:r w:rsidRPr="007F536A">
        <w:rPr>
          <w:rFonts w:ascii="Book Antiqua" w:hAnsi="Book Antiqua"/>
          <w:sz w:val="20"/>
        </w:rPr>
        <w:t xml:space="preserve">. Bradley’s highest value from the aberration constant as mentioned above [26] was 304,060 km/s, with a mean of 303,400, while Delambre’s result was 303,320 </w:t>
      </w:r>
      <m:oMath>
        <m:r>
          <w:rPr>
            <w:rFonts w:ascii="Book Antiqua" w:hAnsi="Book Antiqua"/>
            <w:sz w:val="20"/>
          </w:rPr>
          <m:t>±</m:t>
        </m:r>
        <m:r>
          <w:rPr>
            <w:rFonts w:ascii="Cambria Math" w:hAnsi="Book Antiqua"/>
            <w:sz w:val="20"/>
          </w:rPr>
          <m:t xml:space="preserve"> 65</m:t>
        </m:r>
      </m:oMath>
      <w:r w:rsidRPr="007F536A">
        <w:rPr>
          <w:rFonts w:ascii="Book Antiqua" w:hAnsi="Book Antiqua"/>
          <w:sz w:val="20"/>
        </w:rPr>
        <w:t xml:space="preserve"> km/s. (The quoted error comes from his statistical treatment of almost 1000 observations) The close agreement between these two figures in the mid-eighteenth century was 1% higher than Newcomb’s measurements about a hundred years later (299,860 ± 30 km/s).  In that hundred year span, the difference in measurements was about 3000 km/s.  </w:t>
      </w:r>
    </w:p>
    <w:p w:rsidR="006839AA" w:rsidRDefault="006839AA" w:rsidP="00821A88">
      <w:pPr>
        <w:pStyle w:val="NoSpacing"/>
        <w:ind w:firstLine="720"/>
        <w:jc w:val="both"/>
        <w:rPr>
          <w:rFonts w:ascii="Book Antiqua" w:hAnsi="Book Antiqua"/>
          <w:sz w:val="20"/>
        </w:rPr>
      </w:pPr>
    </w:p>
    <w:p w:rsidR="00D15928" w:rsidRPr="007F536A" w:rsidRDefault="00D15928" w:rsidP="00821A88">
      <w:pPr>
        <w:pStyle w:val="NoSpacing"/>
        <w:ind w:firstLine="720"/>
        <w:jc w:val="both"/>
        <w:rPr>
          <w:rFonts w:ascii="Book Antiqua" w:hAnsi="Book Antiqua"/>
          <w:sz w:val="20"/>
        </w:rPr>
      </w:pPr>
    </w:p>
    <w:tbl>
      <w:tblPr>
        <w:tblStyle w:val="TableGrid"/>
        <w:tblW w:w="0" w:type="auto"/>
        <w:jc w:val="center"/>
        <w:tblLook w:val="04A0"/>
      </w:tblPr>
      <w:tblGrid>
        <w:gridCol w:w="4686"/>
        <w:gridCol w:w="4854"/>
      </w:tblGrid>
      <w:tr w:rsidR="00821A88" w:rsidRPr="007F536A" w:rsidTr="009D79F5">
        <w:trPr>
          <w:trHeight w:val="4256"/>
          <w:jc w:val="center"/>
        </w:trPr>
        <w:tc>
          <w:tcPr>
            <w:tcW w:w="4686" w:type="dxa"/>
          </w:tcPr>
          <w:p w:rsidR="00821A88" w:rsidRDefault="00821A88" w:rsidP="00400B4E">
            <w:pPr>
              <w:pStyle w:val="NoSpacing"/>
              <w:jc w:val="center"/>
              <w:rPr>
                <w:rFonts w:ascii="Book Antiqua" w:hAnsi="Book Antiqua"/>
                <w:sz w:val="20"/>
              </w:rPr>
            </w:pPr>
            <w:r w:rsidRPr="007F536A">
              <w:rPr>
                <w:rFonts w:ascii="Book Antiqua" w:hAnsi="Book Antiqua"/>
                <w:noProof/>
                <w:sz w:val="20"/>
              </w:rPr>
              <w:drawing>
                <wp:inline distT="0" distB="0" distL="0" distR="0">
                  <wp:extent cx="1794382" cy="2500555"/>
                  <wp:effectExtent l="19050" t="0" r="0" b="0"/>
                  <wp:docPr id="19" name="Picture 40" descr="http://lh4.ggpht.com/_4EUOY1185UQ/TPldQPsmasI/AAAAAAAAA9k/LN0qHcqvNe0/s144/delambre%20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h4.ggpht.com/_4EUOY1185UQ/TPldQPsmasI/AAAAAAAAA9k/LN0qHcqvNe0/s144/delambre%20big.jpg"/>
                          <pic:cNvPicPr>
                            <a:picLocks noChangeAspect="1" noChangeArrowheads="1"/>
                          </pic:cNvPicPr>
                        </pic:nvPicPr>
                        <pic:blipFill>
                          <a:blip r:embed="rId85" cstate="print"/>
                          <a:srcRect/>
                          <a:stretch>
                            <a:fillRect/>
                          </a:stretch>
                        </pic:blipFill>
                        <pic:spPr bwMode="auto">
                          <a:xfrm>
                            <a:off x="0" y="0"/>
                            <a:ext cx="1809264" cy="2521294"/>
                          </a:xfrm>
                          <a:prstGeom prst="rect">
                            <a:avLst/>
                          </a:prstGeom>
                          <a:noFill/>
                          <a:ln w="9525">
                            <a:noFill/>
                            <a:miter lim="800000"/>
                            <a:headEnd/>
                            <a:tailEnd/>
                          </a:ln>
                        </pic:spPr>
                      </pic:pic>
                    </a:graphicData>
                  </a:graphic>
                </wp:inline>
              </w:drawing>
            </w:r>
          </w:p>
          <w:p w:rsidR="00A02F8C" w:rsidRPr="007F536A" w:rsidRDefault="00A02F8C" w:rsidP="00400B4E">
            <w:pPr>
              <w:pStyle w:val="NoSpacing"/>
              <w:jc w:val="center"/>
              <w:rPr>
                <w:rFonts w:ascii="Book Antiqua" w:hAnsi="Book Antiqua"/>
                <w:sz w:val="20"/>
              </w:rPr>
            </w:pPr>
          </w:p>
        </w:tc>
        <w:tc>
          <w:tcPr>
            <w:tcW w:w="4854" w:type="dxa"/>
          </w:tcPr>
          <w:p w:rsidR="00821A88" w:rsidRPr="007F536A" w:rsidRDefault="00821A88" w:rsidP="009D79F5">
            <w:pPr>
              <w:pStyle w:val="NoSpacing"/>
              <w:jc w:val="center"/>
              <w:rPr>
                <w:rFonts w:ascii="Book Antiqua" w:hAnsi="Book Antiqua"/>
                <w:sz w:val="20"/>
              </w:rPr>
            </w:pPr>
            <w:r w:rsidRPr="007F536A">
              <w:rPr>
                <w:rFonts w:ascii="Book Antiqua" w:hAnsi="Book Antiqua"/>
                <w:noProof/>
                <w:sz w:val="20"/>
              </w:rPr>
              <w:drawing>
                <wp:inline distT="0" distB="0" distL="0" distR="0">
                  <wp:extent cx="2065807" cy="2504995"/>
                  <wp:effectExtent l="0" t="0" r="0" b="0"/>
                  <wp:docPr id="20" name="il_fi" descr="http://images.astronet.ru/pubd/2001/09/29/0001170951/glaz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astronet.ru/pubd/2001/09/29/0001170951/glazen.gif"/>
                          <pic:cNvPicPr>
                            <a:picLocks noChangeAspect="1" noChangeArrowheads="1"/>
                          </pic:cNvPicPr>
                        </pic:nvPicPr>
                        <pic:blipFill>
                          <a:blip r:embed="rId86" cstate="print">
                            <a:lum contrast="-20000"/>
                          </a:blip>
                          <a:srcRect/>
                          <a:stretch>
                            <a:fillRect/>
                          </a:stretch>
                        </pic:blipFill>
                        <pic:spPr bwMode="auto">
                          <a:xfrm>
                            <a:off x="0" y="0"/>
                            <a:ext cx="2084377" cy="2527514"/>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41498D" w:rsidRDefault="00821A88" w:rsidP="00C1021A">
      <w:pPr>
        <w:pStyle w:val="NoSpacing"/>
        <w:jc w:val="center"/>
        <w:rPr>
          <w:rFonts w:ascii="Book Antiqua" w:hAnsi="Book Antiqua"/>
          <w:i/>
          <w:sz w:val="20"/>
        </w:rPr>
      </w:pPr>
      <w:r w:rsidRPr="0041498D">
        <w:rPr>
          <w:rFonts w:ascii="Book Antiqua" w:hAnsi="Book Antiqua"/>
          <w:b/>
          <w:i/>
          <w:sz w:val="18"/>
          <w:szCs w:val="18"/>
        </w:rPr>
        <w:t>Figure. 4:</w:t>
      </w:r>
      <w:r w:rsidRPr="0041498D">
        <w:rPr>
          <w:rFonts w:ascii="Book Antiqua" w:hAnsi="Book Antiqua"/>
          <w:i/>
          <w:sz w:val="18"/>
          <w:szCs w:val="18"/>
        </w:rPr>
        <w:t xml:space="preserve"> </w:t>
      </w:r>
      <w:r w:rsidRPr="0041498D">
        <w:rPr>
          <w:rFonts w:ascii="Book Antiqua" w:hAnsi="Book Antiqua"/>
          <w:b/>
          <w:i/>
          <w:sz w:val="18"/>
          <w:szCs w:val="18"/>
        </w:rPr>
        <w:t xml:space="preserve">Left </w:t>
      </w:r>
      <w:r w:rsidRPr="0041498D">
        <w:rPr>
          <w:rFonts w:ascii="Book Antiqua" w:hAnsi="Book Antiqua"/>
          <w:i/>
          <w:sz w:val="18"/>
          <w:szCs w:val="18"/>
        </w:rPr>
        <w:t xml:space="preserve">– J.B.J. Delambre 1749-1822; </w:t>
      </w:r>
      <w:r w:rsidRPr="0041498D">
        <w:rPr>
          <w:rFonts w:ascii="Book Antiqua" w:hAnsi="Book Antiqua"/>
          <w:b/>
          <w:i/>
          <w:sz w:val="18"/>
          <w:szCs w:val="18"/>
        </w:rPr>
        <w:t>Right -</w:t>
      </w:r>
      <w:r w:rsidRPr="0041498D">
        <w:rPr>
          <w:rFonts w:ascii="Book Antiqua" w:hAnsi="Book Antiqua"/>
          <w:i/>
          <w:sz w:val="18"/>
          <w:szCs w:val="18"/>
        </w:rPr>
        <w:t xml:space="preserve"> S.P. Glazenapp 1848-1937</w:t>
      </w:r>
      <w:r w:rsidRPr="0041498D">
        <w:rPr>
          <w:rFonts w:ascii="Book Antiqua" w:hAnsi="Book Antiqua"/>
          <w:i/>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24" w:name="Glasenapp"/>
      <w:bookmarkEnd w:id="24"/>
      <w:r w:rsidRPr="007F536A">
        <w:rPr>
          <w:rStyle w:val="Strong"/>
          <w:rFonts w:ascii="Book Antiqua" w:hAnsi="Book Antiqua"/>
          <w:b w:val="0"/>
          <w:i/>
          <w:sz w:val="20"/>
        </w:rPr>
        <w:t>1.6   S. P. Glazenapp</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1874, S.P. Glazenapp of Pulkovo Observatory discussed the results from the observations of Io between 1848 and 1873, some 320 eclipses in all</w:t>
      </w:r>
      <w:bookmarkStart w:id="25" w:name="_ednref25"/>
      <w:r w:rsidRPr="007F536A">
        <w:rPr>
          <w:rFonts w:ascii="Book Antiqua" w:hAnsi="Book Antiqua"/>
          <w:sz w:val="20"/>
        </w:rPr>
        <w:t xml:space="preserve"> [32</w:t>
      </w:r>
      <w:bookmarkEnd w:id="25"/>
      <w:r w:rsidRPr="007F536A">
        <w:rPr>
          <w:rFonts w:ascii="Book Antiqua" w:hAnsi="Book Antiqua"/>
          <w:sz w:val="20"/>
        </w:rPr>
        <w:t>]. He analyzed each eclipse according to the following five correction procedures: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lastRenderedPageBreak/>
        <w:t xml:space="preserve">All eclipse observations were reduced to the center of the satellite. Variation in satellite brightness with apparent distance from Jupiter’s center was corrected for at the instant of eclipse. Another term we shall call </w:t>
      </w:r>
      <w:r w:rsidRPr="007F536A">
        <w:rPr>
          <w:rStyle w:val="Emphasis"/>
          <w:rFonts w:ascii="Book Antiqua" w:hAnsi="Book Antiqua"/>
          <w:sz w:val="20"/>
        </w:rPr>
        <w:t>z</w:t>
      </w:r>
      <w:r w:rsidRPr="007F536A">
        <w:rPr>
          <w:rFonts w:ascii="Book Antiqua" w:hAnsi="Book Antiqua"/>
          <w:sz w:val="20"/>
        </w:rPr>
        <w:t xml:space="preserve"> was added to give the exact dependence.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the reduction to Io’s center and without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reduction to the center of Io, but including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Excluding the 50 Leiden observations.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As for alternative 1, with an additional correction to the mean noon based on Newcomb’s assumption of periodic variations of earth’s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The 5 corrections resulted in the following 5 values for the orbit radius delay.</w:t>
      </w:r>
    </w:p>
    <w:p w:rsidR="00821A88" w:rsidRPr="007F536A" w:rsidRDefault="00821A88" w:rsidP="00C1021A">
      <w:pPr>
        <w:pStyle w:val="NoSpacing"/>
        <w:rPr>
          <w:rFonts w:ascii="Book Antiqua" w:hAnsi="Book Antiqua"/>
          <w:sz w:val="20"/>
        </w:rPr>
      </w:pP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500.84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497.43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494.67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497.15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505.03 sec.</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Glazenapp pointed out that the large variation in results was due to the impossibility of determining the exact apparent brightness of Io in absolute units at the moment of the eclipse. He did not indicate which results were to be preferred. However, as the first is included in the more comprehensive results of the fifth, it appears justifiable to take the mean of the second, third, fourth, and fifth, and omit the first. When this is done, the orbit radius delay becomes 498.57 ± 0.1 seconds. Although Glazenapp listed his measurements in hundredths of a second, the error margin of one-tenth of a second has been adopted.  This was the accuracy of the timepieces around 1800, and would be checked by daily star transit observations</w:t>
      </w:r>
      <w:bookmarkStart w:id="26" w:name="_ednref26"/>
      <w:r w:rsidRPr="007F536A">
        <w:rPr>
          <w:rFonts w:ascii="Book Antiqua" w:hAnsi="Book Antiqua"/>
          <w:sz w:val="20"/>
        </w:rPr>
        <w:t xml:space="preserve"> [33</w:t>
      </w:r>
      <w:bookmarkEnd w:id="26"/>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The median date for the data used by Glazenapp is 1861.  Using that date, the average speed of light was 300,050 ± 60 km/</w:t>
      </w:r>
      <w:bookmarkStart w:id="27" w:name="_ednref27"/>
      <w:r w:rsidRPr="007F536A">
        <w:rPr>
          <w:rFonts w:ascii="Book Antiqua" w:hAnsi="Book Antiqua"/>
          <w:sz w:val="20"/>
        </w:rPr>
        <w:t>s at that time [34</w:t>
      </w:r>
      <w:bookmarkEnd w:id="2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left="360"/>
        <w:jc w:val="both"/>
        <w:rPr>
          <w:rFonts w:ascii="Book Antiqua" w:hAnsi="Book Antiqua"/>
          <w:b/>
          <w:i/>
          <w:sz w:val="20"/>
        </w:rPr>
      </w:pPr>
      <w:bookmarkStart w:id="28" w:name="Sampson"/>
      <w:bookmarkEnd w:id="28"/>
      <w:r w:rsidRPr="007F536A">
        <w:rPr>
          <w:rStyle w:val="Strong"/>
          <w:rFonts w:ascii="Book Antiqua" w:hAnsi="Book Antiqua"/>
          <w:b w:val="0"/>
          <w:i/>
          <w:sz w:val="20"/>
        </w:rPr>
        <w:t>1.7 Sampson, Harvard and Various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bCs w:val="0"/>
          <w:sz w:val="20"/>
        </w:rPr>
      </w:pPr>
      <w:r w:rsidRPr="007F536A">
        <w:rPr>
          <w:rFonts w:ascii="Book Antiqua" w:hAnsi="Book Antiqua"/>
          <w:sz w:val="20"/>
        </w:rPr>
        <w:t xml:space="preserve">In 1909, using Harvard observations from 1844 to 1909, Sampson derived a value for the orbit radius delay of 498.64 seconds from his private reductions </w:t>
      </w:r>
      <w:bookmarkStart w:id="29" w:name="_ednref28"/>
      <w:r w:rsidRPr="007F536A">
        <w:rPr>
          <w:rFonts w:ascii="Book Antiqua" w:hAnsi="Book Antiqua"/>
          <w:sz w:val="20"/>
        </w:rPr>
        <w:t>[35</w:t>
      </w:r>
      <w:bookmarkEnd w:id="29"/>
      <w:r w:rsidRPr="007F536A">
        <w:rPr>
          <w:rFonts w:ascii="Book Antiqua" w:hAnsi="Book Antiqua"/>
          <w:sz w:val="20"/>
        </w:rPr>
        <w:t>]. However, the official Harvard readings themselves gave a result of 498.79 ± 0.02 seconds, the error margin being due to the inequalities in Jupiter’s surface. The Sampson result thus becomes 300,011 km/s for the speed of light, while the official Harvard reductions give 299,921 km/s for the same median date of 1876.5 ± 32 years.</w:t>
      </w:r>
      <w:bookmarkStart w:id="30" w:name="misc"/>
      <w:bookmarkEnd w:id="30"/>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1759, B. Martin deduced a time of 8 minutes 13 seconds for the orbit radius light delay</w:t>
      </w:r>
      <w:bookmarkStart w:id="31" w:name="_ednref29"/>
      <w:r w:rsidRPr="007F536A">
        <w:rPr>
          <w:rFonts w:ascii="Book Antiqua" w:hAnsi="Book Antiqua"/>
          <w:sz w:val="20"/>
        </w:rPr>
        <w:t xml:space="preserve"> [36</w:t>
      </w:r>
      <w:bookmarkEnd w:id="31"/>
      <w:r w:rsidRPr="007F536A">
        <w:rPr>
          <w:rFonts w:ascii="Book Antiqua" w:hAnsi="Book Antiqua"/>
          <w:sz w:val="20"/>
        </w:rPr>
        <w:t xml:space="preserve">].  This resulted in a light speed of 303,440 km/s. In 1770, Richard Price indicated that his research gave a value of 8.2 minutes or 492 seconds for the orbit radius delay, resulting in  </w:t>
      </w:r>
      <m:oMath>
        <m:r>
          <w:rPr>
            <w:rFonts w:ascii="Cambria Math" w:hAnsi="Cambria Math"/>
            <w:sz w:val="20"/>
          </w:rPr>
          <m:t>c</m:t>
        </m:r>
        <m:r>
          <w:rPr>
            <w:rFonts w:ascii="Cambria Math" w:hAnsi="Book Antiqua"/>
            <w:sz w:val="20"/>
          </w:rPr>
          <m:t xml:space="preserve"> = 304,060</m:t>
        </m:r>
      </m:oMath>
      <w:r w:rsidRPr="007F536A">
        <w:rPr>
          <w:rFonts w:ascii="Book Antiqua" w:hAnsi="Book Antiqua"/>
          <w:sz w:val="20"/>
        </w:rPr>
        <w:t xml:space="preserve"> km/s</w:t>
      </w:r>
      <w:bookmarkStart w:id="32" w:name="_ednref30"/>
      <w:r w:rsidRPr="007F536A">
        <w:rPr>
          <w:rFonts w:ascii="Book Antiqua" w:hAnsi="Book Antiqua"/>
          <w:sz w:val="20"/>
        </w:rPr>
        <w:t xml:space="preserve"> [37</w:t>
      </w:r>
      <w:bookmarkEnd w:id="32"/>
      <w:r w:rsidRPr="007F536A">
        <w:rPr>
          <w:rFonts w:ascii="Book Antiqua" w:hAnsi="Book Antiqua"/>
          <w:sz w:val="20"/>
        </w:rPr>
        <w:t xml:space="preserve">]. In 1778, J. Bode published a value of 8 minutes 7.5 seconds for the orbit light delay, giving </w:t>
      </w:r>
      <m:oMath>
        <m:r>
          <w:rPr>
            <w:rFonts w:ascii="Cambria Math" w:hAnsi="Cambria Math"/>
            <w:sz w:val="20"/>
          </w:rPr>
          <m:t>c</m:t>
        </m:r>
        <m:r>
          <w:rPr>
            <w:rFonts w:ascii="Cambria Math" w:hAnsi="Book Antiqua"/>
            <w:sz w:val="20"/>
          </w:rPr>
          <m:t xml:space="preserve"> = 306,870</m:t>
        </m:r>
      </m:oMath>
      <w:r w:rsidRPr="007F536A">
        <w:rPr>
          <w:rFonts w:ascii="Book Antiqua" w:hAnsi="Book Antiqua"/>
          <w:sz w:val="20"/>
        </w:rPr>
        <w:t xml:space="preserve"> k</w:t>
      </w:r>
      <w:bookmarkStart w:id="33" w:name="_ednref31"/>
      <w:r w:rsidRPr="007F536A">
        <w:rPr>
          <w:rFonts w:ascii="Book Antiqua" w:hAnsi="Book Antiqua"/>
          <w:sz w:val="20"/>
        </w:rPr>
        <w:t>m/s [38</w:t>
      </w:r>
      <w:bookmarkEnd w:id="33"/>
      <w:r w:rsidRPr="007F536A">
        <w:rPr>
          <w:rFonts w:ascii="Book Antiqua" w:hAnsi="Book Antiqua"/>
          <w:sz w:val="20"/>
        </w:rPr>
        <w:t>]. In 1785, Boscovich published a time of 486 seconds, with</w:t>
      </w:r>
      <m:oMath>
        <m:r>
          <w:rPr>
            <w:rFonts w:ascii="Cambria Math" w:hAnsi="Book Antiqua"/>
            <w:sz w:val="20"/>
          </w:rPr>
          <m:t xml:space="preserve"> </m:t>
        </m:r>
        <m:r>
          <w:rPr>
            <w:rFonts w:ascii="Cambria Math" w:hAnsi="Cambria Math"/>
            <w:sz w:val="20"/>
          </w:rPr>
          <m:t>c</m:t>
        </m:r>
        <m:r>
          <w:rPr>
            <w:rFonts w:ascii="Cambria Math" w:hAnsi="Book Antiqua"/>
            <w:sz w:val="20"/>
          </w:rPr>
          <m:t xml:space="preserve"> = 307,810</m:t>
        </m:r>
      </m:oMath>
      <w:r w:rsidRPr="007F536A">
        <w:rPr>
          <w:rFonts w:ascii="Book Antiqua" w:hAnsi="Book Antiqua"/>
          <w:sz w:val="20"/>
        </w:rPr>
        <w:t xml:space="preserve"> k</w:t>
      </w:r>
      <w:bookmarkStart w:id="34" w:name="_ednref32"/>
      <w:r w:rsidRPr="007F536A">
        <w:rPr>
          <w:rFonts w:ascii="Book Antiqua" w:hAnsi="Book Antiqua"/>
          <w:sz w:val="20"/>
        </w:rPr>
        <w:t>m/s [39</w:t>
      </w:r>
      <w:bookmarkEnd w:id="34"/>
      <w:r w:rsidRPr="007F536A">
        <w:rPr>
          <w:rFonts w:ascii="Book Antiqua" w:hAnsi="Book Antiqua"/>
          <w:sz w:val="20"/>
        </w:rPr>
        <w:t xml:space="preserve">]. These values appear to be the only other independent assessments of the orbit radius delay for light. Most others appear to take Cassini’s, Newton’s or Roemer’s figures and build upon them. As various estimates of the radius of the earth’s orbit existed, so did a variety of </w:t>
      </w:r>
      <m:oMath>
        <m:r>
          <w:rPr>
            <w:rFonts w:ascii="Cambria Math" w:hAnsi="Cambria Math"/>
            <w:sz w:val="20"/>
          </w:rPr>
          <m:t>c</m:t>
        </m:r>
      </m:oMath>
      <w:r w:rsidRPr="007F536A">
        <w:rPr>
          <w:rFonts w:ascii="Book Antiqua" w:hAnsi="Book Antiqua"/>
          <w:sz w:val="20"/>
        </w:rPr>
        <w:t xml:space="preserve"> values. </w:t>
      </w:r>
    </w:p>
    <w:p w:rsidR="0041498D" w:rsidRDefault="0041498D" w:rsidP="00821A88">
      <w:pPr>
        <w:pStyle w:val="NoSpacing"/>
        <w:ind w:firstLine="720"/>
        <w:jc w:val="both"/>
        <w:rPr>
          <w:rFonts w:ascii="Book Antiqua" w:hAnsi="Book Antiqua"/>
          <w:sz w:val="20"/>
        </w:rPr>
      </w:pPr>
    </w:p>
    <w:p w:rsidR="003D5E13" w:rsidRDefault="003D5E13" w:rsidP="00821A88">
      <w:pPr>
        <w:pStyle w:val="NoSpacing"/>
        <w:ind w:firstLine="720"/>
        <w:jc w:val="both"/>
        <w:rPr>
          <w:rFonts w:ascii="Book Antiqua" w:hAnsi="Book Antiqua"/>
          <w:sz w:val="20"/>
        </w:rPr>
      </w:pPr>
    </w:p>
    <w:p w:rsidR="00821A88" w:rsidRDefault="00821A88" w:rsidP="00821A88">
      <w:pPr>
        <w:pStyle w:val="NoSpacing"/>
        <w:numPr>
          <w:ilvl w:val="1"/>
          <w:numId w:val="9"/>
        </w:numPr>
        <w:rPr>
          <w:rFonts w:ascii="Book Antiqua" w:hAnsi="Book Antiqua"/>
          <w:i/>
          <w:sz w:val="20"/>
        </w:rPr>
      </w:pPr>
      <w:bookmarkStart w:id="35" w:name="conclusionstable1"/>
      <w:bookmarkEnd w:id="35"/>
      <w:r w:rsidRPr="007F536A">
        <w:rPr>
          <w:rFonts w:ascii="Book Antiqua" w:hAnsi="Book Antiqua"/>
          <w:i/>
          <w:sz w:val="20"/>
        </w:rPr>
        <w:t>Conclusions From Early Experiments</w:t>
      </w:r>
    </w:p>
    <w:p w:rsidR="007B12EC" w:rsidRDefault="007B12EC" w:rsidP="007B12EC">
      <w:pPr>
        <w:pStyle w:val="NoSpacing"/>
        <w:ind w:left="360"/>
        <w:rPr>
          <w:rFonts w:ascii="Book Antiqua" w:hAnsi="Book Antiqua"/>
          <w:i/>
          <w:sz w:val="20"/>
        </w:rPr>
      </w:pPr>
    </w:p>
    <w:p w:rsidR="007B12EC" w:rsidRDefault="007B12EC" w:rsidP="00252CC0">
      <w:pPr>
        <w:pStyle w:val="NoSpacing"/>
        <w:rPr>
          <w:rFonts w:ascii="Book Antiqua" w:hAnsi="Book Antiqua"/>
          <w:sz w:val="20"/>
        </w:rPr>
      </w:pPr>
      <w:r w:rsidRPr="007B12EC">
        <w:rPr>
          <w:rFonts w:ascii="Book Antiqua" w:hAnsi="Book Antiqua"/>
          <w:sz w:val="20"/>
        </w:rPr>
        <w:t xml:space="preserve">The above </w:t>
      </w:r>
      <w:r>
        <w:rPr>
          <w:rFonts w:ascii="Book Antiqua" w:hAnsi="Book Antiqua"/>
          <w:sz w:val="20"/>
        </w:rPr>
        <w:t>r</w:t>
      </w:r>
      <w:r w:rsidRPr="007B12EC">
        <w:rPr>
          <w:rFonts w:ascii="Book Antiqua" w:hAnsi="Book Antiqua"/>
          <w:sz w:val="20"/>
        </w:rPr>
        <w:t>esults are best summarized in a table. This is done in Table 1 and Figures 5 and 6.</w:t>
      </w:r>
    </w:p>
    <w:p w:rsidR="004B4219" w:rsidRDefault="004B4219" w:rsidP="00252CC0">
      <w:pPr>
        <w:pStyle w:val="NoSpacing"/>
        <w:rPr>
          <w:rFonts w:ascii="Book Antiqua" w:hAnsi="Book Antiqua"/>
          <w:sz w:val="20"/>
        </w:rPr>
      </w:pPr>
    </w:p>
    <w:p w:rsidR="004B4219" w:rsidRPr="007B12EC" w:rsidRDefault="004B4219" w:rsidP="00252CC0">
      <w:pPr>
        <w:pStyle w:val="NoSpacing"/>
        <w:rPr>
          <w:rFonts w:ascii="Book Antiqua" w:hAnsi="Book Antiqua"/>
          <w:sz w:val="20"/>
        </w:rPr>
      </w:pPr>
    </w:p>
    <w:tbl>
      <w:tblPr>
        <w:tblW w:w="7905" w:type="dxa"/>
        <w:jc w:val="center"/>
        <w:tblCellSpacing w:w="7" w:type="dxa"/>
        <w:tblLayout w:type="fixed"/>
        <w:tblCellMar>
          <w:top w:w="15" w:type="dxa"/>
          <w:left w:w="15" w:type="dxa"/>
          <w:bottom w:w="15" w:type="dxa"/>
          <w:right w:w="15" w:type="dxa"/>
        </w:tblCellMar>
        <w:tblLook w:val="04A0"/>
      </w:tblPr>
      <w:tblGrid>
        <w:gridCol w:w="79"/>
        <w:gridCol w:w="1364"/>
        <w:gridCol w:w="1046"/>
        <w:gridCol w:w="1996"/>
        <w:gridCol w:w="1667"/>
        <w:gridCol w:w="1753"/>
      </w:tblGrid>
      <w:tr w:rsidR="003D5E13" w:rsidRPr="007F536A" w:rsidTr="00EB4BA1">
        <w:trPr>
          <w:gridBefore w:val="1"/>
          <w:gridAfter w:val="1"/>
          <w:wBefore w:w="58" w:type="dxa"/>
          <w:wAfter w:w="1732" w:type="dxa"/>
          <w:trHeight w:val="299"/>
          <w:tblCellSpacing w:w="7" w:type="dxa"/>
          <w:jc w:val="center"/>
        </w:trPr>
        <w:tc>
          <w:tcPr>
            <w:tcW w:w="6059" w:type="dxa"/>
            <w:gridSpan w:val="4"/>
            <w:vAlign w:val="center"/>
            <w:hideMark/>
          </w:tcPr>
          <w:p w:rsidR="00EB4BA1" w:rsidRDefault="00EB4BA1" w:rsidP="00EB4BA1">
            <w:pPr>
              <w:jc w:val="center"/>
              <w:rPr>
                <w:rFonts w:ascii="Book Antiqua" w:hAnsi="Book Antiqua"/>
              </w:rPr>
            </w:pPr>
          </w:p>
          <w:p w:rsidR="00541F83" w:rsidRDefault="003D5E13" w:rsidP="00EB4BA1">
            <w:pPr>
              <w:jc w:val="center"/>
              <w:rPr>
                <w:rFonts w:ascii="Book Antiqua" w:hAnsi="Book Antiqua"/>
                <w:b/>
                <w:i/>
                <w:sz w:val="18"/>
                <w:szCs w:val="18"/>
              </w:rPr>
            </w:pPr>
            <w:r w:rsidRPr="00126DDE">
              <w:rPr>
                <w:rFonts w:ascii="Book Antiqua" w:hAnsi="Book Antiqua"/>
                <w:b/>
                <w:sz w:val="18"/>
                <w:szCs w:val="18"/>
              </w:rPr>
              <w:lastRenderedPageBreak/>
              <w:t>TABLE 1</w:t>
            </w:r>
            <w:r w:rsidRPr="00126DDE">
              <w:rPr>
                <w:rFonts w:ascii="Book Antiqua" w:hAnsi="Book Antiqua"/>
                <w:sz w:val="18"/>
                <w:szCs w:val="18"/>
              </w:rPr>
              <w:t xml:space="preserve">: </w:t>
            </w:r>
            <w:r w:rsidRPr="000E5755">
              <w:rPr>
                <w:rFonts w:ascii="Book Antiqua" w:hAnsi="Book Antiqua"/>
                <w:b/>
                <w:i/>
                <w:sz w:val="18"/>
                <w:szCs w:val="18"/>
              </w:rPr>
              <w:t>Results from the Roemer-type experiments</w:t>
            </w:r>
          </w:p>
          <w:p w:rsidR="00EB4BA1" w:rsidRPr="000E5755" w:rsidRDefault="00EB4BA1" w:rsidP="00541F83">
            <w:pPr>
              <w:rPr>
                <w:rFonts w:ascii="Book Antiqua" w:hAnsi="Book Antiqua"/>
                <w:b/>
                <w:i/>
                <w:sz w:val="18"/>
                <w:szCs w:val="18"/>
              </w:rPr>
            </w:pPr>
          </w:p>
          <w:p w:rsidR="003D5E13" w:rsidRPr="007B12EC" w:rsidRDefault="003D5E13" w:rsidP="003D5E13">
            <w:pPr>
              <w:rPr>
                <w:rFonts w:ascii="Book Antiqua" w:hAnsi="Book Antiqua"/>
                <w:b/>
              </w:rPr>
            </w:pP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464"/>
          <w:jc w:val="center"/>
        </w:trPr>
        <w:tc>
          <w:tcPr>
            <w:tcW w:w="1422" w:type="dxa"/>
            <w:gridSpan w:val="2"/>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lastRenderedPageBreak/>
              <w:t>Date</w:t>
            </w:r>
          </w:p>
        </w:tc>
        <w:tc>
          <w:tcPr>
            <w:tcW w:w="1032" w:type="dxa"/>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Seconds delay</w:t>
            </w:r>
          </w:p>
        </w:tc>
        <w:tc>
          <w:tcPr>
            <w:tcW w:w="1982" w:type="dxa"/>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value of c in km/sec</w:t>
            </w:r>
          </w:p>
        </w:tc>
        <w:tc>
          <w:tcPr>
            <w:tcW w:w="3399" w:type="dxa"/>
            <w:gridSpan w:val="2"/>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Comments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25"/>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1673 ± 5</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317,700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Roemer method modern correction.</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25"/>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1706</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480</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311,660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Newton’s approx. value “Opticks”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1"/>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1738 ± 71</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493.2</w:t>
            </w:r>
          </w:p>
        </w:tc>
        <w:tc>
          <w:tcPr>
            <w:tcW w:w="1982" w:type="dxa"/>
          </w:tcPr>
          <w:p w:rsidR="003D5E13" w:rsidRPr="00E366A5" w:rsidRDefault="00241D2F"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320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65</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Mean of 1000 obs. Delamre’s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1"/>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1759</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493.0</w:t>
            </w:r>
          </w:p>
        </w:tc>
        <w:tc>
          <w:tcPr>
            <w:tcW w:w="1982" w:type="dxa"/>
          </w:tcPr>
          <w:p w:rsidR="003D5E13" w:rsidRPr="00E366A5" w:rsidRDefault="00241D2F"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440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Martin’s published deduction fr. Data</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1770</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492.0</w:t>
            </w:r>
          </w:p>
        </w:tc>
        <w:tc>
          <w:tcPr>
            <w:tcW w:w="1982" w:type="dxa"/>
          </w:tcPr>
          <w:p w:rsidR="003D5E13" w:rsidRPr="00E366A5" w:rsidRDefault="00241D2F"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304</m:t>
                  </m:r>
                  <m:r>
                    <m:rPr>
                      <m:sty m:val="bi"/>
                    </m:rPr>
                    <w:rPr>
                      <w:rFonts w:ascii="Cambria Math" w:hAnsi="Book Antiqua"/>
                      <w:sz w:val="18"/>
                      <w:szCs w:val="18"/>
                    </w:rPr>
                    <m:t>,</m:t>
                  </m:r>
                  <m:r>
                    <m:rPr>
                      <m:sty m:val="bi"/>
                    </m:rPr>
                    <w:rPr>
                      <w:rFonts w:ascii="Cambria Math" w:hAnsi="Cambria Math"/>
                      <w:sz w:val="18"/>
                      <w:szCs w:val="18"/>
                    </w:rPr>
                    <m:t>060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Price’s published value from obs.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4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1771</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495.0</w:t>
            </w:r>
          </w:p>
        </w:tc>
        <w:tc>
          <w:tcPr>
            <w:tcW w:w="1982" w:type="dxa"/>
          </w:tcPr>
          <w:p w:rsidR="003D5E13" w:rsidRPr="00E366A5" w:rsidRDefault="00241D2F"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302</m:t>
                  </m:r>
                  <m:r>
                    <m:rPr>
                      <m:sty m:val="bi"/>
                    </m:rPr>
                    <w:rPr>
                      <w:rFonts w:ascii="Cambria Math" w:hAnsi="Book Antiqua"/>
                      <w:sz w:val="18"/>
                      <w:szCs w:val="18"/>
                    </w:rPr>
                    <m:t>,</m:t>
                  </m:r>
                  <m:r>
                    <m:rPr>
                      <m:sty m:val="bi"/>
                    </m:rPr>
                    <w:rPr>
                      <w:rFonts w:ascii="Cambria Math" w:hAnsi="Cambria Math"/>
                      <w:sz w:val="18"/>
                      <w:szCs w:val="18"/>
                    </w:rPr>
                    <m:t>220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Recommended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9"/>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1778</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487.5</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306,870 #</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J. Bode’s published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52"/>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1785</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486</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307,810 #</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Published value of Boscovich obs.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1861 ± 13</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498.57</w:t>
            </w:r>
          </w:p>
        </w:tc>
        <w:tc>
          <w:tcPr>
            <w:tcW w:w="1982" w:type="dxa"/>
          </w:tcPr>
          <w:p w:rsidR="003D5E13" w:rsidRPr="00E366A5" w:rsidRDefault="00241D2F"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050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Mean of  320 obs. Glazenapp’s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4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498.64</w:t>
            </w:r>
          </w:p>
        </w:tc>
        <w:tc>
          <w:tcPr>
            <w:tcW w:w="1982" w:type="dxa"/>
          </w:tcPr>
          <w:p w:rsidR="003D5E13" w:rsidRPr="00E366A5" w:rsidRDefault="00241D2F"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011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Sampson reduction</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17"/>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498.79</w:t>
            </w:r>
          </w:p>
        </w:tc>
        <w:tc>
          <w:tcPr>
            <w:tcW w:w="1982" w:type="dxa"/>
          </w:tcPr>
          <w:p w:rsidR="003D5E13" w:rsidRPr="00E366A5" w:rsidRDefault="00241D2F"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299</m:t>
                  </m:r>
                  <m:r>
                    <m:rPr>
                      <m:sty m:val="bi"/>
                    </m:rPr>
                    <w:rPr>
                      <w:rFonts w:ascii="Cambria Math" w:hAnsi="Book Antiqua"/>
                      <w:sz w:val="18"/>
                      <w:szCs w:val="18"/>
                    </w:rPr>
                    <m:t>,</m:t>
                  </m:r>
                  <m:r>
                    <m:rPr>
                      <m:sty m:val="bi"/>
                    </m:rPr>
                    <w:rPr>
                      <w:rFonts w:ascii="Cambria Math" w:hAnsi="Cambria Math"/>
                      <w:sz w:val="18"/>
                      <w:szCs w:val="18"/>
                    </w:rPr>
                    <m:t>921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Harvard reduction</w:t>
            </w:r>
          </w:p>
        </w:tc>
      </w:tr>
    </w:tbl>
    <w:p w:rsidR="003D5E13" w:rsidRDefault="003D5E13"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541F83" w:rsidRDefault="00541F83"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3D5E13" w:rsidRPr="007F536A" w:rsidRDefault="003D5E13" w:rsidP="00541F83">
      <w:pPr>
        <w:pStyle w:val="NoSpacing"/>
        <w:jc w:val="center"/>
        <w:rPr>
          <w:rStyle w:val="Strong"/>
          <w:rFonts w:ascii="Book Antiqua" w:hAnsi="Book Antiqua"/>
          <w:sz w:val="20"/>
        </w:rPr>
      </w:pPr>
    </w:p>
    <w:p w:rsidR="003D5E13" w:rsidRPr="007F536A" w:rsidRDefault="00541F83" w:rsidP="00541F83">
      <w:pPr>
        <w:pStyle w:val="NoSpacing"/>
        <w:jc w:val="center"/>
        <w:rPr>
          <w:rStyle w:val="Strong"/>
          <w:rFonts w:ascii="Book Antiqua" w:hAnsi="Book Antiqua"/>
          <w:sz w:val="20"/>
        </w:rPr>
      </w:pPr>
      <w:r w:rsidRPr="007F536A">
        <w:rPr>
          <w:rStyle w:val="Strong"/>
          <w:rFonts w:ascii="Book Antiqua" w:hAnsi="Book Antiqua"/>
          <w:noProof/>
          <w:sz w:val="20"/>
        </w:rPr>
        <w:drawing>
          <wp:inline distT="0" distB="0" distL="0" distR="0">
            <wp:extent cx="5813132" cy="3396343"/>
            <wp:effectExtent l="19050" t="0" r="16168" b="0"/>
            <wp:docPr id="78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3D5E13" w:rsidRDefault="003D5E13" w:rsidP="003D5E13">
      <w:pPr>
        <w:pStyle w:val="NoSpacing"/>
        <w:rPr>
          <w:rStyle w:val="Strong"/>
          <w:rFonts w:ascii="Book Antiqua" w:hAnsi="Book Antiqua"/>
          <w:b w:val="0"/>
          <w:sz w:val="18"/>
          <w:szCs w:val="18"/>
        </w:rPr>
      </w:pPr>
    </w:p>
    <w:p w:rsidR="003D5E13" w:rsidRPr="0041498D" w:rsidRDefault="003D5E13" w:rsidP="003D5E13">
      <w:pPr>
        <w:pStyle w:val="NoSpacing"/>
        <w:rPr>
          <w:rStyle w:val="Strong"/>
          <w:rFonts w:ascii="Book Antiqua" w:hAnsi="Book Antiqua"/>
          <w:b w:val="0"/>
          <w:i/>
          <w:sz w:val="18"/>
          <w:szCs w:val="18"/>
        </w:rPr>
      </w:pPr>
      <w:r w:rsidRPr="0041498D">
        <w:rPr>
          <w:rStyle w:val="Strong"/>
          <w:rFonts w:ascii="Book Antiqua" w:hAnsi="Book Antiqua"/>
          <w:i/>
          <w:sz w:val="18"/>
          <w:szCs w:val="18"/>
        </w:rPr>
        <w:t>Figure 5:</w:t>
      </w:r>
      <w:r w:rsidRPr="0041498D">
        <w:rPr>
          <w:rStyle w:val="Strong"/>
          <w:rFonts w:ascii="Book Antiqua" w:hAnsi="Book Antiqua"/>
          <w:b w:val="0"/>
          <w:i/>
          <w:sz w:val="18"/>
          <w:szCs w:val="18"/>
        </w:rPr>
        <w:t xml:space="preserve"> Graph of all Roemer method data from Table 1 with a polynomial fit. The 11</w:t>
      </w:r>
      <w:r w:rsidRPr="0041498D">
        <w:rPr>
          <w:rStyle w:val="Strong"/>
          <w:rFonts w:ascii="Book Antiqua" w:hAnsi="Book Antiqua"/>
          <w:b w:val="0"/>
          <w:i/>
          <w:sz w:val="18"/>
          <w:szCs w:val="18"/>
          <w:vertAlign w:val="superscript"/>
        </w:rPr>
        <w:t>th</w:t>
      </w:r>
      <w:r w:rsidRPr="0041498D">
        <w:rPr>
          <w:rStyle w:val="Strong"/>
          <w:rFonts w:ascii="Book Antiqua" w:hAnsi="Book Antiqua"/>
          <w:b w:val="0"/>
          <w:i/>
          <w:sz w:val="18"/>
          <w:szCs w:val="18"/>
        </w:rPr>
        <w:t xml:space="preserve"> point is included in the last datum of 1877. The horizontal axis is the date. The vertical axis is light-speed in km/s.</w:t>
      </w:r>
    </w:p>
    <w:p w:rsidR="008E1680" w:rsidRPr="007F536A" w:rsidRDefault="008E1680" w:rsidP="008E1680">
      <w:pPr>
        <w:pStyle w:val="NoSpacing"/>
        <w:jc w:val="center"/>
        <w:rPr>
          <w:rStyle w:val="Strong"/>
          <w:rFonts w:ascii="Book Antiqua" w:hAnsi="Book Antiqua"/>
          <w:b w:val="0"/>
          <w:i/>
          <w:sz w:val="20"/>
        </w:rPr>
      </w:pPr>
      <w:r w:rsidRPr="007F536A">
        <w:rPr>
          <w:rStyle w:val="Strong"/>
          <w:rFonts w:ascii="Book Antiqua" w:hAnsi="Book Antiqua"/>
          <w:b w:val="0"/>
          <w:i/>
          <w:noProof/>
          <w:sz w:val="20"/>
        </w:rPr>
        <w:lastRenderedPageBreak/>
        <w:drawing>
          <wp:inline distT="0" distB="0" distL="0" distR="0">
            <wp:extent cx="3752850" cy="3743325"/>
            <wp:effectExtent l="19050" t="0" r="19050" b="0"/>
            <wp:docPr id="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E1680" w:rsidRPr="007F536A" w:rsidRDefault="008E1680" w:rsidP="008E1680">
      <w:pPr>
        <w:pStyle w:val="NoSpacing"/>
        <w:rPr>
          <w:rStyle w:val="Strong"/>
          <w:rFonts w:ascii="Book Antiqua" w:hAnsi="Book Antiqua"/>
          <w:b w:val="0"/>
          <w:i/>
          <w:sz w:val="20"/>
        </w:rPr>
      </w:pPr>
    </w:p>
    <w:p w:rsidR="008E1680" w:rsidRPr="0041498D" w:rsidRDefault="008E1680" w:rsidP="008E1680">
      <w:pPr>
        <w:pStyle w:val="NoSpacing"/>
        <w:rPr>
          <w:rStyle w:val="Strong"/>
          <w:rFonts w:ascii="Book Antiqua" w:hAnsi="Book Antiqua"/>
          <w:b w:val="0"/>
          <w:i/>
          <w:sz w:val="18"/>
          <w:szCs w:val="18"/>
        </w:rPr>
      </w:pPr>
      <w:r w:rsidRPr="0041498D">
        <w:rPr>
          <w:rStyle w:val="Strong"/>
          <w:rFonts w:ascii="Book Antiqua" w:hAnsi="Book Antiqua"/>
          <w:i/>
          <w:sz w:val="18"/>
          <w:szCs w:val="18"/>
        </w:rPr>
        <w:t>Figure 6:</w:t>
      </w:r>
      <w:r w:rsidRPr="0041498D">
        <w:rPr>
          <w:rStyle w:val="Strong"/>
          <w:rFonts w:ascii="Book Antiqua" w:hAnsi="Book Antiqua"/>
          <w:b w:val="0"/>
          <w:i/>
          <w:sz w:val="18"/>
          <w:szCs w:val="18"/>
        </w:rPr>
        <w:t xml:space="preserve">  Graph of Roemer method data from Table 1 omitting the two aberrant values marked #. The 9</w:t>
      </w:r>
      <w:r w:rsidRPr="0041498D">
        <w:rPr>
          <w:rStyle w:val="Strong"/>
          <w:rFonts w:ascii="Book Antiqua" w:hAnsi="Book Antiqua"/>
          <w:b w:val="0"/>
          <w:i/>
          <w:sz w:val="18"/>
          <w:szCs w:val="18"/>
          <w:vertAlign w:val="superscript"/>
        </w:rPr>
        <w:t>th</w:t>
      </w:r>
      <w:r w:rsidRPr="0041498D">
        <w:rPr>
          <w:rStyle w:val="Strong"/>
          <w:rFonts w:ascii="Book Antiqua" w:hAnsi="Book Antiqua"/>
          <w:b w:val="0"/>
          <w:i/>
          <w:sz w:val="18"/>
          <w:szCs w:val="18"/>
        </w:rPr>
        <w:t xml:space="preserve"> point is included in the last datum of 1877. The horizontal axis is the date. The vertical axis is the number of km/s the speed of light was above its present value. A power curve is fitted to the data.</w:t>
      </w:r>
    </w:p>
    <w:p w:rsidR="008E1680" w:rsidRDefault="008E1680" w:rsidP="008E1680">
      <w:pPr>
        <w:pStyle w:val="NoSpacing"/>
        <w:jc w:val="both"/>
        <w:rPr>
          <w:rFonts w:ascii="Book Antiqua" w:hAnsi="Book Antiqua"/>
          <w:sz w:val="20"/>
        </w:rPr>
      </w:pPr>
    </w:p>
    <w:p w:rsidR="00D10A7A" w:rsidRPr="007F536A" w:rsidRDefault="00D10A7A" w:rsidP="00D10A7A">
      <w:pPr>
        <w:pStyle w:val="NoSpacing"/>
        <w:ind w:firstLine="720"/>
        <w:jc w:val="both"/>
        <w:rPr>
          <w:rFonts w:ascii="Book Antiqua" w:hAnsi="Book Antiqua"/>
          <w:sz w:val="20"/>
        </w:rPr>
      </w:pPr>
      <w:r w:rsidRPr="007F536A">
        <w:rPr>
          <w:rFonts w:ascii="Book Antiqua" w:hAnsi="Book Antiqua"/>
          <w:sz w:val="20"/>
        </w:rPr>
        <w:t xml:space="preserve">When treated statistically, the Table 1 values yield the following results: omitting the approximate values of Roemer and Newton, a least squares linear fit to the 9 data points gives a decay of 36.35 km/s per year. When the aberrant values marked # are omitted, the linear fit to the 7 remaining bolded values produces a decay of 28.3 km/s per year with r = -0.945, which is significant at a 99.93% confidence level. Furthermore, the mean of these 7 points is 301,860 km/s which is 2067 km/s above the current value of 299,792.458 km/s. The t-statistic indicates with a confidence of 98.48% that </w:t>
      </w:r>
      <m:oMath>
        <m:r>
          <w:rPr>
            <w:rFonts w:ascii="Cambria Math" w:hAnsi="Cambria Math"/>
            <w:sz w:val="20"/>
          </w:rPr>
          <m:t>c</m:t>
        </m:r>
      </m:oMath>
      <w:r w:rsidRPr="007F536A">
        <w:rPr>
          <w:rFonts w:ascii="Book Antiqua" w:hAnsi="Book Antiqua"/>
          <w:sz w:val="20"/>
        </w:rPr>
        <w:t xml:space="preserve"> has not been constant at the current value during the time covered by these data points. These data are consistent with a slowing trend. This is shown in Figs. 5 and 6 where data are fitted with a polynomial and a power curve. These 7 bolded data, with an A superscripted, have been accepted for the final Table 17.</w:t>
      </w:r>
    </w:p>
    <w:p w:rsidR="00965ABB" w:rsidRPr="007F536A" w:rsidRDefault="00965ABB" w:rsidP="00D10A7A">
      <w:pPr>
        <w:pStyle w:val="NoSpacing"/>
        <w:ind w:firstLine="720"/>
        <w:jc w:val="both"/>
        <w:rPr>
          <w:rFonts w:ascii="Book Antiqua" w:hAnsi="Book Antiqua"/>
          <w:sz w:val="20"/>
        </w:rPr>
      </w:pPr>
    </w:p>
    <w:p w:rsidR="00965ABB" w:rsidRPr="007F536A" w:rsidRDefault="00965ABB" w:rsidP="00965ABB">
      <w:pPr>
        <w:pStyle w:val="NoSpacing"/>
        <w:rPr>
          <w:rFonts w:ascii="Book Antiqua" w:hAnsi="Book Antiqua"/>
          <w:b/>
          <w:bCs/>
          <w:iCs/>
          <w:color w:val="000000"/>
          <w:sz w:val="20"/>
        </w:rPr>
      </w:pPr>
      <w:r w:rsidRPr="007F536A">
        <w:rPr>
          <w:rFonts w:ascii="Book Antiqua" w:hAnsi="Book Antiqua"/>
          <w:b/>
          <w:bCs/>
          <w:iCs/>
          <w:color w:val="000000"/>
          <w:sz w:val="20"/>
        </w:rPr>
        <w:t>Section 2: Bradley and the Aberration  Experiments.</w:t>
      </w:r>
    </w:p>
    <w:p w:rsidR="00965ABB" w:rsidRPr="007F536A" w:rsidRDefault="00965ABB" w:rsidP="00965ABB">
      <w:pPr>
        <w:pStyle w:val="NoSpacing"/>
        <w:jc w:val="center"/>
        <w:rPr>
          <w:rFonts w:ascii="Book Antiqua" w:hAnsi="Book Antiqua"/>
          <w:b/>
          <w:bCs/>
          <w:i/>
          <w:iCs/>
          <w:color w:val="000000"/>
          <w:sz w:val="20"/>
        </w:rPr>
      </w:pPr>
    </w:p>
    <w:p w:rsidR="00965ABB" w:rsidRPr="007F536A" w:rsidRDefault="00965ABB" w:rsidP="00965ABB">
      <w:pPr>
        <w:pStyle w:val="NoSpacing"/>
        <w:jc w:val="both"/>
        <w:rPr>
          <w:rFonts w:ascii="Book Antiqua" w:hAnsi="Book Antiqua"/>
          <w:i/>
          <w:sz w:val="20"/>
        </w:rPr>
      </w:pPr>
      <w:r w:rsidRPr="007F536A">
        <w:rPr>
          <w:rFonts w:ascii="Book Antiqua" w:hAnsi="Book Antiqua"/>
          <w:b/>
          <w:bCs/>
          <w:i/>
          <w:iCs/>
          <w:color w:val="000000"/>
          <w:sz w:val="20"/>
        </w:rPr>
        <w:t>2.1 Parallax and Aberration</w:t>
      </w:r>
    </w:p>
    <w:p w:rsidR="00965ABB" w:rsidRPr="007F536A" w:rsidRDefault="00965ABB" w:rsidP="00965ABB">
      <w:pPr>
        <w:pStyle w:val="NoSpacing"/>
        <w:ind w:left="1080"/>
        <w:rPr>
          <w:rFonts w:ascii="Book Antiqua" w:hAnsi="Book Antiqua"/>
          <w:sz w:val="20"/>
        </w:rPr>
      </w:pPr>
    </w:p>
    <w:p w:rsidR="00D426BC" w:rsidRDefault="00965ABB" w:rsidP="00965ABB">
      <w:pPr>
        <w:pStyle w:val="NoSpacing"/>
        <w:ind w:firstLine="720"/>
        <w:jc w:val="both"/>
        <w:rPr>
          <w:rFonts w:ascii="Book Antiqua" w:hAnsi="Book Antiqua"/>
          <w:sz w:val="20"/>
        </w:rPr>
      </w:pPr>
      <w:r w:rsidRPr="007F536A">
        <w:rPr>
          <w:rFonts w:ascii="Book Antiqua" w:hAnsi="Book Antiqua"/>
          <w:sz w:val="20"/>
        </w:rPr>
        <w:t>If you are looking past a tree, at another tree in the distance, and you move a few feet to the right or the left, it will appear that one of the trees has moved, for they are no longer in the same position relative to each other as they were before.</w:t>
      </w:r>
    </w:p>
    <w:p w:rsidR="00821A88" w:rsidRPr="007F536A" w:rsidRDefault="00821A88" w:rsidP="00965ABB">
      <w:pPr>
        <w:pStyle w:val="NoSpacing"/>
        <w:jc w:val="both"/>
        <w:rPr>
          <w:rFonts w:ascii="Book Antiqua" w:hAnsi="Book Antiqua"/>
          <w:sz w:val="20"/>
        </w:rPr>
      </w:pPr>
    </w:p>
    <w:p w:rsidR="00821A88" w:rsidRPr="007F536A" w:rsidRDefault="00965ABB" w:rsidP="00821A88">
      <w:pPr>
        <w:pStyle w:val="NoSpacing"/>
        <w:ind w:firstLine="720"/>
        <w:jc w:val="both"/>
        <w:rPr>
          <w:rFonts w:ascii="Book Antiqua" w:hAnsi="Book Antiqua"/>
          <w:b/>
          <w:sz w:val="20"/>
        </w:rPr>
      </w:pPr>
      <w:r w:rsidRPr="007F536A">
        <w:rPr>
          <w:rFonts w:ascii="Book Antiqua" w:hAnsi="Book Antiqua"/>
          <w:sz w:val="20"/>
        </w:rPr>
        <w:t>When this is done with stars, the farther star(s) are considered as the unmoving objects and the displacement in the relative position of the nearer object is what is measured.  When this is figured against how far the earth has moved in its orbit during the time of the two</w:t>
      </w:r>
      <w:r w:rsidRPr="007F536A">
        <w:rPr>
          <w:rFonts w:ascii="Book Antiqua" w:hAnsi="Book Antiqua"/>
          <w:b/>
          <w:sz w:val="20"/>
        </w:rPr>
        <w:t xml:space="preserve"> </w:t>
      </w:r>
      <w:r w:rsidRPr="007F536A">
        <w:rPr>
          <w:rFonts w:ascii="Book Antiqua" w:hAnsi="Book Antiqua"/>
          <w:sz w:val="20"/>
        </w:rPr>
        <w:t>measurements, it is mathematically</w:t>
      </w:r>
      <w:r w:rsidRPr="007F536A">
        <w:rPr>
          <w:rFonts w:ascii="Book Antiqua" w:hAnsi="Book Antiqua"/>
          <w:b/>
          <w:sz w:val="20"/>
        </w:rPr>
        <w:t xml:space="preserve"> </w:t>
      </w:r>
      <w:r w:rsidRPr="007F536A">
        <w:rPr>
          <w:rFonts w:ascii="Book Antiqua" w:hAnsi="Book Antiqua"/>
          <w:sz w:val="20"/>
        </w:rPr>
        <w:t>possible to figure out how far away the nearer object is.   This is called parallax.</w:t>
      </w:r>
      <w:r w:rsidR="00D426BC">
        <w:rPr>
          <w:rFonts w:ascii="Book Antiqua" w:hAnsi="Book Antiqua"/>
          <w:sz w:val="20"/>
        </w:rPr>
        <w:t xml:space="preserve"> </w:t>
      </w:r>
      <w:r w:rsidR="00821A88" w:rsidRPr="007F536A">
        <w:rPr>
          <w:rFonts w:ascii="Book Antiqua" w:hAnsi="Book Antiqua"/>
          <w:sz w:val="20"/>
        </w:rPr>
        <w:t>Parallax only works for objects relatively close to us, but it is a known phenomenon and can be mathematically worked with</w:t>
      </w:r>
      <w:r w:rsidR="00821A88" w:rsidRPr="007F536A">
        <w:rPr>
          <w:rFonts w:ascii="Book Antiqua" w:hAnsi="Book Antiqua"/>
          <w:b/>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Aberration is a type of measurement that also is based on movement, but it is measuring something different.  An everyday example is that when we walk through vertically falling rain with an umbrella, the faster we walk, the more we have to tilt the umbrella as the rain appears to come at us from an increasing angle (see Figure 7). Knowing how fast we are walking and measuring the rain’s angle then tells us how fast the rain is falling. If we walk at a constant rate, then this simple trigonometric relationship tells us that the rain’s speed multiplied by the angle is always a constant value, no matter what the rain does. If the rain falls faster, the angle gets less. If the rain falls more slowly, the angle gets greater. If the walking speed is fixed or constant, then we may write it this way:</w:t>
      </w:r>
    </w:p>
    <w:p w:rsidR="00821A88" w:rsidRPr="007F536A" w:rsidRDefault="00821A88" w:rsidP="00821A88">
      <w:pPr>
        <w:pStyle w:val="NoSpacing"/>
        <w:jc w:val="both"/>
        <w:rPr>
          <w:rFonts w:ascii="Book Antiqua" w:hAnsi="Book Antiqua"/>
          <w:sz w:val="20"/>
        </w:rPr>
      </w:pPr>
    </w:p>
    <w:p w:rsidR="00821A88" w:rsidRPr="007F536A" w:rsidRDefault="00241D2F" w:rsidP="00821A88">
      <w:pPr>
        <w:pStyle w:val="NoSpacing"/>
        <w:jc w:val="right"/>
        <w:rPr>
          <w:rFonts w:ascii="Book Antiqua" w:hAnsi="Book Antiqua"/>
          <w:sz w:val="20"/>
        </w:rPr>
      </w:pPr>
      <m:oMath>
        <m:d>
          <m:dPr>
            <m:ctrlPr>
              <w:rPr>
                <w:rFonts w:ascii="Cambria Math" w:hAnsi="Book Antiqua"/>
                <w:i/>
                <w:sz w:val="20"/>
              </w:rPr>
            </m:ctrlPr>
          </m:dPr>
          <m:e>
            <m:r>
              <w:rPr>
                <w:rFonts w:ascii="Cambria Math" w:hAnsi="Cambria Math"/>
                <w:sz w:val="20"/>
              </w:rPr>
              <m:t>angle</m:t>
            </m:r>
          </m:e>
        </m:d>
        <m:r>
          <w:rPr>
            <w:rFonts w:ascii="Cambria Math" w:hAnsi="Cambria Math"/>
            <w:sz w:val="20"/>
          </w:rPr>
          <m:t>x</m:t>
        </m:r>
        <m:r>
          <w:rPr>
            <w:rFonts w:ascii="Cambria Math" w:hAnsi="Book Antiqua"/>
            <w:sz w:val="20"/>
          </w:rPr>
          <m:t xml:space="preserve"> </m:t>
        </m:r>
        <m:d>
          <m:dPr>
            <m:ctrlPr>
              <w:rPr>
                <w:rFonts w:ascii="Cambria Math" w:hAnsi="Book Antiqua"/>
                <w:i/>
                <w:sz w:val="20"/>
              </w:rPr>
            </m:ctrlPr>
          </m:dPr>
          <m:e>
            <m:r>
              <w:rPr>
                <w:rFonts w:ascii="Cambria Math" w:hAnsi="Cambria Math"/>
                <w:sz w:val="20"/>
              </w:rPr>
              <m:t>rain</m:t>
            </m:r>
            <m:r>
              <w:rPr>
                <w:rFonts w:ascii="Cambria Math" w:hAnsi="Book Antiqua"/>
                <w:sz w:val="20"/>
              </w:rPr>
              <m:t xml:space="preserve"> </m:t>
            </m:r>
            <m:r>
              <w:rPr>
                <w:rFonts w:ascii="Cambria Math" w:hAnsi="Cambria Math"/>
                <w:sz w:val="20"/>
              </w:rPr>
              <m:t>speed</m:t>
            </m:r>
          </m:e>
        </m:d>
        <m:r>
          <w:rPr>
            <w:rFonts w:ascii="Cambria Math" w:hAnsi="Book Antiqua"/>
            <w:sz w:val="20"/>
          </w:rPr>
          <m:t>=</m:t>
        </m:r>
        <m:r>
          <w:rPr>
            <w:rFonts w:ascii="Cambria Math" w:hAnsi="Cambria Math"/>
            <w:sz w:val="20"/>
          </w:rPr>
          <m:t>constant</m:t>
        </m:r>
        <m:r>
          <w:rPr>
            <w:rFonts w:ascii="Cambria Math" w:hAnsi="Book Antiqua"/>
            <w:sz w:val="20"/>
          </w:rPr>
          <m:t>=</m:t>
        </m:r>
        <m:r>
          <w:rPr>
            <w:rFonts w:ascii="Cambria Math" w:hAnsi="Cambria Math"/>
            <w:sz w:val="20"/>
          </w:rPr>
          <m:t>Q</m:t>
        </m:r>
      </m:oMath>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In other words,</w:t>
      </w:r>
      <m:oMath>
        <m:r>
          <w:rPr>
            <w:rFonts w:ascii="Cambria Math" w:hAnsi="Book Antiqua"/>
            <w:sz w:val="20"/>
          </w:rPr>
          <m:t xml:space="preserve"> </m:t>
        </m:r>
        <m:r>
          <w:rPr>
            <w:rFonts w:ascii="Cambria Math" w:hAnsi="Cambria Math"/>
            <w:sz w:val="20"/>
          </w:rPr>
          <m:t>Q</m:t>
        </m:r>
      </m:oMath>
      <w:r w:rsidRPr="007F536A">
        <w:rPr>
          <w:rFonts w:ascii="Book Antiqua" w:hAnsi="Book Antiqua"/>
          <w:sz w:val="20"/>
        </w:rPr>
        <w:t xml:space="preserve"> is a constant for any given walking speed. This means that, for a fixed walking speed, if the rainspeed dropped the angle must increase since </w:t>
      </w:r>
      <m:oMath>
        <m:r>
          <w:rPr>
            <w:rFonts w:ascii="Cambria Math" w:hAnsi="Cambria Math"/>
            <w:sz w:val="20"/>
          </w:rPr>
          <m:t>Q</m:t>
        </m:r>
      </m:oMath>
      <w:r w:rsidRPr="007F536A">
        <w:rPr>
          <w:rFonts w:ascii="Book Antiqua" w:hAnsi="Book Antiqua"/>
          <w:sz w:val="20"/>
        </w:rPr>
        <w:t xml:space="preserve"> was fixed. </w:t>
      </w:r>
    </w:p>
    <w:p w:rsidR="00821A88" w:rsidRPr="007F536A" w:rsidRDefault="00821A88" w:rsidP="00821A88">
      <w:pPr>
        <w:pStyle w:val="NoSpacing"/>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On earth, we have a north pole, a south pole, and an equator.  Our longitude and latitude lines are drawn in accordance with these.  We do approximately the same thing with outer space.  The circle the earth makes as it goes around the sun is the space “equator” plane.  Our north is then used as the north for space as well, so that everything above our orbital plane is north and everything below it is south.  We cannot really call it ‘above’ and ‘below,’ but we simply use the earth’s north as above and south as below for convenience.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4038600" cy="3305175"/>
            <wp:effectExtent l="19050" t="0" r="0" b="0"/>
            <wp:docPr id="29" name="il_fi" descr="Bra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radley"/>
                    <pic:cNvPicPr>
                      <a:picLocks noChangeAspect="1" noChangeArrowheads="1"/>
                    </pic:cNvPicPr>
                  </pic:nvPicPr>
                  <pic:blipFill>
                    <a:blip r:embed="rId89" cstate="print">
                      <a:lum/>
                    </a:blip>
                    <a:srcRect/>
                    <a:stretch>
                      <a:fillRect/>
                    </a:stretch>
                  </pic:blipFill>
                  <pic:spPr bwMode="auto">
                    <a:xfrm>
                      <a:off x="0" y="0"/>
                      <a:ext cx="4034458" cy="330178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b/>
          <w:sz w:val="20"/>
        </w:rPr>
      </w:pPr>
    </w:p>
    <w:p w:rsidR="00821A88" w:rsidRPr="0041498D" w:rsidRDefault="00821A88" w:rsidP="00821A88">
      <w:pPr>
        <w:pStyle w:val="NoSpacing"/>
        <w:rPr>
          <w:rFonts w:ascii="Book Antiqua" w:hAnsi="Book Antiqua"/>
          <w:i/>
          <w:sz w:val="18"/>
          <w:szCs w:val="18"/>
        </w:rPr>
      </w:pPr>
      <w:r w:rsidRPr="00B65E31">
        <w:rPr>
          <w:rFonts w:ascii="Book Antiqua" w:hAnsi="Book Antiqua"/>
          <w:b/>
          <w:i/>
          <w:sz w:val="18"/>
          <w:szCs w:val="18"/>
        </w:rPr>
        <w:t>Figure 7:</w:t>
      </w:r>
      <w:r w:rsidRPr="0041498D">
        <w:rPr>
          <w:rFonts w:ascii="Book Antiqua" w:hAnsi="Book Antiqua"/>
          <w:i/>
          <w:sz w:val="18"/>
          <w:szCs w:val="18"/>
        </w:rPr>
        <w:t xml:space="preserve"> Aberration angle of rain and starlight compared. TOP: When standing still, the rain is falling vertically. When running, the rain appears to slope towards you and the umbrella must be tilted forward to compensate. BOTTOM: If the telescope is stationary, light photons come from a specified angle. If the telescope is moving, the angle changes so that the photons appear to be sloping more towards the observer.</w:t>
      </w:r>
    </w:p>
    <w:p w:rsidR="00D426BC" w:rsidRPr="007F536A" w:rsidRDefault="00D426BC"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earth moving around the sun at a constant speed is like the person walking through the rain.  Starlight, which would normally be considered to be coming straight down, can be measured with a transit instrument as coming at one angle at a given time of year. Then, 6 months later, the opposite angle is measured for the vertically falling starlight. This is called the aberration of light.  Knowing how fast the earth is going and the angle of the light (from the relative position of the star, which changes as we move in our orbit), the speed of light can then be measured.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3667852" cy="2905125"/>
            <wp:effectExtent l="19050" t="0" r="8798" b="0"/>
            <wp:docPr id="30" name="il_fi" descr="aber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berration"/>
                    <pic:cNvPicPr>
                      <a:picLocks noChangeAspect="1" noChangeArrowheads="1"/>
                    </pic:cNvPicPr>
                  </pic:nvPicPr>
                  <pic:blipFill>
                    <a:blip r:embed="rId90" cstate="print"/>
                    <a:srcRect/>
                    <a:stretch>
                      <a:fillRect/>
                    </a:stretch>
                  </pic:blipFill>
                  <pic:spPr bwMode="auto">
                    <a:xfrm>
                      <a:off x="0" y="0"/>
                      <a:ext cx="3673912" cy="290992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821A88">
      <w:pPr>
        <w:pStyle w:val="NoSpacing"/>
        <w:rPr>
          <w:rFonts w:ascii="Book Antiqua" w:hAnsi="Book Antiqua"/>
          <w:i/>
          <w:sz w:val="20"/>
        </w:rPr>
      </w:pPr>
      <w:r w:rsidRPr="00B65E31">
        <w:rPr>
          <w:rFonts w:ascii="Book Antiqua" w:hAnsi="Book Antiqua"/>
          <w:b/>
          <w:i/>
          <w:sz w:val="18"/>
          <w:szCs w:val="18"/>
        </w:rPr>
        <w:t>Figure 8:</w:t>
      </w:r>
      <w:r w:rsidRPr="00B65E31">
        <w:rPr>
          <w:rFonts w:ascii="Book Antiqua" w:hAnsi="Book Antiqua"/>
          <w:i/>
          <w:sz w:val="18"/>
          <w:szCs w:val="18"/>
        </w:rPr>
        <w:t xml:space="preserve"> The direction of photons from a star (dashed arrows) appears to change to the solid arrows due to the motion of the earth around the sun. This change in angle can be measured by our telescopes</w:t>
      </w:r>
      <w:r w:rsidRPr="00B65E31">
        <w:rPr>
          <w:rFonts w:ascii="Book Antiqua" w:hAnsi="Book Antiqua"/>
          <w:i/>
          <w:sz w:val="20"/>
        </w:rPr>
        <w:t>.</w:t>
      </w:r>
    </w:p>
    <w:p w:rsidR="001F0E65" w:rsidRPr="007F536A" w:rsidRDefault="001F0E65" w:rsidP="00821A88">
      <w:pPr>
        <w:pStyle w:val="NoSpacing"/>
        <w:ind w:left="1080"/>
        <w:rPr>
          <w:rFonts w:ascii="Book Antiqua" w:hAnsi="Book Antiqua"/>
          <w:i/>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6" w:name="BC"/>
      <w:bookmarkEnd w:id="36"/>
      <w:r w:rsidRPr="007F536A">
        <w:rPr>
          <w:rStyle w:val="Strong"/>
          <w:rFonts w:ascii="Book Antiqua" w:hAnsi="Book Antiqua"/>
          <w:b w:val="0"/>
          <w:i/>
          <w:sz w:val="20"/>
        </w:rPr>
        <w:t>James Bradley’s Circumstances</w:t>
      </w: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1885950" cy="2048933"/>
            <wp:effectExtent l="19050" t="0" r="0" b="0"/>
            <wp:docPr id="31" name="il_fi" descr="http://micro.magnet.fsu.edu/optics/timeline/people/antiqueimages/bra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bradley.jpg"/>
                    <pic:cNvPicPr>
                      <a:picLocks noChangeAspect="1" noChangeArrowheads="1"/>
                    </pic:cNvPicPr>
                  </pic:nvPicPr>
                  <pic:blipFill>
                    <a:blip r:embed="rId91" cstate="print"/>
                    <a:srcRect t="6082" r="2891" b="27014"/>
                    <a:stretch>
                      <a:fillRect/>
                    </a:stretch>
                  </pic:blipFill>
                  <pic:spPr bwMode="auto">
                    <a:xfrm>
                      <a:off x="0" y="0"/>
                      <a:ext cx="1885950" cy="2048933"/>
                    </a:xfrm>
                    <a:prstGeom prst="rect">
                      <a:avLst/>
                    </a:prstGeom>
                    <a:noFill/>
                    <a:ln w="9525">
                      <a:noFill/>
                      <a:miter lim="800000"/>
                      <a:headEnd/>
                      <a:tailEnd/>
                    </a:ln>
                  </pic:spPr>
                </pic:pic>
              </a:graphicData>
            </a:graphic>
          </wp:inline>
        </w:drawing>
      </w:r>
    </w:p>
    <w:p w:rsidR="00821A88" w:rsidRPr="00B65E31" w:rsidRDefault="00821A88" w:rsidP="00821A88">
      <w:pPr>
        <w:pStyle w:val="NoSpacing"/>
        <w:jc w:val="center"/>
        <w:rPr>
          <w:rFonts w:ascii="Book Antiqua" w:hAnsi="Book Antiqua"/>
          <w:sz w:val="20"/>
        </w:rPr>
      </w:pPr>
    </w:p>
    <w:p w:rsidR="00821A88" w:rsidRPr="00AB0CD2" w:rsidRDefault="00821A88" w:rsidP="00541F83">
      <w:pPr>
        <w:pStyle w:val="NoSpacing"/>
        <w:jc w:val="center"/>
        <w:rPr>
          <w:rFonts w:ascii="Book Antiqua" w:hAnsi="Book Antiqua"/>
          <w:i/>
          <w:sz w:val="18"/>
          <w:szCs w:val="18"/>
        </w:rPr>
      </w:pPr>
      <w:r w:rsidRPr="00AB0CD2">
        <w:rPr>
          <w:rFonts w:ascii="Book Antiqua" w:hAnsi="Book Antiqua"/>
          <w:b/>
          <w:i/>
          <w:sz w:val="18"/>
          <w:szCs w:val="18"/>
        </w:rPr>
        <w:t>Figure 9:</w:t>
      </w:r>
      <w:r w:rsidRPr="00AB0CD2">
        <w:rPr>
          <w:rFonts w:ascii="Book Antiqua" w:hAnsi="Book Antiqua"/>
          <w:i/>
          <w:sz w:val="18"/>
          <w:szCs w:val="18"/>
        </w:rPr>
        <w:t xml:space="preserve"> James Bradley (1693-1762).</w:t>
      </w:r>
    </w:p>
    <w:p w:rsidR="00965ABB" w:rsidRPr="007F536A" w:rsidRDefault="00965ABB"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James Bradley was born in 1693, and educated at Balliol College, Oxford [40]. His astronomical instructor was one of the finest of that period in England -- his uncle, the Rev. James Pound. In 1717, Edmond Halley ushered him into the scientific world and by 1721 Bradley had been appointed to the Savilian chair of astronomy at Oxford. He also lectured in experimental philosophy from 1729 until 1760. Upon the death of Halley in 1742, Bradley succeeded to his position as Astronomer Royal.</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At that time, the Copernican theory of the earth and planets orbiting the sun was still the subject of some debate. If the idea was correct, the new telescopes held the promise of being able to pick up the apparent displacement of the nearer stars relative to the more distant stars of the stellar background as the earth moved in its orbit. </w:t>
      </w:r>
      <w:r w:rsidR="00F64A8E">
        <w:rPr>
          <w:rFonts w:ascii="Book Antiqua" w:hAnsi="Book Antiqua"/>
          <w:sz w:val="20"/>
        </w:rPr>
        <w:t xml:space="preserve">For this, parallax could be employed.  About 1671, </w:t>
      </w:r>
      <w:r w:rsidRPr="007F536A">
        <w:rPr>
          <w:rFonts w:ascii="Book Antiqua" w:hAnsi="Book Antiqua"/>
          <w:sz w:val="20"/>
        </w:rPr>
        <w:t>Picard</w:t>
      </w:r>
      <w:r w:rsidR="00F64A8E">
        <w:rPr>
          <w:rFonts w:ascii="Book Antiqua" w:hAnsi="Book Antiqua"/>
          <w:sz w:val="20"/>
        </w:rPr>
        <w:t xml:space="preserve"> </w:t>
      </w:r>
      <w:r w:rsidRPr="007F536A">
        <w:rPr>
          <w:rFonts w:ascii="Book Antiqua" w:hAnsi="Book Antiqua"/>
          <w:sz w:val="20"/>
        </w:rPr>
        <w:t xml:space="preserve">had noticed annual variations in the position of the pole star but hesitated to attribute them to parallax or refraction [41]. Hooke in 1674 and Flamsteed from 1689 to 1697 decided that parallax was the </w:t>
      </w:r>
      <w:r w:rsidRPr="007F536A">
        <w:rPr>
          <w:rFonts w:ascii="Book Antiqua" w:hAnsi="Book Antiqua"/>
          <w:sz w:val="20"/>
        </w:rPr>
        <w:lastRenderedPageBreak/>
        <w:t>cause. However, Cassini the Younger and Manfredi, around 1699, carefully noted that the observed variation was opposite to that required for parallax.</w:t>
      </w:r>
    </w:p>
    <w:p w:rsidR="00B64F93" w:rsidRDefault="00B64F93" w:rsidP="00821A88">
      <w:pPr>
        <w:pStyle w:val="NoSpacing"/>
        <w:ind w:firstLine="720"/>
        <w:jc w:val="both"/>
        <w:rPr>
          <w:rFonts w:ascii="Book Antiqua" w:hAnsi="Book Antiqua"/>
          <w:sz w:val="20"/>
        </w:rPr>
      </w:pPr>
    </w:p>
    <w:p w:rsidR="00B64F93" w:rsidRPr="007F536A" w:rsidRDefault="00B64F93" w:rsidP="00821A88">
      <w:pPr>
        <w:pStyle w:val="NoSpacing"/>
        <w:ind w:firstLine="720"/>
        <w:jc w:val="both"/>
        <w:rPr>
          <w:rFonts w:ascii="Book Antiqua" w:hAnsi="Book Antiqua"/>
          <w:sz w:val="20"/>
        </w:rPr>
      </w:pPr>
      <w:r>
        <w:rPr>
          <w:rFonts w:ascii="Book Antiqua" w:hAnsi="Book Antiqua"/>
          <w:sz w:val="20"/>
        </w:rPr>
        <w:t xml:space="preserve">(Note: </w:t>
      </w:r>
      <w:r w:rsidRPr="00B64F93">
        <w:rPr>
          <w:rFonts w:ascii="Book Antiqua" w:hAnsi="Book Antiqua"/>
          <w:sz w:val="20"/>
        </w:rPr>
        <w:t xml:space="preserve">By definition, </w:t>
      </w:r>
      <w:r>
        <w:rPr>
          <w:rFonts w:ascii="Book Antiqua" w:hAnsi="Book Antiqua"/>
          <w:sz w:val="20"/>
        </w:rPr>
        <w:t xml:space="preserve">an arc second is denoted by 1”; </w:t>
      </w:r>
      <w:r w:rsidRPr="00B64F93">
        <w:rPr>
          <w:rFonts w:ascii="Book Antiqua" w:hAnsi="Book Antiqua"/>
          <w:sz w:val="20"/>
        </w:rPr>
        <w:t xml:space="preserve">60 arc seconds total </w:t>
      </w:r>
      <w:r w:rsidR="00CA385E">
        <w:rPr>
          <w:rFonts w:ascii="Book Antiqua" w:hAnsi="Book Antiqua"/>
          <w:sz w:val="20"/>
        </w:rPr>
        <w:t>one</w:t>
      </w:r>
      <w:r w:rsidRPr="00B64F93">
        <w:rPr>
          <w:rFonts w:ascii="Book Antiqua" w:hAnsi="Book Antiqua"/>
          <w:sz w:val="20"/>
        </w:rPr>
        <w:t xml:space="preserve"> arc minute</w:t>
      </w:r>
      <w:r>
        <w:rPr>
          <w:rFonts w:ascii="Book Antiqua" w:hAnsi="Book Antiqua"/>
          <w:sz w:val="20"/>
        </w:rPr>
        <w:t xml:space="preserve">, </w:t>
      </w:r>
      <w:r w:rsidRPr="00B64F93">
        <w:rPr>
          <w:rFonts w:ascii="Book Antiqua" w:hAnsi="Book Antiqua"/>
          <w:sz w:val="20"/>
        </w:rPr>
        <w:t>written 1’</w:t>
      </w:r>
      <w:proofErr w:type="gramStart"/>
      <w:r>
        <w:rPr>
          <w:rFonts w:ascii="Book Antiqua" w:hAnsi="Book Antiqua"/>
          <w:sz w:val="20"/>
        </w:rPr>
        <w:t xml:space="preserve">; </w:t>
      </w:r>
      <w:r w:rsidRPr="00B64F93">
        <w:rPr>
          <w:rFonts w:ascii="Book Antiqua" w:hAnsi="Book Antiqua"/>
          <w:sz w:val="20"/>
        </w:rPr>
        <w:t xml:space="preserve"> while</w:t>
      </w:r>
      <w:proofErr w:type="gramEnd"/>
      <w:r w:rsidRPr="00B64F93">
        <w:rPr>
          <w:rFonts w:ascii="Book Antiqua" w:hAnsi="Book Antiqua"/>
          <w:sz w:val="20"/>
        </w:rPr>
        <w:t xml:space="preserve"> 60 arc minutes equal </w:t>
      </w:r>
      <w:r w:rsidR="00CA385E">
        <w:rPr>
          <w:rFonts w:ascii="Book Antiqua" w:hAnsi="Book Antiqua"/>
          <w:sz w:val="20"/>
        </w:rPr>
        <w:t>one</w:t>
      </w:r>
      <w:r w:rsidRPr="00B64F93">
        <w:rPr>
          <w:rFonts w:ascii="Book Antiqua" w:hAnsi="Book Antiqua"/>
          <w:sz w:val="20"/>
        </w:rPr>
        <w:t xml:space="preserve"> degree</w:t>
      </w:r>
      <w:r>
        <w:rPr>
          <w:rFonts w:ascii="Book Antiqua" w:hAnsi="Book Antiqua"/>
          <w:sz w:val="20"/>
        </w:rPr>
        <w:t>,</w:t>
      </w:r>
      <w:r w:rsidRPr="00B64F93">
        <w:rPr>
          <w:rFonts w:ascii="Book Antiqua" w:hAnsi="Book Antiqua"/>
          <w:sz w:val="20"/>
        </w:rPr>
        <w:t xml:space="preserve"> </w:t>
      </w:r>
      <w:r w:rsidR="00CA385E">
        <w:rPr>
          <w:rFonts w:ascii="Book Antiqua" w:hAnsi="Book Antiqua"/>
          <w:sz w:val="20"/>
        </w:rPr>
        <w:t xml:space="preserve">written as </w:t>
      </w:r>
      <m:oMath>
        <m:sSup>
          <m:sSupPr>
            <m:ctrlPr>
              <w:rPr>
                <w:rFonts w:ascii="Cambria Math" w:hAnsi="Book Antiqua"/>
                <w:i/>
                <w:sz w:val="20"/>
              </w:rPr>
            </m:ctrlPr>
          </m:sSupPr>
          <m:e>
            <m:r>
              <w:rPr>
                <w:rFonts w:ascii="Cambria Math" w:hAnsi="Book Antiqua"/>
                <w:sz w:val="20"/>
              </w:rPr>
              <m:t>1</m:t>
            </m:r>
          </m:e>
          <m:sup>
            <m:r>
              <w:rPr>
                <w:rFonts w:ascii="Cambria Math" w:hAnsi="Book Antiqua"/>
                <w:sz w:val="20"/>
              </w:rPr>
              <m:t>0</m:t>
            </m:r>
          </m:sup>
        </m:sSup>
      </m:oMath>
      <w:r w:rsidRPr="00B64F93">
        <w:rPr>
          <w:rFonts w:ascii="Book Antiqua" w:hAnsi="Book Antiqua"/>
          <w:sz w:val="20"/>
        </w:rPr>
        <w:t>. A full circle comprises 360 degrees.</w:t>
      </w:r>
      <w:r>
        <w:rPr>
          <w:rFonts w:ascii="Book Antiqua" w:hAnsi="Book Antiqua"/>
          <w:sz w:val="20"/>
        </w:rPr>
        <w:t>)</w:t>
      </w:r>
    </w:p>
    <w:p w:rsidR="00821A88" w:rsidRPr="007F536A" w:rsidRDefault="00821A88" w:rsidP="00821A88">
      <w:pPr>
        <w:pStyle w:val="NoSpacing"/>
        <w:jc w:val="both"/>
        <w:rPr>
          <w:rFonts w:ascii="Book Antiqua" w:hAnsi="Book Antiqua"/>
          <w:sz w:val="20"/>
        </w:rPr>
      </w:pPr>
      <w:bookmarkStart w:id="37" w:name="OB"/>
      <w:bookmarkEnd w:id="37"/>
    </w:p>
    <w:p w:rsidR="00821A88" w:rsidRPr="007F536A" w:rsidRDefault="00821A88" w:rsidP="00821A88">
      <w:pPr>
        <w:pStyle w:val="NoSpacing"/>
        <w:numPr>
          <w:ilvl w:val="1"/>
          <w:numId w:val="22"/>
        </w:numPr>
        <w:jc w:val="both"/>
        <w:rPr>
          <w:rFonts w:ascii="Book Antiqua" w:hAnsi="Book Antiqua"/>
          <w:i/>
          <w:sz w:val="20"/>
        </w:rPr>
      </w:pPr>
      <w:r w:rsidRPr="007F536A">
        <w:rPr>
          <w:rFonts w:ascii="Book Antiqua" w:hAnsi="Book Antiqua"/>
          <w:i/>
          <w:sz w:val="20"/>
        </w:rPr>
        <w:t>Observing with Bradley</w:t>
      </w:r>
    </w:p>
    <w:p w:rsidR="00821A88" w:rsidRPr="007F536A" w:rsidRDefault="00821A88" w:rsidP="00821A88">
      <w:pPr>
        <w:pStyle w:val="NoSpacing"/>
        <w:ind w:left="108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December of 1725, Samuel Molyneux decided to settle the question of parallax and started observing at Kew with an excellent instrument built by the famous mechanic George Graham. He chose the star Gamma [γ] Draconis since it passed overhead and no correction was needed for refraction. He looked at the star on December 3, 5, 11, and 12 and was joined by Bradley on the 17th. Bradley noted the star was further south on this occasion than Molyneux observed it. Suspecting an instrumental error, he observed again on the 20th. It was even further south than on the 17th. They noted that it was in the opposite sense to what parallax predicted, as well as being at the time of the year when parallax changes would be expected to be minimal [42].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213185" cy="1981200"/>
            <wp:effectExtent l="19050" t="0" r="0" b="0"/>
            <wp:docPr id="1504" name="Picture 1407" descr="http://upload.wikimedia.org/wikipedia/commons/d/d7/Gamma_draco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http://upload.wikimedia.org/wikipedia/commons/d/d7/Gamma_draconis.JPG"/>
                    <pic:cNvPicPr>
                      <a:picLocks noChangeAspect="1" noChangeArrowheads="1"/>
                    </pic:cNvPicPr>
                  </pic:nvPicPr>
                  <pic:blipFill>
                    <a:blip r:embed="rId92" cstate="print"/>
                    <a:srcRect/>
                    <a:stretch>
                      <a:fillRect/>
                    </a:stretch>
                  </pic:blipFill>
                  <pic:spPr bwMode="auto">
                    <a:xfrm>
                      <a:off x="0" y="0"/>
                      <a:ext cx="4213185" cy="198120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541F83">
      <w:pPr>
        <w:pStyle w:val="NoSpacing"/>
        <w:jc w:val="center"/>
        <w:rPr>
          <w:rFonts w:ascii="Book Antiqua" w:hAnsi="Book Antiqua"/>
          <w:i/>
          <w:sz w:val="18"/>
          <w:szCs w:val="18"/>
        </w:rPr>
      </w:pPr>
      <w:r w:rsidRPr="00B65E31">
        <w:rPr>
          <w:rFonts w:ascii="Book Antiqua" w:hAnsi="Book Antiqua"/>
          <w:b/>
          <w:i/>
          <w:sz w:val="18"/>
          <w:szCs w:val="18"/>
        </w:rPr>
        <w:t>Figure 10:</w:t>
      </w:r>
      <w:r w:rsidRPr="00B65E31">
        <w:rPr>
          <w:rFonts w:ascii="Book Antiqua" w:hAnsi="Book Antiqua"/>
          <w:i/>
          <w:sz w:val="18"/>
          <w:szCs w:val="18"/>
        </w:rPr>
        <w:t xml:space="preserve"> Bradley's data on the north-south component of the aberration of γ-Draconis in 1726-1727 establishing stellar aberration</w:t>
      </w:r>
    </w:p>
    <w:p w:rsidR="00D426BC" w:rsidRDefault="00D426BC" w:rsidP="00965ABB">
      <w:pPr>
        <w:pStyle w:val="NoSpacing"/>
        <w:ind w:firstLine="720"/>
        <w:jc w:val="both"/>
        <w:rPr>
          <w:rFonts w:ascii="Book Antiqua" w:hAnsi="Book Antiqua"/>
          <w:sz w:val="20"/>
        </w:rPr>
      </w:pPr>
    </w:p>
    <w:p w:rsidR="00965ABB" w:rsidRPr="007F536A" w:rsidRDefault="00965ABB" w:rsidP="00965ABB">
      <w:pPr>
        <w:pStyle w:val="NoSpacing"/>
        <w:ind w:firstLine="720"/>
        <w:jc w:val="both"/>
        <w:rPr>
          <w:rFonts w:ascii="Book Antiqua" w:hAnsi="Book Antiqua"/>
          <w:sz w:val="20"/>
        </w:rPr>
      </w:pPr>
      <w:r w:rsidRPr="007F536A">
        <w:rPr>
          <w:rFonts w:ascii="Book Antiqua" w:hAnsi="Book Antiqua"/>
          <w:sz w:val="20"/>
        </w:rPr>
        <w:t>After continued observation and equipment testing, it was concluded that the effect was not instrumental. The star stopped its southerly movement about the beginning of March 1726 when it was found to be about twenty seconds of arc</w:t>
      </w:r>
      <w:r w:rsidR="00B64F93">
        <w:rPr>
          <w:rFonts w:ascii="Book Antiqua" w:hAnsi="Book Antiqua"/>
          <w:sz w:val="20"/>
        </w:rPr>
        <w:t>,</w:t>
      </w:r>
      <w:r w:rsidRPr="007F536A">
        <w:rPr>
          <w:rFonts w:ascii="Book Antiqua" w:hAnsi="Book Antiqua"/>
          <w:sz w:val="20"/>
        </w:rPr>
        <w:t xml:space="preserve">  </w:t>
      </w:r>
      <m:oMath>
        <m:r>
          <w:rPr>
            <w:rFonts w:ascii="Cambria Math" w:hAnsi="Book Antiqua"/>
            <w:sz w:val="20"/>
          </w:rPr>
          <m:t>20</m:t>
        </m:r>
        <m:r>
          <w:rPr>
            <w:rFonts w:ascii="Book Antiqua" w:hAnsi="Book Antiqua"/>
            <w:sz w:val="20"/>
          </w:rPr>
          <m:t>”</m:t>
        </m:r>
      </m:oMath>
      <w:r w:rsidR="00B64F93">
        <w:rPr>
          <w:rFonts w:ascii="Book Antiqua" w:hAnsi="Book Antiqua"/>
          <w:sz w:val="20"/>
        </w:rPr>
        <w:t>,</w:t>
      </w:r>
      <w:r w:rsidRPr="007F536A">
        <w:rPr>
          <w:rFonts w:ascii="Book Antiqua" w:hAnsi="Book Antiqua"/>
          <w:sz w:val="20"/>
        </w:rPr>
        <w:t xml:space="preserve"> further south than in December. The star’s declination then started to increase, moving northward. By June it had returned to the December value. This motion continued until it again became stationary in September, differing by 39” from its March value. By December 1726, it had returned to its original position. The sequence is plotted in Figure 10.</w:t>
      </w:r>
    </w:p>
    <w:p w:rsidR="00965ABB" w:rsidRPr="007F536A" w:rsidRDefault="00965ABB" w:rsidP="00821A88">
      <w:pPr>
        <w:pStyle w:val="NoSpacing"/>
        <w:ind w:firstLine="720"/>
        <w:jc w:val="both"/>
        <w:rPr>
          <w:rFonts w:ascii="Book Antiqua" w:hAnsi="Book Antiqua"/>
          <w:sz w:val="20"/>
        </w:rPr>
      </w:pPr>
    </w:p>
    <w:p w:rsidR="00821A88" w:rsidRPr="007F536A" w:rsidRDefault="00B64F93" w:rsidP="00821A88">
      <w:pPr>
        <w:pStyle w:val="NoSpacing"/>
        <w:ind w:firstLine="720"/>
        <w:jc w:val="both"/>
        <w:rPr>
          <w:rFonts w:ascii="Book Antiqua" w:hAnsi="Book Antiqua"/>
          <w:sz w:val="20"/>
        </w:rPr>
      </w:pPr>
      <w:r>
        <w:rPr>
          <w:rFonts w:ascii="Book Antiqua" w:hAnsi="Book Antiqua"/>
          <w:sz w:val="20"/>
        </w:rPr>
        <w:t>B</w:t>
      </w:r>
      <w:r w:rsidRPr="007F536A">
        <w:rPr>
          <w:rFonts w:ascii="Book Antiqua" w:hAnsi="Book Antiqua"/>
          <w:sz w:val="20"/>
        </w:rPr>
        <w:t>ecause of the immense distances involved, the annual parallax effect is about 100 times smaller for even the nearer stars.</w:t>
      </w:r>
      <w:r>
        <w:rPr>
          <w:rFonts w:ascii="Book Antiqua" w:hAnsi="Book Antiqua"/>
          <w:sz w:val="20"/>
        </w:rPr>
        <w:t xml:space="preserve">  So while the </w:t>
      </w:r>
      <w:r w:rsidRPr="007F536A">
        <w:rPr>
          <w:rFonts w:ascii="Book Antiqua" w:hAnsi="Book Antiqua"/>
          <w:sz w:val="20"/>
        </w:rPr>
        <w:t>annual motion of γ Draconis had been established. Its cause was not parallax.</w:t>
      </w:r>
      <w:r>
        <w:rPr>
          <w:rFonts w:ascii="Book Antiqua" w:hAnsi="Book Antiqua"/>
          <w:sz w:val="20"/>
        </w:rPr>
        <w:t xml:space="preserve"> </w:t>
      </w:r>
      <w:r w:rsidR="00821A88" w:rsidRPr="007F536A">
        <w:rPr>
          <w:rFonts w:ascii="Book Antiqua" w:hAnsi="Book Antiqua"/>
          <w:sz w:val="20"/>
        </w:rPr>
        <w:t>Bradley wondered if nutation (the oscillation of the axis of the earth under the influence of the Moon</w:t>
      </w:r>
      <w:r>
        <w:rPr>
          <w:rFonts w:ascii="Book Antiqua" w:hAnsi="Book Antiqua"/>
          <w:sz w:val="20"/>
        </w:rPr>
        <w:t>, known today to have an 18 year period</w:t>
      </w:r>
      <w:r w:rsidR="00821A88" w:rsidRPr="007F536A">
        <w:rPr>
          <w:rFonts w:ascii="Book Antiqua" w:hAnsi="Book Antiqua"/>
          <w:sz w:val="20"/>
        </w:rPr>
        <w:t xml:space="preserve">) might be responsible. But if what Bradley and Molyneux had observed was nutation, all stars would be affected almost equally.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then ordered another instrument from Graham which could examine stars other than </w:t>
      </w:r>
      <w:r w:rsidR="00B64F93">
        <w:rPr>
          <w:rFonts w:ascii="Book Antiqua" w:hAnsi="Book Antiqua"/>
          <w:sz w:val="20"/>
        </w:rPr>
        <w:t xml:space="preserve">those </w:t>
      </w:r>
      <w:r w:rsidRPr="007F536A">
        <w:rPr>
          <w:rFonts w:ascii="Book Antiqua" w:hAnsi="Book Antiqua"/>
          <w:sz w:val="20"/>
        </w:rPr>
        <w:t xml:space="preserve">on the zenith. In August 1727, he started observing eight stars and found that they described ellipses on the celestial sphere whose major axes were about 40” long and lay parallel to the plane of the earth’s orbit (the ecliptic). However, geometrically speaking, the minor axes of these ellipses were proportional to the sine of the angle between the star’s direction and the ecliptic. Therefore, nutation (or wobble of the earth on its axis) had to be ruled out as the cause of what was being seen as the apparent ellipses of the stars.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It was not until about 20 years later, in 1748, that Bradley confirmed nutation through his observations.  This, then, also confirmed Newton’s Law of Gravitation. [43].</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8" w:name="BD"/>
      <w:bookmarkEnd w:id="38"/>
      <w:r w:rsidRPr="007F536A">
        <w:rPr>
          <w:rStyle w:val="Strong"/>
          <w:rFonts w:ascii="Book Antiqua" w:hAnsi="Book Antiqua"/>
          <w:b w:val="0"/>
          <w:i/>
          <w:sz w:val="20"/>
        </w:rPr>
        <w:t>Bradley’s Discovery</w:t>
      </w:r>
    </w:p>
    <w:p w:rsidR="00821A88" w:rsidRPr="007F536A" w:rsidRDefault="00821A88" w:rsidP="00821A88">
      <w:pPr>
        <w:pStyle w:val="NoSpacing"/>
        <w:jc w:val="both"/>
        <w:rPr>
          <w:rFonts w:ascii="Book Antiqua" w:hAnsi="Book Antiqua"/>
          <w:sz w:val="20"/>
        </w:rPr>
      </w:pPr>
    </w:p>
    <w:p w:rsidR="00821A88" w:rsidRPr="007F536A" w:rsidRDefault="007079A8" w:rsidP="00821A88">
      <w:pPr>
        <w:pStyle w:val="NoSpacing"/>
        <w:ind w:firstLine="720"/>
        <w:jc w:val="both"/>
        <w:rPr>
          <w:rFonts w:ascii="Book Antiqua" w:hAnsi="Book Antiqua"/>
          <w:sz w:val="20"/>
        </w:rPr>
      </w:pPr>
      <w:r>
        <w:rPr>
          <w:rFonts w:ascii="Book Antiqua" w:hAnsi="Book Antiqua"/>
          <w:sz w:val="20"/>
        </w:rPr>
        <w:t>Legend tells us i</w:t>
      </w:r>
      <w:r w:rsidR="00821A88" w:rsidRPr="007F536A">
        <w:rPr>
          <w:rFonts w:ascii="Book Antiqua" w:hAnsi="Book Antiqua"/>
          <w:sz w:val="20"/>
        </w:rPr>
        <w:t xml:space="preserve">t was against this background, that, in 1727, Bradley was invited to go sailing on the Thames. He had continued to feel perplexed regarding his observations. He became intrigued with the behavior of the flags on the sail boats. Why, when the wind was blowing in a constant direction, did the flags swing to a different direction when the yachts changed course? Upon asking about this, one of the sailors told him that the cause was the net result of the yacht’s motion plus the wind. Bradley started applying this idea to what he had observed astronomically.  If the earth also had an annual motion, Bradley reasoned, then the only other factor, equivalent to the wind, was the light from the stars coming in a constant direction towards the earth.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Since the motion of the earth in its orbit is essentially constant, Bradley knew that this same relationship could be applied to the figures tumbling through his excited mind, provided he used the appropriate units. The aberration angle, </w:t>
      </w:r>
      <m:oMath>
        <m:r>
          <w:rPr>
            <w:rStyle w:val="Emphasis"/>
            <w:rFonts w:ascii="Cambria Math" w:hAnsi="Cambria Math"/>
            <w:sz w:val="20"/>
          </w:rPr>
          <m:t>K</m:t>
        </m:r>
      </m:oMath>
      <w:r w:rsidRPr="007F536A">
        <w:rPr>
          <w:rFonts w:ascii="Book Antiqua" w:hAnsi="Book Antiqua"/>
          <w:sz w:val="20"/>
        </w:rPr>
        <w:t xml:space="preserve">, he had measured from the stars. If the speed of light was </w:t>
      </w:r>
      <m:oMath>
        <m:r>
          <w:rPr>
            <w:rStyle w:val="Emphasis"/>
            <w:rFonts w:ascii="Cambria Math" w:hAnsi="Cambria Math"/>
            <w:sz w:val="20"/>
          </w:rPr>
          <m:t>c</m:t>
        </m:r>
      </m:oMath>
      <w:r w:rsidRPr="007F536A">
        <w:rPr>
          <w:rStyle w:val="Emphasis"/>
          <w:rFonts w:ascii="Book Antiqua" w:hAnsi="Book Antiqua"/>
          <w:sz w:val="20"/>
        </w:rPr>
        <w:t>,</w:t>
      </w:r>
      <w:r w:rsidRPr="007F536A">
        <w:rPr>
          <w:rFonts w:ascii="Book Antiqua" w:hAnsi="Book Antiqua"/>
          <w:sz w:val="20"/>
        </w:rPr>
        <w:t xml:space="preserve"> equivalent to the rain speed, and the angle is K, then as written above </w:t>
      </w:r>
      <m:oMath>
        <m:r>
          <w:rPr>
            <w:rStyle w:val="Emphasis"/>
            <w:rFonts w:ascii="Cambria Math" w:hAnsi="Cambria Math"/>
            <w:sz w:val="20"/>
          </w:rPr>
          <m:t>Kc</m:t>
        </m:r>
        <m:r>
          <w:rPr>
            <w:rStyle w:val="Emphasis"/>
            <w:rFonts w:ascii="Cambria Math" w:hAnsi="Book Antiqua"/>
            <w:sz w:val="20"/>
          </w:rPr>
          <m:t xml:space="preserve"> = </m:t>
        </m:r>
        <m:r>
          <w:rPr>
            <w:rStyle w:val="Emphasis"/>
            <w:rFonts w:ascii="Cambria Math" w:hAnsi="Cambria Math"/>
            <w:sz w:val="20"/>
          </w:rPr>
          <m:t>constant</m:t>
        </m:r>
      </m:oMath>
      <w:r w:rsidRPr="007F536A">
        <w:rPr>
          <w:rFonts w:ascii="Book Antiqua" w:hAnsi="Book Antiqua"/>
          <w:sz w:val="20"/>
        </w:rPr>
        <w:t xml:space="preserve">. On the accepted figures today the result is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where </w:t>
      </w:r>
      <m:oMath>
        <m:r>
          <w:rPr>
            <w:rFonts w:ascii="Cambria Math" w:hAnsi="Cambria Math"/>
            <w:sz w:val="20"/>
          </w:rPr>
          <m:t>K</m:t>
        </m:r>
      </m:oMath>
      <w:r w:rsidRPr="007F536A">
        <w:rPr>
          <w:rFonts w:ascii="Book Antiqua" w:hAnsi="Book Antiqua"/>
          <w:sz w:val="20"/>
        </w:rPr>
        <w:t xml:space="preserve"> is in arc-seconds (</w:t>
      </w:r>
      <m:oMath>
        <m:r>
          <w:rPr>
            <w:rFonts w:ascii="Cambria Math" w:hAnsi="Book Antiqua"/>
            <w:sz w:val="20"/>
          </w:rPr>
          <m:t>20</m:t>
        </m:r>
        <m:r>
          <w:rPr>
            <w:rFonts w:ascii="Book Antiqua" w:hAnsi="Book Antiqua"/>
            <w:sz w:val="20"/>
          </w:rPr>
          <m:t>”</m:t>
        </m:r>
        <m:r>
          <w:rPr>
            <w:rFonts w:ascii="Cambria Math" w:hAnsi="Book Antiqua"/>
            <w:sz w:val="20"/>
          </w:rPr>
          <m:t>.49552</m:t>
        </m:r>
      </m:oMath>
      <w:r w:rsidRPr="007F536A">
        <w:rPr>
          <w:rFonts w:ascii="Book Antiqua" w:hAnsi="Book Antiqua"/>
          <w:sz w:val="20"/>
        </w:rPr>
        <w:t xml:space="preserve">) and </w:t>
      </w:r>
      <m:oMath>
        <m:r>
          <w:rPr>
            <w:rStyle w:val="Emphasis"/>
            <w:rFonts w:ascii="Cambria Math" w:hAnsi="Cambria Math"/>
            <w:sz w:val="20"/>
          </w:rPr>
          <m:t>c</m:t>
        </m:r>
      </m:oMath>
      <w:r w:rsidRPr="007F536A">
        <w:rPr>
          <w:rFonts w:ascii="Book Antiqua" w:hAnsi="Book Antiqua"/>
          <w:sz w:val="20"/>
        </w:rPr>
        <w:t xml:space="preserve"> in kilometers per second (</w:t>
      </w:r>
      <m:oMath>
        <m:r>
          <w:rPr>
            <w:rFonts w:ascii="Cambria Math" w:hAnsi="Book Antiqua"/>
            <w:sz w:val="20"/>
          </w:rPr>
          <m:t>299,792.458</m:t>
        </m:r>
      </m:oMath>
      <w:r w:rsidRPr="007F536A">
        <w:rPr>
          <w:rFonts w:ascii="Book Antiqua" w:hAnsi="Book Antiqua"/>
          <w:sz w:val="20"/>
        </w:rPr>
        <w:t>) [44]. Bradley concluded “</w:t>
      </w:r>
      <w:r w:rsidRPr="007F536A">
        <w:rPr>
          <w:rStyle w:val="Emphasis"/>
          <w:rFonts w:ascii="Book Antiqua" w:hAnsi="Book Antiqua"/>
          <w:sz w:val="20"/>
        </w:rPr>
        <w:t>that Light moves, or is propagated as far as from the Sun to the Earth in 8 minutes, 12 seconds,</w:t>
      </w:r>
      <w:r w:rsidRPr="007F536A">
        <w:rPr>
          <w:rFonts w:ascii="Book Antiqua" w:hAnsi="Book Antiqua"/>
          <w:sz w:val="20"/>
        </w:rPr>
        <w:t xml:space="preserve">”[45]. On today’s figures for orbit radius, this implied that </w:t>
      </w:r>
      <m:oMath>
        <m:r>
          <w:rPr>
            <w:rFonts w:ascii="Cambria Math" w:hAnsi="Cambria Math"/>
            <w:sz w:val="20"/>
          </w:rPr>
          <m:t>c</m:t>
        </m:r>
        <m:r>
          <w:rPr>
            <w:rFonts w:ascii="Cambria Math" w:hAnsi="Book Antiqua"/>
            <w:sz w:val="20"/>
          </w:rPr>
          <m:t xml:space="preserve">  = </m:t>
        </m:r>
        <m:r>
          <m:rPr>
            <m:sty m:val="p"/>
          </m:rPr>
          <w:rPr>
            <w:rFonts w:ascii="Cambria Math" w:hAnsi="Book Antiqua"/>
            <w:sz w:val="20"/>
          </w:rPr>
          <m:t>304,060</m:t>
        </m:r>
        <m:r>
          <w:rPr>
            <w:rFonts w:ascii="Cambria Math" w:hAnsi="Book Antiqua"/>
            <w:sz w:val="20"/>
          </w:rPr>
          <m:t xml:space="preserve"> </m:t>
        </m:r>
        <m:r>
          <w:rPr>
            <w:rFonts w:ascii="Book Antiqua" w:hAnsi="Book Antiqua"/>
            <w:sz w:val="20"/>
          </w:rPr>
          <m:t>±</m:t>
        </m:r>
        <m:r>
          <w:rPr>
            <w:rFonts w:ascii="Cambria Math" w:hAnsi="Book Antiqua"/>
            <w:sz w:val="20"/>
          </w:rPr>
          <m:t xml:space="preserve"> 120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Bradley had confirmed not only the Copernican model for the solar system, but also the hotly debated idea of a finite value for </w:t>
      </w:r>
      <m:oMath>
        <m:r>
          <w:rPr>
            <w:rStyle w:val="Emphasis"/>
            <w:rFonts w:ascii="Cambria Math" w:hAnsi="Cambria Math"/>
            <w:sz w:val="20"/>
          </w:rPr>
          <m:t>c</m:t>
        </m:r>
      </m:oMath>
      <w:r w:rsidRPr="007F536A">
        <w:rPr>
          <w:rFonts w:ascii="Book Antiqua" w:hAnsi="Book Antiqua"/>
          <w:sz w:val="20"/>
        </w:rPr>
        <w:t>. His discovery was published 1 January, 1729.</w:t>
      </w:r>
    </w:p>
    <w:p w:rsidR="00821A88" w:rsidRPr="007F536A" w:rsidRDefault="00821A88" w:rsidP="00821A88">
      <w:pPr>
        <w:pStyle w:val="NoSpacing"/>
        <w:ind w:left="1080"/>
        <w:jc w:val="both"/>
        <w:rPr>
          <w:rStyle w:val="Strong"/>
          <w:rFonts w:ascii="Book Antiqua" w:hAnsi="Book Antiqua"/>
          <w:b w:val="0"/>
          <w:bCs w:val="0"/>
          <w:sz w:val="20"/>
        </w:rPr>
      </w:pPr>
      <w:bookmarkStart w:id="39" w:name="BIR"/>
      <w:bookmarkEnd w:id="39"/>
    </w:p>
    <w:p w:rsidR="00821A88" w:rsidRPr="007F536A" w:rsidRDefault="00821A88" w:rsidP="00821A88">
      <w:pPr>
        <w:pStyle w:val="NoSpacing"/>
        <w:numPr>
          <w:ilvl w:val="1"/>
          <w:numId w:val="22"/>
        </w:numPr>
        <w:jc w:val="both"/>
        <w:rPr>
          <w:rFonts w:ascii="Book Antiqua" w:hAnsi="Book Antiqua"/>
          <w:b/>
          <w:i/>
          <w:sz w:val="20"/>
        </w:rPr>
      </w:pPr>
      <w:r w:rsidRPr="007F536A">
        <w:rPr>
          <w:rStyle w:val="Strong"/>
          <w:rFonts w:ascii="Book Antiqua" w:hAnsi="Book Antiqua"/>
          <w:b w:val="0"/>
          <w:i/>
          <w:sz w:val="20"/>
        </w:rPr>
        <w:t xml:space="preserve"> Bradley’s Initial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Bradley’s observations of aberration go in three periods. First, from 1726 to 1727 </w:t>
      </w:r>
      <w:r w:rsidR="007079A8">
        <w:rPr>
          <w:rFonts w:ascii="Book Antiqua" w:hAnsi="Book Antiqua"/>
          <w:sz w:val="20"/>
        </w:rPr>
        <w:t>which included</w:t>
      </w:r>
      <w:r w:rsidRPr="007F536A">
        <w:rPr>
          <w:rFonts w:ascii="Book Antiqua" w:hAnsi="Book Antiqua"/>
          <w:sz w:val="20"/>
        </w:rPr>
        <w:t xml:space="preserve"> his study of γ Draconis (see Figure 10), then seven other stars at Kew. Second, from 1727 to 1747, </w:t>
      </w:r>
      <w:r w:rsidR="007079A8">
        <w:rPr>
          <w:rFonts w:ascii="Book Antiqua" w:hAnsi="Book Antiqua"/>
          <w:sz w:val="20"/>
        </w:rPr>
        <w:t>involved the study of</w:t>
      </w:r>
      <w:r w:rsidRPr="007F536A">
        <w:rPr>
          <w:rFonts w:ascii="Book Antiqua" w:hAnsi="Book Antiqua"/>
          <w:sz w:val="20"/>
        </w:rPr>
        <w:t xml:space="preserve"> 23 stars at Wanstead in Essex where his uncle</w:t>
      </w:r>
      <w:r w:rsidR="007079A8">
        <w:rPr>
          <w:rFonts w:ascii="Book Antiqua" w:hAnsi="Book Antiqua"/>
          <w:sz w:val="20"/>
        </w:rPr>
        <w:t>, the Rev. James Pound,</w:t>
      </w:r>
      <w:r w:rsidRPr="007F536A">
        <w:rPr>
          <w:rFonts w:ascii="Book Antiqua" w:hAnsi="Book Antiqua"/>
          <w:sz w:val="20"/>
        </w:rPr>
        <w:t xml:space="preserve"> had been Rector. Finally, as Astronomer Royal, Bradley made another series of observations on γ Draconis from 1750 to 1754 from Greenwich.</w:t>
      </w:r>
      <w:r w:rsidR="007079A8">
        <w:rPr>
          <w:rFonts w:ascii="Book Antiqua" w:hAnsi="Book Antiqua"/>
          <w:sz w:val="20"/>
        </w:rPr>
        <w:t xml:space="preserve"> </w:t>
      </w:r>
      <w:r w:rsidR="007079A8" w:rsidRPr="007F536A">
        <w:rPr>
          <w:rFonts w:ascii="Book Antiqua" w:hAnsi="Book Antiqua"/>
          <w:sz w:val="20"/>
        </w:rPr>
        <w:t>(Pound had died during 1724, before his nephew made the all-important discovery for which he had been training him.)</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quotes his result for γ Draconis in period one as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for the major axis when the </w:t>
      </w:r>
      <m:oMath>
        <m:r>
          <w:rPr>
            <w:rFonts w:ascii="Cambria Math" w:hAnsi="Book Antiqua"/>
            <w:sz w:val="20"/>
          </w:rPr>
          <m:t>39</m:t>
        </m:r>
        <m:r>
          <w:rPr>
            <w:rFonts w:ascii="Book Antiqua" w:hAnsi="Book Antiqua"/>
            <w:sz w:val="20"/>
          </w:rPr>
          <m:t>”</m:t>
        </m:r>
      </m:oMath>
      <w:r w:rsidRPr="007F536A">
        <w:rPr>
          <w:rFonts w:ascii="Book Antiqua" w:hAnsi="Book Antiqua"/>
          <w:sz w:val="20"/>
        </w:rPr>
        <w:t xml:space="preserve"> was transferred to the ecliptic pole. When measured in radians, the pure mathematical unit used in some calculations, </w:t>
      </w:r>
      <m:oMath>
        <m:r>
          <w:rPr>
            <w:rFonts w:ascii="Cambria Math" w:hAnsi="Book Antiqua"/>
            <w:sz w:val="20"/>
          </w:rPr>
          <m:t>20.2</m:t>
        </m:r>
      </m:oMath>
      <w:r w:rsidRPr="007F536A">
        <w:rPr>
          <w:rFonts w:ascii="Book Antiqua" w:hAnsi="Book Antiqua"/>
          <w:sz w:val="20"/>
        </w:rPr>
        <w:t xml:space="preserve"> arc seconds becomes </w:t>
      </w:r>
      <m:oMath>
        <m:r>
          <w:rPr>
            <w:rFonts w:ascii="Cambria Math" w:hAnsi="Book Antiqua"/>
            <w:sz w:val="20"/>
          </w:rPr>
          <m:t>1/10210</m:t>
        </m:r>
      </m:oMath>
      <w:r w:rsidRPr="007F536A">
        <w:rPr>
          <w:rFonts w:ascii="Book Antiqua" w:hAnsi="Book Antiqua"/>
          <w:sz w:val="20"/>
        </w:rPr>
        <w:t xml:space="preserve"> radians. From the simple trigonometric relationship used in the example with the flags on the boats, 10210 was also equal to the speed of light, </w:t>
      </w:r>
      <m:oMath>
        <m:r>
          <w:rPr>
            <w:rFonts w:ascii="Cambria Math" w:hAnsi="Cambria Math"/>
            <w:sz w:val="20"/>
          </w:rPr>
          <m:t>c</m:t>
        </m:r>
      </m:oMath>
      <w:r w:rsidRPr="007F536A">
        <w:rPr>
          <w:rFonts w:ascii="Book Antiqua" w:hAnsi="Book Antiqua"/>
          <w:sz w:val="20"/>
        </w:rPr>
        <w:t xml:space="preserve">, divided by the earth’s orbit speed. Thus, if </w:t>
      </w:r>
      <m:oMath>
        <m:r>
          <w:rPr>
            <w:rStyle w:val="Emphasis"/>
            <w:rFonts w:ascii="Cambria Math" w:hAnsi="Cambria Math"/>
            <w:sz w:val="20"/>
          </w:rPr>
          <m:t>V</m:t>
        </m:r>
        <m:r>
          <m:rPr>
            <m:sty m:val="p"/>
          </m:rPr>
          <w:rPr>
            <w:rFonts w:ascii="Cambria Math" w:hAnsi="Book Antiqua"/>
            <w:sz w:val="20"/>
          </w:rPr>
          <m:t xml:space="preserve"> </m:t>
        </m:r>
      </m:oMath>
      <w:r w:rsidRPr="007F536A">
        <w:rPr>
          <w:rFonts w:ascii="Book Antiqua" w:hAnsi="Book Antiqua"/>
          <w:sz w:val="20"/>
        </w:rPr>
        <w:t>is the orbit speed, Bradley could then write</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jc w:val="right"/>
        <w:rPr>
          <w:rFonts w:ascii="Book Antiqua" w:hAnsi="Book Antiqua"/>
          <w:sz w:val="20"/>
        </w:rPr>
      </w:pPr>
      <m:oMath>
        <m:r>
          <w:rPr>
            <w:rFonts w:ascii="Cambria Math" w:hAnsi="Cambria Math"/>
            <w:sz w:val="20"/>
          </w:rPr>
          <m:t>c</m:t>
        </m:r>
        <m:r>
          <w:rPr>
            <w:rFonts w:ascii="Cambria Math" w:hAnsi="Book Antiqua"/>
            <w:sz w:val="20"/>
          </w:rPr>
          <m:t>/</m:t>
        </m:r>
        <m:r>
          <w:rPr>
            <w:rFonts w:ascii="Cambria Math" w:hAnsi="Cambria Math"/>
            <w:sz w:val="20"/>
          </w:rPr>
          <m:t>V</m:t>
        </m:r>
        <m:r>
          <w:rPr>
            <w:rFonts w:ascii="Cambria Math" w:hAnsi="Book Antiqua"/>
            <w:sz w:val="20"/>
          </w:rPr>
          <m:t xml:space="preserve"> = 10210</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But orbit speed is equal to distance traveled divided by time taken. The time taken, </w:t>
      </w:r>
      <m:oMath>
        <m:r>
          <w:rPr>
            <w:rFonts w:ascii="Cambria Math" w:hAnsi="Cambria Math"/>
            <w:sz w:val="20"/>
          </w:rPr>
          <m:t>T</m:t>
        </m:r>
      </m:oMath>
      <w:r w:rsidRPr="007F536A">
        <w:rPr>
          <w:rFonts w:ascii="Book Antiqua" w:hAnsi="Book Antiqua"/>
          <w:sz w:val="20"/>
        </w:rPr>
        <w:t xml:space="preserve">, is one year in seconds, that is: </w:t>
      </w:r>
      <m:oMath>
        <m:r>
          <w:rPr>
            <w:rFonts w:ascii="Cambria Math" w:hAnsi="Book Antiqua"/>
            <w:sz w:val="20"/>
          </w:rPr>
          <m:t xml:space="preserve">365.25 </m:t>
        </m:r>
        <m:r>
          <w:rPr>
            <w:rFonts w:ascii="Cambria Math" w:hAnsi="Cambria Math"/>
            <w:sz w:val="20"/>
          </w:rPr>
          <m:t>x</m:t>
        </m:r>
        <m:r>
          <w:rPr>
            <w:rFonts w:ascii="Cambria Math" w:hAnsi="Book Antiqua"/>
            <w:sz w:val="20"/>
          </w:rPr>
          <m:t xml:space="preserve"> 24 </m:t>
        </m:r>
        <m:r>
          <w:rPr>
            <w:rFonts w:ascii="Cambria Math" w:hAnsi="Cambria Math"/>
            <w:sz w:val="20"/>
          </w:rPr>
          <m:t>x</m:t>
        </m:r>
        <m:r>
          <w:rPr>
            <w:rFonts w:ascii="Cambria Math" w:hAnsi="Book Antiqua"/>
            <w:sz w:val="20"/>
          </w:rPr>
          <m:t xml:space="preserve"> 60 </m:t>
        </m:r>
        <m:r>
          <w:rPr>
            <w:rFonts w:ascii="Cambria Math" w:hAnsi="Cambria Math"/>
            <w:sz w:val="20"/>
          </w:rPr>
          <m:t>x</m:t>
        </m:r>
        <m:r>
          <w:rPr>
            <w:rFonts w:ascii="Cambria Math" w:hAnsi="Book Antiqua"/>
            <w:sz w:val="20"/>
          </w:rPr>
          <m:t xml:space="preserve"> 60</m:t>
        </m:r>
      </m:oMath>
      <w:r w:rsidRPr="007F536A">
        <w:rPr>
          <w:rFonts w:ascii="Book Antiqua" w:hAnsi="Book Antiqua"/>
          <w:sz w:val="20"/>
        </w:rPr>
        <w:t xml:space="preserve">. The distance traveled is the circumference of a circle, or </w:t>
      </w:r>
      <m:oMath>
        <m:r>
          <w:rPr>
            <w:rFonts w:ascii="Cambria Math" w:hAnsi="Book Antiqua"/>
            <w:sz w:val="20"/>
          </w:rPr>
          <m:t>2</m:t>
        </m:r>
        <m:r>
          <w:rPr>
            <w:rFonts w:ascii="Cambria Math" w:hAnsi="Cambria Math"/>
            <w:sz w:val="20"/>
          </w:rPr>
          <m:t>πr</m:t>
        </m:r>
      </m:oMath>
      <w:r w:rsidRPr="007F536A">
        <w:rPr>
          <w:rFonts w:ascii="Book Antiqua" w:hAnsi="Book Antiqua"/>
          <w:sz w:val="20"/>
        </w:rPr>
        <w:t>, where</w:t>
      </w:r>
      <w:r w:rsidRPr="007F536A">
        <w:rPr>
          <w:rFonts w:ascii="Book Antiqua" w:hAnsi="Book Antiqua"/>
          <w:i/>
          <w:sz w:val="20"/>
        </w:rPr>
        <w:t xml:space="preserve"> </w:t>
      </w:r>
      <m:oMath>
        <m:r>
          <w:rPr>
            <w:rFonts w:ascii="Cambria Math" w:hAnsi="Cambria Math"/>
            <w:sz w:val="20"/>
          </w:rPr>
          <m:t>r</m:t>
        </m:r>
      </m:oMath>
      <w:r w:rsidRPr="007F536A">
        <w:rPr>
          <w:rFonts w:ascii="Book Antiqua" w:hAnsi="Book Antiqua"/>
          <w:sz w:val="20"/>
        </w:rPr>
        <w:t xml:space="preserve"> is the radius, or the distance of the earth from the sun. Therefore, he could substitute for </w:t>
      </w:r>
      <m:oMath>
        <m:r>
          <w:rPr>
            <w:rFonts w:ascii="Cambria Math" w:hAnsi="Cambria Math"/>
            <w:sz w:val="20"/>
          </w:rPr>
          <m:t>V</m:t>
        </m:r>
      </m:oMath>
      <w:r w:rsidRPr="007F536A">
        <w:rPr>
          <w:rFonts w:ascii="Book Antiqua" w:hAnsi="Book Antiqua"/>
          <w:sz w:val="20"/>
        </w:rPr>
        <w:t xml:space="preserve"> in the first equation and come up with</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sz w:val="20"/>
        </w:rPr>
      </w:pPr>
      <m:oMath>
        <m:r>
          <w:rPr>
            <w:rFonts w:ascii="Cambria Math" w:hAnsi="Cambria Math"/>
            <w:sz w:val="20"/>
          </w:rPr>
          <m:t>Tc</m:t>
        </m:r>
        <m:r>
          <w:rPr>
            <w:rFonts w:ascii="Cambria Math" w:hAnsi="Book Antiqua"/>
            <w:sz w:val="20"/>
          </w:rPr>
          <m:t>/(2</m:t>
        </m:r>
        <m:r>
          <w:rPr>
            <w:rFonts w:ascii="Cambria Math" w:hAnsi="Cambria Math"/>
            <w:sz w:val="20"/>
          </w:rPr>
          <m:t>πr</m:t>
        </m:r>
        <m:r>
          <w:rPr>
            <w:rFonts w:ascii="Cambria Math" w:hAnsi="Book Antiqua"/>
            <w:sz w:val="20"/>
          </w:rPr>
          <m:t>) = 10210</m:t>
        </m:r>
      </m:oMath>
      <w:r w:rsidRPr="007F536A">
        <w:rPr>
          <w:rFonts w:ascii="Book Antiqua" w:hAnsi="Book Antiqua"/>
          <w:i/>
          <w:sz w:val="20"/>
        </w:rPr>
        <w:t xml:space="preserve"> </w:t>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Bradley did not know the distance from the earth to the sun with any degree of accuracy, so</w:t>
      </w:r>
      <w:r w:rsidRPr="007F536A">
        <w:rPr>
          <w:rFonts w:ascii="Book Antiqua" w:hAnsi="Book Antiqua"/>
          <w:i/>
          <w:sz w:val="20"/>
        </w:rPr>
        <w:t xml:space="preserve"> </w:t>
      </w:r>
      <m:oMath>
        <m:r>
          <w:rPr>
            <w:rStyle w:val="Emphasis"/>
            <w:rFonts w:ascii="Cambria Math" w:hAnsi="Cambria Math"/>
            <w:sz w:val="20"/>
          </w:rPr>
          <m:t>r</m:t>
        </m:r>
      </m:oMath>
      <w:r w:rsidRPr="007F536A">
        <w:rPr>
          <w:rFonts w:ascii="Book Antiqua" w:hAnsi="Book Antiqua"/>
          <w:sz w:val="20"/>
        </w:rPr>
        <w:t xml:space="preserve"> was in question. Therefore, the simple way out of the problem was to recognize that if the time taken for light to travel across the orbit radius </w:t>
      </w:r>
      <m:oMath>
        <m:r>
          <w:rPr>
            <w:rStyle w:val="Emphasis"/>
            <w:rFonts w:ascii="Cambria Math" w:hAnsi="Cambria Math"/>
            <w:sz w:val="20"/>
          </w:rPr>
          <m:t>r</m:t>
        </m:r>
      </m:oMath>
      <w:r w:rsidRPr="007F536A">
        <w:rPr>
          <w:rFonts w:ascii="Book Antiqua" w:hAnsi="Book Antiqua"/>
          <w:sz w:val="20"/>
        </w:rPr>
        <w:t xml:space="preserve"> – or that distance – was </w:t>
      </w:r>
      <m:oMath>
        <m:r>
          <w:rPr>
            <w:rStyle w:val="Emphasis"/>
            <w:rFonts w:ascii="Cambria Math" w:hAnsi="Cambria Math"/>
            <w:sz w:val="20"/>
          </w:rPr>
          <m:t>t</m:t>
        </m:r>
      </m:oMath>
      <w:r w:rsidRPr="007F536A">
        <w:rPr>
          <w:rFonts w:ascii="Book Antiqua" w:hAnsi="Book Antiqua"/>
          <w:sz w:val="20"/>
        </w:rPr>
        <w:t xml:space="preserve">, then this equaled distance </w:t>
      </w:r>
      <m:oMath>
        <m:r>
          <w:rPr>
            <w:rStyle w:val="Emphasis"/>
            <w:rFonts w:ascii="Cambria Math" w:hAnsi="Cambria Math"/>
            <w:sz w:val="20"/>
          </w:rPr>
          <m:t>r</m:t>
        </m:r>
      </m:oMath>
      <w:r w:rsidRPr="007F536A">
        <w:rPr>
          <w:rFonts w:ascii="Book Antiqua" w:hAnsi="Book Antiqua"/>
          <w:sz w:val="20"/>
        </w:rPr>
        <w:t xml:space="preserve"> divided by the speed of light,</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or </w:t>
      </w:r>
      <m:oMath>
        <m:r>
          <w:rPr>
            <w:rStyle w:val="Emphasis"/>
            <w:rFonts w:ascii="Cambria Math" w:hAnsi="Cambria Math"/>
            <w:sz w:val="20"/>
          </w:rPr>
          <m:t>r</m:t>
        </m:r>
        <m:r>
          <w:rPr>
            <w:rStyle w:val="Emphasis"/>
            <w:rFonts w:ascii="Cambria Math" w:hAnsi="Book Antiqua"/>
            <w:sz w:val="20"/>
          </w:rPr>
          <m:t>/</m:t>
        </m:r>
        <m:r>
          <w:rPr>
            <w:rStyle w:val="Emphasis"/>
            <w:rFonts w:ascii="Cambria Math" w:hAnsi="Cambria Math"/>
            <w:sz w:val="20"/>
          </w:rPr>
          <m:t>c</m:t>
        </m:r>
      </m:oMath>
      <w:r w:rsidRPr="007F536A">
        <w:rPr>
          <w:rFonts w:ascii="Book Antiqua" w:hAnsi="Book Antiqua"/>
          <w:sz w:val="20"/>
        </w:rPr>
        <w:t xml:space="preserve"> (the inverse of what he already had in the second equation). Thus, he could announce that light took</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Default="00821A88" w:rsidP="00821A88">
      <w:pPr>
        <w:pStyle w:val="NoSpacing"/>
        <w:jc w:val="right"/>
        <w:rPr>
          <w:rFonts w:ascii="Book Antiqua" w:hAnsi="Book Antiqua"/>
          <w:i/>
          <w:sz w:val="20"/>
        </w:rPr>
      </w:pPr>
      <m:oMath>
        <m:r>
          <w:rPr>
            <w:rFonts w:ascii="Cambria Math" w:hAnsi="Cambria Math"/>
            <w:sz w:val="20"/>
          </w:rPr>
          <m:t>t</m:t>
        </m:r>
        <m:r>
          <w:rPr>
            <w:rFonts w:ascii="Cambria Math" w:hAnsi="Book Antiqua"/>
            <w:sz w:val="20"/>
          </w:rPr>
          <m:t xml:space="preserve"> = </m:t>
        </m:r>
        <m:r>
          <w:rPr>
            <w:rFonts w:ascii="Cambria Math" w:hAnsi="Cambria Math"/>
            <w:sz w:val="20"/>
          </w:rPr>
          <m:t>r</m:t>
        </m:r>
        <m:r>
          <w:rPr>
            <w:rFonts w:ascii="Cambria Math" w:hAnsi="Book Antiqua"/>
            <w:sz w:val="20"/>
          </w:rPr>
          <m:t>/</m:t>
        </m:r>
        <m:r>
          <w:rPr>
            <w:rFonts w:ascii="Cambria Math" w:hAnsi="Cambria Math"/>
            <w:sz w:val="20"/>
          </w:rPr>
          <m:t>c</m:t>
        </m:r>
        <m:r>
          <w:rPr>
            <w:rFonts w:ascii="Cambria Math" w:hAnsi="Book Antiqua"/>
            <w:sz w:val="20"/>
          </w:rPr>
          <m:t xml:space="preserve"> = </m:t>
        </m:r>
        <m:r>
          <w:rPr>
            <w:rFonts w:ascii="Cambria Math" w:hAnsi="Cambria Math"/>
            <w:sz w:val="20"/>
          </w:rPr>
          <m:t>T</m:t>
        </m:r>
        <m:r>
          <w:rPr>
            <w:rFonts w:ascii="Cambria Math" w:hAnsi="Book Antiqua"/>
            <w:sz w:val="20"/>
          </w:rPr>
          <m:t xml:space="preserve">/(10210 </m:t>
        </m:r>
        <m:r>
          <w:rPr>
            <w:rFonts w:ascii="Cambria Math" w:hAnsi="Cambria Math"/>
            <w:sz w:val="20"/>
          </w:rPr>
          <m:t>x</m:t>
        </m:r>
        <m:r>
          <w:rPr>
            <w:rFonts w:ascii="Cambria Math" w:hAnsi="Book Antiqua"/>
            <w:sz w:val="20"/>
          </w:rPr>
          <m:t xml:space="preserve"> 2</m:t>
        </m:r>
        <m:r>
          <w:rPr>
            <w:rFonts w:ascii="Cambria Math" w:hAnsi="Cambria Math"/>
            <w:sz w:val="20"/>
          </w:rPr>
          <m:t>π</m:t>
        </m:r>
        <m:r>
          <w:rPr>
            <w:rFonts w:ascii="Cambria Math" w:hAnsi="Book Antiqua"/>
            <w:sz w:val="20"/>
          </w:rPr>
          <m:t xml:space="preserve">) = 8 </m:t>
        </m:r>
        <m:r>
          <w:rPr>
            <w:rFonts w:ascii="Cambria Math" w:hAnsi="Cambria Math"/>
            <w:sz w:val="20"/>
          </w:rPr>
          <m:t>minutes</m:t>
        </m:r>
        <m:r>
          <w:rPr>
            <w:rFonts w:ascii="Cambria Math" w:hAnsi="Book Antiqua"/>
            <w:sz w:val="20"/>
          </w:rPr>
          <m:t xml:space="preserve"> 12 </m:t>
        </m:r>
        <m:r>
          <w:rPr>
            <w:rFonts w:ascii="Cambria Math" w:hAnsi="Cambria Math"/>
            <w:sz w:val="20"/>
          </w:rPr>
          <m:t>seconds</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(3)</w:t>
      </w:r>
    </w:p>
    <w:p w:rsidR="00B77C92" w:rsidRPr="007F536A" w:rsidRDefault="00B77C92" w:rsidP="00821A88">
      <w:pPr>
        <w:pStyle w:val="NoSpacing"/>
        <w:jc w:val="right"/>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lastRenderedPageBreak/>
        <w:t>to get from sun to earth. Bradley, comparing the two extreme values of Roemer and Cassini for this ‘light equation,’ commented, “</w:t>
      </w:r>
      <w:r w:rsidRPr="007F536A">
        <w:rPr>
          <w:rStyle w:val="Emphasis"/>
          <w:rFonts w:ascii="Book Antiqua" w:hAnsi="Book Antiqua"/>
          <w:sz w:val="20"/>
        </w:rPr>
        <w:t>The Velocity of Light therefore deduced from the foregoing Hypothesis, is as it were a Mean betwixt what had at different times been determined from the Eclipses of Jupiter’s Satellites</w:t>
      </w:r>
      <w:r w:rsidRPr="007F536A">
        <w:rPr>
          <w:rFonts w:ascii="Book Antiqua" w:hAnsi="Book Antiqua"/>
          <w:sz w:val="20"/>
        </w:rPr>
        <w:t>.”[46]</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noted that the declination of the star was increasing by an arc second in three days, which indicates he could easily measure to </w:t>
      </w:r>
      <m:oMath>
        <m:r>
          <w:rPr>
            <w:rFonts w:ascii="Cambria Math" w:hAnsi="Book Antiqua"/>
            <w:sz w:val="20"/>
          </w:rPr>
          <m:t>0</m:t>
        </m:r>
        <m:r>
          <w:rPr>
            <w:rFonts w:ascii="Book Antiqua" w:hAnsi="Book Antiqua"/>
            <w:sz w:val="20"/>
          </w:rPr>
          <m:t>”</m:t>
        </m:r>
        <m:r>
          <w:rPr>
            <w:rFonts w:ascii="Cambria Math" w:hAnsi="Book Antiqua"/>
            <w:sz w:val="20"/>
          </w:rPr>
          <m:t xml:space="preserve">.3 </m:t>
        </m:r>
      </m:oMath>
      <w:r w:rsidRPr="007F536A">
        <w:rPr>
          <w:rFonts w:ascii="Book Antiqua" w:hAnsi="Book Antiqua"/>
          <w:sz w:val="20"/>
        </w:rPr>
        <w:t xml:space="preserve">as he noted its daily motion. In his letter to Halley [46], he indicated that the above calculation for </w:t>
      </w:r>
      <m:oMath>
        <m:r>
          <w:rPr>
            <w:rStyle w:val="Emphasis"/>
            <w:rFonts w:ascii="Cambria Math" w:hAnsi="Cambria Math"/>
            <w:sz w:val="20"/>
          </w:rPr>
          <m:t>t</m:t>
        </m:r>
      </m:oMath>
      <w:r w:rsidRPr="007F536A">
        <w:rPr>
          <w:rStyle w:val="Emphasis"/>
          <w:rFonts w:ascii="Book Antiqua" w:hAnsi="Book Antiqua"/>
          <w:sz w:val="20"/>
        </w:rPr>
        <w:t xml:space="preserve"> </w:t>
      </w:r>
      <w:r w:rsidRPr="007F536A">
        <w:rPr>
          <w:rFonts w:ascii="Book Antiqua" w:hAnsi="Book Antiqua"/>
          <w:sz w:val="20"/>
        </w:rPr>
        <w:t>could give a result to about 5 seconds, indicating an error of perhaps</w:t>
      </w:r>
      <m:oMath>
        <m:r>
          <w:rPr>
            <w:rFonts w:ascii="Cambria Math" w:hAnsi="Book Antiqua"/>
            <w:sz w:val="20"/>
          </w:rPr>
          <m:t xml:space="preserve"> 0</m:t>
        </m:r>
        <m:r>
          <w:rPr>
            <w:rFonts w:ascii="Book Antiqua" w:hAnsi="Book Antiqua"/>
            <w:sz w:val="20"/>
          </w:rPr>
          <m:t>”</m:t>
        </m:r>
        <m:r>
          <w:rPr>
            <w:rFonts w:ascii="Cambria Math" w:hAnsi="Book Antiqua"/>
            <w:sz w:val="20"/>
          </w:rPr>
          <m:t>.2</m:t>
        </m:r>
      </m:oMath>
      <w:r w:rsidRPr="007F536A">
        <w:rPr>
          <w:rFonts w:ascii="Book Antiqua" w:hAnsi="Book Antiqua"/>
          <w:sz w:val="20"/>
        </w:rPr>
        <w:t xml:space="preserve"> [47]. Other re-workings in Table 3 below reduce the error to</w:t>
      </w:r>
      <m:oMath>
        <m:r>
          <w:rPr>
            <w:rFonts w:ascii="Cambria Math" w:hAnsi="Book Antiqua"/>
            <w:sz w:val="20"/>
          </w:rPr>
          <m:t xml:space="preserve">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.0072</m:t>
        </m:r>
      </m:oMath>
      <w:r w:rsidRPr="007F536A">
        <w:rPr>
          <w:rFonts w:ascii="Book Antiqua" w:hAnsi="Book Antiqua"/>
          <w:sz w:val="20"/>
        </w:rPr>
        <w:t xml:space="preserve">. If we take the probable error as being one-hundredth of an arc second in </w:t>
      </w:r>
      <m:oMath>
        <m:r>
          <w:rPr>
            <w:rFonts w:ascii="Cambria Math" w:hAnsi="Book Antiqua"/>
            <w:sz w:val="20"/>
          </w:rPr>
          <m:t>20</m:t>
        </m:r>
        <m:r>
          <w:rPr>
            <w:rFonts w:ascii="Book Antiqua" w:hAnsi="Book Antiqua"/>
            <w:sz w:val="20"/>
          </w:rPr>
          <m:t>”</m:t>
        </m:r>
        <m:r>
          <w:rPr>
            <w:rFonts w:ascii="Cambria Math" w:hAnsi="Book Antiqua"/>
            <w:sz w:val="20"/>
          </w:rPr>
          <m:t>.20</m:t>
        </m:r>
      </m:oMath>
      <w:r w:rsidRPr="007F536A">
        <w:rPr>
          <w:rFonts w:ascii="Book Antiqua" w:hAnsi="Book Antiqua"/>
          <w:sz w:val="20"/>
        </w:rPr>
        <w:t xml:space="preserve">, then from the formula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a value for </w:t>
      </w:r>
      <w:r w:rsidRPr="007F536A">
        <w:rPr>
          <w:rStyle w:val="Emphasis"/>
          <w:rFonts w:ascii="Book Antiqua" w:hAnsi="Book Antiqua"/>
          <w:sz w:val="20"/>
        </w:rPr>
        <w:t>c</w:t>
      </w:r>
      <w:r w:rsidRPr="007F536A">
        <w:rPr>
          <w:rFonts w:ascii="Book Antiqua" w:hAnsi="Book Antiqua"/>
          <w:sz w:val="20"/>
        </w:rPr>
        <w:t xml:space="preserve"> of </w:t>
      </w:r>
      <m:oMath>
        <m:r>
          <w:rPr>
            <w:rFonts w:ascii="Cambria Math" w:hAnsi="Book Antiqua"/>
            <w:sz w:val="20"/>
          </w:rPr>
          <m:t xml:space="preserve">304,060 </m:t>
        </m:r>
        <m:r>
          <w:rPr>
            <w:rFonts w:ascii="Book Antiqua" w:hAnsi="Book Antiqua"/>
            <w:sz w:val="20"/>
          </w:rPr>
          <m:t>±</m:t>
        </m:r>
        <m:r>
          <w:rPr>
            <w:rFonts w:ascii="Cambria Math" w:hAnsi="Book Antiqua"/>
            <w:sz w:val="20"/>
          </w:rPr>
          <m:t xml:space="preserve"> 150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results from Bradley’s initial work. </w:t>
      </w:r>
    </w:p>
    <w:p w:rsidR="00821A88" w:rsidRPr="007F536A" w:rsidRDefault="00821A88" w:rsidP="00821A88">
      <w:pPr>
        <w:pStyle w:val="NoSpacing"/>
        <w:rPr>
          <w:rFonts w:ascii="Book Antiqua" w:hAnsi="Book Antiqua"/>
          <w:sz w:val="20"/>
        </w:rPr>
      </w:pPr>
    </w:p>
    <w:p w:rsidR="00821A88" w:rsidRPr="00362990" w:rsidRDefault="00821A88" w:rsidP="00821A88">
      <w:pPr>
        <w:pStyle w:val="NoSpacing"/>
        <w:numPr>
          <w:ilvl w:val="1"/>
          <w:numId w:val="22"/>
        </w:numPr>
        <w:rPr>
          <w:rFonts w:ascii="Book Antiqua" w:hAnsi="Book Antiqua"/>
          <w:i/>
          <w:sz w:val="20"/>
        </w:rPr>
      </w:pPr>
      <w:bookmarkStart w:id="40" w:name="results"/>
      <w:bookmarkEnd w:id="40"/>
      <w:r w:rsidRPr="00362990">
        <w:rPr>
          <w:rFonts w:ascii="Book Antiqua" w:hAnsi="Book Antiqua"/>
          <w:i/>
          <w:sz w:val="20"/>
        </w:rPr>
        <w:t>Results on Seven More Stars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His work on γ Draconis in this first period resulted in an aberration angle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.2</m:t>
        </m:r>
      </m:oMath>
      <w:r w:rsidRPr="007F536A">
        <w:rPr>
          <w:rFonts w:ascii="Book Antiqua" w:hAnsi="Book Antiqua"/>
          <w:sz w:val="20"/>
        </w:rPr>
        <w:t xml:space="preserve">.  Bradley </w:t>
      </w:r>
      <w:r w:rsidR="00362990">
        <w:rPr>
          <w:rFonts w:ascii="Book Antiqua" w:hAnsi="Book Antiqua"/>
          <w:sz w:val="20"/>
        </w:rPr>
        <w:t xml:space="preserve">then </w:t>
      </w:r>
      <w:r w:rsidRPr="007F536A">
        <w:rPr>
          <w:rFonts w:ascii="Book Antiqua" w:hAnsi="Book Antiqua"/>
          <w:sz w:val="20"/>
        </w:rPr>
        <w:t xml:space="preserve">examined his treatment of the other seven stars.  This resulted in an alteration of the mean aberration value to </w:t>
      </w:r>
      <m:oMath>
        <m:r>
          <w:rPr>
            <w:rFonts w:ascii="Cambria Math" w:hAnsi="Book Antiqua"/>
            <w:sz w:val="20"/>
          </w:rPr>
          <m:t>20.25</m:t>
        </m:r>
      </m:oMath>
      <w:r w:rsidRPr="007F536A">
        <w:rPr>
          <w:rFonts w:ascii="Book Antiqua" w:hAnsi="Book Antiqua"/>
          <w:sz w:val="20"/>
        </w:rPr>
        <w:t xml:space="preserve"> arc seconds. His results for all eight stars are examined in Table 2. The mean of these results is again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just as for γ Draconis alone. However, Bradley took the extreme limits given by a Tau [τ] Persei estimate and the Alpha [α] Aurigae (Capella) value that contained other errors, and taking the mean of these gave the final value as </w:t>
      </w:r>
      <m:oMath>
        <m:r>
          <w:rPr>
            <w:rFonts w:ascii="Cambria Math" w:hAnsi="Book Antiqua"/>
            <w:sz w:val="20"/>
          </w:rPr>
          <m:t>20</m:t>
        </m:r>
        <m:r>
          <w:rPr>
            <w:rFonts w:ascii="Book Antiqua" w:hAnsi="Book Antiqua"/>
            <w:sz w:val="20"/>
          </w:rPr>
          <m:t>”</m:t>
        </m:r>
        <m:r>
          <w:rPr>
            <w:rFonts w:ascii="Cambria Math" w:hAnsi="Book Antiqua"/>
            <w:sz w:val="20"/>
          </w:rPr>
          <m:t>.25</m:t>
        </m:r>
      </m:oMath>
      <w:r w:rsidRPr="007F536A">
        <w:rPr>
          <w:rFonts w:ascii="Book Antiqua" w:hAnsi="Book Antiqua"/>
          <w:sz w:val="20"/>
        </w:rPr>
        <w:t xml:space="preserve"> for the first period at Kew.</w:t>
      </w:r>
    </w:p>
    <w:p w:rsidR="00821A88" w:rsidRPr="007F536A" w:rsidRDefault="00821A88" w:rsidP="00821A88">
      <w:pPr>
        <w:pStyle w:val="NoSpacing"/>
        <w:ind w:firstLine="360"/>
        <w:jc w:val="both"/>
        <w:rPr>
          <w:rFonts w:ascii="Book Antiqua" w:hAnsi="Book Antiqua"/>
          <w:sz w:val="20"/>
        </w:rPr>
      </w:pPr>
    </w:p>
    <w:p w:rsidR="00821A88" w:rsidRPr="000E5755" w:rsidRDefault="00821A88" w:rsidP="00792D0F">
      <w:pPr>
        <w:pStyle w:val="NoSpacing"/>
        <w:jc w:val="center"/>
        <w:rPr>
          <w:rFonts w:ascii="Book Antiqua" w:hAnsi="Book Antiqua"/>
          <w:b/>
          <w:i/>
          <w:sz w:val="18"/>
          <w:szCs w:val="18"/>
        </w:rPr>
      </w:pPr>
      <w:r w:rsidRPr="00E366A5">
        <w:rPr>
          <w:rFonts w:ascii="Book Antiqua" w:hAnsi="Book Antiqua"/>
          <w:b/>
          <w:sz w:val="18"/>
          <w:szCs w:val="18"/>
        </w:rPr>
        <w:t>TABLE 2:</w:t>
      </w:r>
      <w:r w:rsidRPr="00E366A5">
        <w:rPr>
          <w:rFonts w:ascii="Book Antiqua" w:hAnsi="Book Antiqua"/>
          <w:sz w:val="18"/>
          <w:szCs w:val="18"/>
        </w:rPr>
        <w:t xml:space="preserve"> </w:t>
      </w:r>
      <w:r w:rsidRPr="000E5755">
        <w:rPr>
          <w:rFonts w:ascii="Book Antiqua" w:hAnsi="Book Antiqua"/>
          <w:b/>
          <w:i/>
          <w:sz w:val="18"/>
          <w:szCs w:val="18"/>
        </w:rPr>
        <w:t>Bradley’s Results From 8 Stars At Kew 1726-1727.</w:t>
      </w:r>
    </w:p>
    <w:p w:rsidR="00821A88" w:rsidRPr="007F536A" w:rsidRDefault="00821A88" w:rsidP="00821A88">
      <w:pPr>
        <w:pStyle w:val="NoSpacing"/>
        <w:jc w:val="both"/>
        <w:rPr>
          <w:rFonts w:ascii="Book Antiqua" w:hAnsi="Book Antiqua"/>
          <w:sz w:val="16"/>
          <w:szCs w:val="16"/>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525"/>
        <w:gridCol w:w="1260"/>
        <w:gridCol w:w="1440"/>
        <w:gridCol w:w="1260"/>
        <w:gridCol w:w="1365"/>
      </w:tblGrid>
      <w:tr w:rsidR="00821A88" w:rsidRPr="007F536A" w:rsidTr="00400B4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Star and Comment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Mag.</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Angle Change</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b/>
                <w:bCs/>
                <w:i/>
                <w:sz w:val="18"/>
                <w:szCs w:val="18"/>
              </w:rPr>
            </w:pPr>
            <w:r w:rsidRPr="00252CC0">
              <w:rPr>
                <w:rFonts w:ascii="Book Antiqua" w:hAnsi="Book Antiqua"/>
                <w:b/>
                <w:bCs/>
                <w:i/>
                <w:sz w:val="18"/>
                <w:szCs w:val="18"/>
              </w:rPr>
              <w:t>Axis</w:t>
            </w:r>
          </w:p>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Length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Aberration Angle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35 Camelopardus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6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τ Persei (estimate)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4.5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25”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41”.0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20”.5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β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Persei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23”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η Ursae Majoris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Cassiopeiae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34”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40”.8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20”.4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Aurigae (errors)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20”.0 </w:t>
            </w:r>
          </w:p>
        </w:tc>
      </w:tr>
    </w:tbl>
    <w:p w:rsidR="00821A88" w:rsidRPr="007F536A" w:rsidRDefault="00821A88" w:rsidP="00821A88">
      <w:pPr>
        <w:pStyle w:val="NoSpacing"/>
        <w:rPr>
          <w:rFonts w:ascii="Book Antiqua" w:hAnsi="Book Antiqua"/>
          <w:b/>
          <w:bCs/>
          <w:i/>
          <w:sz w:val="20"/>
        </w:rPr>
      </w:pPr>
    </w:p>
    <w:p w:rsidR="000003DF" w:rsidRDefault="00821A88" w:rsidP="00821A88">
      <w:pPr>
        <w:pStyle w:val="NoSpacing"/>
        <w:rPr>
          <w:rFonts w:ascii="Book Antiqua" w:hAnsi="Book Antiqua"/>
          <w:bCs/>
          <w:i/>
          <w:sz w:val="18"/>
          <w:szCs w:val="18"/>
        </w:rPr>
      </w:pPr>
      <w:r w:rsidRPr="007F536A">
        <w:rPr>
          <w:rFonts w:ascii="Book Antiqua" w:hAnsi="Book Antiqua"/>
          <w:bCs/>
          <w:i/>
          <w:sz w:val="18"/>
          <w:szCs w:val="18"/>
        </w:rPr>
        <w:t xml:space="preserve">Initial announcement on Gamma Draconis data implied </w:t>
      </w:r>
      <m:oMath>
        <m:r>
          <w:rPr>
            <w:rFonts w:ascii="Cambria Math" w:hAnsi="Cambria Math"/>
            <w:sz w:val="18"/>
            <w:szCs w:val="18"/>
          </w:rPr>
          <m:t>c</m:t>
        </m:r>
        <m:r>
          <w:rPr>
            <w:rFonts w:ascii="Cambria Math" w:hAnsi="Book Antiqua"/>
            <w:sz w:val="18"/>
            <w:szCs w:val="18"/>
          </w:rPr>
          <m:t xml:space="preserve"> = 304,060  </m:t>
        </m:r>
        <m:r>
          <w:rPr>
            <w:rFonts w:ascii="Cambria Math" w:hAnsi="Book Antiqua"/>
            <w:sz w:val="18"/>
            <w:szCs w:val="18"/>
          </w:rPr>
          <m:t>±</m:t>
        </m:r>
        <m:r>
          <w:rPr>
            <w:rFonts w:ascii="Cambria Math" w:hAnsi="Book Antiqua"/>
            <w:sz w:val="18"/>
            <w:szCs w:val="18"/>
          </w:rPr>
          <m:t xml:space="preserve"> 150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7F536A">
        <w:rPr>
          <w:rFonts w:ascii="Book Antiqua" w:hAnsi="Book Antiqua"/>
          <w:sz w:val="18"/>
          <w:szCs w:val="18"/>
        </w:rPr>
        <w:t xml:space="preserve">. </w:t>
      </w:r>
      <w:r w:rsidRPr="007F536A">
        <w:rPr>
          <w:rFonts w:ascii="Book Antiqua" w:hAnsi="Book Antiqua"/>
          <w:bCs/>
          <w:i/>
          <w:sz w:val="18"/>
          <w:szCs w:val="18"/>
        </w:rPr>
        <w:t xml:space="preserve">Mean of 8 stars: 20”.2. Mean of limits: 20”.25 with </w:t>
      </w:r>
    </w:p>
    <w:p w:rsidR="00821A88" w:rsidRPr="007F536A" w:rsidRDefault="00821A88" w:rsidP="00821A88">
      <w:pPr>
        <w:pStyle w:val="NoSpacing"/>
        <w:rPr>
          <w:rFonts w:ascii="Book Antiqua" w:hAnsi="Book Antiqua"/>
          <w:i/>
          <w:sz w:val="18"/>
          <w:szCs w:val="18"/>
        </w:rPr>
      </w:pPr>
      <w:r w:rsidRPr="007F536A">
        <w:rPr>
          <w:rFonts w:ascii="Book Antiqua" w:hAnsi="Book Antiqua"/>
          <w:bCs/>
          <w:i/>
          <w:iCs/>
          <w:sz w:val="18"/>
          <w:szCs w:val="18"/>
        </w:rPr>
        <w:t>c</w:t>
      </w:r>
      <w:r w:rsidRPr="007F536A">
        <w:rPr>
          <w:rFonts w:ascii="Book Antiqua" w:hAnsi="Book Antiqua"/>
          <w:bCs/>
          <w:i/>
          <w:sz w:val="18"/>
          <w:szCs w:val="18"/>
        </w:rPr>
        <w:t xml:space="preserve"> = 303,425 </w:t>
      </w:r>
      <w:r w:rsidRPr="007F536A">
        <w:rPr>
          <w:rFonts w:ascii="Book Antiqua" w:hAnsi="Book Antiqua"/>
          <w:sz w:val="18"/>
          <w:szCs w:val="18"/>
        </w:rPr>
        <w:t xml:space="preserve"> </w:t>
      </w:r>
      <w:r w:rsidR="000003DF">
        <w:rPr>
          <w:rFonts w:ascii="Book Antiqua" w:hAnsi="Book Antiqua"/>
          <w:sz w:val="18"/>
          <w:szCs w:val="18"/>
        </w:rPr>
        <w:t>±</w:t>
      </w:r>
      <w:r w:rsidRPr="007F536A">
        <w:rPr>
          <w:rFonts w:ascii="Book Antiqua" w:hAnsi="Book Antiqua"/>
          <w:sz w:val="18"/>
          <w:szCs w:val="18"/>
        </w:rPr>
        <w:t xml:space="preserve"> 120 </w:t>
      </w:r>
      <w:r w:rsidRPr="007F536A">
        <w:rPr>
          <w:rFonts w:ascii="Book Antiqua" w:hAnsi="Book Antiqua"/>
          <w:bCs/>
          <w:i/>
          <w:sz w:val="18"/>
          <w:szCs w:val="18"/>
        </w:rPr>
        <w:t xml:space="preserve">km/s. Best value comes from Alpha Cassiopeiae as it has the longest major axis and hence the best chance of an accurate measurement. This value is 20”.40 with c = 301,195 </w:t>
      </w:r>
      <w:r w:rsidRPr="007F536A">
        <w:rPr>
          <w:rFonts w:ascii="Book Antiqua" w:hAnsi="Book Antiqua"/>
          <w:sz w:val="18"/>
          <w:szCs w:val="18"/>
        </w:rPr>
        <w:t xml:space="preserve"> ±  150 </w:t>
      </w:r>
      <w:r w:rsidRPr="007F536A">
        <w:rPr>
          <w:rFonts w:ascii="Book Antiqua" w:hAnsi="Book Antiqua"/>
          <w:bCs/>
          <w:i/>
          <w:sz w:val="18"/>
          <w:szCs w:val="18"/>
        </w:rPr>
        <w:t>km/s, for 1727.</w:t>
      </w:r>
    </w:p>
    <w:p w:rsidR="00821A88" w:rsidRPr="007F536A" w:rsidRDefault="00821A88" w:rsidP="00821A88">
      <w:pPr>
        <w:pStyle w:val="NoSpacing"/>
        <w:jc w:val="both"/>
        <w:rPr>
          <w:rFonts w:ascii="Book Antiqua" w:hAnsi="Book Antiqua"/>
          <w:b/>
          <w:sz w:val="20"/>
        </w:rPr>
      </w:pPr>
      <w:bookmarkStart w:id="41" w:name="RBR"/>
      <w:bookmarkEnd w:id="41"/>
    </w:p>
    <w:p w:rsidR="00400B4E" w:rsidRPr="007F536A" w:rsidRDefault="00400B4E" w:rsidP="00400B4E">
      <w:pPr>
        <w:pStyle w:val="NoSpacing"/>
        <w:numPr>
          <w:ilvl w:val="1"/>
          <w:numId w:val="22"/>
        </w:numPr>
        <w:jc w:val="both"/>
        <w:rPr>
          <w:rFonts w:ascii="Book Antiqua" w:hAnsi="Book Antiqua"/>
          <w:b/>
          <w:i/>
          <w:sz w:val="20"/>
        </w:rPr>
      </w:pPr>
      <w:r w:rsidRPr="007F536A">
        <w:rPr>
          <w:rStyle w:val="Strong"/>
          <w:rFonts w:ascii="Book Antiqua" w:hAnsi="Book Antiqua"/>
          <w:b w:val="0"/>
          <w:i/>
          <w:sz w:val="20"/>
        </w:rPr>
        <w:t>Re-processing Bradley’s Results</w:t>
      </w:r>
    </w:p>
    <w:p w:rsidR="00400B4E" w:rsidRPr="007F536A" w:rsidRDefault="00400B4E" w:rsidP="00400B4E">
      <w:pPr>
        <w:pStyle w:val="NoSpacing"/>
        <w:jc w:val="both"/>
        <w:rPr>
          <w:rFonts w:ascii="Book Antiqua" w:hAnsi="Book Antiqua"/>
          <w:sz w:val="20"/>
        </w:rPr>
      </w:pPr>
    </w:p>
    <w:p w:rsidR="00400B4E" w:rsidRDefault="00400B4E" w:rsidP="00400B4E">
      <w:pPr>
        <w:pStyle w:val="NoSpacing"/>
        <w:ind w:firstLine="720"/>
        <w:jc w:val="both"/>
        <w:rPr>
          <w:rFonts w:ascii="Book Antiqua" w:hAnsi="Book Antiqua"/>
          <w:sz w:val="20"/>
        </w:rPr>
      </w:pPr>
      <w:r w:rsidRPr="007F536A">
        <w:rPr>
          <w:rFonts w:ascii="Book Antiqua" w:hAnsi="Book Antiqua"/>
          <w:sz w:val="20"/>
        </w:rPr>
        <w:t xml:space="preserve">Busch, Auwers and Newcomb re-processed Bradley’s first γ Draconis observations. Busch finally obtained, after some significant analysis, determination of mean errors and weighting procedures, a value of </w:t>
      </w:r>
      <m:oMath>
        <m:r>
          <w:rPr>
            <w:rFonts w:ascii="Cambria Math" w:hAnsi="Book Antiqua"/>
            <w:sz w:val="20"/>
          </w:rPr>
          <m:t>20</m:t>
        </m:r>
        <m:r>
          <w:rPr>
            <w:rFonts w:ascii="Book Antiqua" w:hAnsi="Book Antiqua"/>
            <w:sz w:val="20"/>
          </w:rPr>
          <m:t>”</m:t>
        </m:r>
        <m:r>
          <w:rPr>
            <w:rFonts w:ascii="Cambria Math" w:hAnsi="Book Antiqua"/>
            <w:sz w:val="20"/>
          </w:rPr>
          <m:t>.2495</m:t>
        </m:r>
      </m:oMath>
      <w:r w:rsidRPr="007F536A">
        <w:rPr>
          <w:rFonts w:ascii="Book Antiqua" w:hAnsi="Book Antiqua"/>
          <w:sz w:val="20"/>
        </w:rPr>
        <w:t xml:space="preserve">. Auwers criticized Busch’s treatment, made corrections, took into account collimation and screw errors and gave his final result at </w:t>
      </w:r>
      <m:oMath>
        <m:r>
          <w:rPr>
            <w:rFonts w:ascii="Cambria Math" w:hAnsi="Book Antiqua"/>
            <w:sz w:val="20"/>
          </w:rPr>
          <m:t>20</m:t>
        </m:r>
        <m:r>
          <w:rPr>
            <w:rFonts w:ascii="Book Antiqua" w:hAnsi="Book Antiqua"/>
            <w:sz w:val="20"/>
          </w:rPr>
          <m:t>”</m:t>
        </m:r>
        <m:r>
          <w:rPr>
            <w:rFonts w:ascii="Cambria Math" w:hAnsi="Book Antiqua"/>
            <w:sz w:val="20"/>
          </w:rPr>
          <m:t>.3851</m:t>
        </m:r>
      </m:oMath>
      <w:r w:rsidRPr="007F536A">
        <w:rPr>
          <w:rFonts w:ascii="Book Antiqua" w:hAnsi="Book Antiqua"/>
          <w:sz w:val="20"/>
        </w:rPr>
        <w:t xml:space="preserve">. Newcomb applied a further correction and obtained </w:t>
      </w:r>
      <m:oMath>
        <m:r>
          <w:rPr>
            <w:rFonts w:ascii="Cambria Math" w:hAnsi="Book Antiqua"/>
            <w:sz w:val="20"/>
          </w:rPr>
          <m:t>20</m:t>
        </m:r>
        <m:r>
          <w:rPr>
            <w:rFonts w:ascii="Book Antiqua" w:hAnsi="Book Antiqua"/>
            <w:sz w:val="20"/>
          </w:rPr>
          <m:t>”</m:t>
        </m:r>
        <m:r>
          <w:rPr>
            <w:rFonts w:ascii="Cambria Math" w:hAnsi="Book Antiqua"/>
            <w:sz w:val="20"/>
          </w:rPr>
          <m:t>.53</m:t>
        </m:r>
      </m:oMath>
      <w:r w:rsidRPr="007F536A">
        <w:rPr>
          <w:rFonts w:ascii="Book Antiqua" w:hAnsi="Book Antiqua"/>
          <w:sz w:val="20"/>
        </w:rPr>
        <w:t xml:space="preserve"> for the aberration constant. However, Auwers had the best accuracy, so his figure is accepted as the best 1727 value for γ Draconis. This gives </w:t>
      </w:r>
      <m:oMath>
        <m:r>
          <w:rPr>
            <w:rFonts w:ascii="Cambria Math" w:hAnsi="Cambria Math"/>
            <w:sz w:val="20"/>
          </w:rPr>
          <m:t>c</m:t>
        </m:r>
        <m:r>
          <w:rPr>
            <w:rFonts w:ascii="Cambria Math" w:hAnsi="Book Antiqua"/>
            <w:sz w:val="20"/>
          </w:rPr>
          <m:t xml:space="preserve"> = 301,415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good accord with </w:t>
      </w:r>
      <m:oMath>
        <m:r>
          <w:rPr>
            <w:rFonts w:ascii="Cambria Math" w:hAnsi="Cambria Math"/>
            <w:sz w:val="20"/>
          </w:rPr>
          <m:t>c</m:t>
        </m:r>
        <m:r>
          <w:rPr>
            <w:rFonts w:ascii="Cambria Math" w:hAnsi="Book Antiqua"/>
            <w:sz w:val="20"/>
          </w:rPr>
          <m:t xml:space="preserve"> =</m:t>
        </m:r>
        <m:r>
          <m:rPr>
            <m:sty m:val="bi"/>
          </m:rPr>
          <w:rPr>
            <w:rFonts w:ascii="Cambria Math" w:hAnsi="Book Antiqua"/>
            <w:sz w:val="20"/>
          </w:rPr>
          <m:t xml:space="preserve"> </m:t>
        </m:r>
        <m:r>
          <w:rPr>
            <w:rFonts w:ascii="Cambria Math" w:hAnsi="Book Antiqua"/>
            <w:sz w:val="20"/>
          </w:rPr>
          <m:t xml:space="preserve">301,195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from Alpha Cassiopeiae in Table 2</w:t>
      </w:r>
      <w:r w:rsidR="00D426BC">
        <w:rPr>
          <w:rFonts w:ascii="Book Antiqua" w:hAnsi="Book Antiqua"/>
          <w:sz w:val="20"/>
        </w:rPr>
        <w:t>.</w:t>
      </w:r>
    </w:p>
    <w:p w:rsidR="00D426BC" w:rsidRDefault="00D426BC" w:rsidP="00400B4E">
      <w:pPr>
        <w:pStyle w:val="NoSpacing"/>
        <w:ind w:firstLine="720"/>
        <w:jc w:val="both"/>
        <w:rPr>
          <w:rFonts w:ascii="Book Antiqua" w:hAnsi="Book Antiqua"/>
          <w:sz w:val="20"/>
        </w:rPr>
      </w:pPr>
    </w:p>
    <w:p w:rsidR="00D426BC" w:rsidRPr="007F536A" w:rsidRDefault="00D426BC" w:rsidP="00D426BC">
      <w:pPr>
        <w:pStyle w:val="NoSpacing"/>
        <w:ind w:firstLine="720"/>
        <w:jc w:val="both"/>
        <w:rPr>
          <w:rFonts w:ascii="Book Antiqua" w:hAnsi="Book Antiqua"/>
          <w:sz w:val="20"/>
        </w:rPr>
      </w:pPr>
      <w:r w:rsidRPr="007F536A">
        <w:rPr>
          <w:rFonts w:ascii="Book Antiqua" w:hAnsi="Book Antiqua"/>
          <w:sz w:val="20"/>
        </w:rPr>
        <w:t xml:space="preserve">A similar procedure gave Busch a value of 20.2050 arc seconds for the second period results, while Auwers’ criticism and re-processing gave a result of </w:t>
      </w:r>
      <m:oMath>
        <m:r>
          <w:rPr>
            <w:rFonts w:ascii="Cambria Math" w:hAnsi="Book Antiqua"/>
            <w:sz w:val="20"/>
          </w:rPr>
          <m:t>20</m:t>
        </m:r>
        <m:r>
          <w:rPr>
            <w:rFonts w:ascii="Book Antiqua" w:hAnsi="Book Antiqua"/>
            <w:sz w:val="20"/>
          </w:rPr>
          <m:t>”</m:t>
        </m:r>
        <m:r>
          <w:rPr>
            <w:rFonts w:ascii="Cambria Math" w:hAnsi="Book Antiqua"/>
            <w:sz w:val="20"/>
          </w:rPr>
          <m:t>.460</m:t>
        </m:r>
      </m:oMath>
      <w:r w:rsidRPr="007F536A">
        <w:rPr>
          <w:rFonts w:ascii="Book Antiqua" w:hAnsi="Book Antiqua"/>
          <w:sz w:val="20"/>
        </w:rPr>
        <w:t>. The observations of the third period were treated by Bessel and Peters. Both rejected the observations of 20, 21, and 23 February, 1754, as they “</w:t>
      </w:r>
      <w:r w:rsidRPr="007F536A">
        <w:rPr>
          <w:rStyle w:val="Emphasis"/>
          <w:rFonts w:ascii="Book Antiqua" w:hAnsi="Book Antiqua"/>
          <w:sz w:val="20"/>
        </w:rPr>
        <w:t>disagree with the rest and give large remainders</w:t>
      </w:r>
      <w:r w:rsidRPr="007F536A">
        <w:rPr>
          <w:rFonts w:ascii="Book Antiqua" w:hAnsi="Book Antiqua"/>
          <w:sz w:val="20"/>
        </w:rPr>
        <w:t>.”[48</w:t>
      </w:r>
      <w:bookmarkStart w:id="42" w:name="nine"/>
      <w:bookmarkEnd w:id="42"/>
      <w:r w:rsidRPr="007F536A">
        <w:rPr>
          <w:rFonts w:ascii="Book Antiqua" w:hAnsi="Book Antiqua"/>
          <w:sz w:val="20"/>
        </w:rPr>
        <w:t xml:space="preserve">] They respectively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.475</m:t>
        </m:r>
      </m:oMath>
      <w:r w:rsidRPr="007F536A">
        <w:rPr>
          <w:rFonts w:ascii="Book Antiqua" w:hAnsi="Book Antiqua"/>
          <w:sz w:val="20"/>
        </w:rPr>
        <w:t xml:space="preserve"> and 20.522 arc seconds. The final average value, omitting both of Busch’s disputed re-workings, was </w:t>
      </w:r>
      <m:oMath>
        <m:r>
          <w:rPr>
            <w:rFonts w:ascii="Cambria Math" w:hAnsi="Book Antiqua"/>
            <w:sz w:val="20"/>
          </w:rPr>
          <m:t>20</m:t>
        </m:r>
        <m:r>
          <w:rPr>
            <w:rFonts w:ascii="Book Antiqua" w:hAnsi="Book Antiqua"/>
            <w:sz w:val="20"/>
          </w:rPr>
          <m:t>”</m:t>
        </m:r>
        <m:r>
          <w:rPr>
            <w:rFonts w:ascii="Cambria Math" w:hAnsi="Book Antiqua"/>
            <w:sz w:val="20"/>
          </w:rPr>
          <m:t>.437</m:t>
        </m:r>
      </m:oMath>
      <w:r w:rsidRPr="007F536A">
        <w:rPr>
          <w:rFonts w:ascii="Book Antiqua" w:hAnsi="Book Antiqua"/>
          <w:sz w:val="20"/>
        </w:rPr>
        <w:t xml:space="preserve"> for a mean date of 1740. This makes </w:t>
      </w:r>
      <m:oMath>
        <m:r>
          <w:rPr>
            <w:rStyle w:val="Emphasis"/>
            <w:rFonts w:ascii="Cambria Math" w:hAnsi="Cambria Math"/>
            <w:sz w:val="20"/>
          </w:rPr>
          <m:t>c</m:t>
        </m:r>
        <m:r>
          <w:rPr>
            <w:rStyle w:val="Emphasis"/>
            <w:rFonts w:ascii="Cambria Math" w:hAnsi="Book Antiqua"/>
            <w:sz w:val="20"/>
          </w:rPr>
          <m:t xml:space="preserve"> = 300,650</m:t>
        </m:r>
        <m:r>
          <m:rPr>
            <m:sty m:val="p"/>
          </m:rPr>
          <w:rPr>
            <w:rFonts w:ascii="Cambria Math" w:hAnsi="Book Antiqua"/>
            <w:sz w:val="20"/>
          </w:rPr>
          <m:t xml:space="preserve"> km/s.</m:t>
        </m:r>
      </m:oMath>
      <w:r w:rsidRPr="007F536A">
        <w:rPr>
          <w:rFonts w:ascii="Book Antiqua" w:hAnsi="Book Antiqua"/>
          <w:sz w:val="20"/>
        </w:rPr>
        <w:t xml:space="preserve"> Table 3 lists the data [49].</w:t>
      </w:r>
    </w:p>
    <w:p w:rsidR="00D426BC" w:rsidRDefault="00D426BC" w:rsidP="00400B4E">
      <w:pPr>
        <w:pStyle w:val="NoSpacing"/>
        <w:ind w:firstLine="720"/>
        <w:jc w:val="both"/>
        <w:rPr>
          <w:rFonts w:ascii="Book Antiqua" w:hAnsi="Book Antiqua"/>
          <w:sz w:val="20"/>
        </w:rPr>
      </w:pPr>
    </w:p>
    <w:p w:rsidR="00D426BC" w:rsidRPr="007F536A" w:rsidRDefault="00D426BC" w:rsidP="00400B4E">
      <w:pPr>
        <w:pStyle w:val="NoSpacing"/>
        <w:ind w:firstLine="720"/>
        <w:jc w:val="both"/>
        <w:rPr>
          <w:rFonts w:ascii="Book Antiqua" w:hAnsi="Book Antiqua"/>
          <w:sz w:val="20"/>
        </w:rPr>
      </w:pPr>
    </w:p>
    <w:p w:rsidR="00821A88" w:rsidRPr="00252CC0" w:rsidRDefault="00821A88" w:rsidP="00E76E36">
      <w:pPr>
        <w:pStyle w:val="NoSpacing"/>
        <w:jc w:val="center"/>
        <w:rPr>
          <w:rFonts w:ascii="Book Antiqua" w:hAnsi="Book Antiqua"/>
          <w:sz w:val="18"/>
          <w:szCs w:val="18"/>
        </w:rPr>
      </w:pPr>
      <w:r w:rsidRPr="00252CC0">
        <w:rPr>
          <w:rFonts w:ascii="Book Antiqua" w:hAnsi="Book Antiqua"/>
          <w:b/>
          <w:sz w:val="18"/>
          <w:szCs w:val="18"/>
        </w:rPr>
        <w:lastRenderedPageBreak/>
        <w:t>TABLE 3:</w:t>
      </w:r>
      <w:r w:rsidRPr="00252CC0">
        <w:rPr>
          <w:rFonts w:ascii="Book Antiqua" w:hAnsi="Book Antiqua"/>
          <w:sz w:val="18"/>
          <w:szCs w:val="18"/>
        </w:rPr>
        <w:t xml:space="preserve"> </w:t>
      </w:r>
      <w:r w:rsidRPr="000E5755">
        <w:rPr>
          <w:rFonts w:ascii="Book Antiqua" w:hAnsi="Book Antiqua"/>
          <w:b/>
          <w:i/>
          <w:sz w:val="18"/>
          <w:szCs w:val="18"/>
        </w:rPr>
        <w:t>Results Of Bradley’s Observations</w:t>
      </w:r>
      <w:r w:rsidRPr="00252CC0">
        <w:rPr>
          <w:rFonts w:ascii="Book Antiqua" w:hAnsi="Book Antiqua"/>
          <w:sz w:val="18"/>
          <w:szCs w:val="18"/>
        </w:rPr>
        <w:t>.</w:t>
      </w:r>
    </w:p>
    <w:p w:rsidR="00821A88" w:rsidRPr="007F536A" w:rsidRDefault="00821A88" w:rsidP="00821A88">
      <w:pPr>
        <w:pStyle w:val="NoSpacing"/>
        <w:jc w:val="both"/>
        <w:rPr>
          <w:rFonts w:ascii="Book Antiqua" w:hAnsi="Book Antiqua"/>
          <w:b/>
          <w:sz w:val="20"/>
        </w:rPr>
      </w:pPr>
    </w:p>
    <w:tbl>
      <w:tblPr>
        <w:tblW w:w="5613"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60"/>
        <w:gridCol w:w="1027"/>
        <w:gridCol w:w="786"/>
        <w:gridCol w:w="1029"/>
        <w:gridCol w:w="1611"/>
      </w:tblGrid>
      <w:tr w:rsidR="00821A88" w:rsidRPr="007F536A" w:rsidTr="00400B4E">
        <w:trPr>
          <w:trHeight w:val="53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Location</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Stars</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Date</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Authority</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 xml:space="preserve">Aberration angle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617AA3">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8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Bradley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20”.25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20”.2495 </w:t>
            </w:r>
          </w:p>
        </w:tc>
      </w:tr>
      <w:tr w:rsidR="00821A88" w:rsidRPr="007F536A" w:rsidTr="00036707">
        <w:trPr>
          <w:trHeight w:val="345"/>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20”.3851 ± 0.0072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Newcomb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20”.53 ± 0.12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23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20”.205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14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20”.460 ± 0.063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Bessel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20”.475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Peters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20”.522 ± 0.079 </w:t>
            </w:r>
          </w:p>
        </w:tc>
      </w:tr>
    </w:tbl>
    <w:p w:rsidR="00821A88" w:rsidRPr="007F536A" w:rsidRDefault="00821A88" w:rsidP="00821A88">
      <w:pPr>
        <w:spacing w:before="100" w:beforeAutospacing="1" w:after="100" w:afterAutospacing="1"/>
        <w:rPr>
          <w:rFonts w:ascii="Book Antiqua" w:hAnsi="Book Antiqua"/>
          <w:bCs/>
          <w:i/>
        </w:rPr>
      </w:pPr>
      <w:r w:rsidRPr="007F536A">
        <w:rPr>
          <w:rFonts w:ascii="Book Antiqua" w:hAnsi="Book Antiqua"/>
          <w:bCs/>
          <w:i/>
          <w:sz w:val="18"/>
          <w:szCs w:val="18"/>
        </w:rPr>
        <w:t>Mean value: 20”.437 for 1740. Value of c = 300,650</w:t>
      </w:r>
      <w:r w:rsidRPr="007F536A">
        <w:rPr>
          <w:rFonts w:ascii="Book Antiqua" w:hAnsi="Book Antiqua"/>
          <w:b/>
          <w:bCs/>
          <w:i/>
          <w:sz w:val="18"/>
          <w:szCs w:val="18"/>
        </w:rPr>
        <w:t xml:space="preserve"> </w:t>
      </w:r>
      <w:r w:rsidRPr="007F536A">
        <w:rPr>
          <w:rFonts w:ascii="Book Antiqua" w:hAnsi="Book Antiqua"/>
          <w:sz w:val="18"/>
          <w:szCs w:val="18"/>
        </w:rPr>
        <w:t xml:space="preserve"> ±  75</w:t>
      </w:r>
      <w:r w:rsidRPr="007F536A">
        <w:rPr>
          <w:rFonts w:ascii="Book Antiqua" w:hAnsi="Book Antiqua"/>
          <w:bCs/>
          <w:i/>
          <w:sz w:val="18"/>
          <w:szCs w:val="18"/>
        </w:rPr>
        <w:t xml:space="preserve"> km/s. However the best individual set of data was Auwers treatment of Gamma Draconis at 20”.3851</w:t>
      </w:r>
      <w:r w:rsidRPr="007F536A">
        <w:rPr>
          <w:rFonts w:ascii="Book Antiqua" w:hAnsi="Book Antiqua"/>
          <w:bCs/>
          <w:i/>
          <w:sz w:val="18"/>
          <w:szCs w:val="18"/>
          <w:u w:val="single"/>
        </w:rPr>
        <w:t>+</w:t>
      </w:r>
      <w:r w:rsidRPr="007F536A">
        <w:rPr>
          <w:rFonts w:ascii="Book Antiqua" w:hAnsi="Book Antiqua"/>
          <w:bCs/>
          <w:i/>
          <w:sz w:val="18"/>
          <w:szCs w:val="18"/>
        </w:rPr>
        <w:t xml:space="preserve"> 0”.0072 with c = 301,415 </w:t>
      </w:r>
      <m:oMath>
        <m:r>
          <m:rPr>
            <m:sty m:val="bi"/>
          </m:rPr>
          <w:rPr>
            <w:rFonts w:ascii="Cambria Math" w:hAnsi="Book Antiqua"/>
            <w:sz w:val="18"/>
            <w:szCs w:val="18"/>
          </w:rPr>
          <m:t>±</m:t>
        </m:r>
        <m:r>
          <w:rPr>
            <w:rFonts w:ascii="Cambria Math" w:hAnsi="Book Antiqua"/>
            <w:sz w:val="18"/>
            <w:szCs w:val="18"/>
          </w:rPr>
          <m:t>110</m:t>
        </m:r>
        <m:r>
          <m:rPr>
            <m:sty m:val="bi"/>
          </m:rPr>
          <w:rPr>
            <w:rFonts w:ascii="Cambria Math" w:hAnsi="Book Antiqua"/>
            <w:sz w:val="18"/>
            <w:szCs w:val="18"/>
          </w:rPr>
          <m:t xml:space="preserve"> </m:t>
        </m:r>
      </m:oMath>
      <w:r w:rsidRPr="007F536A">
        <w:rPr>
          <w:rFonts w:ascii="Book Antiqua" w:hAnsi="Book Antiqua"/>
          <w:bCs/>
          <w:i/>
          <w:sz w:val="18"/>
          <w:szCs w:val="18"/>
        </w:rPr>
        <w:t xml:space="preserve"> km/</w:t>
      </w:r>
      <w:r w:rsidRPr="007F536A">
        <w:rPr>
          <w:rFonts w:ascii="Book Antiqua" w:hAnsi="Book Antiqua"/>
          <w:bCs/>
          <w:i/>
        </w:rPr>
        <w:t>s.</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process of trying to find the exact measurements may seem to be a fruitless exercise, but those tiny changes in measurements, when plugged into the light speed equations, yield significant results in the computed speed of light.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i/>
          <w:sz w:val="20"/>
        </w:rPr>
        <w:t>2.8 Definitive Results</w:t>
      </w:r>
    </w:p>
    <w:p w:rsidR="00821A88" w:rsidRPr="007F536A" w:rsidRDefault="00821A88" w:rsidP="00821A88">
      <w:pPr>
        <w:pStyle w:val="NoSpacing"/>
        <w:ind w:left="1080"/>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From Bradley’s final observations in 1754 until the work of Otto Wilhelm von Struve at the Pulkovo Observatory in 1840</w:t>
      </w:r>
      <w:r w:rsidR="00362990">
        <w:rPr>
          <w:rFonts w:ascii="Book Antiqua" w:hAnsi="Book Antiqua"/>
          <w:sz w:val="20"/>
        </w:rPr>
        <w:t xml:space="preserve"> (which opened in 1839)</w:t>
      </w:r>
      <w:r w:rsidRPr="007F536A">
        <w:rPr>
          <w:rFonts w:ascii="Book Antiqua" w:hAnsi="Book Antiqua"/>
          <w:sz w:val="20"/>
        </w:rPr>
        <w:t xml:space="preserve">, there appears to be only one extant set of observations, namely that of Bernhard August von Lindenau. He processed observations of Polaris between 1750 and 1816 to obtain a value for the aberration constant of </w:t>
      </w:r>
      <m:oMath>
        <m:r>
          <w:rPr>
            <w:rFonts w:ascii="Cambria Math" w:hAnsi="Book Antiqua"/>
            <w:sz w:val="20"/>
          </w:rPr>
          <m:t>20</m:t>
        </m:r>
        <m:r>
          <w:rPr>
            <w:rFonts w:ascii="Book Antiqua" w:hAnsi="Book Antiqua"/>
            <w:sz w:val="20"/>
          </w:rPr>
          <m:t>”</m:t>
        </m:r>
        <m:r>
          <w:rPr>
            <w:rFonts w:ascii="Cambria Math" w:hAnsi="Book Antiqua"/>
            <w:sz w:val="20"/>
          </w:rPr>
          <m:t xml:space="preserve">.45 </m:t>
        </m:r>
        <m:r>
          <w:rPr>
            <w:rFonts w:ascii="Book Antiqua" w:hAnsi="Book Antiqua"/>
            <w:sz w:val="20"/>
          </w:rPr>
          <m:t>±</m:t>
        </m:r>
        <m:r>
          <w:rPr>
            <w:rFonts w:ascii="Cambria Math" w:hAnsi="Book Antiqua"/>
            <w:sz w:val="20"/>
          </w:rPr>
          <m:t xml:space="preserve"> 0.011</m:t>
        </m:r>
      </m:oMath>
      <w:r w:rsidRPr="007F536A">
        <w:rPr>
          <w:rFonts w:ascii="Book Antiqua" w:hAnsi="Book Antiqua"/>
          <w:sz w:val="20"/>
        </w:rPr>
        <w:t xml:space="preserve"> for a mean date of 1783</w:t>
      </w:r>
      <w:bookmarkStart w:id="43" w:name="eleven"/>
      <w:bookmarkEnd w:id="43"/>
      <w:r w:rsidRPr="007F536A">
        <w:rPr>
          <w:rFonts w:ascii="Book Antiqua" w:hAnsi="Book Antiqua"/>
          <w:sz w:val="20"/>
        </w:rPr>
        <w:t xml:space="preserve"> [50]. This gives a value for </w:t>
      </w:r>
      <m:oMath>
        <m:r>
          <w:rPr>
            <w:rStyle w:val="Emphasis"/>
            <w:rFonts w:ascii="Cambria Math" w:hAnsi="Cambria Math"/>
            <w:sz w:val="20"/>
          </w:rPr>
          <m:t>c</m:t>
        </m:r>
        <m:r>
          <m:rPr>
            <m:sty m:val="p"/>
          </m:rPr>
          <w:rPr>
            <w:rFonts w:ascii="Cambria Math" w:hAnsi="Book Antiqua"/>
            <w:sz w:val="20"/>
          </w:rPr>
          <m:t xml:space="preserve"> = 300,460 km/s</m:t>
        </m:r>
      </m:oMath>
      <w:r w:rsidRPr="007F536A">
        <w:rPr>
          <w:rFonts w:ascii="Book Antiqua" w:hAnsi="Book Antiqua"/>
          <w:sz w:val="20"/>
        </w:rPr>
        <w:t xml:space="preserve"> in 1783. </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5406"/>
        <w:gridCol w:w="5228"/>
      </w:tblGrid>
      <w:tr w:rsidR="00821A88" w:rsidRPr="007F536A" w:rsidTr="00E76E36">
        <w:trPr>
          <w:trHeight w:val="3540"/>
          <w:jc w:val="center"/>
        </w:trPr>
        <w:tc>
          <w:tcPr>
            <w:tcW w:w="4343"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3270600" cy="2627939"/>
                  <wp:effectExtent l="19050" t="0" r="6000" b="0"/>
                  <wp:docPr id="1505" name="il_fi" descr="http://www.scientific-web.com/en/Astronomy/Biographies/images/OttoWilhelmStruv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tific-web.com/en/Astronomy/Biographies/images/OttoWilhelmStruve03.jpg"/>
                          <pic:cNvPicPr>
                            <a:picLocks noChangeAspect="1" noChangeArrowheads="1"/>
                          </pic:cNvPicPr>
                        </pic:nvPicPr>
                        <pic:blipFill>
                          <a:blip r:embed="rId93" cstate="print"/>
                          <a:srcRect r="-184" b="29710"/>
                          <a:stretch>
                            <a:fillRect/>
                          </a:stretch>
                        </pic:blipFill>
                        <pic:spPr bwMode="auto">
                          <a:xfrm>
                            <a:off x="0" y="0"/>
                            <a:ext cx="3283883" cy="2638612"/>
                          </a:xfrm>
                          <a:prstGeom prst="rect">
                            <a:avLst/>
                          </a:prstGeom>
                          <a:noFill/>
                          <a:ln w="9525">
                            <a:noFill/>
                            <a:miter lim="800000"/>
                            <a:headEnd/>
                            <a:tailEnd/>
                          </a:ln>
                        </pic:spPr>
                      </pic:pic>
                    </a:graphicData>
                  </a:graphic>
                </wp:inline>
              </w:drawing>
            </w:r>
          </w:p>
        </w:tc>
        <w:tc>
          <w:tcPr>
            <w:tcW w:w="4209"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3163566" cy="2627939"/>
                  <wp:effectExtent l="19050" t="0" r="0" b="0"/>
                  <wp:docPr id="1506" name="il_fi" descr="http://www.universetoday.com/wp-content/uploads/2012/02/Pulkovo_observatory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today.com/wp-content/uploads/2012/02/Pulkovo_observatory_2004.jpg"/>
                          <pic:cNvPicPr>
                            <a:picLocks noChangeAspect="1" noChangeArrowheads="1"/>
                          </pic:cNvPicPr>
                        </pic:nvPicPr>
                        <pic:blipFill>
                          <a:blip r:embed="rId94" cstate="print"/>
                          <a:srcRect l="6215" r="15889"/>
                          <a:stretch>
                            <a:fillRect/>
                          </a:stretch>
                        </pic:blipFill>
                        <pic:spPr bwMode="auto">
                          <a:xfrm>
                            <a:off x="0" y="0"/>
                            <a:ext cx="3183613" cy="2644591"/>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i/>
          <w:sz w:val="20"/>
        </w:rPr>
      </w:pPr>
    </w:p>
    <w:p w:rsidR="00821A88" w:rsidRPr="00B65E31" w:rsidRDefault="00821A88" w:rsidP="00E76E36">
      <w:pPr>
        <w:pStyle w:val="NoSpacing"/>
        <w:jc w:val="center"/>
        <w:rPr>
          <w:rFonts w:ascii="Book Antiqua" w:hAnsi="Book Antiqua"/>
          <w:i/>
          <w:sz w:val="18"/>
          <w:szCs w:val="18"/>
        </w:rPr>
      </w:pPr>
      <w:r w:rsidRPr="00B65E31">
        <w:rPr>
          <w:rFonts w:ascii="Book Antiqua" w:hAnsi="Book Antiqua"/>
          <w:i/>
          <w:sz w:val="18"/>
          <w:szCs w:val="18"/>
        </w:rPr>
        <w:t>Fig</w:t>
      </w:r>
      <w:r w:rsidR="00B65E31">
        <w:rPr>
          <w:rFonts w:ascii="Book Antiqua" w:hAnsi="Book Antiqua"/>
          <w:i/>
          <w:sz w:val="18"/>
          <w:szCs w:val="18"/>
        </w:rPr>
        <w:t>ure</w:t>
      </w:r>
      <w:r w:rsidRPr="00B65E31">
        <w:rPr>
          <w:rFonts w:ascii="Book Antiqua" w:hAnsi="Book Antiqua"/>
          <w:i/>
          <w:sz w:val="18"/>
          <w:szCs w:val="18"/>
        </w:rPr>
        <w:t xml:space="preserve"> 11: </w:t>
      </w:r>
      <w:r w:rsidRPr="00B65E31">
        <w:rPr>
          <w:rFonts w:ascii="Book Antiqua" w:hAnsi="Book Antiqua"/>
          <w:b/>
          <w:i/>
          <w:sz w:val="18"/>
          <w:szCs w:val="18"/>
        </w:rPr>
        <w:t xml:space="preserve">Left </w:t>
      </w:r>
      <w:r w:rsidR="00B65E31" w:rsidRPr="00B65E31">
        <w:rPr>
          <w:rFonts w:ascii="Book Antiqua" w:hAnsi="Book Antiqua"/>
          <w:b/>
          <w:i/>
          <w:sz w:val="18"/>
          <w:szCs w:val="18"/>
        </w:rPr>
        <w:t>–</w:t>
      </w:r>
      <w:r w:rsidRPr="00B65E31">
        <w:rPr>
          <w:rFonts w:ascii="Book Antiqua" w:hAnsi="Book Antiqua"/>
          <w:b/>
          <w:i/>
          <w:sz w:val="18"/>
          <w:szCs w:val="18"/>
        </w:rPr>
        <w:t xml:space="preserve"> </w:t>
      </w:r>
      <w:r w:rsidRPr="00B65E31">
        <w:rPr>
          <w:rFonts w:ascii="Book Antiqua" w:hAnsi="Book Antiqua"/>
          <w:i/>
          <w:sz w:val="18"/>
          <w:szCs w:val="18"/>
        </w:rPr>
        <w:t>O</w:t>
      </w:r>
      <w:r w:rsidR="00B65E31">
        <w:rPr>
          <w:rFonts w:ascii="Book Antiqua" w:hAnsi="Book Antiqua"/>
          <w:i/>
          <w:sz w:val="18"/>
          <w:szCs w:val="18"/>
        </w:rPr>
        <w:t xml:space="preserve">tto </w:t>
      </w:r>
      <w:r w:rsidRPr="00B65E31">
        <w:rPr>
          <w:rFonts w:ascii="Book Antiqua" w:hAnsi="Book Antiqua"/>
          <w:i/>
          <w:sz w:val="18"/>
          <w:szCs w:val="18"/>
        </w:rPr>
        <w:t>W</w:t>
      </w:r>
      <w:r w:rsidR="00B65E31">
        <w:rPr>
          <w:rFonts w:ascii="Book Antiqua" w:hAnsi="Book Antiqua"/>
          <w:i/>
          <w:sz w:val="18"/>
          <w:szCs w:val="18"/>
        </w:rPr>
        <w:t>ilhelm</w:t>
      </w:r>
      <w:r w:rsidRPr="00B65E31">
        <w:rPr>
          <w:rFonts w:ascii="Book Antiqua" w:hAnsi="Book Antiqua"/>
          <w:i/>
          <w:sz w:val="18"/>
          <w:szCs w:val="18"/>
        </w:rPr>
        <w:t xml:space="preserve"> von Struve 1819-1905. </w:t>
      </w:r>
      <w:r w:rsidRPr="00B65E31">
        <w:rPr>
          <w:rFonts w:ascii="Book Antiqua" w:hAnsi="Book Antiqua"/>
          <w:b/>
          <w:i/>
          <w:sz w:val="18"/>
          <w:szCs w:val="18"/>
        </w:rPr>
        <w:t>Right –</w:t>
      </w:r>
      <w:r w:rsidRPr="00B65E31">
        <w:rPr>
          <w:rFonts w:ascii="Book Antiqua" w:hAnsi="Book Antiqua"/>
          <w:i/>
          <w:sz w:val="18"/>
          <w:szCs w:val="18"/>
        </w:rPr>
        <w:t xml:space="preserve"> Pulkovo Observatory.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4739050" cy="3771900"/>
            <wp:effectExtent l="19050" t="0" r="4400" b="0"/>
            <wp:docPr id="1507" name="il_fi" descr="http://collectionsonline.nmsi.ac.uk/grabimg.php?kv=10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ollectionsonline.nmsi.ac.uk/grabimg.php?kv=107104"/>
                    <pic:cNvPicPr>
                      <a:picLocks noChangeAspect="1" noChangeArrowheads="1"/>
                    </pic:cNvPicPr>
                  </pic:nvPicPr>
                  <pic:blipFill>
                    <a:blip r:embed="rId95" cstate="print"/>
                    <a:srcRect/>
                    <a:stretch>
                      <a:fillRect/>
                    </a:stretch>
                  </pic:blipFill>
                  <pic:spPr bwMode="auto">
                    <a:xfrm>
                      <a:off x="0" y="0"/>
                      <a:ext cx="4734061" cy="3767929"/>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821A88">
      <w:pPr>
        <w:pStyle w:val="NoSpacing"/>
        <w:rPr>
          <w:rFonts w:ascii="Book Antiqua" w:hAnsi="Book Antiqua"/>
          <w:i/>
          <w:sz w:val="18"/>
          <w:szCs w:val="18"/>
        </w:rPr>
      </w:pPr>
      <w:r w:rsidRPr="00B65E31">
        <w:rPr>
          <w:rFonts w:ascii="Book Antiqua" w:hAnsi="Book Antiqua"/>
          <w:b/>
          <w:i/>
          <w:sz w:val="18"/>
          <w:szCs w:val="18"/>
        </w:rPr>
        <w:t>Figure 11A:</w:t>
      </w:r>
      <w:r w:rsidRPr="00B65E31">
        <w:rPr>
          <w:rFonts w:ascii="Book Antiqua" w:hAnsi="Book Antiqua"/>
          <w:i/>
          <w:sz w:val="18"/>
          <w:szCs w:val="18"/>
        </w:rPr>
        <w:t xml:space="preserve"> Repsold’s Transit Instrument used at the Pulkovo Observatory from the time of Otto Struve to determine the aberration constant and hence </w:t>
      </w:r>
      <w:r w:rsidRPr="00B65E31">
        <w:rPr>
          <w:rFonts w:ascii="Book Antiqua" w:hAnsi="Book Antiqua"/>
          <w:sz w:val="18"/>
          <w:szCs w:val="18"/>
        </w:rPr>
        <w:t>c</w:t>
      </w:r>
      <w:r w:rsidRPr="00B65E31">
        <w:rPr>
          <w:rFonts w:ascii="Book Antiqua" w:hAnsi="Book Antiqua"/>
          <w:i/>
          <w:sz w:val="18"/>
          <w:szCs w:val="18"/>
        </w:rPr>
        <w:t>.</w:t>
      </w:r>
    </w:p>
    <w:p w:rsidR="00821A88" w:rsidRPr="007F536A" w:rsidRDefault="00821A88" w:rsidP="00821A88">
      <w:pPr>
        <w:pStyle w:val="NoSpacing"/>
        <w:jc w:val="both"/>
        <w:rPr>
          <w:rFonts w:ascii="Book Antiqua" w:hAnsi="Book Antiqua"/>
          <w:i/>
          <w:sz w:val="20"/>
        </w:rPr>
      </w:pPr>
    </w:p>
    <w:p w:rsidR="00821A88" w:rsidRPr="007F536A" w:rsidRDefault="00C130A6" w:rsidP="00617AA3">
      <w:pPr>
        <w:pStyle w:val="NoSpacing"/>
        <w:ind w:firstLine="720"/>
        <w:jc w:val="both"/>
        <w:rPr>
          <w:rFonts w:ascii="Book Antiqua" w:hAnsi="Book Antiqua"/>
          <w:sz w:val="20"/>
        </w:rPr>
      </w:pPr>
      <w:r w:rsidRPr="007F536A">
        <w:rPr>
          <w:rFonts w:ascii="Book Antiqua" w:hAnsi="Book Antiqua"/>
          <w:sz w:val="20"/>
        </w:rPr>
        <w:t>Between 1840 and 1842, O. W. Struve studied seven stars from Pulkovo with Repsold’s transit instrument in the prime vertical position</w:t>
      </w:r>
      <w:bookmarkStart w:id="44" w:name="twelve"/>
      <w:r w:rsidRPr="007F536A">
        <w:rPr>
          <w:rFonts w:ascii="Book Antiqua" w:hAnsi="Book Antiqua"/>
          <w:sz w:val="20"/>
        </w:rPr>
        <w:t xml:space="preserve"> [51</w:t>
      </w:r>
      <w:bookmarkEnd w:id="44"/>
      <w:r w:rsidRPr="007F536A">
        <w:rPr>
          <w:rFonts w:ascii="Book Antiqua" w:hAnsi="Book Antiqua"/>
          <w:sz w:val="20"/>
        </w:rPr>
        <w:t>]</w:t>
      </w:r>
      <w:r w:rsidR="00E76E36">
        <w:rPr>
          <w:rFonts w:ascii="Book Antiqua" w:hAnsi="Book Antiqua"/>
          <w:sz w:val="20"/>
        </w:rPr>
        <w:t xml:space="preserve"> (See Figure 11A)</w:t>
      </w:r>
      <w:r w:rsidRPr="007F536A">
        <w:rPr>
          <w:rFonts w:ascii="Book Antiqua" w:hAnsi="Book Antiqua"/>
          <w:sz w:val="20"/>
        </w:rPr>
        <w:t xml:space="preserve">. His value for </w:t>
      </w:r>
      <w:r w:rsidRPr="007F536A">
        <w:rPr>
          <w:rStyle w:val="Emphasis"/>
          <w:rFonts w:ascii="Book Antiqua" w:hAnsi="Book Antiqua"/>
          <w:sz w:val="20"/>
        </w:rPr>
        <w:t>K</w:t>
      </w:r>
      <w:r w:rsidRPr="007F536A">
        <w:rPr>
          <w:rFonts w:ascii="Book Antiqua" w:hAnsi="Book Antiqua"/>
          <w:sz w:val="20"/>
        </w:rPr>
        <w:t>, issued in 1845, (</w:t>
      </w:r>
      <w:r w:rsidR="00362990">
        <w:rPr>
          <w:rFonts w:ascii="Book Antiqua" w:hAnsi="Book Antiqua"/>
          <w:sz w:val="20"/>
        </w:rPr>
        <w:t xml:space="preserve">with a probable </w:t>
      </w:r>
      <w:r w:rsidRPr="007F536A">
        <w:rPr>
          <w:rFonts w:ascii="Book Antiqua" w:hAnsi="Book Antiqua"/>
          <w:sz w:val="20"/>
        </w:rPr>
        <w:t xml:space="preserve">mean date of 1841), was </w:t>
      </w:r>
      <m:oMath>
        <m:r>
          <w:rPr>
            <w:rFonts w:ascii="Cambria Math" w:hAnsi="Book Antiqua"/>
            <w:sz w:val="20"/>
          </w:rPr>
          <m:t>20</m:t>
        </m:r>
        <m:r>
          <w:rPr>
            <w:rFonts w:ascii="Book Antiqua" w:hAnsi="Book Antiqua"/>
            <w:sz w:val="20"/>
          </w:rPr>
          <m:t>”</m:t>
        </m:r>
        <m:r>
          <w:rPr>
            <w:rFonts w:ascii="Cambria Math" w:hAnsi="Book Antiqua"/>
            <w:sz w:val="20"/>
          </w:rPr>
          <m:t xml:space="preserve">.445 </m:t>
        </m:r>
        <m:r>
          <w:rPr>
            <w:rFonts w:ascii="Book Antiqua" w:hAnsi="Book Antiqua"/>
            <w:sz w:val="20"/>
          </w:rPr>
          <m:t>±</m:t>
        </m:r>
        <m:r>
          <w:rPr>
            <w:rFonts w:ascii="Cambria Math" w:hAnsi="Book Antiqua"/>
            <w:sz w:val="20"/>
          </w:rPr>
          <m:t>0.011</m:t>
        </m:r>
      </m:oMath>
      <w:r w:rsidRPr="007F536A">
        <w:rPr>
          <w:rFonts w:ascii="Book Antiqua" w:hAnsi="Book Antiqua"/>
          <w:sz w:val="20"/>
        </w:rPr>
        <w:t xml:space="preserve">. This value was </w:t>
      </w:r>
      <w:r w:rsidR="00CE15D3" w:rsidRPr="007F536A">
        <w:rPr>
          <w:rFonts w:ascii="Book Antiqua" w:hAnsi="Book Antiqua"/>
          <w:sz w:val="20"/>
        </w:rPr>
        <w:t>taken as definitive until 1884. Folke had re-processed Struve’s observations with five stars as Struve had remarked that “</w:t>
      </w:r>
      <w:r w:rsidR="00CE15D3" w:rsidRPr="007F536A">
        <w:rPr>
          <w:rStyle w:val="Emphasis"/>
          <w:rFonts w:ascii="Book Antiqua" w:hAnsi="Book Antiqua"/>
          <w:sz w:val="20"/>
        </w:rPr>
        <w:t>the observations of the two stars in Cassiopeia are less exact due to their great brilliancy which precluded accurate setting on them</w:t>
      </w:r>
      <w:r w:rsidR="00CE15D3" w:rsidRPr="007F536A">
        <w:rPr>
          <w:rFonts w:ascii="Book Antiqua" w:hAnsi="Book Antiqua"/>
          <w:sz w:val="20"/>
        </w:rPr>
        <w:t>.”[52</w:t>
      </w:r>
      <w:bookmarkStart w:id="45" w:name="thirteen"/>
      <w:bookmarkEnd w:id="45"/>
      <w:r w:rsidR="00CE15D3" w:rsidRPr="007F536A">
        <w:rPr>
          <w:rFonts w:ascii="Book Antiqua" w:hAnsi="Book Antiqua"/>
          <w:sz w:val="20"/>
        </w:rPr>
        <w:t>]</w:t>
      </w:r>
      <w:r w:rsidR="00CE15D3" w:rsidRPr="007F536A">
        <w:rPr>
          <w:rFonts w:ascii="Book Antiqua" w:hAnsi="Book Antiqua"/>
          <w:color w:val="FF0000"/>
          <w:sz w:val="20"/>
        </w:rPr>
        <w:t xml:space="preserve"> </w:t>
      </w:r>
      <w:r w:rsidR="00CE15D3" w:rsidRPr="007F536A">
        <w:rPr>
          <w:rFonts w:ascii="Book Antiqua" w:hAnsi="Book Antiqua"/>
          <w:sz w:val="20"/>
        </w:rPr>
        <w:t xml:space="preserve">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.458 </m:t>
        </m:r>
        <m:r>
          <w:rPr>
            <w:rFonts w:ascii="Book Antiqua" w:hAnsi="Book Antiqua"/>
            <w:sz w:val="20"/>
          </w:rPr>
          <m:t>±</m:t>
        </m:r>
        <m:r>
          <w:rPr>
            <w:rFonts w:ascii="Cambria Math" w:hAnsi="Book Antiqua"/>
            <w:sz w:val="20"/>
          </w:rPr>
          <m:t xml:space="preserve"> 0.008</m:t>
        </m:r>
      </m:oMath>
      <w:r w:rsidR="00CE15D3" w:rsidRPr="007F536A">
        <w:rPr>
          <w:rFonts w:ascii="Book Antiqua" w:hAnsi="Book Antiqua"/>
          <w:sz w:val="20"/>
        </w:rPr>
        <w:t xml:space="preserve"> then resulted, which gives </w:t>
      </w:r>
      <m:oMath>
        <m:r>
          <w:rPr>
            <w:rFonts w:ascii="Cambria Math" w:hAnsi="Cambria Math"/>
            <w:sz w:val="20"/>
          </w:rPr>
          <m:t>c</m:t>
        </m:r>
        <m:r>
          <w:rPr>
            <w:rFonts w:ascii="Cambria Math" w:hAnsi="Book Antiqua"/>
            <w:sz w:val="20"/>
          </w:rPr>
          <m:t xml:space="preserve"> = 300,340 </m:t>
        </m:r>
        <m:r>
          <w:rPr>
            <w:rFonts w:ascii="Book Antiqua" w:hAnsi="Book Antiqua"/>
            <w:sz w:val="20"/>
          </w:rPr>
          <m:t>±</m:t>
        </m:r>
        <m:r>
          <w:rPr>
            <w:rFonts w:ascii="Cambria Math" w:hAnsi="Book Antiqua"/>
            <w:sz w:val="20"/>
          </w:rPr>
          <m:t xml:space="preserve">115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In 1853, Struve re-processed all his own earlier observations allowing for temperature and vibration effects and a zenith correction, issuing a final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.463 </m:t>
        </m:r>
        <m:r>
          <w:rPr>
            <w:rFonts w:ascii="Book Antiqua" w:hAnsi="Book Antiqua"/>
            <w:sz w:val="20"/>
          </w:rPr>
          <m:t>±</m:t>
        </m:r>
        <m:r>
          <w:rPr>
            <w:rFonts w:ascii="Cambria Math" w:hAnsi="Book Antiqua"/>
            <w:sz w:val="20"/>
          </w:rPr>
          <m:t xml:space="preserve"> 0.017</m:t>
        </m:r>
      </m:oMath>
      <w:r w:rsidR="00CE15D3" w:rsidRPr="007F536A">
        <w:rPr>
          <w:rFonts w:ascii="Book Antiqua" w:hAnsi="Book Antiqua"/>
          <w:sz w:val="20"/>
        </w:rPr>
        <w:t xml:space="preserve"> [53</w:t>
      </w:r>
      <w:bookmarkStart w:id="46" w:name="fourteen"/>
      <w:bookmarkEnd w:id="46"/>
      <w:r w:rsidR="00CE15D3" w:rsidRPr="007F536A">
        <w:rPr>
          <w:rFonts w:ascii="Book Antiqua" w:hAnsi="Book Antiqua"/>
          <w:sz w:val="20"/>
        </w:rPr>
        <w:t>]. This results in a speed of light value of 300,270</w:t>
      </w:r>
      <m:oMath>
        <m:r>
          <m:rPr>
            <m:sty m:val="bi"/>
          </m:rPr>
          <w:rPr>
            <w:rFonts w:ascii="Cambria Math" w:hAnsi="Book Antiqua"/>
            <w:sz w:val="20"/>
          </w:rPr>
          <m:t xml:space="preserve"> </m:t>
        </m:r>
        <m:r>
          <w:rPr>
            <w:rFonts w:ascii="Book Antiqua" w:hAnsi="Book Antiqua"/>
            <w:sz w:val="20"/>
          </w:rPr>
          <m:t>±</m:t>
        </m:r>
        <m:r>
          <w:rPr>
            <w:rFonts w:ascii="Cambria Math" w:hAnsi="Book Antiqua"/>
            <w:sz w:val="20"/>
          </w:rPr>
          <m:t xml:space="preserve">250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Though the value Struve issued in 1845 was the generally quoted </w:t>
      </w:r>
      <w:r w:rsidR="00821A88" w:rsidRPr="007F536A">
        <w:rPr>
          <w:rFonts w:ascii="Book Antiqua" w:hAnsi="Book Antiqua"/>
          <w:sz w:val="20"/>
        </w:rPr>
        <w:t>definitive value, [54</w:t>
      </w:r>
      <w:bookmarkStart w:id="47" w:name="fifteen"/>
      <w:bookmarkEnd w:id="47"/>
      <w:r w:rsidR="00821A88" w:rsidRPr="007F536A">
        <w:rPr>
          <w:rFonts w:ascii="Book Antiqua" w:hAnsi="Book Antiqua"/>
          <w:sz w:val="20"/>
        </w:rPr>
        <w:t>], namely 300,530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155</m:t>
        </m:r>
      </m:oMath>
      <w:r w:rsidR="00821A88" w:rsidRPr="007F536A">
        <w:rPr>
          <w:rFonts w:ascii="Book Antiqua" w:hAnsi="Book Antiqua"/>
          <w:sz w:val="20"/>
        </w:rPr>
        <w:t xml:space="preserve"> km/s this 1853 correction is taken to be the best result possible from the data.</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t>
      </w:r>
      <w:r w:rsidRPr="007F536A">
        <w:rPr>
          <w:rFonts w:ascii="Book Antiqua" w:hAnsi="Book Antiqua"/>
          <w:sz w:val="20"/>
        </w:rPr>
        <w:tab/>
        <w:t xml:space="preserve">New work by Struve between 1842 and 1844, again using Repsold’s transit instrument in the prime vertical, gave a further determination of the aberration constant. From this set of observations, Struve set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.480</m:t>
        </m:r>
      </m:oMath>
      <w:r w:rsidRPr="007F536A">
        <w:rPr>
          <w:rFonts w:ascii="Book Antiqua" w:hAnsi="Book Antiqua"/>
          <w:sz w:val="20"/>
        </w:rPr>
        <w:t xml:space="preserve"> [55</w:t>
      </w:r>
      <w:bookmarkStart w:id="48" w:name="sixteen"/>
      <w:bookmarkEnd w:id="48"/>
      <w:r w:rsidRPr="007F536A">
        <w:rPr>
          <w:rFonts w:ascii="Book Antiqua" w:hAnsi="Book Antiqua"/>
          <w:sz w:val="20"/>
        </w:rPr>
        <w:t xml:space="preserve">]. Vaschilina corrected these observations using the modern known positions and proper motions of these stars as well as latitude variation. The outcome was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.486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.006</m:t>
        </m:r>
      </m:oMath>
      <w:r w:rsidRPr="007F536A">
        <w:rPr>
          <w:rFonts w:ascii="Book Antiqua" w:hAnsi="Book Antiqua"/>
          <w:sz w:val="20"/>
        </w:rPr>
        <w:t xml:space="preserve"> with a speed of light of</w:t>
      </w:r>
      <w:r w:rsidRPr="007F536A">
        <w:rPr>
          <w:rFonts w:ascii="Book Antiqua" w:hAnsi="Book Antiqua"/>
          <w:b/>
          <w:sz w:val="20"/>
        </w:rPr>
        <w:t xml:space="preserve"> </w:t>
      </w:r>
      <w:r w:rsidRPr="007F536A">
        <w:rPr>
          <w:rFonts w:ascii="Book Antiqua" w:hAnsi="Book Antiqua"/>
          <w:sz w:val="20"/>
        </w:rPr>
        <w:t>299,930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 xml:space="preserve">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1843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1862, following his father’s retirement, Struve was appointed Director of the Pulkovo Observatory and we have no further aberration observations recorded from him.  In 1868, the Swedish astronomer Magnus Nyren began work at Pulkovo and continued there until 1907.  Shortly after joining the Pulkovo team, Nyren processed the Pulkovo observations by Peters of Polaris using Ertel’s vertical circle. These observations were in three groups: 1842-1844, 1863-1870 and 1871-1873. Nyren’s treatment resulted in a value for the constant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 xml:space="preserve">.013 </m:t>
        </m:r>
      </m:oMath>
      <w:r w:rsidRPr="007F536A">
        <w:rPr>
          <w:rFonts w:ascii="Book Antiqua" w:hAnsi="Book Antiqua"/>
          <w:sz w:val="20"/>
        </w:rPr>
        <w:t xml:space="preserve">against a mean date of 1858. This gives a light-speed value of 299,800 km/s. In a similar way, Nyren processed the observations of Wagner on two stars using the transit instrument in the prime vertical in the period 1861-1872 and 1875-1879 for a mean date of 1870. </w:t>
      </w:r>
      <w:r w:rsidRPr="007F536A">
        <w:rPr>
          <w:rFonts w:ascii="Book Antiqua" w:hAnsi="Book Antiqua"/>
          <w:sz w:val="20"/>
        </w:rPr>
        <w:lastRenderedPageBreak/>
        <w:t xml:space="preserve">The result was a value for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.483 </m:t>
        </m:r>
        <m:r>
          <w:rPr>
            <w:rFonts w:ascii="Book Antiqua" w:hAnsi="Book Antiqua"/>
            <w:sz w:val="20"/>
            <w:u w:val="single"/>
          </w:rPr>
          <m:t>±</m:t>
        </m:r>
        <m:r>
          <w:rPr>
            <w:rFonts w:ascii="Cambria Math" w:hAnsi="Book Antiqua"/>
            <w:sz w:val="20"/>
            <w:u w:val="single"/>
          </w:rPr>
          <m:t xml:space="preserve"> </m:t>
        </m:r>
        <m:r>
          <w:rPr>
            <w:rFonts w:ascii="Cambria Math" w:hAnsi="Book Antiqua"/>
            <w:sz w:val="20"/>
          </w:rPr>
          <m:t>0</m:t>
        </m:r>
        <m:r>
          <w:rPr>
            <w:rFonts w:ascii="Book Antiqua" w:hAnsi="Book Antiqua"/>
            <w:sz w:val="20"/>
          </w:rPr>
          <m:t>”</m:t>
        </m:r>
        <m:r>
          <w:rPr>
            <w:rFonts w:ascii="Cambria Math" w:hAnsi="Book Antiqua"/>
            <w:sz w:val="20"/>
          </w:rPr>
          <m:t>.003</m:t>
        </m:r>
      </m:oMath>
      <w:r w:rsidRPr="007F536A">
        <w:rPr>
          <w:rFonts w:ascii="Book Antiqua" w:hAnsi="Book Antiqua"/>
          <w:sz w:val="20"/>
        </w:rPr>
        <w:t xml:space="preserve"> with a speed of light of </w:t>
      </w:r>
      <m:oMath>
        <m:r>
          <w:rPr>
            <w:rFonts w:ascii="Cambria Math" w:hAnsi="Book Antiqua"/>
            <w:sz w:val="20"/>
          </w:rPr>
          <m:t xml:space="preserve">299,980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In Kulikov’s Table III-3, this value receives the most favorable weighting [48]. In 1883, Nyren processed his own series of observations using appropriate weights. The weighted average of those observations yielded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.4915</m:t>
        </m:r>
      </m:oMath>
      <w:r w:rsidRPr="007F536A">
        <w:rPr>
          <w:rFonts w:ascii="Book Antiqua" w:hAnsi="Book Antiqua"/>
          <w:sz w:val="20"/>
        </w:rPr>
        <w:t xml:space="preserve">, so light-speed, </w:t>
      </w:r>
      <m:oMath>
        <m:r>
          <w:rPr>
            <w:rFonts w:ascii="Cambria Math" w:hAnsi="Cambria Math"/>
            <w:sz w:val="20"/>
          </w:rPr>
          <m:t>c</m:t>
        </m:r>
        <m:r>
          <w:rPr>
            <w:rFonts w:ascii="Cambria Math" w:hAnsi="Book Antiqua"/>
            <w:sz w:val="20"/>
          </w:rPr>
          <m:t xml:space="preserve"> = 299,850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Then, in 1884, Nyren made a significant announcement. He had just undertaken a detailed examination of his own series of observations using the Pulkovo vertical circle, a meridian circle and Repsold’s transit instrument in prime vertical. He had now compared these observations with those of Struve using the very same instruments. After using a weighted analysis, Nyren announced that the value of </w:t>
      </w:r>
      <m:oMath>
        <m:r>
          <w:rPr>
            <w:rStyle w:val="Emphasis"/>
            <w:rFonts w:ascii="Cambria Math" w:hAnsi="Cambria Math"/>
            <w:sz w:val="20"/>
          </w:rPr>
          <m:t>K</m:t>
        </m:r>
      </m:oMath>
      <w:r w:rsidRPr="007F536A">
        <w:rPr>
          <w:rFonts w:ascii="Book Antiqua" w:hAnsi="Book Antiqua"/>
          <w:sz w:val="20"/>
        </w:rPr>
        <w:t xml:space="preserve"> </w:t>
      </w:r>
      <w:r w:rsidR="00362990">
        <w:rPr>
          <w:rFonts w:ascii="Book Antiqua" w:hAnsi="Book Antiqua"/>
          <w:sz w:val="20"/>
        </w:rPr>
        <w:t xml:space="preserve">(the aberration constant) </w:t>
      </w:r>
      <w:r w:rsidRPr="007F536A">
        <w:rPr>
          <w:rFonts w:ascii="Book Antiqua" w:hAnsi="Book Antiqua"/>
          <w:sz w:val="20"/>
        </w:rPr>
        <w:t xml:space="preserve">must be increased from Struve’s original to </w:t>
      </w:r>
      <m:oMath>
        <m:r>
          <w:rPr>
            <w:rFonts w:ascii="Cambria Math" w:hAnsi="Book Antiqua"/>
            <w:sz w:val="20"/>
          </w:rPr>
          <m:t>20</m:t>
        </m:r>
        <m:r>
          <w:rPr>
            <w:rFonts w:ascii="Book Antiqua" w:hAnsi="Book Antiqua"/>
            <w:sz w:val="20"/>
          </w:rPr>
          <m:t>”</m:t>
        </m:r>
        <m:r>
          <w:rPr>
            <w:rFonts w:ascii="Cambria Math" w:hAnsi="Book Antiqua"/>
            <w:sz w:val="20"/>
          </w:rPr>
          <m:t xml:space="preserve">.492 </m:t>
        </m:r>
        <m:r>
          <w:rPr>
            <w:rFonts w:ascii="Book Antiqua" w:hAnsi="Book Antiqua"/>
            <w:sz w:val="20"/>
          </w:rPr>
          <m:t>±</m:t>
        </m:r>
        <m:r>
          <w:rPr>
            <w:rFonts w:ascii="Cambria Math" w:hAnsi="Book Antiqua"/>
            <w:sz w:val="20"/>
          </w:rPr>
          <m:t xml:space="preserve"> 0.006</m:t>
        </m:r>
      </m:oMath>
      <w:r w:rsidRPr="007F536A">
        <w:rPr>
          <w:rFonts w:ascii="Book Antiqua" w:hAnsi="Book Antiqua"/>
          <w:sz w:val="20"/>
        </w:rPr>
        <w:t xml:space="preserve"> [56</w:t>
      </w:r>
      <w:bookmarkStart w:id="49" w:name="seventeen"/>
      <w:bookmarkEnd w:id="49"/>
      <w:r w:rsidRPr="007F536A">
        <w:rPr>
          <w:rFonts w:ascii="Book Antiqua" w:hAnsi="Book Antiqua"/>
          <w:sz w:val="20"/>
        </w:rPr>
        <w:t>]. Newcomb accepted this analysis and announced Nyren’s value as definitive in 1886, superseding Struve’s [57</w:t>
      </w:r>
      <w:bookmarkStart w:id="50" w:name="eighteen"/>
      <w:bookmarkEnd w:id="50"/>
      <w:r w:rsidRPr="007F536A">
        <w:rPr>
          <w:rFonts w:ascii="Book Antiqua" w:hAnsi="Book Antiqua"/>
          <w:sz w:val="20"/>
        </w:rPr>
        <w:t xml:space="preserve">].  This gives a value for the speed of light in 1884 of </w:t>
      </w:r>
      <m:oMath>
        <m:r>
          <w:rPr>
            <w:rFonts w:ascii="Cambria Math" w:hAnsi="Book Antiqua"/>
            <w:sz w:val="20"/>
          </w:rPr>
          <m:t xml:space="preserve">299,840 </m:t>
        </m:r>
        <m:r>
          <w:rPr>
            <w:rFonts w:ascii="Book Antiqua" w:hAnsi="Book Antiqua"/>
            <w:sz w:val="20"/>
          </w:rPr>
          <m:t>±</m:t>
        </m:r>
        <m:r>
          <w:rPr>
            <w:rFonts w:ascii="Cambria Math" w:hAnsi="Book Antiqua"/>
            <w:sz w:val="20"/>
          </w:rPr>
          <m:t xml:space="preserve"> 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in this context that Newcomb commented in 1886 that the speed of light values obtained by the aberration and Roemer methods around 1740 were about 1% higher than the values that were being obtained by all methods in the 1880’s [57].  In other words, Newcomb was admitting that the speed of light was about </w:t>
      </w:r>
      <m:oMath>
        <m:r>
          <w:rPr>
            <w:rFonts w:ascii="Cambria Math" w:hAnsi="Book Antiqua"/>
            <w:sz w:val="20"/>
          </w:rPr>
          <m:t xml:space="preserve">3000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higher around 1740 than in the 1880’s. His own involvement in the necessity to change the aberration constant reinforced this conclusion.  This makes the value that emerged from the treatment of Bradley’s observations in Table 3 look conservative. At the same time, it reinforces the impression that these early authorities were already aware of a decline in the measured value of the speed of light.  Newcomb was especially aware because of his own rotating mirror experiments which were giving results in close accord with Nyren’s value of 1883 and Nyren’s value in 1884 which Newcomb himself called “definitive” [51].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decade from the mid 1880’s to the mid 1890’s we apparently have no aberration data from Pulkovo. Struve retired in 1889. Nyren’s program of observations now had moved on to other physical constants and the study of instrument errors. He detected a secular variation, and confirmed a periodic variation, in the latitude of Pulkovo. Some of his work was presented at the International Conference on Fundamental Stars in Paris in 1896. At that Conference, Newcomb presented his personal analysis of the Pulkovo aberration observations. His treatment suggested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.493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.011</m:t>
        </m:r>
      </m:oMath>
      <w:r w:rsidRPr="007F536A">
        <w:rPr>
          <w:rFonts w:ascii="Book Antiqua" w:hAnsi="Book Antiqua"/>
          <w:sz w:val="20"/>
        </w:rPr>
        <w:t xml:space="preserve">. Despite that recommendation, the 1896 Paris Conference accepted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.470</m:t>
        </m:r>
      </m:oMath>
      <w:r w:rsidRPr="007F536A">
        <w:rPr>
          <w:rFonts w:ascii="Book Antiqua" w:hAnsi="Book Antiqua"/>
          <w:sz w:val="20"/>
        </w:rPr>
        <w:t xml:space="preserve"> on the basis of other observational data [58].</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Toivo I. Bonsdorff was a specialist in astrometry, geodesy, and gravimetry, and the founder of the Finnish Geodetic Institute. He worked at Pulkovo Observatory from 1902 to 1917. In the period 1904-1906, Bonsdorff, used Talcott’s method to obtain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for a mean date of 1905. Furthermore, in the period 1904-1909 he observed stars in Cassiopeia with Pulkovo colleagues Orlov and Semenov to get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against a mean date of 1907. </w:t>
      </w:r>
    </w:p>
    <w:p w:rsidR="007F0104" w:rsidRDefault="007F0104" w:rsidP="00821A88">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Aleksandr J. Orlov, known for his study of polar motion and the nature of comets, worked at Pulkovo from 1906-1908. He also used Talcott’s method and measured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In 1909, Semenov using the same method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.518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.010</m:t>
        </m:r>
      </m:oMath>
      <w:r w:rsidRPr="007F536A">
        <w:rPr>
          <w:rFonts w:ascii="Book Antiqua" w:hAnsi="Book Antiqua"/>
          <w:sz w:val="20"/>
        </w:rPr>
        <w:t xml:space="preserve">, while in 1910 he had determined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.508 </m:t>
        </m:r>
        <m:r>
          <w:rPr>
            <w:rFonts w:ascii="Book Antiqua" w:hAnsi="Book Antiqua"/>
            <w:sz w:val="20"/>
          </w:rPr>
          <m:t>±</m:t>
        </m:r>
        <m:r>
          <w:rPr>
            <w:rFonts w:ascii="Cambria Math" w:hAnsi="Book Antiqua"/>
            <w:sz w:val="20"/>
          </w:rPr>
          <m:t>0</m:t>
        </m:r>
        <m:r>
          <w:rPr>
            <w:rFonts w:ascii="Book Antiqua" w:hAnsi="Book Antiqua"/>
            <w:sz w:val="20"/>
          </w:rPr>
          <m:t>”</m:t>
        </m:r>
        <m:r>
          <w:rPr>
            <w:rFonts w:ascii="Cambria Math" w:hAnsi="Book Antiqua"/>
            <w:sz w:val="20"/>
          </w:rPr>
          <m:t>.013</m:t>
        </m:r>
      </m:oMath>
      <w:r w:rsidRPr="007F536A">
        <w:rPr>
          <w:rFonts w:ascii="Book Antiqua" w:hAnsi="Book Antiqua"/>
          <w:sz w:val="20"/>
        </w:rPr>
        <w:t>. These data are found in Table III-3 in Kulikov’s</w:t>
      </w:r>
      <w:r w:rsidRPr="007F536A">
        <w:rPr>
          <w:rStyle w:val="Emphasis"/>
          <w:rFonts w:ascii="Book Antiqua" w:hAnsi="Book Antiqua"/>
          <w:sz w:val="20"/>
        </w:rPr>
        <w:t xml:space="preserve">  Fundamental Constants of Astronomy</w:t>
      </w:r>
      <w:r w:rsidRPr="007F536A">
        <w:rPr>
          <w:rFonts w:ascii="Book Antiqua" w:hAnsi="Book Antiqua"/>
          <w:sz w:val="20"/>
        </w:rPr>
        <w:t xml:space="preserve"> [48]. </w:t>
      </w:r>
    </w:p>
    <w:p w:rsidR="007F0104" w:rsidRPr="007F536A" w:rsidRDefault="007F0104" w:rsidP="007F0104">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All these Pulkovo data are reproduced in Table 4 </w:t>
      </w:r>
      <w:r w:rsidR="00362990">
        <w:rPr>
          <w:rFonts w:ascii="Book Antiqua" w:hAnsi="Book Antiqua"/>
          <w:sz w:val="20"/>
        </w:rPr>
        <w:t>following</w:t>
      </w:r>
      <w:r w:rsidRPr="007F536A">
        <w:rPr>
          <w:rFonts w:ascii="Book Antiqua" w:hAnsi="Book Antiqua"/>
          <w:sz w:val="20"/>
        </w:rPr>
        <w:t>, but with the inclusion of the most conservative value for Bradley along with that of Lindenau by way of comparison. The remaining values from Pulkovo observers listed in Table 4 can be found in Kulikov’s Table 10 on page 92 of his book. [48].</w:t>
      </w:r>
    </w:p>
    <w:p w:rsidR="007F0104" w:rsidRPr="007F536A" w:rsidRDefault="007F0104" w:rsidP="007F0104">
      <w:pPr>
        <w:pStyle w:val="NoSpacing"/>
        <w:ind w:firstLine="720"/>
        <w:jc w:val="both"/>
        <w:rPr>
          <w:rFonts w:ascii="Book Antiqua" w:hAnsi="Book Antiqua"/>
          <w:sz w:val="20"/>
        </w:rPr>
      </w:pPr>
    </w:p>
    <w:p w:rsidR="007F0104" w:rsidRDefault="00362990" w:rsidP="007F0104">
      <w:pPr>
        <w:pStyle w:val="NoSpacing"/>
        <w:ind w:firstLine="720"/>
        <w:jc w:val="both"/>
        <w:rPr>
          <w:rFonts w:ascii="Book Antiqua" w:hAnsi="Book Antiqua"/>
          <w:sz w:val="20"/>
        </w:rPr>
      </w:pPr>
      <w:r>
        <w:rPr>
          <w:rFonts w:ascii="Book Antiqua" w:hAnsi="Book Antiqua"/>
          <w:sz w:val="20"/>
        </w:rPr>
        <w:t>The</w:t>
      </w:r>
      <w:r w:rsidR="007F0104" w:rsidRPr="007F536A">
        <w:rPr>
          <w:rFonts w:ascii="Book Antiqua" w:hAnsi="Book Antiqua"/>
          <w:sz w:val="20"/>
        </w:rPr>
        <w:t xml:space="preserve"> final value in Table 4 below deserves some comment</w:t>
      </w:r>
      <w:r>
        <w:rPr>
          <w:rFonts w:ascii="Book Antiqua" w:hAnsi="Book Antiqua"/>
          <w:sz w:val="20"/>
        </w:rPr>
        <w:t>,</w:t>
      </w:r>
      <w:r w:rsidR="007F0104" w:rsidRPr="007F536A">
        <w:rPr>
          <w:rFonts w:ascii="Book Antiqua" w:hAnsi="Book Antiqua"/>
          <w:sz w:val="20"/>
        </w:rPr>
        <w:t xml:space="preserve"> which also reflects the conditions under which other Pulkovo observations were made. The observer was Sofia V. Romanskaya, an authority in the Latitude Service, who has asteroid 3761 named after her. She was at Pulkovo from 1908 until the second World War intervened. She used the large zenith telescope to make a series of 14,783 observations to obtain a definitive value for the aberration constant.</w:t>
      </w:r>
    </w:p>
    <w:p w:rsidR="00362990" w:rsidRDefault="00362990" w:rsidP="00362990">
      <w:pPr>
        <w:pStyle w:val="NoSpacing"/>
        <w:ind w:firstLine="720"/>
        <w:jc w:val="both"/>
        <w:rPr>
          <w:rFonts w:ascii="Book Antiqua" w:hAnsi="Book Antiqua"/>
          <w:sz w:val="20"/>
        </w:rPr>
      </w:pPr>
    </w:p>
    <w:p w:rsidR="00362990" w:rsidRPr="007F536A" w:rsidRDefault="00362990" w:rsidP="00362990">
      <w:pPr>
        <w:pStyle w:val="NoSpacing"/>
        <w:ind w:firstLine="720"/>
        <w:jc w:val="both"/>
        <w:rPr>
          <w:rFonts w:ascii="Book Antiqua" w:hAnsi="Book Antiqua"/>
          <w:sz w:val="20"/>
        </w:rPr>
      </w:pPr>
      <w:r w:rsidRPr="007F536A">
        <w:rPr>
          <w:rFonts w:ascii="Book Antiqua" w:hAnsi="Book Antiqua"/>
          <w:sz w:val="20"/>
        </w:rPr>
        <w:t xml:space="preserve">The value that Romanskaya obtained for the aberration constant was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This gives a value for the speed of light of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m:t>
        </m:r>
      </m:oMath>
      <w:r w:rsidRPr="007F536A">
        <w:rPr>
          <w:rFonts w:ascii="Book Antiqua" w:hAnsi="Book Antiqua"/>
          <w:sz w:val="20"/>
        </w:rPr>
        <w:t xml:space="preserve"> km/s. While many, such as Whittaker [53], took this value of K to be definitive, it </w:t>
      </w:r>
      <w:r w:rsidRPr="007F536A">
        <w:rPr>
          <w:rFonts w:ascii="Book Antiqua" w:hAnsi="Book Antiqua"/>
          <w:sz w:val="20"/>
        </w:rPr>
        <w:lastRenderedPageBreak/>
        <w:t xml:space="preserve">gives a value for </w:t>
      </w:r>
      <m:oMath>
        <m:r>
          <w:rPr>
            <w:rFonts w:ascii="Cambria Math" w:hAnsi="Cambria Math"/>
            <w:sz w:val="20"/>
          </w:rPr>
          <m:t>c</m:t>
        </m:r>
      </m:oMath>
      <w:r w:rsidRPr="007F536A">
        <w:rPr>
          <w:rFonts w:ascii="Book Antiqua" w:hAnsi="Book Antiqua"/>
          <w:sz w:val="20"/>
        </w:rPr>
        <w:t xml:space="preserve"> about </w:t>
      </w:r>
      <m:oMath>
        <m:r>
          <w:rPr>
            <w:rFonts w:ascii="Cambria Math" w:hAnsi="Book Antiqua"/>
            <w:sz w:val="20"/>
          </w:rPr>
          <m:t xml:space="preserve">220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lower than today’s value. But this was the datum that Pulkovo, and many others, considered to be the best value for aberration constant.</w:t>
      </w:r>
    </w:p>
    <w:p w:rsidR="00362990" w:rsidRPr="007F536A" w:rsidRDefault="00362990" w:rsidP="007F0104">
      <w:pPr>
        <w:pStyle w:val="NoSpacing"/>
        <w:ind w:firstLine="720"/>
        <w:jc w:val="both"/>
        <w:rPr>
          <w:rFonts w:ascii="Book Antiqua" w:hAnsi="Book Antiqua"/>
          <w:sz w:val="20"/>
        </w:rPr>
      </w:pPr>
    </w:p>
    <w:p w:rsidR="007F0104" w:rsidRPr="007F536A" w:rsidRDefault="007F0104" w:rsidP="00821A88">
      <w:pPr>
        <w:pStyle w:val="NoSpacing"/>
        <w:ind w:firstLine="720"/>
        <w:jc w:val="both"/>
        <w:rPr>
          <w:rFonts w:ascii="Book Antiqua" w:hAnsi="Book Antiqua"/>
          <w:sz w:val="20"/>
        </w:rPr>
      </w:pPr>
    </w:p>
    <w:p w:rsidR="00821A88" w:rsidRPr="007F0104" w:rsidRDefault="00821A88" w:rsidP="00E76E36">
      <w:pPr>
        <w:pStyle w:val="NoSpacing"/>
        <w:jc w:val="center"/>
        <w:rPr>
          <w:rFonts w:ascii="Book Antiqua" w:hAnsi="Book Antiqua"/>
          <w:sz w:val="18"/>
          <w:szCs w:val="18"/>
        </w:rPr>
      </w:pPr>
      <w:r w:rsidRPr="007F0104">
        <w:rPr>
          <w:rFonts w:ascii="Book Antiqua" w:hAnsi="Book Antiqua"/>
          <w:b/>
          <w:sz w:val="18"/>
          <w:szCs w:val="18"/>
        </w:rPr>
        <w:t>TABLE 4</w:t>
      </w:r>
      <w:r w:rsidRPr="007F0104">
        <w:rPr>
          <w:rFonts w:ascii="Book Antiqua" w:hAnsi="Book Antiqua"/>
          <w:sz w:val="18"/>
          <w:szCs w:val="18"/>
        </w:rPr>
        <w:t xml:space="preserve">: </w:t>
      </w:r>
      <w:r w:rsidRPr="000E5755">
        <w:rPr>
          <w:rFonts w:ascii="Book Antiqua" w:hAnsi="Book Antiqua"/>
          <w:b/>
          <w:i/>
          <w:sz w:val="18"/>
          <w:szCs w:val="18"/>
        </w:rPr>
        <w:t>Pulkovo Observatory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jc w:val="center"/>
        <w:tblLayout w:type="fixed"/>
        <w:tblLook w:val="04A0"/>
      </w:tblPr>
      <w:tblGrid>
        <w:gridCol w:w="616"/>
        <w:gridCol w:w="1922"/>
        <w:gridCol w:w="990"/>
        <w:gridCol w:w="1440"/>
        <w:gridCol w:w="1350"/>
      </w:tblGrid>
      <w:tr w:rsidR="00821A88" w:rsidRPr="007F536A" w:rsidTr="00E76E36">
        <w:trPr>
          <w:jc w:val="center"/>
        </w:trPr>
        <w:tc>
          <w:tcPr>
            <w:tcW w:w="616"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Date</w:t>
            </w:r>
          </w:p>
        </w:tc>
        <w:tc>
          <w:tcPr>
            <w:tcW w:w="1922"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Observer</w:t>
            </w:r>
          </w:p>
        </w:tc>
        <w:tc>
          <w:tcPr>
            <w:tcW w:w="990"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K arc-seconds</w:t>
            </w:r>
          </w:p>
        </w:tc>
        <w:tc>
          <w:tcPr>
            <w:tcW w:w="1440"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Speed of light in km/s</w:t>
            </w:r>
          </w:p>
        </w:tc>
        <w:tc>
          <w:tcPr>
            <w:tcW w:w="1350" w:type="dxa"/>
          </w:tcPr>
          <w:p w:rsidR="00821A88" w:rsidRPr="007F0104" w:rsidRDefault="0083268F" w:rsidP="00E76E36">
            <w:pPr>
              <w:pStyle w:val="NoSpacing"/>
              <w:rPr>
                <w:rFonts w:ascii="Book Antiqua" w:hAnsi="Book Antiqua"/>
                <w:b/>
                <w:i/>
                <w:sz w:val="18"/>
                <w:szCs w:val="18"/>
              </w:rPr>
            </w:pPr>
            <w:r>
              <w:rPr>
                <w:rFonts w:ascii="Book Antiqua" w:hAnsi="Book Antiqua"/>
                <w:b/>
                <w:i/>
                <w:sz w:val="18"/>
                <w:szCs w:val="18"/>
              </w:rPr>
              <w:t xml:space="preserve">Km/s </w:t>
            </w:r>
            <w:r w:rsidR="00821A88" w:rsidRPr="007F0104">
              <w:rPr>
                <w:rFonts w:ascii="Book Antiqua" w:hAnsi="Book Antiqua"/>
                <w:b/>
                <w:i/>
                <w:sz w:val="18"/>
                <w:szCs w:val="18"/>
              </w:rPr>
              <w:t>Above 1935 Datum</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1740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Bradley</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20.437</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300,650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1080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1783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Lindenau</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20.450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300,460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890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Struve (definitive value issued 1845)</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20.445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300,530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960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Struve 1853 update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20.463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300,270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Folke-Struve (5 best stars analysis)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20.458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300,340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Vaschilina-Struve (new series of stars)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20.486</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299,930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1858</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Nyren-Peters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299,800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230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1870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Nyren-Wagner</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20.483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299,980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410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1883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 (treated av.)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1884</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 (definitive)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20.492</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Conference value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20.470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300,170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600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Newcomb-Pulkovo</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1905</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Bonsdorff</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299,710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140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1907</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Bonsdorff et al.</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1908</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Orlov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1909</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299,460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-110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Zemtsov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299,730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299,610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40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1914</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Numerov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20.506</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Tsimmerman</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20.514</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299,520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-50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1921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Kulikov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20.512</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1927</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Berg</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20.504</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1935</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Romanskaya, defin.</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0</w:t>
            </w:r>
          </w:p>
        </w:tc>
      </w:tr>
    </w:tbl>
    <w:p w:rsidR="00C130A6" w:rsidRPr="007F536A" w:rsidRDefault="00C130A6" w:rsidP="00E76E36">
      <w:pPr>
        <w:pStyle w:val="NoSpacing"/>
        <w:ind w:firstLine="720"/>
        <w:rPr>
          <w:rFonts w:ascii="Book Antiqua" w:hAnsi="Book Antiqua"/>
          <w:sz w:val="20"/>
        </w:rPr>
      </w:pPr>
    </w:p>
    <w:p w:rsidR="004E2C1E" w:rsidRPr="007F536A" w:rsidRDefault="004E2C1E" w:rsidP="004E2C1E">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p>
    <w:p w:rsidR="00821A88" w:rsidRPr="007F536A" w:rsidRDefault="00D83E6A" w:rsidP="00821A88">
      <w:pPr>
        <w:pStyle w:val="NoSpacing"/>
        <w:ind w:firstLine="720"/>
        <w:jc w:val="both"/>
        <w:rPr>
          <w:rFonts w:ascii="Book Antiqua" w:hAnsi="Book Antiqua"/>
          <w:sz w:val="20"/>
        </w:rPr>
      </w:pPr>
      <w:r w:rsidRPr="007F536A">
        <w:rPr>
          <w:rFonts w:ascii="Book Antiqua" w:hAnsi="Book Antiqua"/>
          <w:sz w:val="20"/>
        </w:rPr>
        <w:t>Romanskaya</w:t>
      </w:r>
      <w:r>
        <w:rPr>
          <w:rFonts w:ascii="Book Antiqua" w:hAnsi="Book Antiqua"/>
          <w:sz w:val="20"/>
        </w:rPr>
        <w:t>’s</w:t>
      </w:r>
      <w:r w:rsidR="00821A88" w:rsidRPr="007F536A">
        <w:rPr>
          <w:rFonts w:ascii="Book Antiqua" w:hAnsi="Book Antiqua"/>
          <w:sz w:val="20"/>
        </w:rPr>
        <w:t xml:space="preserve"> value does not accord with </w:t>
      </w:r>
      <w:r w:rsidR="00362990">
        <w:rPr>
          <w:rFonts w:ascii="Book Antiqua" w:hAnsi="Book Antiqua"/>
          <w:sz w:val="20"/>
        </w:rPr>
        <w:t>our</w:t>
      </w:r>
      <w:r w:rsidR="00821A88" w:rsidRPr="007F536A">
        <w:rPr>
          <w:rFonts w:ascii="Book Antiqua" w:hAnsi="Book Antiqua"/>
          <w:sz w:val="20"/>
        </w:rPr>
        <w:t xml:space="preserve"> current value for K which was fixed by the International Astronomical Union in 1976 as being </w:t>
      </w:r>
      <m:oMath>
        <m:r>
          <w:rPr>
            <w:rFonts w:ascii="Cambria Math" w:hAnsi="Book Antiqua"/>
            <w:sz w:val="20"/>
          </w:rPr>
          <m:t>20</m:t>
        </m:r>
        <m:r>
          <w:rPr>
            <w:rFonts w:ascii="Book Antiqua" w:hAnsi="Book Antiqua"/>
            <w:sz w:val="20"/>
          </w:rPr>
          <m:t>”</m:t>
        </m:r>
        <m:r>
          <w:rPr>
            <w:rFonts w:ascii="Cambria Math" w:hAnsi="Book Antiqua"/>
            <w:sz w:val="20"/>
          </w:rPr>
          <m:t>.49552</m:t>
        </m:r>
      </m:oMath>
      <w:r w:rsidR="00821A88" w:rsidRPr="007F536A">
        <w:rPr>
          <w:rFonts w:ascii="Book Antiqua" w:hAnsi="Book Antiqua"/>
          <w:sz w:val="20"/>
        </w:rPr>
        <w:t xml:space="preserve"> [44]. </w:t>
      </w:r>
      <w:r w:rsidR="00362990">
        <w:rPr>
          <w:rFonts w:ascii="Book Antiqua" w:hAnsi="Book Antiqua"/>
          <w:sz w:val="20"/>
        </w:rPr>
        <w:t xml:space="preserve"> However, t</w:t>
      </w:r>
      <w:r w:rsidR="00821A88" w:rsidRPr="007F536A">
        <w:rPr>
          <w:rFonts w:ascii="Book Antiqua" w:hAnsi="Book Antiqua"/>
          <w:sz w:val="20"/>
        </w:rPr>
        <w:t>his current value for K was not obtained by observation, but rather by definition. This definition was possible because of the prior fixing of the speed of light as a constant at the 15</w:t>
      </w:r>
      <w:r w:rsidR="00821A88" w:rsidRPr="007F536A">
        <w:rPr>
          <w:rFonts w:ascii="Book Antiqua" w:hAnsi="Book Antiqua"/>
          <w:sz w:val="20"/>
          <w:vertAlign w:val="superscript"/>
        </w:rPr>
        <w:t>th</w:t>
      </w:r>
      <w:r w:rsidR="00821A88" w:rsidRPr="007F536A">
        <w:rPr>
          <w:rFonts w:ascii="Book Antiqua" w:hAnsi="Book Antiqua"/>
          <w:sz w:val="20"/>
        </w:rPr>
        <w:t xml:space="preserve"> General Conference on Weights and Measures in 1975. This definition thus stated that </w:t>
      </w:r>
      <w:r w:rsidR="00821A88" w:rsidRPr="007F536A">
        <w:rPr>
          <w:rFonts w:ascii="Book Antiqua" w:hAnsi="Book Antiqua"/>
          <w:i/>
          <w:sz w:val="20"/>
        </w:rPr>
        <w:t xml:space="preserve">“The constant of aberration is the ratio of the mean speed of the earth to the speed of light and is conventionally expressed in seconds of arc.” </w:t>
      </w:r>
      <w:r w:rsidR="00821A88" w:rsidRPr="007F536A">
        <w:rPr>
          <w:rFonts w:ascii="Book Antiqua" w:hAnsi="Book Antiqua"/>
          <w:sz w:val="20"/>
        </w:rPr>
        <w:t>[See statement at:</w:t>
      </w:r>
      <w:r w:rsidR="00821A88" w:rsidRPr="007F536A">
        <w:rPr>
          <w:rFonts w:ascii="Book Antiqua" w:hAnsi="Book Antiqua"/>
          <w:i/>
          <w:sz w:val="20"/>
        </w:rPr>
        <w:t xml:space="preserve"> </w:t>
      </w:r>
      <w:hyperlink r:id="rId96" w:history="1">
        <w:r w:rsidR="00821A88" w:rsidRPr="007F536A">
          <w:rPr>
            <w:rStyle w:val="Hyperlink"/>
            <w:rFonts w:ascii="Book Antiqua" w:hAnsi="Book Antiqua"/>
            <w:sz w:val="20"/>
          </w:rPr>
          <w:t>http://www.iau.org/static/resolutions/IAU1976_French.pdf</w:t>
        </w:r>
      </w:hyperlink>
      <w:r w:rsidR="00821A88" w:rsidRPr="007F536A">
        <w:rPr>
          <w:rFonts w:ascii="Book Antiqua" w:hAnsi="Book Antiqua"/>
          <w:sz w:val="20"/>
        </w:rPr>
        <w:t>]</w:t>
      </w:r>
      <w:r w:rsidR="00821A88" w:rsidRPr="007F536A">
        <w:rPr>
          <w:rFonts w:ascii="Book Antiqua" w:hAnsi="Book Antiqua"/>
          <w:i/>
          <w:sz w:val="20"/>
        </w:rPr>
        <w:t xml:space="preserve">. </w:t>
      </w:r>
      <w:r w:rsidR="00821A88" w:rsidRPr="007F536A">
        <w:rPr>
          <w:rFonts w:ascii="Book Antiqua" w:hAnsi="Book Antiqua"/>
          <w:sz w:val="20"/>
        </w:rPr>
        <w:t xml:space="preserve">This means that if the aberration constant is measured as changing, so too is the speed of light. But because </w:t>
      </w:r>
      <m:oMath>
        <m:r>
          <w:rPr>
            <w:rFonts w:ascii="Cambria Math" w:hAnsi="Cambria Math"/>
            <w:sz w:val="20"/>
          </w:rPr>
          <m:t>c</m:t>
        </m:r>
      </m:oMath>
      <w:r w:rsidR="00821A88" w:rsidRPr="007F536A">
        <w:rPr>
          <w:rFonts w:ascii="Book Antiqua" w:hAnsi="Book Antiqua"/>
          <w:i/>
          <w:sz w:val="20"/>
        </w:rPr>
        <w:t xml:space="preserve"> </w:t>
      </w:r>
      <w:r w:rsidR="00821A88" w:rsidRPr="007F536A">
        <w:rPr>
          <w:rFonts w:ascii="Book Antiqua" w:hAnsi="Book Antiqua"/>
          <w:sz w:val="20"/>
        </w:rPr>
        <w:t>was later declared to be an absolute constant in 1983 at the value declared in 1975, it is assumed that the aberration constant will never change.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Over against this theoretical definition, we are faced with the observational reality that the values of the aberration constant obtained from Pulkovo are systematically too large by about </w:t>
      </w:r>
      <m:oMath>
        <m:r>
          <w:rPr>
            <w:rFonts w:ascii="Cambria Math" w:hAnsi="Book Antiqua"/>
            <w:sz w:val="20"/>
          </w:rPr>
          <m:t>0</m:t>
        </m:r>
        <m:r>
          <w:rPr>
            <w:rFonts w:ascii="Book Antiqua" w:hAnsi="Book Antiqua"/>
            <w:sz w:val="20"/>
          </w:rPr>
          <m:t>”</m:t>
        </m:r>
        <m:r>
          <w:rPr>
            <w:rFonts w:ascii="Cambria Math" w:hAnsi="Book Antiqua"/>
            <w:sz w:val="20"/>
          </w:rPr>
          <m:t>.0155</m:t>
        </m:r>
      </m:oMath>
      <w:r w:rsidRPr="007F536A">
        <w:rPr>
          <w:rFonts w:ascii="Book Antiqua" w:hAnsi="Book Antiqua"/>
          <w:sz w:val="20"/>
        </w:rPr>
        <w:t xml:space="preserve">.  As a result, the value for the speed of light using these data is systematically too low by about 220 km/s. This systematic error has still picked up the change in the speed of light, but has shifted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into a lower range of values.  If the Pulkovo datum line of </w:t>
      </w:r>
      <m:oMath>
        <m:r>
          <w:rPr>
            <w:rFonts w:ascii="Cambria Math" w:hAnsi="Book Antiqua"/>
            <w:sz w:val="20"/>
          </w:rPr>
          <m:t>20</m:t>
        </m:r>
        <m:r>
          <w:rPr>
            <w:rFonts w:ascii="Book Antiqua" w:hAnsi="Book Antiqua"/>
            <w:sz w:val="20"/>
          </w:rPr>
          <m:t>”</m:t>
        </m:r>
        <m:r>
          <w:rPr>
            <w:rFonts w:ascii="Cambria Math" w:hAnsi="Book Antiqua"/>
            <w:sz w:val="20"/>
          </w:rPr>
          <m:t>.511</m:t>
        </m:r>
      </m:oMath>
      <w:r w:rsidRPr="007F536A">
        <w:rPr>
          <w:rFonts w:ascii="Book Antiqua" w:hAnsi="Book Antiqua"/>
          <w:sz w:val="20"/>
        </w:rPr>
        <w:t xml:space="preserve"> is used for </w:t>
      </w:r>
      <m:oMath>
        <m:r>
          <w:rPr>
            <w:rFonts w:ascii="Cambria Math" w:hAnsi="Cambria Math"/>
            <w:sz w:val="20"/>
          </w:rPr>
          <m:t>K</m:t>
        </m:r>
      </m:oMath>
      <w:r w:rsidRPr="007F536A">
        <w:rPr>
          <w:rFonts w:ascii="Book Antiqua" w:hAnsi="Book Antiqua"/>
          <w:sz w:val="20"/>
        </w:rPr>
        <w:t xml:space="preserve"> [60] as Whittaker and others have done [53], then the values of </w:t>
      </w:r>
      <m:oMath>
        <m:r>
          <w:rPr>
            <w:rFonts w:ascii="Cambria Math" w:hAnsi="Cambria Math"/>
            <w:sz w:val="20"/>
          </w:rPr>
          <m:t>c</m:t>
        </m:r>
      </m:oMath>
      <w:r w:rsidRPr="007F536A">
        <w:rPr>
          <w:rFonts w:ascii="Book Antiqua" w:hAnsi="Book Antiqua"/>
          <w:sz w:val="20"/>
        </w:rPr>
        <w:t xml:space="preserve"> in Table 4 would all be above the currently defined speed of light. </w:t>
      </w:r>
    </w:p>
    <w:p w:rsidR="00821A88" w:rsidRPr="007F536A" w:rsidRDefault="00821A88" w:rsidP="00821A88">
      <w:pPr>
        <w:pStyle w:val="NoSpacing"/>
        <w:jc w:val="both"/>
        <w:rPr>
          <w:rFonts w:ascii="Book Antiqua" w:hAnsi="Book Antiqua"/>
          <w:sz w:val="20"/>
        </w:rPr>
      </w:pPr>
    </w:p>
    <w:p w:rsidR="00821A88" w:rsidRPr="007F536A" w:rsidRDefault="00D83E6A" w:rsidP="00821A88">
      <w:pPr>
        <w:pStyle w:val="NoSpacing"/>
        <w:ind w:firstLine="720"/>
        <w:jc w:val="both"/>
        <w:rPr>
          <w:rFonts w:ascii="Book Antiqua" w:hAnsi="Book Antiqua"/>
          <w:sz w:val="20"/>
        </w:rPr>
      </w:pPr>
      <w:r w:rsidRPr="00D83E6A">
        <w:rPr>
          <w:rFonts w:ascii="Book Antiqua" w:hAnsi="Book Antiqua"/>
          <w:sz w:val="20"/>
        </w:rPr>
        <w:lastRenderedPageBreak/>
        <w:t>The cause of this discrepancy needs to be dealt with.</w:t>
      </w:r>
      <w:r>
        <w:rPr>
          <w:rFonts w:ascii="Book Antiqua" w:hAnsi="Book Antiqua"/>
          <w:sz w:val="20"/>
        </w:rPr>
        <w:t xml:space="preserve">  </w:t>
      </w:r>
      <w:r w:rsidR="00821A88" w:rsidRPr="007F536A">
        <w:rPr>
          <w:rFonts w:ascii="Book Antiqua" w:hAnsi="Book Antiqua"/>
          <w:sz w:val="20"/>
        </w:rPr>
        <w:t>Examination of the situation shows the problem is not unique to Pulkovo. It was initially thought that it might only be the high latitude observatories which were affected. But the International Latitude Service had 6 observatories, all of whose latitudes were close to 39 degrees North, and their values for K approximated to those of Pulkovo as can be seen in Table 5.</w:t>
      </w:r>
    </w:p>
    <w:p w:rsidR="00821A88" w:rsidRPr="007F536A" w:rsidRDefault="00821A88" w:rsidP="00821A88">
      <w:pPr>
        <w:pStyle w:val="NoSpacing"/>
        <w:ind w:firstLine="720"/>
        <w:jc w:val="both"/>
        <w:rPr>
          <w:rFonts w:ascii="Book Antiqua" w:hAnsi="Book Antiqua"/>
          <w:sz w:val="16"/>
          <w:szCs w:val="16"/>
        </w:rPr>
      </w:pPr>
    </w:p>
    <w:p w:rsidR="00821A88" w:rsidRPr="000E5755" w:rsidRDefault="00821A88" w:rsidP="00EB4BA1">
      <w:pPr>
        <w:pStyle w:val="NoSpacing"/>
        <w:jc w:val="center"/>
        <w:rPr>
          <w:rFonts w:ascii="Book Antiqua" w:hAnsi="Book Antiqua"/>
          <w:b/>
          <w:i/>
          <w:sz w:val="18"/>
          <w:szCs w:val="18"/>
        </w:rPr>
      </w:pPr>
      <w:r w:rsidRPr="000E5755">
        <w:rPr>
          <w:rFonts w:ascii="Book Antiqua" w:hAnsi="Book Antiqua"/>
          <w:b/>
          <w:sz w:val="18"/>
          <w:szCs w:val="18"/>
        </w:rPr>
        <w:t>TABLE 5:</w:t>
      </w:r>
      <w:r w:rsidRPr="000E5755">
        <w:rPr>
          <w:rFonts w:ascii="Book Antiqua" w:hAnsi="Book Antiqua"/>
          <w:b/>
          <w:i/>
          <w:sz w:val="18"/>
          <w:szCs w:val="18"/>
        </w:rPr>
        <w:t xml:space="preserve"> International Latitude Service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jc w:val="center"/>
        <w:tblLook w:val="04A0"/>
      </w:tblPr>
      <w:tblGrid>
        <w:gridCol w:w="1748"/>
        <w:gridCol w:w="1748"/>
        <w:gridCol w:w="2987"/>
      </w:tblGrid>
      <w:tr w:rsidR="00821A88" w:rsidRPr="000E5755" w:rsidTr="00EB4BA1">
        <w:trPr>
          <w:trHeight w:val="272"/>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Date</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Cambria Math"/>
                    <w:sz w:val="18"/>
                    <w:szCs w:val="18"/>
                  </w:rPr>
                  <m:t>K</m:t>
                </m:r>
                <m:r>
                  <m:rPr>
                    <m:sty m:val="bi"/>
                  </m:rPr>
                  <w:rPr>
                    <w:rFonts w:ascii="Cambria Math" w:hAnsi="Book Antiqua"/>
                    <w:sz w:val="18"/>
                    <w:szCs w:val="18"/>
                  </w:rPr>
                  <m:t xml:space="preserve"> </m:t>
                </m:r>
                <m:r>
                  <m:rPr>
                    <m:sty m:val="bi"/>
                  </m:rPr>
                  <w:rPr>
                    <w:rFonts w:ascii="Cambria Math" w:hAnsi="Cambria Math"/>
                    <w:sz w:val="18"/>
                    <w:szCs w:val="18"/>
                  </w:rPr>
                  <m:t>arc-seconds</m:t>
                </m:r>
              </m:oMath>
            </m:oMathPara>
          </w:p>
        </w:tc>
        <w:tc>
          <w:tcPr>
            <w:tcW w:w="2987" w:type="dxa"/>
          </w:tcPr>
          <w:p w:rsidR="00821A88" w:rsidRPr="000E5755" w:rsidRDefault="00821A88" w:rsidP="00EB4BA1">
            <w:pPr>
              <w:pStyle w:val="NoSpacing"/>
              <w:jc w:val="center"/>
              <w:rPr>
                <w:rFonts w:ascii="Book Antiqua" w:hAnsi="Book Antiqua"/>
                <w:b/>
                <w:i/>
                <w:sz w:val="18"/>
                <w:szCs w:val="18"/>
              </w:rPr>
            </w:pPr>
            <w:r w:rsidRPr="000E5755">
              <w:rPr>
                <w:rFonts w:ascii="Book Antiqua" w:hAnsi="Book Antiqua"/>
                <w:b/>
                <w:i/>
                <w:sz w:val="18"/>
                <w:szCs w:val="18"/>
              </w:rPr>
              <w:t>Speed of Light</w:t>
            </w:r>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1900.5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20.517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299,480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1901.5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20.520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299,440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72"/>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1907.5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20.525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299,360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1908.5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20.522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299,410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Even in Table 5, a general downward trend in the speed of light is in evidence. However, the average value here for the aberration constant is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.521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.004</m:t>
        </m:r>
      </m:oMath>
      <w:r w:rsidRPr="007F536A">
        <w:rPr>
          <w:rFonts w:ascii="Book Antiqua" w:hAnsi="Book Antiqua"/>
          <w:sz w:val="20"/>
        </w:rPr>
        <w:t xml:space="preserve"> which gives</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299,420 </m:t>
        </m:r>
        <m:r>
          <w:rPr>
            <w:rFonts w:ascii="Book Antiqua" w:hAnsi="Book Antiqua"/>
            <w:sz w:val="20"/>
            <w:u w:val="single"/>
          </w:rPr>
          <m:t>±</m:t>
        </m:r>
        <m:r>
          <w:rPr>
            <w:rFonts w:ascii="Cambria Math" w:hAnsi="Book Antiqua"/>
            <w:sz w:val="20"/>
          </w:rPr>
          <m:t xml:space="preserve"> 60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1904.5. This value for the speed of light is 150 km/s lower again than that of Pulkovo in 1935, which was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Therefore, the latitude of the observatory is not to blame. What was happening at Pulkovo at about 59 degrees North was also happening to the ILS observatories around 39 degrees North. The conclusion must be that the problem is a general one for the aberration measurements; </w:t>
      </w:r>
      <w:r w:rsidR="00D83E6A">
        <w:rPr>
          <w:rFonts w:ascii="Book Antiqua" w:hAnsi="Book Antiqua"/>
          <w:sz w:val="20"/>
        </w:rPr>
        <w:t>not one</w:t>
      </w:r>
      <w:r w:rsidRPr="007F536A">
        <w:rPr>
          <w:rFonts w:ascii="Book Antiqua" w:hAnsi="Book Antiqua"/>
          <w:sz w:val="20"/>
        </w:rPr>
        <w:t xml:space="preserve"> isolated to Pulkovo.</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Indeed, the problem is a long-standing one. Although he noted it much earlier, Newcomb commented on it in 1895 and suggested a probable cause </w:t>
      </w:r>
      <w:r w:rsidRPr="00D83E6A">
        <w:rPr>
          <w:rFonts w:ascii="Book Antiqua" w:hAnsi="Book Antiqua"/>
          <w:sz w:val="20"/>
        </w:rPr>
        <w:t>[61].</w:t>
      </w:r>
      <w:r w:rsidRPr="007F536A">
        <w:rPr>
          <w:rFonts w:ascii="Book Antiqua" w:hAnsi="Book Antiqua"/>
          <w:sz w:val="20"/>
        </w:rPr>
        <w:t xml:space="preserve"> Many of the observations of the key stars need to be made in twilight. As a result, any star will appear fainter in transit across the east vertical than when crossing the west vertical an hour or so later if they are evening observations. For morning observations the reverse situation holds. The observer would tend to note the passage of the fainter image systematically too late. Speaking of the effect this has on </w:t>
      </w:r>
      <w:r w:rsidRPr="007F536A">
        <w:rPr>
          <w:rStyle w:val="Emphasis"/>
          <w:rFonts w:ascii="Book Antiqua" w:hAnsi="Book Antiqua"/>
          <w:sz w:val="20"/>
        </w:rPr>
        <w:t>K</w:t>
      </w:r>
      <w:r w:rsidRPr="007F536A">
        <w:rPr>
          <w:rFonts w:ascii="Book Antiqua" w:hAnsi="Book Antiqua"/>
          <w:sz w:val="20"/>
        </w:rPr>
        <w:t>, Newcomb commented, “</w:t>
      </w:r>
      <w:r w:rsidRPr="007F536A">
        <w:rPr>
          <w:rStyle w:val="Emphasis"/>
          <w:rFonts w:ascii="Book Antiqua" w:hAnsi="Book Antiqua"/>
          <w:sz w:val="20"/>
        </w:rPr>
        <w:t>we can not but have at least a suspicion that…values may be slightly too large from this cause</w:t>
      </w:r>
      <w:r w:rsidRPr="007F536A">
        <w:rPr>
          <w:rFonts w:ascii="Book Antiqua" w:hAnsi="Book Antiqua"/>
          <w:sz w:val="20"/>
        </w:rPr>
        <w:t xml:space="preserve">.” Therefore, as a class, although aberration measurements illustrate any general trend for the speed of light, that trend is systematically shifted into a lower range of </w:t>
      </w:r>
      <w:r w:rsidRPr="007F536A">
        <w:rPr>
          <w:rStyle w:val="Emphasis"/>
          <w:rFonts w:ascii="Book Antiqua" w:hAnsi="Book Antiqua"/>
          <w:sz w:val="20"/>
        </w:rPr>
        <w:t>c</w:t>
      </w:r>
      <w:r w:rsidRPr="007F536A">
        <w:rPr>
          <w:rFonts w:ascii="Book Antiqua" w:hAnsi="Book Antiqua"/>
          <w:sz w:val="20"/>
        </w:rPr>
        <w:t xml:space="preserve"> values.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observational problem for all aberration determinations was overcome by using what is called a reflex zenith tube (RZT).This arrangement photographs the exact position of the star and its moment of crossing the zenith. Table 11 in Kulikov’s book [48] lists the values of K obtained by this method of measurement. That Table indicates that these RZT data give a value for K which is systematically smaller than the other values being obtained by the aberration method. The best value in Kulikov’s listing in Table 11 occurs in 1922 where K = 20”.485 for a c value of 299,946 km/s. In comparison, the best (weighted mean) value from the usual aberration method of that time [see Kulikov, p. 96] was given as K = 20”.496 which gives a c value of 299,785 km/s. Therefore, under the very best possible conditions, the precise RZT equipment gives a result for c that is 161 km/s higher than other observational techniques for determining K. This means that, quite apart from any other factors, optical results will be systematically lower than the actual speed of light by 161 km/s because of this problem noted by Birge.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There is one final factor which generally seems to have been ignored. The aberration results were obtained on earth under air. Therefore, to obtain the vacuum velocity the refractive index, </w:t>
      </w:r>
      <w:r w:rsidRPr="007F536A">
        <w:rPr>
          <w:rFonts w:ascii="Book Antiqua" w:hAnsi="Book Antiqua"/>
          <w:i/>
          <w:sz w:val="20"/>
        </w:rPr>
        <w:t>n</w:t>
      </w:r>
      <w:r w:rsidRPr="007F536A">
        <w:rPr>
          <w:rFonts w:ascii="Book Antiqua" w:hAnsi="Book Antiqua"/>
          <w:sz w:val="20"/>
        </w:rPr>
        <w:t>, for air must be taken into account. Since it has been found that</w:t>
      </w:r>
      <w:r w:rsidRPr="007F536A">
        <w:rPr>
          <w:rFonts w:ascii="Book Antiqua" w:hAnsi="Book Antiqua"/>
          <w:i/>
          <w:sz w:val="20"/>
        </w:rPr>
        <w:t xml:space="preserve"> n</w:t>
      </w:r>
      <w:r w:rsidRPr="007F536A">
        <w:rPr>
          <w:rFonts w:ascii="Book Antiqua" w:hAnsi="Book Antiqua"/>
          <w:sz w:val="20"/>
        </w:rPr>
        <w:t xml:space="preserve"> = 1.0002739 [S. M. Selloy, Handbook of Chemistry and Physics, 48</w:t>
      </w:r>
      <w:r w:rsidRPr="007F536A">
        <w:rPr>
          <w:rFonts w:ascii="Book Antiqua" w:hAnsi="Book Antiqua"/>
          <w:sz w:val="20"/>
          <w:vertAlign w:val="superscript"/>
        </w:rPr>
        <w:t>th</w:t>
      </w:r>
      <w:r w:rsidRPr="007F536A">
        <w:rPr>
          <w:rFonts w:ascii="Book Antiqua" w:hAnsi="Book Antiqua"/>
          <w:sz w:val="20"/>
        </w:rPr>
        <w:t xml:space="preserve"> edition 1967], this will add a further 82 km/s to all aberration values. Therefore the total correction to all aberration values except those using the RZT is 161 + 82 = 243 km/s. This correction is </w:t>
      </w:r>
      <w:r w:rsidRPr="007F536A">
        <w:rPr>
          <w:rFonts w:ascii="Book Antiqua" w:hAnsi="Book Antiqua"/>
          <w:b/>
          <w:sz w:val="20"/>
          <w:u w:val="single"/>
        </w:rPr>
        <w:t>not</w:t>
      </w:r>
      <w:r w:rsidRPr="007F536A">
        <w:rPr>
          <w:rFonts w:ascii="Book Antiqua" w:hAnsi="Book Antiqua"/>
          <w:sz w:val="20"/>
        </w:rPr>
        <w:t xml:space="preserve"> applied to the data in this chapter. However, the correction </w:t>
      </w:r>
      <w:r w:rsidRPr="007F536A">
        <w:rPr>
          <w:rFonts w:ascii="Book Antiqua" w:hAnsi="Book Antiqua"/>
          <w:b/>
          <w:sz w:val="20"/>
          <w:u w:val="single"/>
        </w:rPr>
        <w:t>is</w:t>
      </w:r>
      <w:r w:rsidRPr="007F536A">
        <w:rPr>
          <w:rFonts w:ascii="Book Antiqua" w:hAnsi="Book Antiqua"/>
          <w:sz w:val="20"/>
        </w:rPr>
        <w:t xml:space="preserve"> applied in Table 17 at the very end of this chapter so that a valid comparison can be made with other methods of speed of light measurement. The corrected values can be compared with the uncorrected values in the Tables in this section of the chapter.</w:t>
      </w:r>
      <w:r w:rsidR="00A3687E">
        <w:rPr>
          <w:rFonts w:ascii="Book Antiqua" w:hAnsi="Book Antiqua"/>
          <w:sz w:val="20"/>
        </w:rPr>
        <w:t xml:space="preserve">  A comparison of the graphs of the corrected and uncorrected values show very little difference in appearance.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The Pulkovo Observatory results from Table 4 are illustrated in Figure 12 here, which is similar to Figure 4 in Chapter 2. In this graph, the values of </w:t>
      </w:r>
      <w:r w:rsidRPr="007F536A">
        <w:rPr>
          <w:rFonts w:ascii="Book Antiqua" w:hAnsi="Book Antiqua"/>
          <w:i/>
          <w:sz w:val="20"/>
        </w:rPr>
        <w:t>c</w:t>
      </w:r>
      <w:r w:rsidRPr="007F536A">
        <w:rPr>
          <w:rFonts w:ascii="Book Antiqua" w:hAnsi="Book Antiqua"/>
          <w:sz w:val="20"/>
        </w:rPr>
        <w:t xml:space="preserve"> plotted are in km/s above the 1935 Pulkovo datum line, which is the zero value on the Y-axis. The first two values come from Bradley and Lindenau to illustrate that the trend continued back in time.</w:t>
      </w:r>
    </w:p>
    <w:p w:rsidR="00821A88" w:rsidRPr="007F536A" w:rsidRDefault="00821A88" w:rsidP="00821A88">
      <w:pPr>
        <w:pStyle w:val="NoSpacing"/>
        <w:ind w:firstLine="720"/>
        <w:jc w:val="both"/>
        <w:rPr>
          <w:rFonts w:ascii="Book Antiqua" w:hAnsi="Book Antiqua"/>
          <w:bCs/>
          <w:i/>
          <w:iCs/>
          <w:sz w:val="20"/>
        </w:rPr>
      </w:pPr>
    </w:p>
    <w:p w:rsidR="00821A88" w:rsidRPr="007F536A" w:rsidRDefault="00821A88" w:rsidP="00821A88">
      <w:pPr>
        <w:pStyle w:val="NoSpacing"/>
        <w:jc w:val="center"/>
        <w:rPr>
          <w:rFonts w:ascii="Book Antiqua" w:hAnsi="Book Antiqua"/>
          <w:bCs/>
          <w:i/>
          <w:iCs/>
          <w:sz w:val="20"/>
        </w:rPr>
      </w:pPr>
      <w:r w:rsidRPr="007F536A">
        <w:rPr>
          <w:rFonts w:ascii="Book Antiqua" w:hAnsi="Book Antiqua"/>
          <w:bCs/>
          <w:i/>
          <w:iCs/>
          <w:noProof/>
          <w:sz w:val="20"/>
        </w:rPr>
        <w:drawing>
          <wp:inline distT="0" distB="0" distL="0" distR="0">
            <wp:extent cx="3714750" cy="3552825"/>
            <wp:effectExtent l="19050" t="0" r="19050" b="0"/>
            <wp:docPr id="150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21A88" w:rsidRPr="007F536A" w:rsidRDefault="00821A88" w:rsidP="00821A88">
      <w:pPr>
        <w:pStyle w:val="NoSpacing"/>
        <w:jc w:val="both"/>
        <w:rPr>
          <w:rFonts w:ascii="Book Antiqua" w:hAnsi="Book Antiqua"/>
          <w:bCs/>
          <w:i/>
          <w:iCs/>
          <w:sz w:val="20"/>
        </w:rPr>
      </w:pPr>
    </w:p>
    <w:p w:rsidR="00821A88" w:rsidRPr="00B65E31" w:rsidRDefault="00821A88" w:rsidP="00B65E31">
      <w:pPr>
        <w:pStyle w:val="NoSpacing"/>
        <w:rPr>
          <w:rFonts w:ascii="Book Antiqua" w:hAnsi="Book Antiqua"/>
          <w:bCs/>
          <w:i/>
          <w:iCs/>
          <w:sz w:val="18"/>
          <w:szCs w:val="18"/>
        </w:rPr>
      </w:pPr>
      <w:r w:rsidRPr="00B65E31">
        <w:rPr>
          <w:rFonts w:ascii="Book Antiqua" w:hAnsi="Book Antiqua"/>
          <w:b/>
          <w:bCs/>
          <w:i/>
          <w:iCs/>
          <w:sz w:val="18"/>
          <w:szCs w:val="18"/>
        </w:rPr>
        <w:t>Figure 12:</w:t>
      </w:r>
      <w:r w:rsidRPr="00B65E31">
        <w:rPr>
          <w:rFonts w:ascii="Book Antiqua" w:hAnsi="Book Antiqua"/>
          <w:bCs/>
          <w:i/>
          <w:iCs/>
          <w:sz w:val="18"/>
          <w:szCs w:val="18"/>
        </w:rPr>
        <w:t xml:space="preserve"> Speed of light data from Pulkovo Observatory compared with their 1935 datum line. The first two values come from Bradley and Lindenau using the same method but prior to the opening of Pulkovo. They indicate a consistent trend for higher c values back in time</w:t>
      </w:r>
      <w:bookmarkStart w:id="51" w:name="OAV"/>
      <w:bookmarkEnd w:id="51"/>
      <w:r w:rsidRPr="00B65E31">
        <w:rPr>
          <w:rFonts w:ascii="Book Antiqua" w:hAnsi="Book Antiqua"/>
          <w:bCs/>
          <w:i/>
          <w:iCs/>
          <w:sz w:val="18"/>
          <w:szCs w:val="18"/>
        </w:rPr>
        <w:t xml:space="preserve">. The least squares linear fit to the data gives a decline in the speed of light, </w:t>
      </w:r>
      <w:r w:rsidRPr="00B65E31">
        <w:rPr>
          <w:rFonts w:ascii="Book Antiqua" w:hAnsi="Book Antiqua"/>
          <w:b/>
          <w:bCs/>
          <w:i/>
          <w:iCs/>
          <w:sz w:val="18"/>
          <w:szCs w:val="18"/>
        </w:rPr>
        <w:t>c</w:t>
      </w:r>
      <w:r w:rsidRPr="00B65E31">
        <w:rPr>
          <w:rFonts w:ascii="Book Antiqua" w:hAnsi="Book Antiqua"/>
          <w:bCs/>
          <w:i/>
          <w:iCs/>
          <w:sz w:val="18"/>
          <w:szCs w:val="18"/>
        </w:rPr>
        <w:t>, of 6.15 km/s per year.</w:t>
      </w:r>
    </w:p>
    <w:p w:rsidR="00821A88" w:rsidRPr="007F536A" w:rsidRDefault="00821A88" w:rsidP="00821A88">
      <w:pPr>
        <w:pStyle w:val="NoSpacing"/>
        <w:jc w:val="both"/>
        <w:rPr>
          <w:rFonts w:ascii="Book Antiqua" w:hAnsi="Book Antiqua"/>
          <w:bCs/>
          <w:i/>
          <w:iCs/>
          <w:sz w:val="20"/>
        </w:rPr>
      </w:pPr>
    </w:p>
    <w:p w:rsidR="00821A88" w:rsidRPr="007F536A" w:rsidRDefault="00821A88" w:rsidP="00821A88">
      <w:pPr>
        <w:pStyle w:val="NoSpacing"/>
        <w:ind w:firstLine="720"/>
        <w:jc w:val="both"/>
        <w:rPr>
          <w:rFonts w:ascii="Book Antiqua" w:hAnsi="Book Antiqua"/>
          <w:bCs/>
          <w:iCs/>
          <w:sz w:val="20"/>
        </w:rPr>
      </w:pPr>
      <w:r w:rsidRPr="007321D4">
        <w:rPr>
          <w:rFonts w:ascii="Book Antiqua" w:hAnsi="Book Antiqua"/>
          <w:bCs/>
          <w:iCs/>
          <w:sz w:val="20"/>
        </w:rPr>
        <w:t xml:space="preserve">Speaking statistically, a linear fit to the Pulkovo data gives a correlation coefficient of </w:t>
      </w:r>
      <m:oMath>
        <m:r>
          <w:rPr>
            <w:rFonts w:ascii="Cambria Math" w:hAnsi="Cambria Math"/>
            <w:sz w:val="20"/>
          </w:rPr>
          <m:t>r</m:t>
        </m:r>
        <m:r>
          <w:rPr>
            <w:rFonts w:ascii="Cambria Math" w:hAnsi="Book Antiqua"/>
            <w:sz w:val="20"/>
          </w:rPr>
          <m:t xml:space="preserve"> = </m:t>
        </m:r>
        <m:r>
          <w:rPr>
            <w:rFonts w:ascii="Book Antiqua" w:hAnsi="Book Antiqua"/>
            <w:sz w:val="20"/>
          </w:rPr>
          <m:t>-</m:t>
        </m:r>
        <m:r>
          <w:rPr>
            <w:rFonts w:ascii="Cambria Math" w:hAnsi="Book Antiqua"/>
            <w:sz w:val="20"/>
          </w:rPr>
          <m:t>0.947</m:t>
        </m:r>
      </m:oMath>
      <w:r w:rsidRPr="007321D4">
        <w:rPr>
          <w:rFonts w:ascii="Book Antiqua" w:hAnsi="Book Antiqua"/>
          <w:bCs/>
          <w:iCs/>
          <w:sz w:val="20"/>
        </w:rPr>
        <w:t>, but that does not reveal the full story. Kulikov's figures suggest that many aberration observers made at least 100 pairs of observations on each star being tracked per year, and more than 24 stars were involved in some cases [48]. These, and other data, indicates Bradley made some 3,000 observations to give the 1740 datum.</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bCs/>
          <w:iCs/>
          <w:sz w:val="20"/>
        </w:rPr>
      </w:pPr>
      <w:r w:rsidRPr="007F536A">
        <w:rPr>
          <w:rFonts w:ascii="Book Antiqua" w:hAnsi="Book Antiqua"/>
          <w:bCs/>
          <w:iCs/>
          <w:sz w:val="20"/>
        </w:rPr>
        <w:t xml:space="preserve">Kulikov notes that Struve only made 298 for the 1841 datum. The 1884 datum for Nyren was based on about 12,000 individual observations, while the 1897 datum for Grachev-Kovalski had about 16,000 separate observations. Kulikov's 1922 datum was based on exactly 28,542 observations, while Romanskaya's value of 1935 had 14,783 observations to back it up. That is a total of over 70,000 separate observations to give 6 out of the 20 determinations on the graph. If these figures are representative of the others at Pulkovo, then there would have been about 10,000 separate observations each for these 20 people which resulted in these determinations; that amounts to about 200,000 separate observations. </w:t>
      </w:r>
    </w:p>
    <w:p w:rsidR="00821A88" w:rsidRPr="007F536A" w:rsidRDefault="00821A88" w:rsidP="00821A88">
      <w:pPr>
        <w:pStyle w:val="NoSpacing"/>
        <w:jc w:val="both"/>
        <w:rPr>
          <w:rFonts w:ascii="Book Antiqua" w:hAnsi="Book Antiqua"/>
          <w:bCs/>
          <w:iCs/>
          <w:sz w:val="20"/>
        </w:rPr>
      </w:pPr>
    </w:p>
    <w:p w:rsidR="00821A88" w:rsidRPr="007F536A" w:rsidRDefault="00821A88" w:rsidP="00821A88">
      <w:pPr>
        <w:pStyle w:val="NoSpacing"/>
        <w:jc w:val="both"/>
        <w:rPr>
          <w:rFonts w:ascii="Book Antiqua" w:hAnsi="Book Antiqua"/>
          <w:bCs/>
          <w:iCs/>
          <w:sz w:val="20"/>
        </w:rPr>
      </w:pPr>
      <w:r w:rsidRPr="007F536A">
        <w:rPr>
          <w:rFonts w:ascii="Book Antiqua" w:hAnsi="Book Antiqua"/>
          <w:bCs/>
          <w:iCs/>
          <w:sz w:val="20"/>
        </w:rPr>
        <w:tab/>
        <w:t xml:space="preserve">Many scientists accept a proposition as true if their risk of being wrong is one in 20; that is </w:t>
      </w:r>
      <m:oMath>
        <m:r>
          <w:rPr>
            <w:rFonts w:ascii="Cambria Math" w:hAnsi="Cambria Math"/>
            <w:sz w:val="20"/>
          </w:rPr>
          <m:t>P</m:t>
        </m:r>
        <m:r>
          <w:rPr>
            <w:rFonts w:ascii="Cambria Math" w:hAnsi="Book Antiqua"/>
            <w:sz w:val="20"/>
          </w:rPr>
          <m:t xml:space="preserve"> &lt; 0.05</m:t>
        </m:r>
      </m:oMath>
      <w:r w:rsidRPr="007F536A">
        <w:rPr>
          <w:rFonts w:ascii="Book Antiqua" w:hAnsi="Book Antiqua"/>
          <w:bCs/>
          <w:iCs/>
          <w:sz w:val="20"/>
        </w:rPr>
        <w:t xml:space="preserve">. Only a few scientists would require </w:t>
      </w:r>
      <m:oMath>
        <m:r>
          <w:rPr>
            <w:rFonts w:ascii="Cambria Math" w:hAnsi="Cambria Math"/>
            <w:sz w:val="20"/>
          </w:rPr>
          <m:t>P</m:t>
        </m:r>
        <m:r>
          <w:rPr>
            <w:rFonts w:ascii="Cambria Math" w:hAnsi="Book Antiqua"/>
            <w:sz w:val="20"/>
          </w:rPr>
          <m:t xml:space="preserve"> &lt; 0.01</m:t>
        </m:r>
      </m:oMath>
      <w:r w:rsidRPr="007F536A">
        <w:rPr>
          <w:rFonts w:ascii="Book Antiqua" w:hAnsi="Book Antiqua"/>
          <w:bCs/>
          <w:iCs/>
          <w:sz w:val="20"/>
        </w:rPr>
        <w:t xml:space="preserve"> (the chance of being wrong is one in a hundred) to accept a proposition. It is almost unheard of for any proposition requiring </w:t>
      </w:r>
      <m:oMath>
        <m:r>
          <w:rPr>
            <w:rFonts w:ascii="Cambria Math" w:hAnsi="Cambria Math"/>
            <w:sz w:val="20"/>
          </w:rPr>
          <m:t>P</m:t>
        </m:r>
        <m:r>
          <w:rPr>
            <w:rFonts w:ascii="Cambria Math" w:hAnsi="Book Antiqua"/>
            <w:sz w:val="20"/>
          </w:rPr>
          <m:t xml:space="preserve"> &lt; 0.001</m:t>
        </m:r>
      </m:oMath>
      <w:r w:rsidRPr="007F536A">
        <w:rPr>
          <w:rFonts w:ascii="Book Antiqua" w:hAnsi="Book Antiqua"/>
          <w:bCs/>
          <w:iCs/>
          <w:sz w:val="20"/>
        </w:rPr>
        <w:t xml:space="preserve"> (the chance of being wrong is one in a thousand) before it is accepted as true. Yet these figures suggest a decay trend with a value of </w:t>
      </w:r>
      <m:oMath>
        <m:r>
          <w:rPr>
            <w:rFonts w:ascii="Cambria Math" w:hAnsi="Cambria Math"/>
            <w:sz w:val="20"/>
          </w:rPr>
          <m:t>P</m:t>
        </m:r>
        <m:r>
          <w:rPr>
            <w:rFonts w:ascii="Cambria Math" w:hAnsi="Book Antiqua"/>
            <w:sz w:val="20"/>
          </w:rPr>
          <m:t xml:space="preserve"> &lt;&lt; 0.0001</m:t>
        </m:r>
      </m:oMath>
      <w:r w:rsidRPr="007F536A">
        <w:rPr>
          <w:rFonts w:ascii="Book Antiqua" w:hAnsi="Book Antiqua"/>
          <w:bCs/>
          <w:iCs/>
          <w:sz w:val="20"/>
        </w:rPr>
        <w:t xml:space="preserve"> (the chance of being wrong is </w:t>
      </w:r>
      <w:r w:rsidRPr="007F536A">
        <w:rPr>
          <w:rFonts w:ascii="Book Antiqua" w:hAnsi="Book Antiqua"/>
          <w:bCs/>
          <w:i/>
          <w:iCs/>
          <w:sz w:val="20"/>
        </w:rPr>
        <w:t>very much less</w:t>
      </w:r>
      <w:r w:rsidRPr="007F536A">
        <w:rPr>
          <w:rFonts w:ascii="Book Antiqua" w:hAnsi="Book Antiqua"/>
          <w:bCs/>
          <w:iCs/>
          <w:sz w:val="20"/>
        </w:rPr>
        <w:t xml:space="preserve"> than one in ten thousand). In other words, if you accept that the Pulkovo data shows a decline in the speed of light, you have much less than one chance in 10,000 of being wrong.</w:t>
      </w:r>
    </w:p>
    <w:p w:rsidR="00821A88" w:rsidRPr="007F536A" w:rsidRDefault="00821A88" w:rsidP="00821A88">
      <w:pPr>
        <w:pStyle w:val="NoSpacing"/>
        <w:ind w:left="1080"/>
        <w:jc w:val="both"/>
        <w:rPr>
          <w:rStyle w:val="Strong"/>
          <w:rFonts w:ascii="Book Antiqua" w:hAnsi="Book Antiqua"/>
          <w:b w:val="0"/>
          <w:bCs w:val="0"/>
          <w:sz w:val="20"/>
        </w:rPr>
      </w:pPr>
    </w:p>
    <w:p w:rsidR="00821A88" w:rsidRPr="007F536A" w:rsidRDefault="00821A88" w:rsidP="00821A88">
      <w:pPr>
        <w:pStyle w:val="NoSpacing"/>
        <w:numPr>
          <w:ilvl w:val="1"/>
          <w:numId w:val="21"/>
        </w:numPr>
        <w:jc w:val="both"/>
        <w:rPr>
          <w:rFonts w:ascii="Book Antiqua" w:hAnsi="Book Antiqua"/>
          <w:b/>
          <w:i/>
          <w:sz w:val="20"/>
        </w:rPr>
      </w:pPr>
      <w:r w:rsidRPr="007F536A">
        <w:rPr>
          <w:rStyle w:val="Strong"/>
          <w:rFonts w:ascii="Book Antiqua" w:hAnsi="Book Antiqua"/>
          <w:b w:val="0"/>
          <w:i/>
          <w:sz w:val="20"/>
        </w:rPr>
        <w:lastRenderedPageBreak/>
        <w:t>Other Aberration Values</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In addition to the results outlined above, there are some 44 further values obtained by this method. Table </w:t>
      </w:r>
      <w:r w:rsidR="000C3725">
        <w:rPr>
          <w:rFonts w:ascii="Book Antiqua" w:hAnsi="Book Antiqua"/>
          <w:sz w:val="20"/>
        </w:rPr>
        <w:t>7</w:t>
      </w:r>
      <w:r w:rsidRPr="007F536A">
        <w:rPr>
          <w:rFonts w:ascii="Book Antiqua" w:hAnsi="Book Antiqua"/>
          <w:sz w:val="20"/>
        </w:rPr>
        <w:t xml:space="preserve"> supplies the complete listing of 67 aberration values [59</w:t>
      </w:r>
      <w:bookmarkStart w:id="52" w:name="nineteen"/>
      <w:bookmarkEnd w:id="52"/>
      <w:r w:rsidRPr="007F536A">
        <w:rPr>
          <w:rFonts w:ascii="Book Antiqua" w:hAnsi="Book Antiqua"/>
          <w:sz w:val="20"/>
        </w:rPr>
        <w:t xml:space="preserve">]. The constant value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has been adopted to give the speed of light in accord with current definitions. However, as discussed above, all aberration values are systematically high for </w:t>
      </w:r>
      <m:oMath>
        <m:r>
          <w:rPr>
            <w:rFonts w:ascii="Cambria Math" w:hAnsi="Cambria Math"/>
            <w:sz w:val="20"/>
          </w:rPr>
          <m:t>K</m:t>
        </m:r>
      </m:oMath>
      <w:r w:rsidRPr="007F536A">
        <w:rPr>
          <w:rFonts w:ascii="Book Antiqua" w:hAnsi="Book Antiqua"/>
          <w:sz w:val="20"/>
        </w:rPr>
        <w:t xml:space="preserve"> which means they are registering low for</w:t>
      </w:r>
      <m:oMath>
        <m:r>
          <w:rPr>
            <w:rFonts w:ascii="Cambria Math" w:hAnsi="Book Antiqua"/>
            <w:sz w:val="20"/>
          </w:rPr>
          <m:t xml:space="preserve"> </m:t>
        </m:r>
        <m:r>
          <w:rPr>
            <w:rFonts w:ascii="Cambria Math" w:hAnsi="Cambria Math"/>
            <w:sz w:val="20"/>
          </w:rPr>
          <m:t>c</m:t>
        </m:r>
      </m:oMath>
      <w:r w:rsidRPr="007F536A">
        <w:rPr>
          <w:rFonts w:ascii="Book Antiqua" w:hAnsi="Book Antiqua"/>
          <w:sz w:val="20"/>
        </w:rPr>
        <w:t>. In order to overcome this problem, the final column in Table 7 gives the number of km/s above the 1935 definitive datum line from Pulkovo. The 5 values marked # are clearly outliers and are not plotted in Figure 13. The 1868 value for Gylden-Nyren-Gylden is a mean of two data points as is the 1898.5 data point for Grachev. These two means are each plotted as one point.</w:t>
      </w:r>
    </w:p>
    <w:p w:rsidR="00EB4BA1" w:rsidRPr="007F536A" w:rsidRDefault="00EB4BA1"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p>
    <w:p w:rsidR="00821A88" w:rsidRPr="007F536A" w:rsidRDefault="00821A88" w:rsidP="00EB4BA1">
      <w:pPr>
        <w:pStyle w:val="NoSpacing"/>
        <w:jc w:val="center"/>
        <w:rPr>
          <w:rFonts w:ascii="Book Antiqua" w:hAnsi="Book Antiqua"/>
          <w:b/>
          <w:sz w:val="20"/>
          <w:highlight w:val="yellow"/>
        </w:rPr>
      </w:pPr>
      <w:r w:rsidRPr="007F536A">
        <w:rPr>
          <w:rFonts w:ascii="Book Antiqua" w:hAnsi="Book Antiqua"/>
          <w:b/>
          <w:bCs/>
          <w:iCs/>
          <w:noProof/>
          <w:color w:val="000000"/>
          <w:sz w:val="20"/>
          <w:u w:val="single"/>
        </w:rPr>
        <w:drawing>
          <wp:inline distT="0" distB="0" distL="0" distR="0">
            <wp:extent cx="5597979" cy="4702628"/>
            <wp:effectExtent l="19050" t="0" r="21771" b="2722"/>
            <wp:docPr id="150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rPr>
          <w:rFonts w:ascii="Book Antiqua" w:hAnsi="Book Antiqua"/>
          <w:b/>
          <w:sz w:val="20"/>
          <w:highlight w:val="yellow"/>
        </w:rPr>
      </w:pPr>
    </w:p>
    <w:p w:rsidR="00821A88" w:rsidRPr="00B65E31" w:rsidRDefault="00821A88" w:rsidP="00821A88">
      <w:pPr>
        <w:pStyle w:val="NoSpacing"/>
        <w:rPr>
          <w:rFonts w:ascii="Book Antiqua" w:hAnsi="Book Antiqua"/>
          <w:i/>
          <w:sz w:val="18"/>
          <w:szCs w:val="18"/>
        </w:rPr>
      </w:pPr>
      <w:r w:rsidRPr="00B65E31">
        <w:rPr>
          <w:rFonts w:ascii="Book Antiqua" w:hAnsi="Book Antiqua"/>
          <w:b/>
          <w:i/>
          <w:sz w:val="18"/>
          <w:szCs w:val="18"/>
        </w:rPr>
        <w:t>Figure 13:</w:t>
      </w:r>
      <w:r w:rsidRPr="00B65E31">
        <w:rPr>
          <w:rFonts w:ascii="Book Antiqua" w:hAnsi="Book Antiqua"/>
          <w:i/>
          <w:sz w:val="18"/>
          <w:szCs w:val="18"/>
        </w:rPr>
        <w:t xml:space="preserve"> Plot of Table 7 aberration data omitting outliers marked #. The horizontal axis is the date while the vertical axis is the number of km/s above the 1935.5 datum. A second order polynomial is fitted.</w:t>
      </w:r>
    </w:p>
    <w:p w:rsidR="00821A88" w:rsidRDefault="00821A88" w:rsidP="00821A88">
      <w:pPr>
        <w:pStyle w:val="NoSpacing"/>
        <w:rPr>
          <w:rFonts w:ascii="Book Antiqua" w:hAnsi="Book Antiqua"/>
          <w:sz w:val="20"/>
        </w:rPr>
      </w:pPr>
    </w:p>
    <w:p w:rsidR="00D95D3A" w:rsidRDefault="00D95D3A" w:rsidP="00D95D3A">
      <w:pPr>
        <w:pStyle w:val="NoSpacing"/>
        <w:ind w:firstLine="720"/>
        <w:jc w:val="both"/>
        <w:rPr>
          <w:rFonts w:ascii="Book Antiqua" w:hAnsi="Book Antiqua"/>
          <w:noProof/>
          <w:sz w:val="20"/>
        </w:rPr>
      </w:pPr>
      <w:r w:rsidRPr="007F536A">
        <w:rPr>
          <w:rFonts w:ascii="Book Antiqua" w:hAnsi="Book Antiqua"/>
          <w:sz w:val="20"/>
        </w:rPr>
        <w:t xml:space="preserve">In all, there are 67 aberration determinations for the 209 years from 1726.5 – 1935.5 listed in Table 7. Those values which were (1) undated, (2) had no errors given or (3) were repeats from the references were all omitted from the Table.  </w:t>
      </w:r>
      <w:r w:rsidRPr="007F536A">
        <w:rPr>
          <w:rFonts w:ascii="Book Antiqua" w:hAnsi="Book Antiqua"/>
          <w:noProof/>
          <w:sz w:val="20"/>
        </w:rPr>
        <w:t xml:space="preserve">If those 67 measurements are split into 50 year segments, and the mean </w:t>
      </w:r>
      <w:r w:rsidRPr="007F536A">
        <w:rPr>
          <w:rFonts w:ascii="Book Antiqua" w:hAnsi="Book Antiqua"/>
          <w:i/>
          <w:noProof/>
          <w:sz w:val="20"/>
        </w:rPr>
        <w:t>c</w:t>
      </w:r>
      <w:r w:rsidRPr="007F536A">
        <w:rPr>
          <w:rFonts w:ascii="Book Antiqua" w:hAnsi="Book Antiqua"/>
          <w:noProof/>
          <w:sz w:val="20"/>
        </w:rPr>
        <w:t xml:space="preserve"> value in each segment is taken, the difference of that mean from the current value for </w:t>
      </w:r>
      <w:r w:rsidRPr="007F536A">
        <w:rPr>
          <w:rFonts w:ascii="Book Antiqua" w:hAnsi="Book Antiqua"/>
          <w:i/>
          <w:noProof/>
          <w:sz w:val="20"/>
        </w:rPr>
        <w:t>c</w:t>
      </w:r>
      <w:r w:rsidRPr="007F536A">
        <w:rPr>
          <w:rFonts w:ascii="Book Antiqua" w:hAnsi="Book Antiqua"/>
          <w:noProof/>
          <w:sz w:val="20"/>
        </w:rPr>
        <w:t xml:space="preserve"> can be noted as in Table 6:</w:t>
      </w:r>
    </w:p>
    <w:p w:rsidR="00BB0F8E" w:rsidRDefault="00BB0F8E" w:rsidP="00D95D3A">
      <w:pPr>
        <w:pStyle w:val="NoSpacing"/>
        <w:ind w:firstLine="720"/>
        <w:jc w:val="both"/>
        <w:rPr>
          <w:rFonts w:ascii="Book Antiqua" w:hAnsi="Book Antiqua"/>
          <w:noProof/>
          <w:sz w:val="20"/>
        </w:rPr>
      </w:pPr>
    </w:p>
    <w:p w:rsidR="00BB0F8E" w:rsidRDefault="00BB0F8E" w:rsidP="00EB4BA1">
      <w:pPr>
        <w:pStyle w:val="NoSpacing"/>
        <w:jc w:val="center"/>
        <w:rPr>
          <w:rFonts w:ascii="Book Antiqua" w:hAnsi="Book Antiqua"/>
          <w:b/>
          <w:bCs/>
          <w:iCs/>
          <w:sz w:val="18"/>
          <w:szCs w:val="18"/>
        </w:rPr>
      </w:pPr>
    </w:p>
    <w:p w:rsidR="00D95D3A" w:rsidRPr="000E5755" w:rsidRDefault="00D95D3A" w:rsidP="00EB4BA1">
      <w:pPr>
        <w:pStyle w:val="NoSpacing"/>
        <w:jc w:val="center"/>
        <w:rPr>
          <w:rFonts w:ascii="Book Antiqua" w:hAnsi="Book Antiqua"/>
          <w:b/>
          <w:bCs/>
          <w:i/>
          <w:iCs/>
          <w:sz w:val="18"/>
          <w:szCs w:val="18"/>
        </w:rPr>
      </w:pPr>
      <w:r w:rsidRPr="000E5755">
        <w:rPr>
          <w:rFonts w:ascii="Book Antiqua" w:hAnsi="Book Antiqua"/>
          <w:b/>
          <w:bCs/>
          <w:iCs/>
          <w:sz w:val="18"/>
          <w:szCs w:val="18"/>
        </w:rPr>
        <w:lastRenderedPageBreak/>
        <w:t>Table 6:</w:t>
      </w:r>
      <w:r w:rsidRPr="000E5755">
        <w:rPr>
          <w:rFonts w:ascii="Book Antiqua" w:hAnsi="Book Antiqua"/>
          <w:b/>
          <w:bCs/>
          <w:i/>
          <w:iCs/>
          <w:sz w:val="18"/>
          <w:szCs w:val="18"/>
        </w:rPr>
        <w:t xml:space="preserve"> Aberration c Values Compared To Now</w:t>
      </w:r>
    </w:p>
    <w:p w:rsidR="00D95D3A" w:rsidRPr="007F536A" w:rsidRDefault="00D95D3A" w:rsidP="00D95D3A">
      <w:pPr>
        <w:pStyle w:val="NoSpacing"/>
        <w:jc w:val="both"/>
        <w:rPr>
          <w:rFonts w:ascii="Book Antiqua" w:hAnsi="Book Antiqua"/>
          <w:b/>
          <w:bCs/>
          <w:iCs/>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19"/>
        <w:gridCol w:w="2219"/>
        <w:gridCol w:w="2870"/>
      </w:tblGrid>
      <w:tr w:rsidR="00D95D3A" w:rsidRPr="000E5755" w:rsidTr="00EB4BA1">
        <w:trPr>
          <w:trHeight w:val="641"/>
          <w:jc w:val="center"/>
        </w:trPr>
        <w:tc>
          <w:tcPr>
            <w:tcW w:w="2219" w:type="dxa"/>
          </w:tcPr>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 xml:space="preserve"> </w:t>
            </w: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Median Date</w:t>
            </w:r>
          </w:p>
        </w:tc>
        <w:tc>
          <w:tcPr>
            <w:tcW w:w="2219"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Mean c Value in km/s</w:t>
            </w:r>
          </w:p>
        </w:tc>
        <w:tc>
          <w:tcPr>
            <w:tcW w:w="2870"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Difference to c-now in km/s</w:t>
            </w:r>
          </w:p>
        </w:tc>
      </w:tr>
      <w:tr w:rsidR="00D95D3A" w:rsidRPr="000E5755" w:rsidTr="00EB4BA1">
        <w:trPr>
          <w:trHeight w:val="311"/>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1765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300,555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+ 763</w:t>
            </w:r>
          </w:p>
        </w:tc>
      </w:tr>
      <w:tr w:rsidR="00D95D3A" w:rsidRPr="000E5755" w:rsidTr="00EB4BA1">
        <w:trPr>
          <w:trHeight w:val="311"/>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1865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299,942.5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+ 150</w:t>
            </w:r>
          </w:p>
        </w:tc>
      </w:tr>
      <w:tr w:rsidR="00D95D3A" w:rsidRPr="000E5755" w:rsidTr="00EB4BA1">
        <w:trPr>
          <w:trHeight w:val="330"/>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1915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299,812</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+ 20</w:t>
            </w:r>
          </w:p>
        </w:tc>
      </w:tr>
    </w:tbl>
    <w:p w:rsidR="00D95D3A" w:rsidRPr="000E5755" w:rsidRDefault="00D95D3A" w:rsidP="00D95D3A">
      <w:pPr>
        <w:pStyle w:val="NoSpacing"/>
        <w:jc w:val="both"/>
        <w:rPr>
          <w:rFonts w:ascii="Book Antiqua" w:hAnsi="Book Antiqua"/>
          <w:bCs/>
          <w:iCs/>
          <w:sz w:val="18"/>
          <w:szCs w:val="18"/>
        </w:rPr>
      </w:pPr>
    </w:p>
    <w:p w:rsidR="00D95D3A" w:rsidRPr="00D83E6A" w:rsidRDefault="00D95D3A" w:rsidP="00D95D3A">
      <w:pPr>
        <w:pStyle w:val="NoSpacing"/>
        <w:ind w:firstLine="720"/>
        <w:jc w:val="both"/>
        <w:rPr>
          <w:rFonts w:ascii="Book Antiqua" w:hAnsi="Book Antiqua"/>
          <w:bCs/>
          <w:iCs/>
          <w:sz w:val="20"/>
        </w:rPr>
      </w:pPr>
      <w:r w:rsidRPr="00D83E6A">
        <w:rPr>
          <w:rFonts w:ascii="Book Antiqua" w:hAnsi="Book Antiqua"/>
          <w:bCs/>
          <w:iCs/>
          <w:sz w:val="20"/>
        </w:rPr>
        <w:t xml:space="preserve">Table 7 shows that the further back in time we go, the higher the mean value of </w:t>
      </w:r>
      <m:oMath>
        <m:r>
          <w:rPr>
            <w:rFonts w:ascii="Cambria Math" w:hAnsi="Cambria Math"/>
            <w:sz w:val="20"/>
          </w:rPr>
          <m:t>c</m:t>
        </m:r>
      </m:oMath>
      <w:r w:rsidRPr="00D83E6A">
        <w:rPr>
          <w:rFonts w:ascii="Book Antiqua" w:hAnsi="Book Antiqua"/>
          <w:bCs/>
          <w:iCs/>
          <w:sz w:val="20"/>
        </w:rPr>
        <w:t xml:space="preserve">. All these data, coupled with the unchanged equipment at Pulkovo, shows Dorsey's explanation of improved equipment as the cause for changing values of light speed is </w:t>
      </w:r>
      <w:r w:rsidR="00637608">
        <w:rPr>
          <w:rFonts w:ascii="Book Antiqua" w:hAnsi="Book Antiqua"/>
          <w:bCs/>
          <w:iCs/>
          <w:sz w:val="20"/>
        </w:rPr>
        <w:t>probably wrong.</w:t>
      </w:r>
      <w:r w:rsidRPr="00D83E6A">
        <w:rPr>
          <w:rFonts w:ascii="Book Antiqua" w:hAnsi="Book Antiqua"/>
          <w:bCs/>
          <w:iCs/>
          <w:sz w:val="20"/>
        </w:rPr>
        <w:t xml:space="preserve"> </w:t>
      </w:r>
    </w:p>
    <w:p w:rsidR="00D95D3A" w:rsidRPr="00D83E6A" w:rsidRDefault="00D95D3A" w:rsidP="00D95D3A">
      <w:pPr>
        <w:pStyle w:val="NoSpacing"/>
        <w:jc w:val="both"/>
        <w:rPr>
          <w:rFonts w:ascii="Book Antiqua" w:hAnsi="Book Antiqua"/>
          <w:sz w:val="20"/>
        </w:rPr>
      </w:pPr>
    </w:p>
    <w:p w:rsidR="00D95D3A" w:rsidRPr="00D83E6A" w:rsidRDefault="00D95D3A" w:rsidP="00D95D3A">
      <w:pPr>
        <w:pStyle w:val="NoSpacing"/>
        <w:ind w:firstLine="720"/>
        <w:jc w:val="both"/>
        <w:rPr>
          <w:rFonts w:ascii="Book Antiqua" w:hAnsi="Book Antiqua"/>
          <w:sz w:val="20"/>
        </w:rPr>
      </w:pPr>
      <w:r w:rsidRPr="00D83E6A">
        <w:rPr>
          <w:rFonts w:ascii="Book Antiqua" w:hAnsi="Book Antiqua"/>
          <w:sz w:val="20"/>
        </w:rPr>
        <w:t xml:space="preserve">A least squares linear fit to all data from Table 7 gives a decay of </w:t>
      </w:r>
      <m:oMath>
        <m:r>
          <w:rPr>
            <w:rFonts w:ascii="Cambria Math" w:hAnsi="Book Antiqua"/>
            <w:sz w:val="20"/>
          </w:rPr>
          <m:t xml:space="preserve">5.04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D83E6A">
        <w:rPr>
          <w:rFonts w:ascii="Book Antiqua" w:hAnsi="Book Antiqua"/>
          <w:sz w:val="20"/>
        </w:rPr>
        <w:t xml:space="preserve"> with a confidence of 96.1% that </w:t>
      </w:r>
      <m:oMath>
        <m:r>
          <w:rPr>
            <w:rStyle w:val="Emphasis"/>
            <w:rFonts w:ascii="Cambria Math" w:hAnsi="Cambria Math"/>
            <w:sz w:val="20"/>
          </w:rPr>
          <m:t>c</m:t>
        </m:r>
      </m:oMath>
      <w:r w:rsidRPr="00D83E6A">
        <w:rPr>
          <w:rFonts w:ascii="Book Antiqua" w:hAnsi="Book Antiqua"/>
          <w:sz w:val="20"/>
        </w:rPr>
        <w:t xml:space="preserve"> has not been constant for the period covered by these Bradley-type determinations. The data in Table 7 are not corrected for the systematic error mentioned above. Corrected figures appear in Table 17 at the end of this chapter. The aberration data alone suggest that the possibility of a decline in </w:t>
      </w:r>
      <w:r w:rsidRPr="00D83E6A">
        <w:rPr>
          <w:rStyle w:val="Emphasis"/>
          <w:rFonts w:ascii="Book Antiqua" w:hAnsi="Book Antiqua"/>
          <w:sz w:val="20"/>
        </w:rPr>
        <w:t>c</w:t>
      </w:r>
      <w:r w:rsidRPr="00D83E6A">
        <w:rPr>
          <w:rFonts w:ascii="Book Antiqua" w:hAnsi="Book Antiqua"/>
          <w:sz w:val="20"/>
        </w:rPr>
        <w:t xml:space="preserve"> during that time should be examined further.</w:t>
      </w:r>
    </w:p>
    <w:p w:rsidR="00C130A6" w:rsidRPr="00D95D3A" w:rsidRDefault="00C130A6" w:rsidP="00821A88">
      <w:pPr>
        <w:pStyle w:val="NoSpacing"/>
        <w:jc w:val="both"/>
        <w:rPr>
          <w:rFonts w:ascii="Book Antiqua" w:hAnsi="Book Antiqua"/>
          <w:i/>
          <w:sz w:val="18"/>
          <w:szCs w:val="18"/>
        </w:rPr>
      </w:pPr>
    </w:p>
    <w:p w:rsidR="00821A88" w:rsidRPr="00D95D3A" w:rsidRDefault="00821A88" w:rsidP="00821A88">
      <w:pPr>
        <w:pStyle w:val="NoSpacing"/>
        <w:rPr>
          <w:rFonts w:ascii="Book Antiqua" w:hAnsi="Book Antiqua"/>
          <w:b/>
          <w:i/>
          <w:sz w:val="18"/>
          <w:szCs w:val="18"/>
        </w:rPr>
      </w:pPr>
      <w:r w:rsidRPr="00D95D3A">
        <w:rPr>
          <w:rFonts w:ascii="Book Antiqua" w:hAnsi="Book Antiqua"/>
          <w:b/>
          <w:sz w:val="18"/>
          <w:szCs w:val="18"/>
        </w:rPr>
        <w:t>TABLE 7:</w:t>
      </w:r>
      <w:r w:rsidRPr="00D95D3A">
        <w:rPr>
          <w:rFonts w:ascii="Book Antiqua" w:hAnsi="Book Antiqua"/>
          <w:b/>
          <w:i/>
          <w:sz w:val="18"/>
          <w:szCs w:val="18"/>
        </w:rPr>
        <w:t xml:space="preserve"> Uncorrected Values Of c Obtained By The Aberration Method. </w:t>
      </w:r>
      <w:r w:rsidR="00D95D3A">
        <w:rPr>
          <w:rFonts w:ascii="Book Antiqua" w:hAnsi="Book Antiqua"/>
          <w:b/>
          <w:i/>
          <w:sz w:val="18"/>
          <w:szCs w:val="18"/>
        </w:rPr>
        <w:t>R</w:t>
      </w:r>
      <w:r w:rsidRPr="00D95D3A">
        <w:rPr>
          <w:rFonts w:ascii="Book Antiqua" w:hAnsi="Book Antiqua"/>
          <w:b/>
          <w:i/>
          <w:sz w:val="18"/>
          <w:szCs w:val="18"/>
        </w:rPr>
        <w:t>esults are plotted in Fig</w:t>
      </w:r>
      <w:r w:rsidR="00D95D3A">
        <w:rPr>
          <w:rFonts w:ascii="Book Antiqua" w:hAnsi="Book Antiqua"/>
          <w:b/>
          <w:i/>
          <w:sz w:val="18"/>
          <w:szCs w:val="18"/>
        </w:rPr>
        <w:t>.</w:t>
      </w:r>
      <w:r w:rsidRPr="00D95D3A">
        <w:rPr>
          <w:rFonts w:ascii="Book Antiqua" w:hAnsi="Book Antiqua"/>
          <w:b/>
          <w:i/>
          <w:sz w:val="18"/>
          <w:szCs w:val="18"/>
        </w:rPr>
        <w:t xml:space="preserve"> 13 with outliers marked #omitted</w:t>
      </w:r>
    </w:p>
    <w:p w:rsidR="00821A88" w:rsidRPr="007F536A" w:rsidRDefault="00821A88" w:rsidP="00821A88">
      <w:pPr>
        <w:pStyle w:val="Els-body-text"/>
        <w:ind w:firstLine="0"/>
        <w:rPr>
          <w:rFonts w:ascii="Book Antiqua" w:eastAsia="Times New Roman" w:hAnsi="Book Antiqua"/>
        </w:rPr>
      </w:pPr>
    </w:p>
    <w:tbl>
      <w:tblPr>
        <w:tblStyle w:val="TableGrid"/>
        <w:tblW w:w="0" w:type="auto"/>
        <w:jc w:val="center"/>
        <w:tblLook w:val="04A0"/>
      </w:tblPr>
      <w:tblGrid>
        <w:gridCol w:w="8901"/>
      </w:tblGrid>
      <w:tr w:rsidR="00821A88" w:rsidRPr="007F536A" w:rsidTr="000A7BFB">
        <w:trPr>
          <w:jc w:val="center"/>
        </w:trPr>
        <w:tc>
          <w:tcPr>
            <w:tcW w:w="8720" w:type="dxa"/>
          </w:tcPr>
          <w:tbl>
            <w:tblPr>
              <w:tblW w:w="8669"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97"/>
              <w:gridCol w:w="955"/>
              <w:gridCol w:w="1164"/>
              <w:gridCol w:w="2321"/>
              <w:gridCol w:w="1259"/>
              <w:gridCol w:w="1334"/>
              <w:gridCol w:w="1139"/>
            </w:tblGrid>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jc w:val="center"/>
                    <w:rPr>
                      <w:rFonts w:ascii="Book Antiqua" w:hAnsi="Book Antiqua"/>
                      <w:b/>
                      <w:bCs/>
                      <w:sz w:val="16"/>
                      <w:szCs w:val="16"/>
                    </w:rPr>
                  </w:pPr>
                </w:p>
              </w:tc>
              <w:tc>
                <w:tcPr>
                  <w:tcW w:w="955"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Average year</w:t>
                  </w:r>
                </w:p>
              </w:tc>
              <w:tc>
                <w:tcPr>
                  <w:tcW w:w="116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Date of observation</w:t>
                  </w:r>
                </w:p>
              </w:tc>
              <w:tc>
                <w:tcPr>
                  <w:tcW w:w="2321"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Observer</w:t>
                  </w:r>
                </w:p>
              </w:tc>
              <w:tc>
                <w:tcPr>
                  <w:tcW w:w="1259"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 xml:space="preserve">Value of K in </w:t>
                  </w:r>
                  <w:r w:rsidRPr="00D95D3A">
                    <w:rPr>
                      <w:rFonts w:ascii="Book Antiqua" w:hAnsi="Book Antiqua"/>
                      <w:b/>
                      <w:bCs/>
                      <w:i/>
                      <w:sz w:val="18"/>
                      <w:szCs w:val="18"/>
                    </w:rPr>
                    <w:br/>
                    <w:t>arc seconds</w:t>
                  </w:r>
                </w:p>
              </w:tc>
              <w:tc>
                <w:tcPr>
                  <w:tcW w:w="133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Value of c in km/sec</w:t>
                  </w:r>
                </w:p>
              </w:tc>
              <w:tc>
                <w:tcPr>
                  <w:tcW w:w="1139" w:type="dxa"/>
                  <w:tcBorders>
                    <w:top w:val="outset" w:sz="6" w:space="0" w:color="auto"/>
                    <w:left w:val="outset" w:sz="6" w:space="0" w:color="auto"/>
                    <w:bottom w:val="outset" w:sz="6" w:space="0" w:color="auto"/>
                    <w:right w:val="outset" w:sz="6" w:space="0" w:color="auto"/>
                  </w:tcBorders>
                </w:tcPr>
                <w:p w:rsidR="00821A88" w:rsidRPr="00D95D3A" w:rsidRDefault="00821A88" w:rsidP="00400B4E">
                  <w:pPr>
                    <w:jc w:val="center"/>
                    <w:rPr>
                      <w:rFonts w:ascii="Book Antiqua" w:hAnsi="Book Antiqua"/>
                      <w:b/>
                      <w:bCs/>
                      <w:i/>
                      <w:sz w:val="18"/>
                      <w:szCs w:val="18"/>
                    </w:rPr>
                  </w:pPr>
                  <w:r w:rsidRPr="00D95D3A">
                    <w:rPr>
                      <w:rFonts w:ascii="Book Antiqua" w:hAnsi="Book Antiqua"/>
                      <w:b/>
                      <w:bCs/>
                      <w:i/>
                      <w:sz w:val="18"/>
                      <w:szCs w:val="18"/>
                    </w:rPr>
                    <w:t>Difference from datum in km/s</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(γ Draconis – initial wk)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20.20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304,060 ±  </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(α Cassiopeiae )</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301,195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Auwers-Bradley (Kew)</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20.3851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301,415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1740*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1726-1754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Reworked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300,650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1750-1816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Lindenau: ± from weights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20.445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300,530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corrected 1853</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20.463 ± 0.017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300,270 ± 250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Folk-Struve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20.458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300,340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Vaschilina-Struve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20.486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m:oMathPara>
                    <m:oMath>
                      <m:r>
                        <w:rPr>
                          <w:rFonts w:ascii="Cambria Math" w:hAnsi="Book Antiqua"/>
                          <w:sz w:val="16"/>
                          <w:szCs w:val="16"/>
                        </w:rPr>
                        <m:t xml:space="preserve">299,930 </m:t>
                      </m:r>
                      <m:r>
                        <w:rPr>
                          <w:rFonts w:ascii="Cambria Math" w:hAnsi="Book Antiqua"/>
                          <w:sz w:val="16"/>
                          <w:szCs w:val="16"/>
                          <w:u w:val="single"/>
                        </w:rPr>
                        <m:t>±</m:t>
                      </m:r>
                      <m:r>
                        <w:rPr>
                          <w:rFonts w:ascii="Cambria Math" w:hAnsi="Book Antiqua"/>
                          <w:sz w:val="16"/>
                          <w:szCs w:val="16"/>
                        </w:rPr>
                        <m:t xml:space="preserve"> 90</m:t>
                      </m:r>
                    </m:oMath>
                  </m:oMathPara>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Lindhagen-Schweizer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1858*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Nyren-Peters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20.495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299,800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1862-1867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20.490 </w:t>
                  </w:r>
                  <w:r w:rsidRPr="007F536A">
                    <w:rPr>
                      <w:rFonts w:ascii="Book Antiqua" w:hAnsi="Book Antiqua"/>
                      <w:sz w:val="16"/>
                      <w:szCs w:val="16"/>
                      <w:u w:val="single"/>
                    </w:rPr>
                    <w:t>+</w:t>
                  </w:r>
                  <w:r w:rsidRPr="007F536A">
                    <w:rPr>
                      <w:rFonts w:ascii="Book Antiqua" w:hAnsi="Book Antiqua"/>
                      <w:sz w:val="16"/>
                      <w:szCs w:val="16"/>
                    </w:rPr>
                    <w:t xml:space="preserve">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299,870 </w:t>
                  </w:r>
                  <w:r w:rsidRPr="007F536A">
                    <w:rPr>
                      <w:rFonts w:ascii="Book Antiqua" w:hAnsi="Book Antiqua"/>
                      <w:sz w:val="16"/>
                      <w:szCs w:val="16"/>
                      <w:u w:val="single"/>
                    </w:rPr>
                    <w:t>+</w:t>
                  </w:r>
                  <w:r w:rsidRPr="007F536A">
                    <w:rPr>
                      <w:rFonts w:ascii="Book Antiqua" w:hAnsi="Book Antiqua"/>
                      <w:sz w:val="16"/>
                      <w:szCs w:val="16"/>
                    </w:rPr>
                    <w:t xml:space="preserve">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1863-1873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Gylden –Nyren-Gylden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1861-1879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 Wagner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299,980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1871-1875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1883-1883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treated average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1884-1884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20.492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299,840 </w:t>
                  </w:r>
                  <w:r w:rsidRPr="007F536A">
                    <w:rPr>
                      <w:rFonts w:ascii="Book Antiqua" w:hAnsi="Book Antiqua"/>
                      <w:sz w:val="16"/>
                      <w:szCs w:val="16"/>
                      <w:u w:val="single"/>
                    </w:rPr>
                    <w:t>+</w:t>
                  </w:r>
                  <w:r w:rsidRPr="007F536A">
                    <w:rPr>
                      <w:rFonts w:ascii="Book Antiqua" w:hAnsi="Book Antiqua"/>
                      <w:sz w:val="16"/>
                      <w:szCs w:val="16"/>
                    </w:rPr>
                    <w:t xml:space="preserve">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Kustner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260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Comstock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20.443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300,560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Preston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300,750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Batterman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Chandler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Davidson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lastRenderedPageBreak/>
                    <w:t>30.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1894-1895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20.452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300,430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Rhys-Jacobi-Davis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Paris Conference value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20.470 </w:t>
                  </w:r>
                  <w:r w:rsidRPr="007F536A">
                    <w:rPr>
                      <w:rFonts w:ascii="Book Antiqua" w:hAnsi="Book Antiqua"/>
                      <w:sz w:val="16"/>
                      <w:szCs w:val="16"/>
                      <w:u w:val="single"/>
                    </w:rPr>
                    <w:t>+</w:t>
                  </w:r>
                  <w:r w:rsidRPr="007F536A">
                    <w:rPr>
                      <w:rFonts w:ascii="Book Antiqua" w:hAnsi="Book Antiqua"/>
                      <w:sz w:val="16"/>
                      <w:szCs w:val="16"/>
                    </w:rPr>
                    <w:t xml:space="preserve"> 0.01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300,170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Newcomb-Pulkovo</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20.493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Grachev-Kowalski</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 (mean)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20.499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299,740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1900-1901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20.513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1903-1903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20.525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Ogburn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20.464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300,250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 et.al.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20.505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299,650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299,670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Bayswater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Orlov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20.525 ± 0.004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20.518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299,460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20.522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299,410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Zemtsov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299,730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20.508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299,610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1913-1915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Numerov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20.506 </w:t>
                  </w:r>
                  <w:r w:rsidRPr="007F536A">
                    <w:rPr>
                      <w:rFonts w:ascii="Book Antiqua" w:hAnsi="Book Antiqua"/>
                      <w:sz w:val="16"/>
                      <w:szCs w:val="16"/>
                      <w:u w:val="single"/>
                    </w:rPr>
                    <w:t>+</w:t>
                  </w:r>
                  <w:r w:rsidRPr="007F536A">
                    <w:rPr>
                      <w:rFonts w:ascii="Book Antiqua" w:hAnsi="Book Antiqua"/>
                      <w:sz w:val="16"/>
                      <w:szCs w:val="16"/>
                    </w:rPr>
                    <w:t xml:space="preserve">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299,640 </w:t>
                  </w:r>
                  <w:r w:rsidRPr="007F536A">
                    <w:rPr>
                      <w:rFonts w:ascii="Book Antiqua" w:hAnsi="Book Antiqua"/>
                      <w:sz w:val="16"/>
                      <w:szCs w:val="16"/>
                      <w:u w:val="single"/>
                    </w:rPr>
                    <w:t>+</w:t>
                  </w:r>
                  <w:r w:rsidRPr="007F536A">
                    <w:rPr>
                      <w:rFonts w:ascii="Book Antiqua" w:hAnsi="Book Antiqua"/>
                      <w:sz w:val="16"/>
                      <w:szCs w:val="16"/>
                    </w:rPr>
                    <w:t xml:space="preserve">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1915-1917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Tsimmerman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20.514 + 0.005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299,520 </w:t>
                  </w:r>
                  <w:r w:rsidRPr="007F536A">
                    <w:rPr>
                      <w:rFonts w:ascii="Book Antiqua" w:hAnsi="Book Antiqua"/>
                      <w:sz w:val="16"/>
                      <w:szCs w:val="16"/>
                      <w:u w:val="single"/>
                    </w:rPr>
                    <w:t>+</w:t>
                  </w:r>
                  <w:r w:rsidRPr="007F536A">
                    <w:rPr>
                      <w:rFonts w:ascii="Book Antiqua" w:hAnsi="Book Antiqua"/>
                      <w:sz w:val="16"/>
                      <w:szCs w:val="16"/>
                    </w:rPr>
                    <w:t xml:space="preserve"> 75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1922*</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1915-1929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Kulikov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1911-1936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1925-1928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Berg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299,670 </w:t>
                  </w:r>
                  <w:r w:rsidRPr="007F536A">
                    <w:rPr>
                      <w:rFonts w:ascii="Book Antiqua" w:hAnsi="Book Antiqua"/>
                      <w:sz w:val="16"/>
                      <w:szCs w:val="16"/>
                      <w:u w:val="single"/>
                    </w:rPr>
                    <w:t>+</w:t>
                  </w:r>
                  <w:r w:rsidRPr="007F536A">
                    <w:rPr>
                      <w:rFonts w:ascii="Book Antiqua" w:hAnsi="Book Antiqua"/>
                      <w:sz w:val="16"/>
                      <w:szCs w:val="16"/>
                    </w:rPr>
                    <w:t xml:space="preserve">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1930-1931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1915-1951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Sollenberger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850#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1929-1941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Romanskaya</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20.511±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299,570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1926-1945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Rabe (gravitational)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20.487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350</w:t>
                  </w:r>
                </w:p>
              </w:tc>
            </w:tr>
          </w:tbl>
          <w:p w:rsidR="00821A88" w:rsidRPr="007F536A" w:rsidRDefault="00821A88" w:rsidP="00400B4E">
            <w:pPr>
              <w:pStyle w:val="Els-body-text"/>
              <w:ind w:firstLine="0"/>
              <w:rPr>
                <w:rFonts w:ascii="Book Antiqua" w:hAnsi="Book Antiqua"/>
              </w:rPr>
            </w:pP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jc w:val="center"/>
        <w:rPr>
          <w:rFonts w:ascii="Book Antiqua" w:hAnsi="Book Antiqua"/>
          <w:sz w:val="16"/>
          <w:szCs w:val="16"/>
        </w:rPr>
      </w:pPr>
      <w:r w:rsidRPr="007F536A">
        <w:rPr>
          <w:rFonts w:ascii="Book Antiqua" w:hAnsi="Book Antiqua"/>
          <w:sz w:val="16"/>
          <w:szCs w:val="16"/>
        </w:rPr>
        <w:t xml:space="preserve">*These Pulkovo data were used in Figure </w:t>
      </w:r>
      <w:r w:rsidR="00D95D3A">
        <w:rPr>
          <w:rFonts w:ascii="Book Antiqua" w:hAnsi="Book Antiqua"/>
          <w:sz w:val="16"/>
          <w:szCs w:val="16"/>
        </w:rPr>
        <w:t>12</w:t>
      </w:r>
      <w:r w:rsidRPr="007F536A">
        <w:rPr>
          <w:rFonts w:ascii="Book Antiqua" w:hAnsi="Book Antiqua"/>
          <w:sz w:val="16"/>
          <w:szCs w:val="16"/>
        </w:rPr>
        <w:t xml:space="preserve"> along with the most conservative Bradley and Lindenau values.</w:t>
      </w:r>
    </w:p>
    <w:p w:rsidR="00C078E5" w:rsidRDefault="00C078E5" w:rsidP="00821A88">
      <w:pPr>
        <w:pStyle w:val="NoSpacing"/>
        <w:rPr>
          <w:rFonts w:ascii="Book Antiqua" w:hAnsi="Book Antiqua"/>
          <w:b/>
          <w:bCs/>
          <w:iCs/>
          <w:color w:val="000000"/>
          <w:sz w:val="20"/>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3: Fizeau and the Toothed-Wheel Experiments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ab/>
      </w:r>
    </w:p>
    <w:p w:rsidR="00C078E5" w:rsidRPr="00C078E5" w:rsidRDefault="00821A88" w:rsidP="00821A88">
      <w:pPr>
        <w:pStyle w:val="NoSpacing"/>
        <w:numPr>
          <w:ilvl w:val="1"/>
          <w:numId w:val="23"/>
        </w:numPr>
        <w:jc w:val="both"/>
        <w:rPr>
          <w:rStyle w:val="Strong"/>
          <w:rFonts w:ascii="Book Antiqua" w:hAnsi="Book Antiqua"/>
          <w:b w:val="0"/>
          <w:bCs w:val="0"/>
          <w:i/>
          <w:sz w:val="20"/>
        </w:rPr>
      </w:pPr>
      <w:bookmarkStart w:id="53" w:name="HLF"/>
      <w:bookmarkEnd w:id="53"/>
      <w:r w:rsidRPr="007F536A">
        <w:rPr>
          <w:rStyle w:val="Strong"/>
          <w:rFonts w:ascii="Book Antiqua" w:hAnsi="Book Antiqua"/>
          <w:b w:val="0"/>
          <w:i/>
          <w:sz w:val="20"/>
        </w:rPr>
        <w:t>Armand Hippolyte-Louis Fizeau</w:t>
      </w:r>
    </w:p>
    <w:p w:rsidR="00C078E5" w:rsidRDefault="00C078E5" w:rsidP="00C078E5">
      <w:pPr>
        <w:pStyle w:val="NoSpacing"/>
        <w:ind w:left="360"/>
        <w:jc w:val="both"/>
        <w:rPr>
          <w:rStyle w:val="Strong"/>
          <w:rFonts w:ascii="Book Antiqua" w:hAnsi="Book Antiqua"/>
          <w:b w:val="0"/>
          <w:i/>
          <w:sz w:val="20"/>
        </w:rPr>
      </w:pPr>
    </w:p>
    <w:p w:rsidR="00C078E5" w:rsidRPr="007F536A" w:rsidRDefault="00C078E5" w:rsidP="00C078E5">
      <w:pPr>
        <w:pStyle w:val="NoSpacing"/>
        <w:ind w:firstLine="720"/>
        <w:jc w:val="both"/>
        <w:rPr>
          <w:rFonts w:ascii="Book Antiqua" w:hAnsi="Book Antiqua"/>
          <w:sz w:val="20"/>
        </w:rPr>
      </w:pPr>
      <w:r w:rsidRPr="007F536A">
        <w:rPr>
          <w:rFonts w:ascii="Book Antiqua" w:hAnsi="Book Antiqua"/>
          <w:sz w:val="20"/>
        </w:rPr>
        <w:t xml:space="preserve">The two methods of measuring the velocity of light, </w:t>
      </w:r>
      <m:oMath>
        <m:r>
          <w:rPr>
            <w:rStyle w:val="Emphasis"/>
            <w:rFonts w:ascii="Cambria Math" w:hAnsi="Cambria Math"/>
            <w:sz w:val="20"/>
          </w:rPr>
          <m:t>c</m:t>
        </m:r>
      </m:oMath>
      <w:r w:rsidRPr="007F536A">
        <w:rPr>
          <w:rFonts w:ascii="Book Antiqua" w:hAnsi="Book Antiqua"/>
          <w:sz w:val="20"/>
        </w:rPr>
        <w:t xml:space="preserve">, that have been considered to this point have both been astronomical. However, back in 1638, in his ‘Discorsi’, Galileo suggested the basis for a terrestrial experiment over a number of miles using lanterns, shutters and telescopes to timed flashes of light. The Florentine Academy in 1667 tried the idea over a distance of one mile without any observable delay. Just nine years later the reason became apparent: Roemer’s value for </w:t>
      </w:r>
      <w:r w:rsidRPr="007F536A">
        <w:rPr>
          <w:rStyle w:val="Emphasis"/>
          <w:rFonts w:ascii="Book Antiqua" w:hAnsi="Book Antiqua"/>
          <w:sz w:val="20"/>
        </w:rPr>
        <w:t xml:space="preserve">c </w:t>
      </w:r>
      <w:r w:rsidRPr="007F536A">
        <w:rPr>
          <w:rFonts w:ascii="Book Antiqua" w:hAnsi="Book Antiqua"/>
          <w:sz w:val="20"/>
        </w:rPr>
        <w:t xml:space="preserve">was so great in comparison to human reaction times in operating the lantern shutters that there was no hope of observing the finite travel time delay for </w:t>
      </w:r>
      <m:oMath>
        <m:r>
          <w:rPr>
            <w:rStyle w:val="Emphasis"/>
            <w:rFonts w:ascii="Cambria Math" w:hAnsi="Cambria Math"/>
            <w:sz w:val="20"/>
          </w:rPr>
          <m:t>c</m:t>
        </m:r>
      </m:oMath>
      <w:r w:rsidRPr="007F536A">
        <w:rPr>
          <w:rFonts w:ascii="Book Antiqua" w:hAnsi="Book Antiqua"/>
          <w:sz w:val="20"/>
        </w:rPr>
        <w:t xml:space="preserve"> over one mile (or 1609.344 meters).</w:t>
      </w:r>
    </w:p>
    <w:p w:rsidR="00C078E5" w:rsidRPr="007F536A" w:rsidRDefault="00C078E5" w:rsidP="00C078E5">
      <w:pPr>
        <w:pStyle w:val="NoSpacing"/>
        <w:ind w:firstLine="720"/>
        <w:jc w:val="both"/>
        <w:rPr>
          <w:rFonts w:ascii="Book Antiqua" w:hAnsi="Book Antiqua"/>
          <w:sz w:val="20"/>
        </w:rPr>
      </w:pPr>
    </w:p>
    <w:p w:rsidR="00637608" w:rsidRDefault="00637608" w:rsidP="00C078E5">
      <w:pPr>
        <w:pStyle w:val="NoSpacing"/>
        <w:jc w:val="both"/>
        <w:rPr>
          <w:rFonts w:ascii="Book Antiqua" w:hAnsi="Book Antiqua"/>
          <w:sz w:val="20"/>
        </w:rPr>
      </w:pPr>
    </w:p>
    <w:p w:rsidR="00C078E5" w:rsidRDefault="00C078E5" w:rsidP="00C078E5">
      <w:pPr>
        <w:pStyle w:val="NoSpacing"/>
        <w:jc w:val="center"/>
        <w:rPr>
          <w:rFonts w:ascii="Book Antiqua" w:hAnsi="Book Antiqua"/>
          <w:sz w:val="20"/>
        </w:rPr>
      </w:pPr>
      <w:r w:rsidRPr="00C078E5">
        <w:rPr>
          <w:rFonts w:ascii="Book Antiqua" w:hAnsi="Book Antiqua"/>
          <w:noProof/>
          <w:sz w:val="20"/>
        </w:rPr>
        <w:lastRenderedPageBreak/>
        <w:drawing>
          <wp:inline distT="0" distB="0" distL="0" distR="0">
            <wp:extent cx="2485720" cy="2143845"/>
            <wp:effectExtent l="19050" t="0" r="0" b="0"/>
            <wp:docPr id="1528" name="il_fi" descr="http://micro.magnet.fsu.edu/optics/timeline/people/antiqueimages/fiz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izeau.jpg"/>
                    <pic:cNvPicPr>
                      <a:picLocks noChangeAspect="1" noChangeArrowheads="1"/>
                    </pic:cNvPicPr>
                  </pic:nvPicPr>
                  <pic:blipFill>
                    <a:blip r:embed="rId99" cstate="print"/>
                    <a:srcRect t="13187" r="1233" b="33696"/>
                    <a:stretch>
                      <a:fillRect/>
                    </a:stretch>
                  </pic:blipFill>
                  <pic:spPr bwMode="auto">
                    <a:xfrm>
                      <a:off x="0" y="0"/>
                      <a:ext cx="2488566" cy="2146299"/>
                    </a:xfrm>
                    <a:prstGeom prst="rect">
                      <a:avLst/>
                    </a:prstGeom>
                    <a:noFill/>
                    <a:ln w="9525">
                      <a:noFill/>
                      <a:miter lim="800000"/>
                      <a:headEnd/>
                      <a:tailEnd/>
                    </a:ln>
                  </pic:spPr>
                </pic:pic>
              </a:graphicData>
            </a:graphic>
          </wp:inline>
        </w:drawing>
      </w:r>
    </w:p>
    <w:p w:rsidR="00C078E5" w:rsidRDefault="00C078E5" w:rsidP="00C078E5">
      <w:pPr>
        <w:pStyle w:val="NoSpacing"/>
        <w:jc w:val="both"/>
        <w:rPr>
          <w:rFonts w:ascii="Book Antiqua" w:hAnsi="Book Antiqua"/>
          <w:sz w:val="20"/>
        </w:rPr>
      </w:pPr>
    </w:p>
    <w:p w:rsidR="00C078E5" w:rsidRPr="00B65E31" w:rsidRDefault="00C078E5" w:rsidP="00363E70">
      <w:pPr>
        <w:pStyle w:val="NoSpacing"/>
        <w:jc w:val="center"/>
        <w:rPr>
          <w:rFonts w:ascii="Book Antiqua" w:hAnsi="Book Antiqua"/>
          <w:i/>
          <w:sz w:val="18"/>
          <w:szCs w:val="18"/>
        </w:rPr>
      </w:pPr>
      <w:r w:rsidRPr="00B65E31">
        <w:rPr>
          <w:rFonts w:ascii="Book Antiqua" w:hAnsi="Book Antiqua"/>
          <w:b/>
          <w:i/>
          <w:sz w:val="18"/>
          <w:szCs w:val="18"/>
        </w:rPr>
        <w:t>Figure 14:</w:t>
      </w:r>
      <w:r w:rsidRPr="00B65E31">
        <w:rPr>
          <w:rFonts w:ascii="Book Antiqua" w:hAnsi="Book Antiqua"/>
          <w:i/>
          <w:sz w:val="18"/>
          <w:szCs w:val="18"/>
        </w:rPr>
        <w:t xml:space="preserve"> Armand Hippolyte-Louis Fizeau (1819-1896)</w:t>
      </w:r>
    </w:p>
    <w:p w:rsidR="00C078E5" w:rsidRDefault="00C078E5" w:rsidP="00C078E5">
      <w:pPr>
        <w:pStyle w:val="NoSpacing"/>
        <w:jc w:val="both"/>
        <w:rPr>
          <w:rFonts w:ascii="Book Antiqua" w:hAnsi="Book Antiqua"/>
          <w:sz w:val="20"/>
        </w:rPr>
      </w:pPr>
    </w:p>
    <w:p w:rsidR="007A2282" w:rsidRDefault="007A2282" w:rsidP="007A2282">
      <w:pPr>
        <w:pStyle w:val="NoSpacing"/>
        <w:ind w:firstLine="720"/>
        <w:jc w:val="both"/>
        <w:rPr>
          <w:rFonts w:ascii="Book Antiqua" w:hAnsi="Book Antiqua"/>
          <w:sz w:val="20"/>
        </w:rPr>
      </w:pPr>
      <w:r w:rsidRPr="007F536A">
        <w:rPr>
          <w:rFonts w:ascii="Book Antiqua" w:hAnsi="Book Antiqua"/>
          <w:sz w:val="20"/>
        </w:rPr>
        <w:t>It was not until 1849 that the French physicist Armand H. L. Fizeau overcame the problem in the following fashion. In the first place it was desirable to have as large a distance as possible involved, instead of just one mile. Fizeau used as his base-line the distance between two hills near Paris, Suresnes and Montmartre, measured as 8633 meters</w:t>
      </w:r>
      <w:bookmarkStart w:id="54" w:name="one"/>
      <w:bookmarkEnd w:id="54"/>
      <w:r w:rsidRPr="007F536A">
        <w:rPr>
          <w:rFonts w:ascii="Book Antiqua" w:hAnsi="Book Antiqua"/>
          <w:sz w:val="20"/>
        </w:rPr>
        <w:t xml:space="preserve"> (about 5 ½ miles) [62]. As he had arranged to observe the returning beam of light, the total distance traveled was thus 17,266 meters, or eleven miles. Though this distance was large in comparison with the single mile used with lanterns, it was the second shortest base-line ever used in this type of experiment</w:t>
      </w:r>
      <w:r>
        <w:rPr>
          <w:rFonts w:ascii="Book Antiqua" w:hAnsi="Book Antiqua"/>
          <w:sz w:val="20"/>
        </w:rPr>
        <w:t>.</w:t>
      </w:r>
      <w:r w:rsidRPr="007F536A">
        <w:rPr>
          <w:rStyle w:val="Strong"/>
          <w:rFonts w:ascii="Book Antiqua" w:hAnsi="Book Antiqua"/>
          <w:b w:val="0"/>
          <w:i/>
          <w:sz w:val="20"/>
        </w:rPr>
        <w:tab/>
      </w:r>
    </w:p>
    <w:p w:rsidR="00C078E5" w:rsidRDefault="00C078E5" w:rsidP="00C078E5">
      <w:pPr>
        <w:pStyle w:val="NoSpacing"/>
        <w:jc w:val="both"/>
        <w:rPr>
          <w:rStyle w:val="Strong"/>
          <w:rFonts w:ascii="Book Antiqua" w:hAnsi="Book Antiqua"/>
          <w:b w:val="0"/>
          <w:i/>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place of the shutters on lanterns, Fizeau used a rotating wheel with 720 teeth and driven by clockwork made by Froment [63]. Light from an intense source was focused on the rim of the wheel, then made into a parallel beam by a telescope, and sent the 8633 meters. There it was received by another telescope which focused the beam onto a concave mirror, and sent the light back along the same path that it had just traveled. The returned beam was viewed between the teeth in the wheel. The system was focused with the wheel at rest and with the light shining between the gap in the teeth. The wheel was then rotated, automatically chopping the beam into a series of flashes like the lantern shutters (see Fig</w:t>
      </w:r>
      <w:r w:rsidR="00B65E31">
        <w:rPr>
          <w:rFonts w:ascii="Book Antiqua" w:hAnsi="Book Antiqua"/>
          <w:sz w:val="20"/>
        </w:rPr>
        <w:t>. 15</w:t>
      </w:r>
      <w:r w:rsidRPr="007F536A">
        <w:rPr>
          <w:rFonts w:ascii="Book Antiqua" w:hAnsi="Book Antiqua"/>
          <w:sz w:val="20"/>
        </w:rPr>
        <w:t>).</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6725851" cy="2720148"/>
            <wp:effectExtent l="19050" t="0" r="0" b="0"/>
            <wp:docPr id="36" name="Picture 63" descr="Stroboscop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troboscope Method"/>
                    <pic:cNvPicPr>
                      <a:picLocks noChangeAspect="1" noChangeArrowheads="1"/>
                    </pic:cNvPicPr>
                  </pic:nvPicPr>
                  <pic:blipFill>
                    <a:blip r:embed="rId100" cstate="print"/>
                    <a:srcRect/>
                    <a:stretch>
                      <a:fillRect/>
                    </a:stretch>
                  </pic:blipFill>
                  <pic:spPr bwMode="auto">
                    <a:xfrm>
                      <a:off x="0" y="0"/>
                      <a:ext cx="6772245" cy="2738911"/>
                    </a:xfrm>
                    <a:prstGeom prst="rect">
                      <a:avLst/>
                    </a:prstGeom>
                    <a:noFill/>
                    <a:ln w="9525">
                      <a:noFill/>
                      <a:miter lim="800000"/>
                      <a:headEnd/>
                      <a:tailEnd/>
                    </a:ln>
                  </pic:spPr>
                </pic:pic>
              </a:graphicData>
            </a:graphic>
          </wp:inline>
        </w:drawing>
      </w:r>
    </w:p>
    <w:p w:rsidR="00821A88" w:rsidRPr="007F536A" w:rsidRDefault="00821A88" w:rsidP="00821A88">
      <w:pPr>
        <w:pStyle w:val="NoSpacing"/>
        <w:rPr>
          <w:rFonts w:ascii="Book Antiqua" w:hAnsi="Book Antiqua"/>
          <w:b/>
          <w:sz w:val="20"/>
        </w:rPr>
      </w:pPr>
    </w:p>
    <w:p w:rsidR="00821A88" w:rsidRDefault="00821A88" w:rsidP="000A7BFB">
      <w:pPr>
        <w:pStyle w:val="NoSpacing"/>
        <w:jc w:val="center"/>
        <w:rPr>
          <w:rFonts w:ascii="Book Antiqua" w:hAnsi="Book Antiqua"/>
          <w:i/>
          <w:sz w:val="18"/>
          <w:szCs w:val="18"/>
        </w:rPr>
      </w:pPr>
      <w:r w:rsidRPr="00B65E31">
        <w:rPr>
          <w:rFonts w:ascii="Book Antiqua" w:hAnsi="Book Antiqua"/>
          <w:b/>
          <w:i/>
          <w:sz w:val="18"/>
          <w:szCs w:val="18"/>
        </w:rPr>
        <w:t>Figure 15:</w:t>
      </w:r>
      <w:r w:rsidRPr="00B65E31">
        <w:rPr>
          <w:rFonts w:ascii="Book Antiqua" w:hAnsi="Book Antiqua"/>
          <w:i/>
          <w:sz w:val="18"/>
          <w:szCs w:val="18"/>
        </w:rPr>
        <w:t xml:space="preserve"> Fizeau’s Toothed Wheel Method of Measuring Light-speed.</w:t>
      </w:r>
    </w:p>
    <w:p w:rsidR="00B65E31" w:rsidRPr="00B65E31" w:rsidRDefault="00B65E31" w:rsidP="00821A88">
      <w:pPr>
        <w:pStyle w:val="NoSpacing"/>
        <w:rPr>
          <w:rFonts w:ascii="Book Antiqua" w:hAnsi="Book Antiqua"/>
          <w:i/>
          <w:sz w:val="18"/>
          <w:szCs w:val="18"/>
        </w:rPr>
      </w:pPr>
    </w:p>
    <w:p w:rsidR="00A518F9" w:rsidRDefault="00A518F9" w:rsidP="00821A88">
      <w:pPr>
        <w:pStyle w:val="NoSpacing"/>
        <w:rPr>
          <w:rFonts w:ascii="Book Antiqua" w:hAnsi="Book Antiqua"/>
          <w:sz w:val="18"/>
          <w:szCs w:val="18"/>
        </w:rPr>
      </w:pPr>
    </w:p>
    <w:p w:rsidR="00821A88" w:rsidRPr="007F536A" w:rsidRDefault="004226F6" w:rsidP="00821A88">
      <w:pPr>
        <w:pStyle w:val="NoSpacing"/>
        <w:numPr>
          <w:ilvl w:val="1"/>
          <w:numId w:val="23"/>
        </w:numPr>
        <w:jc w:val="both"/>
        <w:rPr>
          <w:rFonts w:ascii="Book Antiqua" w:hAnsi="Book Antiqua"/>
          <w:b/>
          <w:i/>
          <w:sz w:val="20"/>
        </w:rPr>
      </w:pPr>
      <w:r>
        <w:rPr>
          <w:rStyle w:val="Strong"/>
          <w:rFonts w:ascii="Book Antiqua" w:hAnsi="Book Antiqua"/>
          <w:b w:val="0"/>
          <w:i/>
          <w:sz w:val="20"/>
        </w:rPr>
        <w:lastRenderedPageBreak/>
        <w:t>Fizeau’s</w:t>
      </w:r>
      <w:r w:rsidR="00821A88" w:rsidRPr="007F536A">
        <w:rPr>
          <w:rStyle w:val="Strong"/>
          <w:rFonts w:ascii="Book Antiqua" w:hAnsi="Book Antiqua"/>
          <w:b w:val="0"/>
          <w:i/>
          <w:sz w:val="20"/>
        </w:rPr>
        <w:t xml:space="preserve">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Initially, as the wheel’s rotation rate was increased from zero, the observed light intensity dropped, until the light flash that had passed between the teeth on the way out struck the next tooth on its return. The observed light intensity was then at its minimum. However, by increasing the wheel’s rotation rate, a situation arose where the returning flash went through the next gap to the one it passed through on the way out. This gave an observed maximum intensity. Fizeau found the first minimum occurred with the wheel rotating at 12.6 turns per second and the first maximum followed at 25.2 turns per second</w:t>
      </w:r>
      <w:bookmarkStart w:id="55" w:name="three"/>
      <w:bookmarkEnd w:id="55"/>
      <w:r w:rsidRPr="007F536A">
        <w:rPr>
          <w:rFonts w:ascii="Book Antiqua" w:hAnsi="Book Antiqua"/>
          <w:sz w:val="20"/>
        </w:rPr>
        <w:t xml:space="preserve"> [64]. The flash of light had thus traveled the 17.266 km distance in </w:t>
      </w:r>
      <m:oMath>
        <m:r>
          <w:rPr>
            <w:rFonts w:ascii="Cambria Math" w:hAnsi="Book Antiqua"/>
            <w:sz w:val="20"/>
          </w:rPr>
          <m:t xml:space="preserve">1/(25.2 </m:t>
        </m:r>
        <m:r>
          <w:rPr>
            <w:rFonts w:ascii="Cambria Math" w:hAnsi="Cambria Math"/>
            <w:sz w:val="20"/>
          </w:rPr>
          <m:t>x</m:t>
        </m:r>
        <m:r>
          <w:rPr>
            <w:rFonts w:ascii="Cambria Math" w:hAnsi="Book Antiqua"/>
            <w:sz w:val="20"/>
          </w:rPr>
          <m:t xml:space="preserve"> 720)</m:t>
        </m:r>
      </m:oMath>
      <w:r w:rsidRPr="007F536A">
        <w:rPr>
          <w:rFonts w:ascii="Book Antiqua" w:hAnsi="Book Antiqua"/>
          <w:sz w:val="20"/>
        </w:rPr>
        <w:t xml:space="preserve"> seconds. Hence, in one second, the light traveled </w:t>
      </w:r>
      <m:oMath>
        <m:r>
          <w:rPr>
            <w:rFonts w:ascii="Cambria Math" w:hAnsi="Book Antiqua"/>
            <w:sz w:val="20"/>
          </w:rPr>
          <m:t xml:space="preserve">25.2 </m:t>
        </m:r>
        <m:r>
          <w:rPr>
            <w:rFonts w:ascii="Cambria Math" w:hAnsi="Cambria Math"/>
            <w:sz w:val="20"/>
          </w:rPr>
          <m:t>x</m:t>
        </m:r>
        <m:r>
          <w:rPr>
            <w:rFonts w:ascii="Cambria Math" w:hAnsi="Book Antiqua"/>
            <w:sz w:val="20"/>
          </w:rPr>
          <m:t xml:space="preserve"> 720 </m:t>
        </m:r>
        <m:r>
          <w:rPr>
            <w:rFonts w:ascii="Cambria Math" w:hAnsi="Cambria Math"/>
            <w:sz w:val="20"/>
          </w:rPr>
          <m:t>x</m:t>
        </m:r>
        <m:r>
          <w:rPr>
            <w:rFonts w:ascii="Cambria Math" w:hAnsi="Book Antiqua"/>
            <w:sz w:val="20"/>
          </w:rPr>
          <m:t xml:space="preserve"> 17.266 </m:t>
        </m:r>
        <m:r>
          <w:rPr>
            <w:rFonts w:ascii="Cambria Math" w:hAnsi="Cambria Math"/>
            <w:sz w:val="20"/>
          </w:rPr>
          <m:t>km</m:t>
        </m:r>
      </m:oMath>
      <w:r w:rsidRPr="007F536A">
        <w:rPr>
          <w:rFonts w:ascii="Book Antiqua" w:hAnsi="Book Antiqua"/>
          <w:sz w:val="20"/>
        </w:rPr>
        <w:t xml:space="preserve">. This gives Fizeau’s value for </w:t>
      </w:r>
      <m:oMath>
        <m:r>
          <w:rPr>
            <w:rStyle w:val="Emphasis"/>
            <w:rFonts w:ascii="Cambria Math" w:hAnsi="Cambria Math"/>
            <w:sz w:val="20"/>
          </w:rPr>
          <m:t>c</m:t>
        </m:r>
      </m:oMath>
      <w:r w:rsidRPr="007F536A">
        <w:rPr>
          <w:rFonts w:ascii="Book Antiqua" w:hAnsi="Book Antiqua"/>
          <w:sz w:val="20"/>
        </w:rPr>
        <w:t xml:space="preserve"> as 313,300 km/s. This is the usual figure given in textbooks.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Although this value for Fizeau’s result is often quoted,</w:t>
      </w:r>
      <w:bookmarkStart w:id="56" w:name="four"/>
      <w:bookmarkEnd w:id="56"/>
      <w:r w:rsidRPr="007F536A">
        <w:rPr>
          <w:rFonts w:ascii="Book Antiqua" w:hAnsi="Book Antiqua"/>
          <w:sz w:val="20"/>
        </w:rPr>
        <w:t xml:space="preserve"> [65], the technical literature prefers another value for the following </w:t>
      </w:r>
      <w:r w:rsidRPr="007A2282">
        <w:rPr>
          <w:rFonts w:ascii="Book Antiqua" w:hAnsi="Book Antiqua"/>
          <w:sz w:val="20"/>
        </w:rPr>
        <w:t>reason</w:t>
      </w:r>
      <w:r w:rsidR="007A2282">
        <w:rPr>
          <w:rFonts w:ascii="Book Antiqua" w:hAnsi="Book Antiqua"/>
          <w:sz w:val="20"/>
        </w:rPr>
        <w:t>:</w:t>
      </w:r>
      <w:r w:rsidRPr="007A2282">
        <w:rPr>
          <w:rFonts w:ascii="Book Antiqua" w:hAnsi="Book Antiqua"/>
          <w:sz w:val="20"/>
        </w:rPr>
        <w:t xml:space="preserve"> Fizeau</w:t>
      </w:r>
      <w:r w:rsidRPr="007F536A">
        <w:rPr>
          <w:rFonts w:ascii="Book Antiqua" w:hAnsi="Book Antiqua"/>
          <w:sz w:val="20"/>
        </w:rPr>
        <w:t xml:space="preserve"> stated that his result was the mean of 28 measurements that gave </w:t>
      </w:r>
      <m:oMath>
        <m:r>
          <w:rPr>
            <w:rFonts w:ascii="Cambria Math" w:hAnsi="Cambria Math"/>
            <w:sz w:val="20"/>
          </w:rPr>
          <m:t>c</m:t>
        </m:r>
      </m:oMath>
      <w:r w:rsidRPr="007F536A">
        <w:rPr>
          <w:rFonts w:ascii="Book Antiqua" w:hAnsi="Book Antiqua"/>
          <w:sz w:val="20"/>
        </w:rPr>
        <w:t xml:space="preserve"> as 70,948 leagues of 25 to the degree per second (</w:t>
      </w:r>
      <w:r w:rsidRPr="007F536A">
        <w:rPr>
          <w:rFonts w:ascii="Book Antiqua" w:hAnsi="Book Antiqua"/>
          <w:i/>
          <w:sz w:val="20"/>
        </w:rPr>
        <w:t>’70,948 lieues de 25 au degre’</w:t>
      </w:r>
      <w:bookmarkStart w:id="57" w:name="five"/>
      <w:bookmarkEnd w:id="57"/>
      <w:r w:rsidRPr="007F536A">
        <w:rPr>
          <w:rFonts w:ascii="Book Antiqua" w:hAnsi="Book Antiqua"/>
          <w:i/>
          <w:sz w:val="20"/>
        </w:rPr>
        <w:t>)</w:t>
      </w:r>
      <w:r w:rsidRPr="007F536A">
        <w:rPr>
          <w:rFonts w:ascii="Book Antiqua" w:hAnsi="Book Antiqua"/>
          <w:sz w:val="20"/>
        </w:rPr>
        <w:t xml:space="preserve"> [66].</w:t>
      </w:r>
      <w:r w:rsidRPr="007F536A">
        <w:rPr>
          <w:rStyle w:val="superscript1"/>
          <w:rFonts w:ascii="Book Antiqua" w:hAnsi="Book Antiqua"/>
        </w:rPr>
        <w:t xml:space="preserve"> </w:t>
      </w:r>
      <w:r w:rsidRPr="007F536A">
        <w:rPr>
          <w:rFonts w:ascii="Book Antiqua" w:hAnsi="Book Antiqua"/>
          <w:sz w:val="20"/>
        </w:rPr>
        <w:t xml:space="preserve">As Dorsey points out, the meter was meant to be 1,10,000,000 part of the earth’s meridional quadrant and hence Fizeau’s league became equal to </w:t>
      </w:r>
      <m:oMath>
        <m:r>
          <w:rPr>
            <w:rFonts w:ascii="Cambria Math" w:hAnsi="Book Antiqua"/>
            <w:sz w:val="20"/>
          </w:rPr>
          <m:t>40/9</m:t>
        </m:r>
      </m:oMath>
      <w:r w:rsidRPr="007F536A">
        <w:rPr>
          <w:rFonts w:ascii="Book Antiqua" w:hAnsi="Book Antiqua"/>
          <w:sz w:val="20"/>
        </w:rPr>
        <w:t xml:space="preserve"> km. Multiplication of </w:t>
      </w:r>
      <m:oMath>
        <m:r>
          <w:rPr>
            <w:rFonts w:ascii="Cambria Math" w:hAnsi="Book Antiqua"/>
            <w:sz w:val="20"/>
          </w:rPr>
          <m:t xml:space="preserve">40/9 </m:t>
        </m:r>
      </m:oMath>
      <w:r w:rsidRPr="007F536A">
        <w:rPr>
          <w:rFonts w:ascii="Book Antiqua" w:hAnsi="Book Antiqua"/>
          <w:sz w:val="20"/>
        </w:rPr>
        <w:t xml:space="preserve">by 70,948 gives the technically accepted result of </w:t>
      </w:r>
      <m:oMath>
        <m:r>
          <w:rPr>
            <w:rFonts w:ascii="Cambria Math" w:hAnsi="Book Antiqua"/>
            <w:sz w:val="20"/>
          </w:rPr>
          <m:t xml:space="preserve">315,300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as Fizeau’s value for </w:t>
      </w:r>
      <m:oMath>
        <m:r>
          <w:rPr>
            <w:rStyle w:val="Emphasis"/>
            <w:rFonts w:ascii="Cambria Math" w:hAnsi="Cambria Math"/>
            <w:sz w:val="20"/>
          </w:rPr>
          <m:t>c</m:t>
        </m:r>
      </m:oMath>
      <w:r w:rsidRPr="007F536A">
        <w:rPr>
          <w:rFonts w:ascii="Book Antiqua" w:hAnsi="Book Antiqua"/>
          <w:sz w:val="20"/>
        </w:rPr>
        <w:t>, the speed of light</w:t>
      </w:r>
      <w:bookmarkStart w:id="58" w:name="six"/>
      <w:bookmarkEnd w:id="58"/>
      <w:r w:rsidRPr="007F536A">
        <w:rPr>
          <w:rFonts w:ascii="Book Antiqua" w:hAnsi="Book Antiqua"/>
          <w:sz w:val="20"/>
        </w:rPr>
        <w:t xml:space="preserve"> [67].</w:t>
      </w:r>
    </w:p>
    <w:p w:rsidR="007A2282" w:rsidRDefault="007A2282"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Fizeau’s experimental details were not given in his report, and one promised later after further work seems not to have been found. However, in a quote from the French journal ‘L’Astronomie’, with no exact reference given, two further values appear against an 1855 date that are presumably Fizeau’s</w:t>
      </w:r>
      <w:bookmarkStart w:id="59" w:name="seven"/>
      <w:bookmarkEnd w:id="59"/>
      <w:r w:rsidRPr="007F536A">
        <w:rPr>
          <w:rFonts w:ascii="Book Antiqua" w:hAnsi="Book Antiqua"/>
          <w:sz w:val="20"/>
        </w:rPr>
        <w:t xml:space="preserve"> [68]. They give </w:t>
      </w:r>
      <m:oMath>
        <m:r>
          <w:rPr>
            <w:rStyle w:val="Emphasis"/>
            <w:rFonts w:ascii="Cambria Math" w:hAnsi="Cambria Math"/>
            <w:sz w:val="20"/>
          </w:rPr>
          <m:t>c</m:t>
        </m:r>
      </m:oMath>
      <w:r w:rsidRPr="007F536A">
        <w:rPr>
          <w:rFonts w:ascii="Book Antiqua" w:hAnsi="Book Antiqua"/>
          <w:sz w:val="20"/>
        </w:rPr>
        <w:t xml:space="preserve"> as </w:t>
      </w:r>
      <m:oMath>
        <m:r>
          <w:rPr>
            <w:rFonts w:ascii="Cambria Math" w:hAnsi="Book Antiqua"/>
            <w:sz w:val="20"/>
          </w:rPr>
          <m:t xml:space="preserve">305,650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and </w:t>
      </w:r>
      <m:oMath>
        <m:r>
          <w:rPr>
            <w:rFonts w:ascii="Cambria Math" w:hAnsi="Book Antiqua"/>
            <w:sz w:val="20"/>
          </w:rPr>
          <m:t xml:space="preserve">298,000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However, though this latter value is commonly quoted, it is likely that it is a bad citation for Foucault’s initial work in 1862.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3"/>
        </w:numPr>
        <w:jc w:val="both"/>
        <w:rPr>
          <w:rStyle w:val="Strong"/>
          <w:rFonts w:ascii="Book Antiqua" w:hAnsi="Book Antiqua"/>
          <w:b w:val="0"/>
          <w:bCs w:val="0"/>
          <w:i/>
          <w:sz w:val="20"/>
        </w:rPr>
      </w:pPr>
      <w:bookmarkStart w:id="60" w:name="Cornu"/>
      <w:bookmarkEnd w:id="60"/>
      <w:r w:rsidRPr="007F536A">
        <w:rPr>
          <w:rStyle w:val="Strong"/>
          <w:rFonts w:ascii="Book Antiqua" w:hAnsi="Book Antiqua"/>
          <w:b w:val="0"/>
          <w:i/>
          <w:sz w:val="20"/>
        </w:rPr>
        <w:t>Enter Marie Alfred Cornu</w:t>
      </w:r>
    </w:p>
    <w:p w:rsidR="00821A88" w:rsidRPr="007F536A" w:rsidRDefault="00821A88" w:rsidP="00821A88">
      <w:pPr>
        <w:pStyle w:val="NoSpacing"/>
        <w:jc w:val="both"/>
        <w:rPr>
          <w:rStyle w:val="Strong"/>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2829281" cy="2505075"/>
            <wp:effectExtent l="19050" t="0" r="9169" b="0"/>
            <wp:docPr id="54" name="Picture 13" descr="http://www.ourstory.info/library/3-FF/SLF/images/pro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urstory.info/library/3-FF/SLF/images/prof36.jpg"/>
                    <pic:cNvPicPr>
                      <a:picLocks noChangeAspect="1" noChangeArrowheads="1"/>
                    </pic:cNvPicPr>
                  </pic:nvPicPr>
                  <pic:blipFill>
                    <a:blip r:embed="rId101" cstate="print"/>
                    <a:srcRect r="-13" b="26848"/>
                    <a:stretch>
                      <a:fillRect/>
                    </a:stretch>
                  </pic:blipFill>
                  <pic:spPr bwMode="auto">
                    <a:xfrm>
                      <a:off x="0" y="0"/>
                      <a:ext cx="2829281" cy="250507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363E70">
      <w:pPr>
        <w:pStyle w:val="NoSpacing"/>
        <w:jc w:val="center"/>
        <w:rPr>
          <w:rFonts w:ascii="Book Antiqua" w:hAnsi="Book Antiqua"/>
          <w:i/>
          <w:sz w:val="18"/>
          <w:szCs w:val="18"/>
        </w:rPr>
      </w:pPr>
      <w:r w:rsidRPr="00B65E31">
        <w:rPr>
          <w:rFonts w:ascii="Book Antiqua" w:hAnsi="Book Antiqua"/>
          <w:b/>
          <w:i/>
          <w:sz w:val="18"/>
          <w:szCs w:val="18"/>
        </w:rPr>
        <w:t>Figure 16:</w:t>
      </w:r>
      <w:r w:rsidRPr="00B65E31">
        <w:rPr>
          <w:rFonts w:ascii="Book Antiqua" w:hAnsi="Book Antiqua"/>
          <w:i/>
          <w:sz w:val="18"/>
          <w:szCs w:val="18"/>
        </w:rPr>
        <w:t xml:space="preserve"> Marie Alfred Cornu, (1841-1902).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1872, Alfred Cornu used Fizeau’s method to determine </w:t>
      </w:r>
      <m:oMath>
        <m:r>
          <w:rPr>
            <w:rStyle w:val="Emphasis"/>
            <w:rFonts w:ascii="Cambria Math" w:hAnsi="Cambria Math"/>
            <w:sz w:val="20"/>
          </w:rPr>
          <m:t>c</m:t>
        </m:r>
      </m:oMath>
      <w:r w:rsidRPr="007F536A">
        <w:rPr>
          <w:rFonts w:ascii="Book Antiqua" w:hAnsi="Book Antiqua"/>
          <w:sz w:val="20"/>
        </w:rPr>
        <w:t xml:space="preserve"> over a base-line of 10,310 meters (a little less than 6.5 miles) from the École Polytechinque to Mont Valerien</w:t>
      </w:r>
      <w:bookmarkStart w:id="61" w:name="eight"/>
      <w:bookmarkEnd w:id="61"/>
      <w:r w:rsidRPr="007F536A">
        <w:rPr>
          <w:rFonts w:ascii="Book Antiqua" w:hAnsi="Book Antiqua"/>
          <w:sz w:val="20"/>
        </w:rPr>
        <w:t xml:space="preserve"> [69]. This was in the nature of a preliminary experiment, and was refined later. Of the 658 measurements made, 86 were determined using a weight driven motor and the remaining 572 using a clockwork spring drive. The results obtained were later rejected by Cornu [70] as being “</w:t>
      </w:r>
      <w:r w:rsidRPr="007F536A">
        <w:rPr>
          <w:rStyle w:val="Emphasis"/>
          <w:rFonts w:ascii="Book Antiqua" w:hAnsi="Book Antiqua"/>
          <w:sz w:val="20"/>
        </w:rPr>
        <w:t>affected by serious systematic errors</w:t>
      </w:r>
      <w:r w:rsidRPr="007F536A">
        <w:rPr>
          <w:rFonts w:ascii="Book Antiqua" w:hAnsi="Book Antiqua"/>
          <w:sz w:val="20"/>
        </w:rPr>
        <w:t>”.</w:t>
      </w:r>
      <w:bookmarkStart w:id="62" w:name="ten"/>
      <w:bookmarkEnd w:id="62"/>
      <w:r w:rsidRPr="007F536A">
        <w:rPr>
          <w:rFonts w:ascii="Book Antiqua" w:hAnsi="Book Antiqua"/>
          <w:sz w:val="20"/>
        </w:rPr>
        <w:t xml:space="preserve"> [71] Dorsey states that “</w:t>
      </w:r>
      <w:r w:rsidRPr="007F536A">
        <w:rPr>
          <w:rStyle w:val="Emphasis"/>
          <w:rFonts w:ascii="Book Antiqua" w:hAnsi="Book Antiqua"/>
          <w:sz w:val="20"/>
        </w:rPr>
        <w:t>The apparatus was crude; the precision was low</w:t>
      </w:r>
      <w:r w:rsidRPr="007F536A">
        <w:rPr>
          <w:rFonts w:ascii="Book Antiqua" w:hAnsi="Book Antiqua"/>
          <w:sz w:val="20"/>
        </w:rPr>
        <w:t xml:space="preserve">”. [72] This preliminary result that Cornu rejected was </w:t>
      </w:r>
      <m:oMath>
        <m:r>
          <w:rPr>
            <w:rFonts w:ascii="Cambria Math" w:hAnsi="Book Antiqua"/>
            <w:sz w:val="20"/>
          </w:rPr>
          <m:t xml:space="preserve">298,400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or </w:t>
      </w:r>
      <m:oMath>
        <m:r>
          <w:rPr>
            <w:rFonts w:ascii="Cambria Math" w:hAnsi="Book Antiqua"/>
            <w:sz w:val="20"/>
          </w:rPr>
          <m:t xml:space="preserve">298,500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 vacuum [73].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In 1874, the Council of the Paris Observatoire, headed by LeVerrier, who was the Observatory Director, and Fizeau, decided to ask Cornu to obtain a definitive value for </w:t>
      </w:r>
      <m:oMath>
        <m:r>
          <w:rPr>
            <w:rStyle w:val="Emphasis"/>
            <w:rFonts w:ascii="Cambria Math" w:hAnsi="Cambria Math"/>
            <w:sz w:val="20"/>
          </w:rPr>
          <m:t>c</m:t>
        </m:r>
      </m:oMath>
      <w:r w:rsidRPr="007F536A">
        <w:rPr>
          <w:rFonts w:ascii="Book Antiqua" w:hAnsi="Book Antiqua"/>
          <w:sz w:val="20"/>
        </w:rPr>
        <w:t xml:space="preserve">. The date was April 2, and the reason was that a transit of Venus was to occur on December 9th of that year. A value for </w:t>
      </w:r>
      <m:oMath>
        <m:r>
          <w:rPr>
            <w:rStyle w:val="Emphasis"/>
            <w:rFonts w:ascii="Cambria Math" w:hAnsi="Cambria Math"/>
            <w:sz w:val="20"/>
          </w:rPr>
          <m:t>c</m:t>
        </m:r>
      </m:oMath>
      <w:r w:rsidRPr="007F536A">
        <w:rPr>
          <w:rFonts w:ascii="Book Antiqua" w:hAnsi="Book Antiqua"/>
          <w:sz w:val="20"/>
        </w:rPr>
        <w:t xml:space="preserve"> accurate to one part in a thousand would be needed by astronomers observing the event. Cornu complied with the request.</w:t>
      </w:r>
    </w:p>
    <w:p w:rsidR="007A2282" w:rsidRDefault="007A2282"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A2282">
        <w:rPr>
          <w:rFonts w:ascii="Book Antiqua" w:hAnsi="Book Antiqua"/>
          <w:sz w:val="20"/>
        </w:rPr>
        <w:t xml:space="preserve">The sending telescope was mounted on the Paris Observatory and the light flashes sent to the tower of Montlhery where the collimator lens returned the chopped beam. The base-line was 22,910 meters (about 14.3 miles). Four smoked aluminum wheels of </w:t>
      </w:r>
      <m:oMath>
        <m:r>
          <w:rPr>
            <w:rFonts w:ascii="Cambria Math" w:hAnsi="Book Antiqua"/>
            <w:sz w:val="20"/>
          </w:rPr>
          <m:t>1/10</m:t>
        </m:r>
      </m:oMath>
      <w:r w:rsidRPr="007A2282">
        <w:rPr>
          <w:rFonts w:ascii="Book Antiqua" w:hAnsi="Book Antiqua"/>
          <w:sz w:val="20"/>
        </w:rPr>
        <w:t xml:space="preserve"> to </w:t>
      </w:r>
      <m:oMath>
        <m:r>
          <w:rPr>
            <w:rFonts w:ascii="Cambria Math" w:hAnsi="Book Antiqua"/>
            <w:sz w:val="20"/>
          </w:rPr>
          <m:t>1/15</m:t>
        </m:r>
      </m:oMath>
      <w:r w:rsidRPr="007A2282">
        <w:rPr>
          <w:rFonts w:ascii="Book Antiqua" w:hAnsi="Book Antiqua"/>
          <w:sz w:val="20"/>
        </w:rPr>
        <w:t xml:space="preserve"> mm thickness were used. Three had pointed teeth numbering 144, 150, and 200 respectively. The fourth wheel of 40 mm diameter had 180 square teeth. The wheels could be rotated in either direction, which eliminated a number of errors.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apparatus was powered by a weight-driven, friction-brake controlled device. An electric circuit automatically left a record of wheel rotation rates on a chronograph sheet advancing at </w:t>
      </w:r>
      <m:oMath>
        <m:r>
          <w:rPr>
            <w:rFonts w:ascii="Cambria Math" w:hAnsi="Book Antiqua"/>
            <w:sz w:val="20"/>
          </w:rPr>
          <m:t xml:space="preserve">1.85 </m:t>
        </m:r>
        <m:r>
          <w:rPr>
            <w:rFonts w:ascii="Cambria Math" w:hAnsi="Cambria Math"/>
            <w:sz w:val="20"/>
          </w:rPr>
          <m:t>cm</m:t>
        </m:r>
        <m:r>
          <w:rPr>
            <w:rFonts w:ascii="Cambria Math" w:hAnsi="Book Antiqua"/>
            <w:sz w:val="20"/>
          </w:rPr>
          <m:t>/</m:t>
        </m:r>
        <m:r>
          <w:rPr>
            <w:rFonts w:ascii="Cambria Math" w:hAnsi="Cambria Math"/>
            <w:sz w:val="20"/>
          </w:rPr>
          <m:t>s</m:t>
        </m:r>
      </m:oMath>
      <w:r w:rsidRPr="007F536A">
        <w:rPr>
          <w:rFonts w:ascii="Book Antiqua" w:hAnsi="Book Antiqua"/>
          <w:sz w:val="20"/>
        </w:rPr>
        <w:t xml:space="preserve">. A </w:t>
      </w:r>
      <m:oMath>
        <m:r>
          <w:rPr>
            <w:rFonts w:ascii="Cambria Math" w:hAnsi="Book Antiqua"/>
            <w:sz w:val="20"/>
          </w:rPr>
          <m:t xml:space="preserve">1/20 </m:t>
        </m:r>
      </m:oMath>
      <w:r w:rsidRPr="007F536A">
        <w:rPr>
          <w:rFonts w:ascii="Book Antiqua" w:hAnsi="Book Antiqua"/>
          <w:sz w:val="20"/>
        </w:rPr>
        <w:t xml:space="preserve">second oscillator was used to subdivide the one second intervals of the observatory clock. Times were estimated to 0.001 second were claimed. The main difficulty in observation was the determination of the exact moment of total eclipse of the returned flash as the background is always slightly luminous. The speed of the wheel corresponding to the disappearance of the beam was noted, as was the speed for its re-appearance and a mathematical averaging procedure was adopted [74]. </w:t>
      </w: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3"/>
        </w:numPr>
        <w:jc w:val="both"/>
        <w:rPr>
          <w:rFonts w:ascii="Book Antiqua" w:hAnsi="Book Antiqua"/>
          <w:i/>
          <w:sz w:val="20"/>
        </w:rPr>
      </w:pPr>
      <w:bookmarkStart w:id="63" w:name="CR"/>
      <w:bookmarkEnd w:id="63"/>
      <w:r w:rsidRPr="007F536A">
        <w:rPr>
          <w:rFonts w:ascii="Book Antiqua" w:hAnsi="Book Antiqua"/>
          <w:i/>
          <w:sz w:val="20"/>
        </w:rPr>
        <w:t>Cornu’s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his initial report of December 1874, Cornu announced that his preliminary reductions of the data resulted in a value for </w:t>
      </w:r>
      <m:oMath>
        <m:r>
          <w:rPr>
            <w:rFonts w:ascii="Cambria Math" w:hAnsi="Cambria Math"/>
            <w:sz w:val="20"/>
          </w:rPr>
          <m:t>c</m:t>
        </m:r>
      </m:oMath>
      <w:r w:rsidRPr="007F536A">
        <w:rPr>
          <w:rFonts w:ascii="Book Antiqua" w:hAnsi="Book Antiqua"/>
          <w:sz w:val="20"/>
        </w:rPr>
        <w:t xml:space="preserve"> of </w:t>
      </w:r>
      <m:oMath>
        <m:r>
          <w:rPr>
            <w:rFonts w:ascii="Cambria Math" w:hAnsi="Book Antiqua"/>
            <w:sz w:val="20"/>
          </w:rPr>
          <m:t xml:space="preserve">300,330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[75]. Multiplied by a refractive index for air of 1.0003 gave the vacuum velocity of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After final reductions of the data gave a result of </w:t>
      </w:r>
      <m:oMath>
        <m:r>
          <w:rPr>
            <w:rFonts w:ascii="Cambria Math" w:hAnsi="Book Antiqua"/>
            <w:sz w:val="20"/>
          </w:rPr>
          <m:t xml:space="preserve">300,170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air, Cornu felt obliged to apply a correction for possible vibrations of the wheel which resulted in a value of </w:t>
      </w:r>
      <m:oMath>
        <m:r>
          <w:rPr>
            <w:rFonts w:ascii="Cambria Math" w:hAnsi="Book Antiqua"/>
            <w:sz w:val="20"/>
          </w:rPr>
          <m:t xml:space="preserve">300,350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[76]. The addition of the </w:t>
      </w:r>
      <m:oMath>
        <m:r>
          <w:rPr>
            <w:rFonts w:ascii="Cambria Math" w:hAnsi="Book Antiqua"/>
            <w:sz w:val="20"/>
          </w:rPr>
          <m:t xml:space="preserve">82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oMath>
      <w:r w:rsidRPr="007F536A">
        <w:rPr>
          <w:rFonts w:ascii="Book Antiqua" w:hAnsi="Book Antiqua"/>
          <w:sz w:val="20"/>
        </w:rPr>
        <w:t xml:space="preserve">to bring the value to that of a vacuum gave his final result again as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to four figures. In all, he claimed to make 630 measurements of </w:t>
      </w:r>
      <m:oMath>
        <m:r>
          <w:rPr>
            <w:rFonts w:ascii="Cambria Math" w:hAnsi="Cambria Math"/>
            <w:sz w:val="20"/>
          </w:rPr>
          <m:t>c</m:t>
        </m:r>
      </m:oMath>
      <w:r w:rsidRPr="007F536A">
        <w:rPr>
          <w:rFonts w:ascii="Book Antiqua" w:hAnsi="Book Antiqua"/>
          <w:sz w:val="20"/>
        </w:rPr>
        <w:t xml:space="preserve"> for this toothed wheel determination. However, he records 624 sets of observations, of which he appears to have used 546 in the reduction process [77].</w:t>
      </w:r>
    </w:p>
    <w:p w:rsidR="00821A88" w:rsidRPr="007F536A" w:rsidRDefault="00821A88" w:rsidP="00821A88">
      <w:pPr>
        <w:pStyle w:val="NoSpacing"/>
        <w:ind w:firstLine="720"/>
        <w:jc w:val="both"/>
        <w:rPr>
          <w:rFonts w:ascii="Book Antiqua" w:hAnsi="Book Antiqua"/>
          <w:sz w:val="20"/>
        </w:rPr>
      </w:pPr>
    </w:p>
    <w:p w:rsidR="00BB0F8E" w:rsidRDefault="00821A88" w:rsidP="00821A88">
      <w:pPr>
        <w:pStyle w:val="NoSpacing"/>
        <w:ind w:firstLine="720"/>
        <w:jc w:val="both"/>
        <w:rPr>
          <w:rFonts w:ascii="Book Antiqua" w:hAnsi="Book Antiqua"/>
          <w:sz w:val="20"/>
        </w:rPr>
      </w:pPr>
      <w:r w:rsidRPr="007F536A">
        <w:rPr>
          <w:rFonts w:ascii="Book Antiqua" w:hAnsi="Book Antiqua"/>
          <w:sz w:val="20"/>
        </w:rPr>
        <w:t xml:space="preserve">Following the publication of the initial report, Helmert noticed that, for low speeds of the wheel, the </w:t>
      </w:r>
      <m:oMath>
        <m:r>
          <w:rPr>
            <w:rFonts w:ascii="Cambria Math" w:hAnsi="Cambria Math"/>
            <w:sz w:val="20"/>
          </w:rPr>
          <m:t>c</m:t>
        </m:r>
      </m:oMath>
      <w:r w:rsidRPr="007F536A">
        <w:rPr>
          <w:rFonts w:ascii="Book Antiqua" w:hAnsi="Book Antiqua"/>
          <w:sz w:val="20"/>
        </w:rPr>
        <w:t xml:space="preserve"> values were higher than the mean value, while for high wheel speeds, the values were lower than the mean [78]. This suggested that a systematic error was affecting the result so that</w:t>
      </w:r>
      <w:r w:rsidRPr="007F536A">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c</m:t>
            </m:r>
            <m:r>
              <w:rPr>
                <w:rFonts w:ascii="Cambria Math" w:hAnsi="Book Antiqua"/>
                <w:sz w:val="20"/>
              </w:rPr>
              <m:t xml:space="preserve"> </m:t>
            </m:r>
          </m:e>
          <m:sup>
            <m:r>
              <w:rPr>
                <w:rFonts w:ascii="Book Antiqua" w:hAnsi="Cambria Math"/>
                <w:sz w:val="20"/>
              </w:rPr>
              <m:t>*</m:t>
            </m:r>
          </m:sup>
        </m:sSup>
        <m:r>
          <w:rPr>
            <w:rFonts w:ascii="Cambria Math" w:hAnsi="Book Antiqua"/>
            <w:sz w:val="20"/>
          </w:rPr>
          <m:t xml:space="preserve">= </m:t>
        </m:r>
        <m:r>
          <w:rPr>
            <w:rFonts w:ascii="Cambria Math" w:hAnsi="Cambria Math"/>
            <w:sz w:val="20"/>
          </w:rPr>
          <m:t>c</m:t>
        </m:r>
        <m:r>
          <w:rPr>
            <w:rFonts w:ascii="Cambria Math" w:hAnsi="Book Antiqua"/>
            <w:sz w:val="20"/>
          </w:rPr>
          <m:t xml:space="preserve"> (</m:t>
        </m:r>
        <m:r>
          <w:rPr>
            <w:rFonts w:ascii="Cambria Math" w:hAnsi="Cambria Math"/>
            <w:sz w:val="20"/>
          </w:rPr>
          <m:t>H</m:t>
        </m:r>
        <m:r>
          <w:rPr>
            <w:rFonts w:ascii="Cambria Math" w:hAnsi="Book Antiqua"/>
            <w:sz w:val="20"/>
          </w:rPr>
          <m:t>/</m:t>
        </m:r>
        <m:r>
          <w:rPr>
            <w:rFonts w:ascii="Cambria Math" w:hAnsi="Cambria Math"/>
            <w:sz w:val="20"/>
          </w:rPr>
          <m:t>q</m:t>
        </m:r>
        <m:r>
          <w:rPr>
            <w:rFonts w:ascii="Cambria Math" w:hAnsi="Book Antiqua"/>
            <w:sz w:val="20"/>
          </w:rPr>
          <m:t>)</m:t>
        </m:r>
      </m:oMath>
      <w:r w:rsidRPr="007F536A">
        <w:rPr>
          <w:rFonts w:ascii="Book Antiqua" w:hAnsi="Book Antiqua"/>
          <w:sz w:val="20"/>
        </w:rPr>
        <w:t xml:space="preserve"> where </w:t>
      </w:r>
      <m:oMath>
        <m:sSup>
          <m:sSupPr>
            <m:ctrlPr>
              <w:rPr>
                <w:rFonts w:ascii="Cambria Math" w:hAnsi="Book Antiqua"/>
                <w:i/>
                <w:sz w:val="20"/>
              </w:rPr>
            </m:ctrlPr>
          </m:sSupPr>
          <m:e>
            <m:r>
              <w:rPr>
                <w:rFonts w:ascii="Cambria Math" w:hAnsi="Cambria Math"/>
                <w:sz w:val="20"/>
              </w:rPr>
              <m:t>c</m:t>
            </m:r>
          </m:e>
          <m:sup>
            <m:r>
              <w:rPr>
                <w:rFonts w:ascii="Book Antiqua" w:hAnsi="Cambria Math"/>
                <w:sz w:val="20"/>
              </w:rPr>
              <m:t>*</m:t>
            </m:r>
          </m:sup>
        </m:sSup>
      </m:oMath>
      <w:r w:rsidRPr="007F536A">
        <w:rPr>
          <w:rFonts w:ascii="Book Antiqua" w:hAnsi="Book Antiqua"/>
          <w:sz w:val="20"/>
        </w:rPr>
        <w:t xml:space="preserve"> was the reported value of </w:t>
      </w:r>
      <m:oMath>
        <m:r>
          <w:rPr>
            <w:rFonts w:ascii="Cambria Math" w:hAnsi="Cambria Math"/>
            <w:sz w:val="20"/>
          </w:rPr>
          <m:t>c</m:t>
        </m:r>
      </m:oMath>
      <w:r w:rsidRPr="007F536A">
        <w:rPr>
          <w:rFonts w:ascii="Book Antiqua" w:hAnsi="Book Antiqua"/>
          <w:sz w:val="20"/>
        </w:rPr>
        <w:t xml:space="preserve">, and </w:t>
      </w:r>
      <m:oMath>
        <m:r>
          <w:rPr>
            <w:rFonts w:ascii="Cambria Math" w:hAnsi="Cambria Math"/>
            <w:sz w:val="20"/>
          </w:rPr>
          <m:t>H</m:t>
        </m:r>
        <m:r>
          <w:rPr>
            <w:rFonts w:ascii="Cambria Math" w:hAnsi="Book Antiqua"/>
            <w:sz w:val="20"/>
          </w:rPr>
          <m:t xml:space="preserve"> = 7.1</m:t>
        </m:r>
      </m:oMath>
      <w:r w:rsidRPr="007F536A">
        <w:rPr>
          <w:rFonts w:ascii="Book Antiqua" w:hAnsi="Book Antiqua"/>
          <w:sz w:val="20"/>
        </w:rPr>
        <w:t xml:space="preserve">. The </w:t>
      </w:r>
      <m:oMath>
        <m:r>
          <w:rPr>
            <w:rFonts w:ascii="Cambria Math" w:hAnsi="Cambria Math"/>
            <w:sz w:val="20"/>
          </w:rPr>
          <m:t>q</m:t>
        </m:r>
      </m:oMath>
      <w:r w:rsidRPr="007F536A">
        <w:rPr>
          <w:rFonts w:ascii="Book Antiqua" w:hAnsi="Book Antiqua"/>
          <w:sz w:val="20"/>
        </w:rPr>
        <w:t xml:space="preserve"> term was the order of the eclipse so that for higher rotation speeds </w:t>
      </w:r>
      <m:oMath>
        <m:r>
          <w:rPr>
            <w:rFonts w:ascii="Cambria Math" w:hAnsi="Cambria Math"/>
            <w:sz w:val="20"/>
          </w:rPr>
          <m:t>q</m:t>
        </m:r>
      </m:oMath>
      <w:r w:rsidRPr="007F536A">
        <w:rPr>
          <w:rFonts w:ascii="Book Antiqua" w:hAnsi="Book Antiqua"/>
          <w:sz w:val="20"/>
        </w:rPr>
        <w:t xml:space="preserve"> was also higher. Dorsey derived a similar function [79]. </w:t>
      </w:r>
    </w:p>
    <w:p w:rsidR="00BB0F8E" w:rsidRDefault="00BB0F8E"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Helmert’s correction was generally discussed, verified, and accepted, even as late as 1900, despite Cornu’s protestations at the treatment [80]. The Cornu-Helmert value was </w:t>
      </w:r>
      <m:oMath>
        <m:r>
          <w:rPr>
            <w:rFonts w:ascii="Cambria Math" w:hAnsi="Book Antiqua"/>
            <w:sz w:val="20"/>
          </w:rPr>
          <m:t xml:space="preserve">299,990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Dorsey, after considerable analysis, decided that </w:t>
      </w:r>
      <w:r w:rsidRPr="007F536A">
        <w:rPr>
          <w:rFonts w:ascii="Book Antiqua" w:hAnsi="Book Antiqua"/>
          <w:i/>
          <w:sz w:val="20"/>
        </w:rPr>
        <w:t>“The best value one can derive from the observations seems, from these data, to be 299.8 megametres/sec. in air with a possible range of ± 0.2”.</w:t>
      </w:r>
      <w:r w:rsidRPr="007F536A">
        <w:rPr>
          <w:rFonts w:ascii="Book Antiqua" w:hAnsi="Book Antiqua"/>
          <w:sz w:val="20"/>
        </w:rPr>
        <w:t xml:space="preserve"> [81] After applying a refractive index correction, the final Cornu-Dorsey vacuum</w:t>
      </w:r>
      <w:r w:rsidRPr="007F536A">
        <w:rPr>
          <w:rFonts w:ascii="Book Antiqua" w:hAnsi="Book Antiqua"/>
          <w:i/>
          <w:sz w:val="20"/>
        </w:rPr>
        <w:t xml:space="preserve"> c</w:t>
      </w:r>
      <w:r w:rsidRPr="007F536A">
        <w:rPr>
          <w:rFonts w:ascii="Book Antiqua" w:hAnsi="Book Antiqua"/>
          <w:sz w:val="20"/>
        </w:rPr>
        <w:t xml:space="preserve"> value was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mean dates for Cornu’s experiments were 1872.0 for his preliminary work at the Ecole Polytechnique, and 1874.8 for those at the Paris Observatory. It should be noted that Newcomb gives incorrect dates for these determinations and also attributes the value of 299,900 to a re-discussion of Cornu’s results by Listing</w:t>
      </w:r>
      <w:bookmarkStart w:id="64" w:name="21"/>
      <w:bookmarkEnd w:id="64"/>
      <w:r w:rsidRPr="007F536A">
        <w:rPr>
          <w:rFonts w:ascii="Book Antiqua" w:hAnsi="Book Antiqua"/>
          <w:sz w:val="20"/>
        </w:rPr>
        <w:t xml:space="preserve"> [8</w:t>
      </w:r>
      <w:hyperlink r:id="rId102" w:anchor="a21" w:history="1">
        <w:r w:rsidRPr="007F536A">
          <w:rPr>
            <w:rFonts w:ascii="Book Antiqua" w:hAnsi="Book Antiqua"/>
            <w:sz w:val="20"/>
          </w:rPr>
          <w:t>2</w:t>
        </w:r>
      </w:hyperlink>
      <w:r w:rsidRPr="007F536A">
        <w:rPr>
          <w:rFonts w:ascii="Book Antiqua" w:hAnsi="Book Antiqua"/>
          <w:sz w:val="20"/>
        </w:rPr>
        <w:t>]. Though Listing had just published a paper (Astron. Nachr., Vol. 93, p. 369, 1878) on solar parallax, Cornu’s results were accepted without discussion. This misinformation was transmitted by Michelson in his Tables</w:t>
      </w:r>
      <w:bookmarkStart w:id="65" w:name="22"/>
      <w:bookmarkEnd w:id="65"/>
      <w:r w:rsidRPr="007F536A">
        <w:rPr>
          <w:rFonts w:ascii="Book Antiqua" w:hAnsi="Book Antiqua"/>
          <w:sz w:val="20"/>
        </w:rPr>
        <w:t xml:space="preserve"> [83] and by Preston (‘The Theory of Light’, p. 511, 1901). Michelson furthermore quotes the value as Listing’s even when referencing a work that correctly attributes it to Helmert [84]. (Phil. Mag., 6th series, Vol. 3, 1902, p. 334). Later Michelson gave the result as </w:t>
      </w:r>
      <m:oMath>
        <m:r>
          <w:rPr>
            <w:rFonts w:ascii="Cambria Math" w:hAnsi="Book Antiqua"/>
            <w:sz w:val="20"/>
          </w:rPr>
          <m:t xml:space="preserve">299,950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different from Cornu, Helmert or Listing, leaving the origin of this figure lost in obscurity</w:t>
      </w:r>
      <w:bookmarkStart w:id="66" w:name="23"/>
      <w:bookmarkEnd w:id="66"/>
      <w:r w:rsidRPr="007F536A">
        <w:rPr>
          <w:rFonts w:ascii="Book Antiqua" w:hAnsi="Book Antiqua"/>
          <w:sz w:val="20"/>
        </w:rPr>
        <w:t xml:space="preserve"> [85].</w:t>
      </w:r>
    </w:p>
    <w:p w:rsidR="00821A88" w:rsidRDefault="00821A88" w:rsidP="00821A88">
      <w:pPr>
        <w:pStyle w:val="NoSpacing"/>
        <w:ind w:firstLine="720"/>
        <w:jc w:val="both"/>
        <w:rPr>
          <w:rFonts w:ascii="Book Antiqua" w:hAnsi="Book Antiqua"/>
          <w:sz w:val="20"/>
        </w:rPr>
      </w:pPr>
    </w:p>
    <w:p w:rsidR="00941FB9" w:rsidRDefault="00941FB9" w:rsidP="00821A88">
      <w:pPr>
        <w:pStyle w:val="NoSpacing"/>
        <w:ind w:firstLine="720"/>
        <w:jc w:val="both"/>
        <w:rPr>
          <w:rFonts w:ascii="Book Antiqua" w:hAnsi="Book Antiqua"/>
          <w:sz w:val="20"/>
        </w:rPr>
      </w:pPr>
    </w:p>
    <w:p w:rsidR="007A2282" w:rsidRDefault="007A2282" w:rsidP="00821A88">
      <w:pPr>
        <w:pStyle w:val="NoSpacing"/>
        <w:ind w:firstLine="720"/>
        <w:jc w:val="both"/>
        <w:rPr>
          <w:rFonts w:ascii="Book Antiqua" w:hAnsi="Book Antiqua"/>
          <w:sz w:val="20"/>
        </w:rPr>
      </w:pPr>
    </w:p>
    <w:p w:rsidR="00821A88" w:rsidRPr="007254EC" w:rsidRDefault="00821A88" w:rsidP="00821A88">
      <w:pPr>
        <w:pStyle w:val="NoSpacing"/>
        <w:numPr>
          <w:ilvl w:val="1"/>
          <w:numId w:val="23"/>
        </w:numPr>
        <w:jc w:val="both"/>
        <w:rPr>
          <w:rFonts w:ascii="Book Antiqua" w:hAnsi="Book Antiqua"/>
          <w:i/>
          <w:sz w:val="20"/>
        </w:rPr>
      </w:pPr>
      <w:bookmarkStart w:id="67" w:name="Young"/>
      <w:bookmarkEnd w:id="67"/>
      <w:r w:rsidRPr="007254EC">
        <w:rPr>
          <w:rFonts w:ascii="Book Antiqua" w:hAnsi="Book Antiqua"/>
          <w:i/>
          <w:sz w:val="20"/>
        </w:rPr>
        <w:lastRenderedPageBreak/>
        <w:t>The Young/Forbes Result</w:t>
      </w:r>
    </w:p>
    <w:p w:rsidR="00835E53" w:rsidRDefault="00835E53" w:rsidP="00835E53">
      <w:pPr>
        <w:pStyle w:val="NoSpacing"/>
        <w:jc w:val="both"/>
        <w:rPr>
          <w:rFonts w:ascii="Book Antiqua" w:hAnsi="Book Antiqua"/>
          <w:i/>
          <w:sz w:val="20"/>
        </w:rPr>
      </w:pPr>
    </w:p>
    <w:p w:rsidR="00835E53" w:rsidRPr="007F536A" w:rsidRDefault="00835E53" w:rsidP="00835E53">
      <w:pPr>
        <w:pStyle w:val="NoSpacing"/>
        <w:jc w:val="both"/>
        <w:rPr>
          <w:rFonts w:ascii="Book Antiqua" w:hAnsi="Book Antiqua"/>
          <w:i/>
          <w:sz w:val="20"/>
        </w:rPr>
      </w:pPr>
    </w:p>
    <w:tbl>
      <w:tblPr>
        <w:tblStyle w:val="TableGrid"/>
        <w:tblW w:w="0" w:type="auto"/>
        <w:jc w:val="center"/>
        <w:tblLook w:val="04A0"/>
      </w:tblPr>
      <w:tblGrid>
        <w:gridCol w:w="3486"/>
        <w:gridCol w:w="3096"/>
      </w:tblGrid>
      <w:tr w:rsidR="00821A88" w:rsidRPr="007F536A" w:rsidTr="00363E70">
        <w:trPr>
          <w:jc w:val="center"/>
        </w:trPr>
        <w:tc>
          <w:tcPr>
            <w:tcW w:w="3486" w:type="dxa"/>
          </w:tcPr>
          <w:p w:rsidR="00821A88" w:rsidRPr="007F536A" w:rsidRDefault="00821A88" w:rsidP="00400B4E">
            <w:pPr>
              <w:pStyle w:val="NoSpacing"/>
              <w:jc w:val="center"/>
              <w:rPr>
                <w:rFonts w:ascii="Book Antiqua" w:hAnsi="Book Antiqua"/>
                <w:b/>
                <w:sz w:val="20"/>
              </w:rPr>
            </w:pPr>
            <w:r w:rsidRPr="007F536A">
              <w:rPr>
                <w:rFonts w:ascii="Book Antiqua" w:hAnsi="Book Antiqua"/>
                <w:b/>
                <w:noProof/>
                <w:sz w:val="20"/>
              </w:rPr>
              <w:drawing>
                <wp:inline distT="0" distB="0" distL="0" distR="0">
                  <wp:extent cx="2057400" cy="1914526"/>
                  <wp:effectExtent l="19050" t="0" r="0" b="0"/>
                  <wp:docPr id="95" name="Picture 5" descr="http://upload.wikimedia.org/wikipedia/commons/thumb/8/8d/Young_James_chemist.jpg/220px-Young_James_chemist.jpg"/>
                  <wp:cNvGraphicFramePr/>
                  <a:graphic xmlns:a="http://schemas.openxmlformats.org/drawingml/2006/main">
                    <a:graphicData uri="http://schemas.openxmlformats.org/drawingml/2006/picture">
                      <pic:pic xmlns:pic="http://schemas.openxmlformats.org/drawingml/2006/picture">
                        <pic:nvPicPr>
                          <pic:cNvPr id="4" name="Picture 3" descr="http://upload.wikimedia.org/wikipedia/commons/thumb/8/8d/Young_James_chemist.jpg/220px-Young_James_chemist.jpg"/>
                          <pic:cNvPicPr/>
                        </pic:nvPicPr>
                        <pic:blipFill>
                          <a:blip r:embed="rId103" cstate="print"/>
                          <a:srcRect l="15455" t="9498" r="9675" b="45911"/>
                          <a:stretch>
                            <a:fillRect/>
                          </a:stretch>
                        </pic:blipFill>
                        <pic:spPr bwMode="auto">
                          <a:xfrm>
                            <a:off x="0" y="0"/>
                            <a:ext cx="2057400" cy="1914526"/>
                          </a:xfrm>
                          <a:prstGeom prst="rect">
                            <a:avLst/>
                          </a:prstGeom>
                          <a:noFill/>
                          <a:ln w="9525">
                            <a:noFill/>
                            <a:miter lim="800000"/>
                            <a:headEnd/>
                            <a:tailEnd/>
                          </a:ln>
                        </pic:spPr>
                      </pic:pic>
                    </a:graphicData>
                  </a:graphic>
                </wp:inline>
              </w:drawing>
            </w:r>
          </w:p>
        </w:tc>
        <w:tc>
          <w:tcPr>
            <w:tcW w:w="3077" w:type="dxa"/>
          </w:tcPr>
          <w:p w:rsidR="00821A88" w:rsidRPr="007F536A" w:rsidRDefault="00821A88" w:rsidP="00400B4E">
            <w:pPr>
              <w:pStyle w:val="NoSpacing"/>
              <w:jc w:val="center"/>
              <w:rPr>
                <w:rFonts w:ascii="Book Antiqua" w:hAnsi="Book Antiqua"/>
                <w:b/>
                <w:sz w:val="20"/>
              </w:rPr>
            </w:pPr>
            <w:r w:rsidRPr="007F536A">
              <w:rPr>
                <w:rFonts w:ascii="Book Antiqua" w:hAnsi="Book Antiqua"/>
                <w:noProof/>
                <w:sz w:val="20"/>
              </w:rPr>
              <w:drawing>
                <wp:inline distT="0" distB="0" distL="0" distR="0">
                  <wp:extent cx="1803204" cy="1847850"/>
                  <wp:effectExtent l="19050" t="0" r="6546" b="0"/>
                  <wp:docPr id="3" name="Picture 290" descr="Keywords: Anderson's University, astronomers, astronomy, electrical engineering, London Underground, natural philosophy, Niagara Falls, physics, Pluto, power transmission, professors, scientists, speed of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Keywords: Anderson's University, astronomers, astronomy, electrical engineering, London Underground, natural philosophy, Niagara Falls, physics, Pluto, power transmission, professors, scientists, speed of light"/>
                          <pic:cNvPicPr>
                            <a:picLocks noChangeAspect="1" noChangeArrowheads="1"/>
                          </pic:cNvPicPr>
                        </pic:nvPicPr>
                        <pic:blipFill>
                          <a:blip r:embed="rId104" cstate="print">
                            <a:lum contrast="10000"/>
                          </a:blip>
                          <a:srcRect l="11915" t="8976" r="4135" b="33079"/>
                          <a:stretch>
                            <a:fillRect/>
                          </a:stretch>
                        </pic:blipFill>
                        <pic:spPr bwMode="auto">
                          <a:xfrm>
                            <a:off x="0" y="0"/>
                            <a:ext cx="1803204" cy="184785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b/>
          <w:sz w:val="20"/>
        </w:rPr>
      </w:pPr>
    </w:p>
    <w:p w:rsidR="00821A88" w:rsidRPr="00B65E31" w:rsidRDefault="00821A88" w:rsidP="00363E70">
      <w:pPr>
        <w:pStyle w:val="NoSpacing"/>
        <w:jc w:val="center"/>
        <w:rPr>
          <w:rFonts w:ascii="Book Antiqua" w:hAnsi="Book Antiqua"/>
          <w:i/>
          <w:sz w:val="18"/>
          <w:szCs w:val="18"/>
        </w:rPr>
      </w:pPr>
      <w:r w:rsidRPr="00B65E31">
        <w:rPr>
          <w:rFonts w:ascii="Book Antiqua" w:hAnsi="Book Antiqua"/>
          <w:b/>
          <w:i/>
          <w:sz w:val="18"/>
          <w:szCs w:val="18"/>
        </w:rPr>
        <w:t>Fig</w:t>
      </w:r>
      <w:r w:rsidR="00B65E31">
        <w:rPr>
          <w:rFonts w:ascii="Book Antiqua" w:hAnsi="Book Antiqua"/>
          <w:b/>
          <w:i/>
          <w:sz w:val="18"/>
          <w:szCs w:val="18"/>
        </w:rPr>
        <w:t xml:space="preserve">ure </w:t>
      </w:r>
      <w:r w:rsidRPr="00B65E31">
        <w:rPr>
          <w:rFonts w:ascii="Book Antiqua" w:hAnsi="Book Antiqua"/>
          <w:b/>
          <w:i/>
          <w:sz w:val="18"/>
          <w:szCs w:val="18"/>
        </w:rPr>
        <w:t xml:space="preserve"> 17: Left -</w:t>
      </w:r>
      <w:r w:rsidRPr="00B65E31">
        <w:rPr>
          <w:rFonts w:ascii="Book Antiqua" w:hAnsi="Book Antiqua"/>
          <w:i/>
          <w:sz w:val="18"/>
          <w:szCs w:val="18"/>
        </w:rPr>
        <w:t xml:space="preserve"> James Young 1811-1883. </w:t>
      </w:r>
      <w:r w:rsidRPr="00B65E31">
        <w:rPr>
          <w:rFonts w:ascii="Book Antiqua" w:hAnsi="Book Antiqua"/>
          <w:b/>
          <w:i/>
          <w:sz w:val="18"/>
          <w:szCs w:val="18"/>
        </w:rPr>
        <w:t>Right –</w:t>
      </w:r>
      <w:r w:rsidRPr="00B65E31">
        <w:rPr>
          <w:rFonts w:ascii="Book Antiqua" w:hAnsi="Book Antiqua"/>
          <w:i/>
          <w:sz w:val="18"/>
          <w:szCs w:val="18"/>
        </w:rPr>
        <w:t xml:space="preserve"> George Forbes 1849-1936.</w:t>
      </w:r>
    </w:p>
    <w:p w:rsidR="00D80849" w:rsidRDefault="00D80849" w:rsidP="00821A88">
      <w:pPr>
        <w:pStyle w:val="NoSpacing"/>
        <w:jc w:val="both"/>
        <w:rPr>
          <w:rFonts w:ascii="Book Antiqua" w:hAnsi="Book Antiqua"/>
          <w:sz w:val="20"/>
        </w:rPr>
      </w:pPr>
    </w:p>
    <w:p w:rsidR="007254EC" w:rsidRPr="007F536A" w:rsidRDefault="007254EC" w:rsidP="007254EC">
      <w:pPr>
        <w:pStyle w:val="NoSpacing"/>
        <w:ind w:firstLine="720"/>
        <w:jc w:val="both"/>
        <w:rPr>
          <w:rFonts w:ascii="Book Antiqua" w:hAnsi="Book Antiqua"/>
          <w:sz w:val="20"/>
        </w:rPr>
      </w:pPr>
      <w:r w:rsidRPr="007F536A">
        <w:rPr>
          <w:rFonts w:ascii="Book Antiqua" w:hAnsi="Book Antiqua"/>
          <w:sz w:val="20"/>
        </w:rPr>
        <w:t xml:space="preserve">One of the main problems facing the toothed wheel method was the estimation of the exact moment of eclipse of the light beam. Cornu overcame the problem by making pairs of observations on either side of the exact eclipse position and further pairing with reversed wheel rotation. James Young and George Forbes in Scotland in 1880 used a different technique. From an observing station at Wemyss Bay, light was sent across the Firth of Clyde to two distant reflectors, instead of the normal one, in the hills behind Inellan. The reflectors were in the same line but the nearer one was 16,835.0 feet (about 3.2 miles) from the observation post, and the other was at 18,212.2 feet distance (about 3.44 miles). The two </w:t>
      </w:r>
    </w:p>
    <w:p w:rsidR="00835E53" w:rsidRPr="007F536A" w:rsidRDefault="00835E53" w:rsidP="00835E53">
      <w:pPr>
        <w:pStyle w:val="NoSpacing"/>
        <w:jc w:val="both"/>
        <w:rPr>
          <w:rFonts w:ascii="Book Antiqua" w:hAnsi="Book Antiqua"/>
          <w:sz w:val="20"/>
        </w:rPr>
      </w:pPr>
      <w:r w:rsidRPr="007F536A">
        <w:rPr>
          <w:rFonts w:ascii="Book Antiqua" w:hAnsi="Book Antiqua"/>
          <w:sz w:val="20"/>
        </w:rPr>
        <w:t>images so formed were observed simultaneously. The position of the eclipses or the maximum was not needed. The speed of the cogwheel was measured instead at the time when both images appeared to be of equal intensity.</w:t>
      </w:r>
    </w:p>
    <w:p w:rsidR="00835E53" w:rsidRPr="007F536A" w:rsidRDefault="00835E53"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advantage of this method is that the eye is extremely sensitive to slight differences in the intensity of adjacent images. The extreme disadvantage of their arrangement consisted of the short base-line. Even taking the most distant reflector, the base was only 5551.07  meters long (about 3.5 miles). This was by far the shortest for this type of experiment being not quite two-thirds of Fizeau’s base-length. The problems of the short base asserted themselves, as did other experimental features that were not conducive to obtaining good results. Young and Forbes attributed the spread of results to </w:t>
      </w:r>
      <m:oMath>
        <m:r>
          <w:rPr>
            <w:rFonts w:ascii="Cambria Math" w:hAnsi="Cambria Math"/>
            <w:sz w:val="20"/>
          </w:rPr>
          <m:t>c</m:t>
        </m:r>
      </m:oMath>
      <w:r w:rsidRPr="007F536A">
        <w:rPr>
          <w:rFonts w:ascii="Book Antiqua" w:hAnsi="Book Antiqua"/>
          <w:sz w:val="20"/>
        </w:rPr>
        <w:t xml:space="preserve"> varying with wavelength [90]. Consequently, this determination was severely criticized by both Newcomb</w:t>
      </w:r>
      <w:bookmarkStart w:id="68" w:name="24"/>
      <w:bookmarkEnd w:id="68"/>
      <w:r w:rsidRPr="007F536A">
        <w:rPr>
          <w:rFonts w:ascii="Book Antiqua" w:hAnsi="Book Antiqua"/>
          <w:sz w:val="20"/>
        </w:rPr>
        <w:t xml:space="preserve"> [86] and Cornu</w:t>
      </w:r>
      <w:bookmarkStart w:id="69" w:name="25"/>
      <w:bookmarkEnd w:id="69"/>
      <w:r w:rsidRPr="007F536A">
        <w:rPr>
          <w:rFonts w:ascii="Book Antiqua" w:hAnsi="Book Antiqua"/>
          <w:sz w:val="20"/>
        </w:rPr>
        <w:t xml:space="preserve"> [87]. It is omitted in the definitive list of best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determinations treated by Birge</w:t>
      </w:r>
      <w:bookmarkStart w:id="70" w:name="26"/>
      <w:bookmarkEnd w:id="70"/>
      <w:r w:rsidRPr="007F536A">
        <w:rPr>
          <w:rFonts w:ascii="Book Antiqua" w:hAnsi="Book Antiqua"/>
          <w:sz w:val="20"/>
        </w:rPr>
        <w:t xml:space="preserve"> [88]. Dorsey comments, </w:t>
      </w:r>
      <w:r w:rsidRPr="007F536A">
        <w:rPr>
          <w:rFonts w:ascii="Book Antiqua" w:hAnsi="Book Antiqua"/>
          <w:i/>
          <w:sz w:val="20"/>
        </w:rPr>
        <w:t>“it is generally admitted that their work is seriously in error, and is reported unsatisfactorily.”</w:t>
      </w:r>
      <w:bookmarkStart w:id="71" w:name="27"/>
      <w:bookmarkEnd w:id="71"/>
      <w:r w:rsidRPr="007F536A">
        <w:rPr>
          <w:rFonts w:ascii="Book Antiqua" w:hAnsi="Book Antiqua"/>
          <w:sz w:val="20"/>
        </w:rPr>
        <w:t xml:space="preserve">[89] This Young/Forbes result was given as </w:t>
      </w:r>
      <m:oMath>
        <m:r>
          <w:rPr>
            <w:rFonts w:ascii="Cambria Math" w:hAnsi="Book Antiqua"/>
            <w:sz w:val="20"/>
          </w:rPr>
          <m:t xml:space="preserve">301,382 </m:t>
        </m:r>
        <m:r>
          <w:rPr>
            <w:rFonts w:ascii="Cambria Math" w:hAnsi="Cambria Math"/>
            <w:sz w:val="20"/>
          </w:rPr>
          <m:t>km</m:t>
        </m:r>
        <m:r>
          <w:rPr>
            <w:rFonts w:ascii="Cambria Math" w:hAnsi="Book Antiqua"/>
            <w:sz w:val="20"/>
          </w:rPr>
          <m:t>/</m:t>
        </m:r>
        <m:r>
          <w:rPr>
            <w:rFonts w:ascii="Cambria Math" w:hAnsi="Cambria Math"/>
            <w:sz w:val="20"/>
          </w:rPr>
          <m:t>s</m:t>
        </m:r>
      </m:oMath>
      <w:bookmarkStart w:id="72" w:name="28"/>
      <w:bookmarkEnd w:id="72"/>
      <w:r w:rsidRPr="007F536A">
        <w:rPr>
          <w:rFonts w:ascii="Book Antiqua" w:hAnsi="Book Antiqua"/>
          <w:sz w:val="20"/>
        </w:rPr>
        <w:t xml:space="preserve"> [90] </w:t>
      </w:r>
      <w:r w:rsidRPr="007F536A">
        <w:rPr>
          <w:rFonts w:ascii="Book Antiqua" w:hAnsi="Book Antiqua"/>
          <w:i/>
          <w:sz w:val="20"/>
        </w:rPr>
        <w:t>“with an unwarranted accuracy but they give no probable error.”</w:t>
      </w:r>
      <w:bookmarkStart w:id="73" w:name="29"/>
      <w:bookmarkEnd w:id="73"/>
      <w:r w:rsidRPr="007F536A">
        <w:rPr>
          <w:rFonts w:ascii="Book Antiqua" w:hAnsi="Book Antiqua"/>
          <w:sz w:val="20"/>
        </w:rPr>
        <w:t xml:space="preserve"> [91]</w:t>
      </w:r>
      <w:r w:rsidRPr="007F536A">
        <w:rPr>
          <w:rFonts w:ascii="Book Antiqua" w:hAnsi="Book Antiqua"/>
          <w:color w:val="FF0000"/>
          <w:sz w:val="20"/>
        </w:rPr>
        <w:t xml:space="preserve"> </w:t>
      </w:r>
    </w:p>
    <w:p w:rsidR="00821A88" w:rsidRPr="007F536A" w:rsidRDefault="00821A88" w:rsidP="00821A88">
      <w:pPr>
        <w:pStyle w:val="NoSpacing"/>
        <w:jc w:val="both"/>
        <w:rPr>
          <w:rFonts w:ascii="Book Antiqua" w:hAnsi="Book Antiqua"/>
          <w:sz w:val="20"/>
        </w:rPr>
      </w:pPr>
      <w:bookmarkStart w:id="74" w:name="PP"/>
      <w:bookmarkEnd w:id="74"/>
    </w:p>
    <w:p w:rsidR="00821A88"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Perrotin’s Procedures and Results</w:t>
      </w:r>
    </w:p>
    <w:p w:rsidR="004532A2" w:rsidRDefault="004532A2" w:rsidP="004532A2">
      <w:pPr>
        <w:pStyle w:val="NoSpacing"/>
        <w:ind w:left="360"/>
        <w:jc w:val="both"/>
        <w:rPr>
          <w:rFonts w:ascii="Book Antiqua" w:hAnsi="Book Antiqua"/>
          <w:i/>
          <w:sz w:val="20"/>
        </w:rPr>
      </w:pPr>
    </w:p>
    <w:p w:rsidR="004532A2" w:rsidRDefault="004532A2" w:rsidP="004532A2">
      <w:pPr>
        <w:pStyle w:val="NoSpacing"/>
        <w:ind w:firstLine="720"/>
        <w:jc w:val="both"/>
        <w:rPr>
          <w:rFonts w:ascii="Book Antiqua" w:hAnsi="Book Antiqua"/>
          <w:sz w:val="20"/>
        </w:rPr>
      </w:pPr>
      <w:r w:rsidRPr="007F536A">
        <w:rPr>
          <w:rFonts w:ascii="Book Antiqua" w:hAnsi="Book Antiqua"/>
          <w:sz w:val="20"/>
        </w:rPr>
        <w:t>Henri Joseph Anastase Perrotin was born on 19 December</w:t>
      </w:r>
      <w:r>
        <w:rPr>
          <w:rFonts w:ascii="Book Antiqua" w:hAnsi="Book Antiqua"/>
          <w:sz w:val="20"/>
        </w:rPr>
        <w:t>,</w:t>
      </w:r>
      <w:r w:rsidRPr="007F536A">
        <w:rPr>
          <w:rFonts w:ascii="Book Antiqua" w:hAnsi="Book Antiqua"/>
          <w:sz w:val="20"/>
        </w:rPr>
        <w:t xml:space="preserve"> 1845</w:t>
      </w:r>
      <w:r>
        <w:rPr>
          <w:rFonts w:ascii="Book Antiqua" w:hAnsi="Book Antiqua"/>
          <w:sz w:val="20"/>
        </w:rPr>
        <w:t>,</w:t>
      </w:r>
      <w:r w:rsidRPr="007F536A">
        <w:rPr>
          <w:rFonts w:ascii="Book Antiqua" w:hAnsi="Book Antiqua"/>
          <w:sz w:val="20"/>
        </w:rPr>
        <w:t xml:space="preserve"> and was appointed as the Director of the Observatory at Nice in France in 1884. </w:t>
      </w:r>
      <w:r>
        <w:rPr>
          <w:rFonts w:ascii="Book Antiqua" w:hAnsi="Book Antiqua"/>
          <w:sz w:val="20"/>
        </w:rPr>
        <w:t xml:space="preserve"> </w:t>
      </w:r>
      <w:r w:rsidRPr="007F536A">
        <w:rPr>
          <w:rFonts w:ascii="Book Antiqua" w:hAnsi="Book Antiqua"/>
          <w:sz w:val="20"/>
        </w:rPr>
        <w:t xml:space="preserve">His assistant at the Nice Observatory was Prim, who had the details of their value of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by Fizeau’s method published in 1908</w:t>
      </w:r>
      <w:bookmarkStart w:id="75" w:name="30"/>
      <w:bookmarkEnd w:id="75"/>
      <w:r w:rsidRPr="007F536A">
        <w:rPr>
          <w:rFonts w:ascii="Book Antiqua" w:hAnsi="Book Antiqua"/>
          <w:sz w:val="20"/>
        </w:rPr>
        <w:t xml:space="preserve"> [92]. Cornu was still alive at the inception of the project in 1898, and gave his counsel throughout its duration. Cornu died in 1902, the year in which the experimental proceedings were finalized. Perrotin died shortly after, on February 29</w:t>
      </w:r>
      <w:r w:rsidRPr="007F536A">
        <w:rPr>
          <w:rFonts w:ascii="Book Antiqua" w:hAnsi="Book Antiqua"/>
          <w:sz w:val="20"/>
          <w:vertAlign w:val="superscript"/>
        </w:rPr>
        <w:t>th</w:t>
      </w:r>
      <w:r w:rsidRPr="007F536A">
        <w:rPr>
          <w:rFonts w:ascii="Book Antiqua" w:hAnsi="Book Antiqua"/>
          <w:sz w:val="20"/>
        </w:rPr>
        <w:t xml:space="preserve"> 1904, before completing the discussion, leaving Prim to release the final results in 1908.</w:t>
      </w:r>
      <w:r>
        <w:rPr>
          <w:rFonts w:ascii="Book Antiqua" w:hAnsi="Book Antiqua"/>
          <w:sz w:val="20"/>
        </w:rPr>
        <w:t xml:space="preserve">  </w:t>
      </w:r>
      <w:r w:rsidRPr="007F536A">
        <w:rPr>
          <w:rFonts w:ascii="Book Antiqua" w:hAnsi="Book Antiqua"/>
          <w:sz w:val="20"/>
        </w:rPr>
        <w:t>He has an asteroid</w:t>
      </w:r>
      <w:r>
        <w:rPr>
          <w:rFonts w:ascii="Book Antiqua" w:hAnsi="Book Antiqua"/>
          <w:sz w:val="20"/>
        </w:rPr>
        <w:t>,</w:t>
      </w:r>
      <w:r w:rsidRPr="007F536A">
        <w:rPr>
          <w:rFonts w:ascii="Book Antiqua" w:hAnsi="Book Antiqua"/>
          <w:sz w:val="20"/>
        </w:rPr>
        <w:t xml:space="preserve"> 1515 Perrotin</w:t>
      </w:r>
      <w:r>
        <w:rPr>
          <w:rFonts w:ascii="Book Antiqua" w:hAnsi="Book Antiqua"/>
          <w:sz w:val="20"/>
        </w:rPr>
        <w:t>,</w:t>
      </w:r>
      <w:r w:rsidRPr="007F536A">
        <w:rPr>
          <w:rFonts w:ascii="Book Antiqua" w:hAnsi="Book Antiqua"/>
          <w:sz w:val="20"/>
        </w:rPr>
        <w:t xml:space="preserve"> named after him.</w:t>
      </w:r>
    </w:p>
    <w:p w:rsidR="004532A2" w:rsidRDefault="004532A2" w:rsidP="004532A2">
      <w:pPr>
        <w:pStyle w:val="NoSpacing"/>
        <w:ind w:firstLine="720"/>
        <w:jc w:val="both"/>
        <w:rPr>
          <w:rFonts w:ascii="Book Antiqua" w:hAnsi="Book Antiqua"/>
          <w:sz w:val="20"/>
        </w:rPr>
      </w:pPr>
    </w:p>
    <w:p w:rsidR="004532A2" w:rsidRPr="007F536A" w:rsidRDefault="004532A2" w:rsidP="004532A2">
      <w:pPr>
        <w:pStyle w:val="NoSpacing"/>
        <w:ind w:firstLine="720"/>
        <w:jc w:val="both"/>
        <w:rPr>
          <w:rFonts w:ascii="Book Antiqua" w:hAnsi="Book Antiqua"/>
          <w:sz w:val="20"/>
        </w:rPr>
      </w:pPr>
      <w:r w:rsidRPr="007F536A">
        <w:rPr>
          <w:rFonts w:ascii="Book Antiqua" w:hAnsi="Book Antiqua"/>
          <w:sz w:val="20"/>
        </w:rPr>
        <w:t xml:space="preserve">In the initial work, centering about 1900.4, the base-line was from the Nice Observatory to the village of La Gaude, a distance of 11,862.2 metres. In the more extensive series, that centered around 1902.4, a longer path of 45,950.7 metres (about 28.7 miles) to Mont Vinaigre was employed. In the La Gaude series, a total of 1540 measurements of </w:t>
      </w:r>
      <m:oMath>
        <m:r>
          <w:rPr>
            <w:rFonts w:ascii="Cambria Math" w:hAnsi="Cambria Math"/>
            <w:sz w:val="20"/>
          </w:rPr>
          <m:t>c</m:t>
        </m:r>
      </m:oMath>
      <w:r w:rsidRPr="007F536A">
        <w:rPr>
          <w:rFonts w:ascii="Book Antiqua" w:hAnsi="Book Antiqua"/>
          <w:sz w:val="20"/>
        </w:rPr>
        <w:t xml:space="preserve"> were made, 607 by Perrotin and 933 by Prim. The Mont Vinaigre experiment totaled 2465 measurements with Perrotin making 1452 and Prim 1013. In all, 4005 measurements gave the final value for the series</w:t>
      </w:r>
      <w:bookmarkStart w:id="76" w:name="31"/>
      <w:bookmarkEnd w:id="76"/>
      <w:r w:rsidRPr="007F536A">
        <w:rPr>
          <w:rFonts w:ascii="Book Antiqua" w:hAnsi="Book Antiqua"/>
          <w:sz w:val="20"/>
        </w:rPr>
        <w:t xml:space="preserve"> [9</w:t>
      </w:r>
      <w:hyperlink r:id="rId105" w:anchor="a31" w:history="1">
        <w:r w:rsidRPr="007F536A">
          <w:rPr>
            <w:rFonts w:ascii="Book Antiqua" w:hAnsi="Book Antiqua"/>
            <w:sz w:val="20"/>
          </w:rPr>
          <w:t>3</w:t>
        </w:r>
      </w:hyperlink>
      <w:r w:rsidRPr="007F536A">
        <w:rPr>
          <w:rFonts w:ascii="Book Antiqua" w:hAnsi="Book Antiqua"/>
          <w:sz w:val="20"/>
        </w:rPr>
        <w:t>].</w:t>
      </w:r>
    </w:p>
    <w:p w:rsidR="004532A2" w:rsidRPr="007F536A" w:rsidRDefault="004532A2" w:rsidP="004532A2">
      <w:pPr>
        <w:pStyle w:val="NoSpacing"/>
        <w:ind w:left="360"/>
        <w:jc w:val="both"/>
        <w:rPr>
          <w:rFonts w:ascii="Book Antiqua" w:hAnsi="Book Antiqua"/>
          <w:i/>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2508997" cy="1688800"/>
            <wp:effectExtent l="19050" t="0" r="5603" b="0"/>
            <wp:docPr id="61" name="il_fi" descr="http://4.bp.blogspot.com/-eYCgmbgA_m4/TflruY74VpI/AAAAAAAAAps/AD6Bjpl9oNo/s1600/HenriPerroti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eYCgmbgA_m4/TflruY74VpI/AAAAAAAAAps/AD6Bjpl9oNo/s1600/HenriPerrotin01.jpg"/>
                    <pic:cNvPicPr>
                      <a:picLocks noChangeAspect="1" noChangeArrowheads="1"/>
                    </pic:cNvPicPr>
                  </pic:nvPicPr>
                  <pic:blipFill>
                    <a:blip r:embed="rId106" cstate="print"/>
                    <a:srcRect t="3405" r="-78" b="35797"/>
                    <a:stretch>
                      <a:fillRect/>
                    </a:stretch>
                  </pic:blipFill>
                  <pic:spPr bwMode="auto">
                    <a:xfrm>
                      <a:off x="0" y="0"/>
                      <a:ext cx="2516626" cy="1693935"/>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20"/>
        </w:rPr>
      </w:pPr>
    </w:p>
    <w:p w:rsidR="00821A88" w:rsidRPr="00B65E31" w:rsidRDefault="00821A88" w:rsidP="004532A2">
      <w:pPr>
        <w:pStyle w:val="NoSpacing"/>
        <w:jc w:val="center"/>
        <w:rPr>
          <w:rFonts w:ascii="Book Antiqua" w:hAnsi="Book Antiqua"/>
          <w:i/>
          <w:sz w:val="18"/>
          <w:szCs w:val="18"/>
        </w:rPr>
      </w:pPr>
      <w:r w:rsidRPr="00B65E31">
        <w:rPr>
          <w:rFonts w:ascii="Book Antiqua" w:hAnsi="Book Antiqua"/>
          <w:b/>
          <w:i/>
          <w:sz w:val="18"/>
          <w:szCs w:val="18"/>
        </w:rPr>
        <w:t>Figure 18:</w:t>
      </w:r>
      <w:r w:rsidRPr="00B65E31">
        <w:rPr>
          <w:rFonts w:ascii="Book Antiqua" w:hAnsi="Book Antiqua"/>
          <w:i/>
          <w:sz w:val="18"/>
          <w:szCs w:val="18"/>
        </w:rPr>
        <w:t xml:space="preserve"> Henri Joseph Anastase Perrotin (1845-1904).</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With Cornu as advisor, much of the equipment and procedure was the same. The illuminator and the powering apparatus were those Cornu used, as were the chronograph, pendulums, and </w:t>
      </w:r>
      <m:oMath>
        <m:r>
          <w:rPr>
            <w:rFonts w:ascii="Cambria Math" w:hAnsi="Book Antiqua"/>
            <w:sz w:val="20"/>
          </w:rPr>
          <m:t>1/20</m:t>
        </m:r>
      </m:oMath>
      <w:r w:rsidRPr="007F536A">
        <w:rPr>
          <w:rFonts w:ascii="Book Antiqua" w:hAnsi="Book Antiqua"/>
          <w:sz w:val="20"/>
        </w:rPr>
        <w:t xml:space="preserve"> second oscillator. The microscope with variable magnification was also that used by Cornu in his determination</w:t>
      </w:r>
      <w:bookmarkStart w:id="77" w:name="32"/>
      <w:bookmarkEnd w:id="77"/>
      <w:r w:rsidRPr="007F536A">
        <w:rPr>
          <w:rFonts w:ascii="Book Antiqua" w:hAnsi="Book Antiqua"/>
          <w:sz w:val="20"/>
        </w:rPr>
        <w:t xml:space="preserve"> [94]. The only essentially different equipment items were the sending and collimator lenses and the toothed wheel itself. This latter was 35.5 mm. diameter, and comprised 150 triangular teeth. It differed from Cornu’s 150 toothed wheel only in the thickness of the aluminum, being 0.8 mm thick. The stage was thus set for an interesting comparison between Cornu’s and Perrotin’s results using virtually the same items of equipment, but separated by about 28 years.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bookmarkStart w:id="78" w:name="PPR"/>
      <w:bookmarkEnd w:id="78"/>
      <w:r w:rsidRPr="007F536A">
        <w:rPr>
          <w:rFonts w:ascii="Book Antiqua" w:hAnsi="Book Antiqua"/>
          <w:sz w:val="20"/>
        </w:rPr>
        <w:t xml:space="preserve">As soon as the necessary reductions had been carried out by Perrotin, it was announced that the La Gaude series gave a value of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r>
          <w:rPr>
            <w:rFonts w:ascii="Cambria Math" w:hAnsi="Cambria Math"/>
            <w:sz w:val="20"/>
          </w:rPr>
          <m:t>s</m:t>
        </m:r>
      </m:oMath>
      <w:bookmarkStart w:id="79" w:name="33"/>
      <w:bookmarkEnd w:id="79"/>
      <w:r w:rsidRPr="007F536A">
        <w:rPr>
          <w:rFonts w:ascii="Book Antiqua" w:hAnsi="Book Antiqua"/>
          <w:sz w:val="20"/>
        </w:rPr>
        <w:t xml:space="preserve"> [95]. The mean date was 1900.4. Under similar circumstances, Perrotin published the Mont Vinaigre result as </w:t>
      </w:r>
      <m:oMath>
        <m:r>
          <w:rPr>
            <w:rFonts w:ascii="Cambria Math" w:hAnsi="Book Antiqua"/>
            <w:sz w:val="20"/>
          </w:rPr>
          <m:t xml:space="preserve">299,860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oMath>
      <w:r w:rsidRPr="007F536A">
        <w:rPr>
          <w:rFonts w:ascii="Book Antiqua" w:hAnsi="Book Antiqua"/>
          <w:sz w:val="20"/>
        </w:rPr>
        <w:t>s for a mean date of 1902.4</w:t>
      </w:r>
      <w:bookmarkStart w:id="80" w:name="34"/>
      <w:bookmarkEnd w:id="80"/>
      <w:r w:rsidRPr="007F536A">
        <w:rPr>
          <w:rFonts w:ascii="Book Antiqua" w:hAnsi="Book Antiqua"/>
          <w:sz w:val="20"/>
        </w:rPr>
        <w:t xml:space="preserve"> [96]. On this occasion, he discussed both results and issued their average as </w:t>
      </w:r>
      <m:oMath>
        <m:r>
          <w:rPr>
            <w:rFonts w:ascii="Cambria Math" w:hAnsi="Book Antiqua"/>
            <w:sz w:val="20"/>
          </w:rPr>
          <m:t xml:space="preserve">299,880 </m:t>
        </m:r>
        <m:r>
          <w:rPr>
            <w:rFonts w:ascii="Book Antiqua" w:hAnsi="Book Antiqua"/>
            <w:sz w:val="20"/>
          </w:rPr>
          <m:t>±</m:t>
        </m:r>
        <m:r>
          <w:rPr>
            <w:rFonts w:ascii="Cambria Math" w:hAnsi="Book Antiqua"/>
            <w:sz w:val="20"/>
          </w:rPr>
          <m:t xml:space="preserve"> 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the mean date being 1901.4</w:t>
      </w:r>
      <w:bookmarkStart w:id="81" w:name="35"/>
      <w:bookmarkEnd w:id="81"/>
      <w:r w:rsidRPr="007F536A">
        <w:rPr>
          <w:rFonts w:ascii="Book Antiqua" w:hAnsi="Book Antiqua"/>
          <w:sz w:val="20"/>
        </w:rPr>
        <w:t xml:space="preserve"> [97]. This later figure was frequently quoted as Perrotin’s final definitive value.</w:t>
      </w:r>
    </w:p>
    <w:p w:rsidR="00D80849" w:rsidRPr="007F536A" w:rsidRDefault="00D80849"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Perrotin </w:t>
      </w:r>
      <w:r w:rsidR="007254EC">
        <w:rPr>
          <w:rFonts w:ascii="Book Antiqua" w:hAnsi="Book Antiqua"/>
          <w:sz w:val="20"/>
        </w:rPr>
        <w:t>had not finished</w:t>
      </w:r>
      <w:r w:rsidRPr="007F536A">
        <w:rPr>
          <w:rFonts w:ascii="Book Antiqua" w:hAnsi="Book Antiqua"/>
          <w:sz w:val="20"/>
        </w:rPr>
        <w:t xml:space="preserve"> writing up all the details of the two series</w:t>
      </w:r>
      <w:r w:rsidR="007254EC">
        <w:rPr>
          <w:rFonts w:ascii="Book Antiqua" w:hAnsi="Book Antiqua"/>
          <w:sz w:val="20"/>
        </w:rPr>
        <w:t xml:space="preserve"> by</w:t>
      </w:r>
      <w:r w:rsidRPr="007F536A">
        <w:rPr>
          <w:rFonts w:ascii="Book Antiqua" w:hAnsi="Book Antiqua"/>
          <w:sz w:val="20"/>
        </w:rPr>
        <w:t xml:space="preserve"> the time of his death in 1904. Prim </w:t>
      </w:r>
      <w:r w:rsidR="00682859">
        <w:rPr>
          <w:rFonts w:ascii="Book Antiqua" w:hAnsi="Book Antiqua"/>
          <w:sz w:val="20"/>
        </w:rPr>
        <w:t>finished the task in</w:t>
      </w:r>
      <w:r w:rsidRPr="007F536A">
        <w:rPr>
          <w:rFonts w:ascii="Book Antiqua" w:hAnsi="Book Antiqua"/>
          <w:sz w:val="20"/>
        </w:rPr>
        <w:t xml:space="preserve"> 1908, re-working the calculations in the process. </w:t>
      </w:r>
      <w:r w:rsidR="00682859">
        <w:rPr>
          <w:rFonts w:ascii="Book Antiqua" w:hAnsi="Book Antiqua"/>
          <w:sz w:val="20"/>
        </w:rPr>
        <w:t xml:space="preserve">But </w:t>
      </w:r>
      <w:r w:rsidRPr="007F536A">
        <w:rPr>
          <w:rFonts w:ascii="Book Antiqua" w:hAnsi="Book Antiqua"/>
          <w:sz w:val="20"/>
        </w:rPr>
        <w:t xml:space="preserve">Prim’s discussion makes no mention of the reports that were issued earlier. Instead, he derived a value for the La Gaude series of </w:t>
      </w:r>
      <m:oMath>
        <m:r>
          <w:rPr>
            <w:rFonts w:ascii="Cambria Math" w:hAnsi="Book Antiqua"/>
            <w:sz w:val="20"/>
          </w:rPr>
          <m:t xml:space="preserve">300,032 </m:t>
        </m:r>
        <m:r>
          <w:rPr>
            <w:rFonts w:ascii="Book Antiqua" w:hAnsi="Book Antiqua"/>
            <w:sz w:val="20"/>
          </w:rPr>
          <m:t>±</m:t>
        </m:r>
        <m:r>
          <w:rPr>
            <w:rFonts w:ascii="Cambria Math" w:hAnsi="Book Antiqua"/>
            <w:sz w:val="20"/>
          </w:rPr>
          <m:t xml:space="preserve"> 215 </m:t>
        </m:r>
        <m:r>
          <w:rPr>
            <w:rFonts w:ascii="Cambria Math" w:hAnsi="Cambria Math"/>
            <w:sz w:val="20"/>
          </w:rPr>
          <m:t>km</m:t>
        </m:r>
        <m:r>
          <w:rPr>
            <w:rFonts w:ascii="Cambria Math" w:hAnsi="Book Antiqua"/>
            <w:sz w:val="20"/>
          </w:rPr>
          <m:t>/</m:t>
        </m:r>
        <m:r>
          <w:rPr>
            <w:rFonts w:ascii="Cambria Math" w:hAnsi="Cambria Math"/>
            <w:sz w:val="20"/>
          </w:rPr>
          <m:t>s</m:t>
        </m:r>
      </m:oMath>
      <w:r w:rsidR="00682859">
        <w:rPr>
          <w:rFonts w:ascii="Book Antiqua" w:hAnsi="Book Antiqua"/>
          <w:sz w:val="20"/>
        </w:rPr>
        <w:t>, but</w:t>
      </w:r>
      <w:r w:rsidRPr="007F536A">
        <w:rPr>
          <w:rFonts w:ascii="Book Antiqua" w:hAnsi="Book Antiqua"/>
          <w:sz w:val="20"/>
        </w:rPr>
        <w:t xml:space="preserve"> was unhappy with the method used to obtain the result. The other option he considered was a least-squares treatment, but he felt that the number of observations over the La Gaude path was too few to justify this approach. Consequently, this La Gaude value was completely discarded as unsatisfactory</w:t>
      </w:r>
      <w:bookmarkStart w:id="82" w:name="36"/>
      <w:bookmarkEnd w:id="82"/>
      <w:r w:rsidRPr="007F536A">
        <w:rPr>
          <w:rFonts w:ascii="Book Antiqua" w:hAnsi="Book Antiqua"/>
          <w:sz w:val="20"/>
        </w:rPr>
        <w:t xml:space="preserve"> [98]. Prim then re-appraised the Mont Vinaigre experiments and treated them by the least-squares method to yield a final value of </w:t>
      </w:r>
      <m:oMath>
        <m:r>
          <w:rPr>
            <w:rFonts w:ascii="Cambria Math" w:hAnsi="Book Antiqua"/>
            <w:sz w:val="20"/>
          </w:rPr>
          <m:t xml:space="preserve">299,901 </m:t>
        </m:r>
        <m:r>
          <w:rPr>
            <w:rFonts w:ascii="Book Antiqua" w:hAnsi="Book Antiqua"/>
            <w:sz w:val="20"/>
          </w:rPr>
          <m:t>±</m:t>
        </m:r>
        <m:r>
          <w:rPr>
            <w:rFonts w:ascii="Cambria Math" w:hAnsi="Book Antiqua"/>
            <w:sz w:val="20"/>
          </w:rPr>
          <m:t xml:space="preserve"> 84</m:t>
        </m:r>
      </m:oMath>
      <w:r w:rsidRPr="007F536A">
        <w:rPr>
          <w:rFonts w:ascii="Book Antiqua" w:hAnsi="Book Antiqua"/>
          <w:sz w:val="20"/>
        </w:rPr>
        <w:t xml:space="preserve"> km/s at the mean date of 1902.4</w:t>
      </w:r>
      <w:bookmarkStart w:id="83" w:name="37"/>
      <w:bookmarkEnd w:id="83"/>
      <w:r w:rsidRPr="007F536A">
        <w:rPr>
          <w:rFonts w:ascii="Book Antiqua" w:hAnsi="Book Antiqua"/>
          <w:sz w:val="20"/>
        </w:rPr>
        <w:t xml:space="preserve"> [99]. Although Dorsey criticized this value, with no comment on the earlier reports, he did not derive a better one, despite extensive analysis.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issuing of </w:t>
      </w:r>
      <w:r w:rsidR="007254EC">
        <w:rPr>
          <w:rFonts w:ascii="Book Antiqua" w:hAnsi="Book Antiqua"/>
          <w:sz w:val="20"/>
        </w:rPr>
        <w:t>Prim’s</w:t>
      </w:r>
      <w:r w:rsidRPr="007F536A">
        <w:rPr>
          <w:rFonts w:ascii="Book Antiqua" w:hAnsi="Book Antiqua"/>
          <w:sz w:val="20"/>
        </w:rPr>
        <w:t xml:space="preserve"> final discussion resulted in some confusion, particularly since </w:t>
      </w:r>
      <w:r w:rsidR="007254EC">
        <w:rPr>
          <w:rFonts w:ascii="Book Antiqua" w:hAnsi="Book Antiqua"/>
          <w:sz w:val="20"/>
        </w:rPr>
        <w:t>his</w:t>
      </w:r>
      <w:r w:rsidRPr="007F536A">
        <w:rPr>
          <w:rFonts w:ascii="Book Antiqua" w:hAnsi="Book Antiqua"/>
          <w:sz w:val="20"/>
        </w:rPr>
        <w:t xml:space="preserve"> final declared value of </w:t>
      </w:r>
      <m:oMath>
        <m:r>
          <w:rPr>
            <w:rFonts w:ascii="Cambria Math" w:hAnsi="Book Antiqua"/>
            <w:sz w:val="20"/>
          </w:rPr>
          <m:t xml:space="preserve">299,901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the Mont Vinaigre path was so close to the Perrotin value for the La Gaude path of </w:t>
      </w:r>
      <m:oMath>
        <m:r>
          <w:rPr>
            <w:rFonts w:ascii="Cambria Math" w:hAnsi="Book Antiqua"/>
            <w:sz w:val="20"/>
          </w:rPr>
          <m:t xml:space="preserve">299,900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Many failed to realize that they were from a different series of experiments over a different base-line. Even Michelson fell into this trap, quoting this final declared value as having been obtained over the shorter La Gaude path</w:t>
      </w:r>
      <w:bookmarkStart w:id="84" w:name="38"/>
      <w:bookmarkEnd w:id="84"/>
      <w:r w:rsidRPr="007F536A">
        <w:rPr>
          <w:rFonts w:ascii="Book Antiqua" w:hAnsi="Book Antiqua"/>
          <w:sz w:val="20"/>
        </w:rPr>
        <w:t xml:space="preserve"> [100].</w:t>
      </w:r>
    </w:p>
    <w:p w:rsidR="00821A88" w:rsidRPr="007F536A" w:rsidRDefault="00821A88" w:rsidP="00821A88">
      <w:pPr>
        <w:pStyle w:val="NoSpacing"/>
        <w:jc w:val="both"/>
        <w:rPr>
          <w:rFonts w:ascii="Book Antiqua" w:hAnsi="Book Antiqua"/>
          <w:b/>
          <w:sz w:val="20"/>
        </w:rPr>
      </w:pPr>
      <w:bookmarkStart w:id="85" w:name="concl"/>
      <w:bookmarkEnd w:id="85"/>
    </w:p>
    <w:p w:rsidR="00821A88"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Toothed-Wheel Method Summary</w:t>
      </w:r>
    </w:p>
    <w:p w:rsidR="00832D77" w:rsidRDefault="00832D77" w:rsidP="00832D77">
      <w:pPr>
        <w:pStyle w:val="NoSpacing"/>
        <w:jc w:val="both"/>
        <w:rPr>
          <w:rFonts w:ascii="Book Antiqua" w:hAnsi="Book Antiqua"/>
          <w:i/>
          <w:sz w:val="20"/>
        </w:rPr>
      </w:pPr>
    </w:p>
    <w:p w:rsidR="00832D77" w:rsidRDefault="00832D77" w:rsidP="00832D77">
      <w:pPr>
        <w:pStyle w:val="NoSpacing"/>
        <w:ind w:firstLine="720"/>
        <w:jc w:val="both"/>
        <w:rPr>
          <w:rFonts w:ascii="Book Antiqua" w:hAnsi="Book Antiqua"/>
          <w:sz w:val="20"/>
        </w:rPr>
      </w:pPr>
      <w:r w:rsidRPr="007F536A">
        <w:rPr>
          <w:rFonts w:ascii="Book Antiqua" w:hAnsi="Book Antiqua"/>
          <w:sz w:val="20"/>
        </w:rPr>
        <w:t>Table 8 summarizes the above results</w:t>
      </w:r>
      <w:r w:rsidR="007254EC">
        <w:rPr>
          <w:rFonts w:ascii="Book Antiqua" w:hAnsi="Book Antiqua"/>
          <w:sz w:val="20"/>
        </w:rPr>
        <w:t>,</w:t>
      </w:r>
      <w:r w:rsidRPr="007F536A">
        <w:rPr>
          <w:rFonts w:ascii="Book Antiqua" w:hAnsi="Book Antiqua"/>
          <w:sz w:val="20"/>
        </w:rPr>
        <w:t xml:space="preserve">  listing the fourteen values obtained by this method. A least squares linear fit to all these data points gives a light speed decline of 164 km/s per year (Figure 19). A fit to all values, omitting the two highest and two lowest outliers marked #, is in Figure 20. A fit to the most reliable values, marked [*] and included in the final Table 17, gives a decline of </w:t>
      </w:r>
      <m:oMath>
        <m:r>
          <w:rPr>
            <w:rFonts w:ascii="Cambria Math" w:hAnsi="Book Antiqua"/>
            <w:sz w:val="20"/>
          </w:rPr>
          <m:t xml:space="preserve">2.17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with a confidence of 99.4% that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was not constant at its present value </w:t>
      </w:r>
      <w:r w:rsidRPr="007F536A">
        <w:rPr>
          <w:rFonts w:ascii="Book Antiqua" w:hAnsi="Book Antiqua"/>
          <w:sz w:val="20"/>
        </w:rPr>
        <w:lastRenderedPageBreak/>
        <w:t xml:space="preserve">during the period covered by these experiments. The Fizeau values have been described as pioneering experiments that were </w:t>
      </w:r>
      <w:r w:rsidRPr="007F536A">
        <w:rPr>
          <w:rFonts w:ascii="Book Antiqua" w:hAnsi="Book Antiqua"/>
          <w:i/>
          <w:sz w:val="20"/>
        </w:rPr>
        <w:t>“admittedly but rough approximations…intended to ascertain the possibilities of the method.”</w:t>
      </w:r>
      <w:bookmarkStart w:id="86" w:name="39"/>
      <w:bookmarkEnd w:id="86"/>
      <w:r w:rsidRPr="007F536A">
        <w:rPr>
          <w:rFonts w:ascii="Book Antiqua" w:hAnsi="Book Antiqua"/>
          <w:i/>
          <w:sz w:val="20"/>
        </w:rPr>
        <w:t xml:space="preserve"> </w:t>
      </w:r>
      <w:r w:rsidRPr="007F536A">
        <w:rPr>
          <w:rFonts w:ascii="Book Antiqua" w:hAnsi="Book Antiqua"/>
          <w:sz w:val="20"/>
        </w:rPr>
        <w:t xml:space="preserve">[101] The remaining unstarred values were rejected by the experimenters themselves or have been severely criticized as outlined above. Nevertheless, when all the data points are included, the decrease in </w:t>
      </w:r>
      <w:r w:rsidR="007254EC">
        <w:rPr>
          <w:rFonts w:ascii="Book Antiqua" w:hAnsi="Book Antiqua"/>
          <w:sz w:val="20"/>
        </w:rPr>
        <w:t>c</w:t>
      </w:r>
      <w:r w:rsidRPr="007F536A">
        <w:rPr>
          <w:rFonts w:ascii="Book Antiqua" w:hAnsi="Book Antiqua"/>
          <w:sz w:val="20"/>
        </w:rPr>
        <w:t xml:space="preserve"> is even more evident, as can be seen from Figure 19.</w:t>
      </w:r>
    </w:p>
    <w:p w:rsidR="00682859" w:rsidRDefault="00682859" w:rsidP="00832D77">
      <w:pPr>
        <w:pStyle w:val="NoSpacing"/>
        <w:ind w:firstLine="720"/>
        <w:jc w:val="both"/>
        <w:rPr>
          <w:rFonts w:ascii="Book Antiqua" w:hAnsi="Book Antiqua"/>
          <w:sz w:val="20"/>
        </w:rPr>
      </w:pPr>
    </w:p>
    <w:p w:rsidR="00682859" w:rsidRDefault="00682859" w:rsidP="004532A2">
      <w:pPr>
        <w:pStyle w:val="NoSpacing"/>
        <w:ind w:firstLine="720"/>
        <w:jc w:val="center"/>
        <w:rPr>
          <w:rFonts w:ascii="Book Antiqua" w:hAnsi="Book Antiqua"/>
          <w:sz w:val="20"/>
        </w:rPr>
      </w:pPr>
      <w:r w:rsidRPr="00682859">
        <w:rPr>
          <w:rFonts w:ascii="Book Antiqua" w:hAnsi="Book Antiqua"/>
          <w:noProof/>
          <w:sz w:val="20"/>
        </w:rPr>
        <w:drawing>
          <wp:inline distT="0" distB="0" distL="0" distR="0">
            <wp:extent cx="5210159" cy="1744276"/>
            <wp:effectExtent l="19050" t="0" r="9541" b="8324"/>
            <wp:docPr id="78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682859" w:rsidRDefault="00682859" w:rsidP="00832D77">
      <w:pPr>
        <w:pStyle w:val="NoSpacing"/>
        <w:ind w:firstLine="720"/>
        <w:jc w:val="both"/>
        <w:rPr>
          <w:rFonts w:ascii="Book Antiqua" w:hAnsi="Book Antiqua"/>
          <w:sz w:val="20"/>
        </w:rPr>
      </w:pPr>
    </w:p>
    <w:p w:rsidR="00682859" w:rsidRPr="00E64A28" w:rsidRDefault="00682859" w:rsidP="00682859">
      <w:pPr>
        <w:pStyle w:val="NormalWeb"/>
        <w:rPr>
          <w:rStyle w:val="style11"/>
          <w:rFonts w:ascii="Book Antiqua" w:hAnsi="Book Antiqua"/>
          <w:i/>
          <w:sz w:val="18"/>
          <w:szCs w:val="18"/>
        </w:rPr>
      </w:pPr>
      <w:r w:rsidRPr="00E64A28">
        <w:rPr>
          <w:rStyle w:val="style11"/>
          <w:rFonts w:ascii="Book Antiqua" w:hAnsi="Book Antiqua"/>
          <w:b/>
          <w:i/>
          <w:sz w:val="18"/>
          <w:szCs w:val="18"/>
        </w:rPr>
        <w:t>Figure 19:</w:t>
      </w:r>
      <w:r w:rsidRPr="00E64A28">
        <w:rPr>
          <w:rStyle w:val="style11"/>
          <w:rFonts w:ascii="Book Antiqua" w:hAnsi="Book Antiqua"/>
          <w:i/>
          <w:sz w:val="18"/>
          <w:szCs w:val="18"/>
        </w:rPr>
        <w:t xml:space="preserve"> Graph of all light speed values obtained by the toothed wheel method. Horizontal axis is the date of experiment. Vertical axis is light-speed in km/s. A linear fit to all the data gives a decline in c of 164 km/s per year.</w:t>
      </w:r>
    </w:p>
    <w:p w:rsidR="00832D77" w:rsidRPr="007F536A" w:rsidRDefault="00832D77" w:rsidP="00832D77">
      <w:pPr>
        <w:pStyle w:val="NoSpacing"/>
        <w:ind w:firstLine="720"/>
        <w:jc w:val="both"/>
        <w:rPr>
          <w:rFonts w:ascii="Book Antiqua" w:hAnsi="Book Antiqua"/>
          <w:sz w:val="20"/>
        </w:rPr>
      </w:pPr>
      <w:r w:rsidRPr="007F536A">
        <w:rPr>
          <w:rFonts w:ascii="Book Antiqua" w:hAnsi="Book Antiqua"/>
          <w:sz w:val="20"/>
        </w:rPr>
        <w:t xml:space="preserve">The comparison between Cornu’s re-worked values and those obtained with substantially the same items of equipment by Perrotin is of great interest. The Cornu mean is </w:t>
      </w:r>
      <m:oMath>
        <m:r>
          <w:rPr>
            <w:rFonts w:ascii="Cambria Math" w:hAnsi="Book Antiqua"/>
            <w:sz w:val="20"/>
          </w:rPr>
          <m:t xml:space="preserve">299,945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while the Perrotin mean is </w:t>
      </w:r>
      <m:oMath>
        <m:r>
          <w:rPr>
            <w:rFonts w:ascii="Cambria Math" w:hAnsi="Book Antiqua"/>
            <w:sz w:val="20"/>
          </w:rPr>
          <m:t xml:space="preserve">299,887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The drop measured by this same equipment is thus </w:t>
      </w:r>
      <m:oMath>
        <m:r>
          <w:rPr>
            <w:rFonts w:ascii="Cambria Math" w:hAnsi="Book Antiqua"/>
            <w:sz w:val="20"/>
          </w:rPr>
          <m:t xml:space="preserve">58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26.6 years. That is a decline of </w:t>
      </w:r>
      <m:oMath>
        <m:r>
          <w:rPr>
            <w:rFonts w:ascii="Cambria Math" w:hAnsi="Book Antiqua"/>
            <w:sz w:val="20"/>
          </w:rPr>
          <m:t xml:space="preserve">2.18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It is fascinating to note that both Perrotin and Prim, despite problems with the analysis, independently obtained results in which the earliest determination resulted in a higher value for </w:t>
      </w:r>
      <m:oMath>
        <m:r>
          <w:rPr>
            <w:rFonts w:ascii="Cambria Math" w:hAnsi="Cambria Math"/>
            <w:sz w:val="20"/>
          </w:rPr>
          <m:t>c</m:t>
        </m:r>
      </m:oMath>
      <w:r w:rsidRPr="007F536A">
        <w:rPr>
          <w:rFonts w:ascii="Book Antiqua" w:hAnsi="Book Antiqua"/>
          <w:sz w:val="20"/>
        </w:rPr>
        <w:t xml:space="preserve"> than their later determinations.</w:t>
      </w:r>
    </w:p>
    <w:p w:rsidR="00832D77" w:rsidRPr="007F536A" w:rsidRDefault="00832D77" w:rsidP="00832D77">
      <w:pPr>
        <w:pStyle w:val="NoSpacing"/>
        <w:ind w:firstLine="720"/>
        <w:jc w:val="both"/>
        <w:rPr>
          <w:rFonts w:ascii="Book Antiqua" w:hAnsi="Book Antiqua"/>
          <w:sz w:val="20"/>
        </w:rPr>
      </w:pPr>
    </w:p>
    <w:p w:rsidR="00821A88" w:rsidRPr="00832D77" w:rsidRDefault="00821A88" w:rsidP="004532A2">
      <w:pPr>
        <w:pStyle w:val="NoSpacing"/>
        <w:jc w:val="center"/>
        <w:rPr>
          <w:rFonts w:ascii="Book Antiqua" w:hAnsi="Book Antiqua"/>
          <w:b/>
          <w:i/>
          <w:sz w:val="18"/>
          <w:szCs w:val="18"/>
        </w:rPr>
      </w:pPr>
      <w:r w:rsidRPr="00832D77">
        <w:rPr>
          <w:rFonts w:ascii="Book Antiqua" w:hAnsi="Book Antiqua"/>
          <w:b/>
          <w:sz w:val="18"/>
          <w:szCs w:val="18"/>
        </w:rPr>
        <w:t>Table 8:</w:t>
      </w:r>
      <w:r w:rsidRPr="00832D77">
        <w:rPr>
          <w:rFonts w:ascii="Book Antiqua" w:hAnsi="Book Antiqua"/>
          <w:b/>
          <w:i/>
          <w:sz w:val="18"/>
          <w:szCs w:val="18"/>
        </w:rPr>
        <w:t xml:space="preserve"> Toothed Wheel Experiments</w:t>
      </w:r>
    </w:p>
    <w:p w:rsidR="00821A88" w:rsidRPr="007F536A" w:rsidRDefault="00821A88" w:rsidP="00821A88">
      <w:pPr>
        <w:pStyle w:val="NoSpacing"/>
        <w:ind w:firstLine="720"/>
        <w:jc w:val="both"/>
        <w:rPr>
          <w:rFonts w:ascii="Book Antiqua" w:hAnsi="Book Antiqua"/>
          <w:sz w:val="20"/>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6"/>
        <w:gridCol w:w="802"/>
        <w:gridCol w:w="618"/>
        <w:gridCol w:w="791"/>
        <w:gridCol w:w="1369"/>
        <w:gridCol w:w="2902"/>
      </w:tblGrid>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Experimenter</w:t>
            </w:r>
          </w:p>
        </w:tc>
        <w:tc>
          <w:tcPr>
            <w:tcW w:w="8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Date</w:t>
            </w:r>
          </w:p>
        </w:tc>
        <w:tc>
          <w:tcPr>
            <w:tcW w:w="618"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of EXP.</w:t>
            </w:r>
          </w:p>
        </w:tc>
        <w:tc>
          <w:tcPr>
            <w:tcW w:w="791"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Base line (Meters) </w:t>
            </w:r>
          </w:p>
        </w:tc>
        <w:tc>
          <w:tcPr>
            <w:tcW w:w="1369"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c value in km/sec </w:t>
            </w:r>
          </w:p>
        </w:tc>
        <w:tc>
          <w:tcPr>
            <w:tcW w:w="29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Comments</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315,300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(journals)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313,300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(textbooks)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305,650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No ref. Usually omitted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298,000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Bad citation for Foucault?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1872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658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10,310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298,500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rejected – serious errors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300,400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Flawed analysis – 4 figures only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*Cornu/Helmert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299,990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1876 Accepted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*Cornu/Dorsey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by Dorsey in 1944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Young/Forbes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1880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12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5551.07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301,382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Severely criticized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Perrotin/Prim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300,032 ± 215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1908 – discarded by Prim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1900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1901.4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299,880 ± 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accepted mean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299,860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1902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299,901 ± 84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Prim’s final declared value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8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618"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29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rmalWeb"/>
        <w:jc w:val="center"/>
        <w:rPr>
          <w:rStyle w:val="style11"/>
          <w:rFonts w:ascii="Book Antiqua" w:hAnsi="Book Antiqua"/>
          <w:i/>
          <w:sz w:val="20"/>
          <w:szCs w:val="20"/>
        </w:rPr>
      </w:pPr>
      <w:r w:rsidRPr="007F536A">
        <w:rPr>
          <w:rStyle w:val="style11"/>
          <w:rFonts w:ascii="Book Antiqua" w:hAnsi="Book Antiqua"/>
          <w:i/>
          <w:noProof/>
          <w:sz w:val="20"/>
          <w:szCs w:val="20"/>
        </w:rPr>
        <w:lastRenderedPageBreak/>
        <w:drawing>
          <wp:inline distT="0" distB="0" distL="0" distR="0">
            <wp:extent cx="4800600" cy="1666875"/>
            <wp:effectExtent l="19050" t="0" r="19050" b="0"/>
            <wp:docPr id="8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21A88" w:rsidRDefault="00821A88" w:rsidP="00821A88">
      <w:pPr>
        <w:pStyle w:val="NormalWeb"/>
        <w:rPr>
          <w:rStyle w:val="style11"/>
          <w:rFonts w:ascii="Book Antiqua" w:hAnsi="Book Antiqua"/>
          <w:i/>
          <w:sz w:val="18"/>
          <w:szCs w:val="18"/>
        </w:rPr>
      </w:pPr>
      <w:r w:rsidRPr="00E64A28">
        <w:rPr>
          <w:rStyle w:val="style11"/>
          <w:rFonts w:ascii="Book Antiqua" w:hAnsi="Book Antiqua"/>
          <w:b/>
          <w:i/>
          <w:sz w:val="18"/>
          <w:szCs w:val="18"/>
        </w:rPr>
        <w:t>Figure 20:</w:t>
      </w:r>
      <w:r w:rsidRPr="00E64A28">
        <w:rPr>
          <w:rStyle w:val="style11"/>
          <w:rFonts w:ascii="Book Antiqua" w:hAnsi="Book Antiqua"/>
          <w:i/>
          <w:sz w:val="18"/>
          <w:szCs w:val="18"/>
        </w:rPr>
        <w:t xml:space="preserve"> All values in Table 8 omitting the 4 outliers marked # (2 high and 2 low). Horizontal axis is the date; vertical axis is light-speed in km/s. A linear fit to these data gives a decline in light-speed of 76.9 km/s per year.</w:t>
      </w:r>
    </w:p>
    <w:p w:rsidR="004532A2" w:rsidRPr="007F536A" w:rsidRDefault="004532A2" w:rsidP="004532A2">
      <w:pPr>
        <w:pStyle w:val="NoSpacing"/>
        <w:ind w:firstLine="720"/>
        <w:jc w:val="both"/>
        <w:rPr>
          <w:rFonts w:ascii="Book Antiqua" w:hAnsi="Book Antiqua"/>
          <w:sz w:val="20"/>
        </w:rPr>
      </w:pPr>
      <w:r>
        <w:rPr>
          <w:rFonts w:ascii="Book Antiqua" w:hAnsi="Book Antiqua"/>
          <w:sz w:val="20"/>
        </w:rPr>
        <w:t>Ignoring</w:t>
      </w:r>
      <w:r w:rsidRPr="007F536A">
        <w:rPr>
          <w:rFonts w:ascii="Book Antiqua" w:hAnsi="Book Antiqua"/>
          <w:sz w:val="20"/>
        </w:rPr>
        <w:t xml:space="preserve"> the bad citation of 1855, the only values against the decay trend in Table 8 were those rejected by the experiment</w:t>
      </w:r>
      <w:r>
        <w:rPr>
          <w:rFonts w:ascii="Book Antiqua" w:hAnsi="Book Antiqua"/>
          <w:sz w:val="20"/>
        </w:rPr>
        <w:t>ers</w:t>
      </w:r>
      <w:r w:rsidRPr="007F536A">
        <w:rPr>
          <w:rFonts w:ascii="Book Antiqua" w:hAnsi="Book Antiqua"/>
          <w:sz w:val="20"/>
        </w:rPr>
        <w:t xml:space="preserve"> themselves or severely criticized by others. </w:t>
      </w:r>
      <w:r>
        <w:rPr>
          <w:rFonts w:ascii="Book Antiqua" w:hAnsi="Book Antiqua"/>
          <w:sz w:val="20"/>
        </w:rPr>
        <w:t>C</w:t>
      </w:r>
      <w:r w:rsidRPr="007F536A">
        <w:rPr>
          <w:rFonts w:ascii="Book Antiqua" w:hAnsi="Book Antiqua"/>
          <w:sz w:val="20"/>
        </w:rPr>
        <w:t xml:space="preserve">ombined with the results of the two astronomical </w:t>
      </w:r>
      <w:r>
        <w:rPr>
          <w:rFonts w:ascii="Book Antiqua" w:hAnsi="Book Antiqua"/>
          <w:sz w:val="20"/>
        </w:rPr>
        <w:t>methods</w:t>
      </w:r>
      <w:r w:rsidRPr="007F536A">
        <w:rPr>
          <w:rFonts w:ascii="Book Antiqua" w:hAnsi="Book Antiqua"/>
          <w:sz w:val="20"/>
        </w:rPr>
        <w:t xml:space="preserve">, the decay trend now appears in three different methods of measuring </w:t>
      </w:r>
      <m:oMath>
        <m:r>
          <w:rPr>
            <w:rFonts w:ascii="Cambria Math" w:hAnsi="Cambria Math"/>
            <w:sz w:val="20"/>
          </w:rPr>
          <m:t>c</m:t>
        </m:r>
      </m:oMath>
      <w:r w:rsidRPr="007F536A">
        <w:rPr>
          <w:rFonts w:ascii="Book Antiqua" w:hAnsi="Book Antiqua"/>
          <w:sz w:val="20"/>
        </w:rPr>
        <w:t xml:space="preserve">. These methods have involved about 30 different </w:t>
      </w:r>
      <m:oMath>
        <m:r>
          <w:rPr>
            <w:rFonts w:ascii="Cambria Math" w:hAnsi="Cambria Math"/>
            <w:sz w:val="20"/>
          </w:rPr>
          <m:t>c</m:t>
        </m:r>
      </m:oMath>
      <w:r w:rsidRPr="007F536A">
        <w:rPr>
          <w:rFonts w:ascii="Book Antiqua" w:hAnsi="Book Antiqua"/>
          <w:sz w:val="20"/>
        </w:rPr>
        <w:t xml:space="preserve"> measuring instruments, comprising at least six by the Roemer method, at least 21 for aberration, and at least three by the Fizeau method. A decay trend measured by 30 different instruments lengthens the odds against coincidence to roughly one in a billion.</w:t>
      </w:r>
    </w:p>
    <w:p w:rsidR="004532A2" w:rsidRDefault="004532A2" w:rsidP="00821A88">
      <w:pPr>
        <w:pStyle w:val="NoSpacing"/>
        <w:rPr>
          <w:rFonts w:ascii="Book Antiqua" w:hAnsi="Book Antiqua"/>
          <w:b/>
          <w:bCs/>
          <w:iCs/>
          <w:color w:val="000000"/>
          <w:sz w:val="20"/>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4: Foucault and the Rotating Mirror Experiments.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87" w:name="EFA"/>
      <w:bookmarkEnd w:id="87"/>
      <w:r w:rsidRPr="007F536A">
        <w:rPr>
          <w:rStyle w:val="Strong"/>
          <w:rFonts w:ascii="Book Antiqua" w:hAnsi="Book Antiqua"/>
          <w:b w:val="0"/>
          <w:i/>
          <w:sz w:val="20"/>
        </w:rPr>
        <w:t>4.1 English, French, and Americans in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color w:val="FF0000"/>
          <w:sz w:val="20"/>
        </w:rPr>
      </w:pPr>
      <w:r w:rsidRPr="007F536A">
        <w:rPr>
          <w:rFonts w:ascii="Book Antiqua" w:hAnsi="Book Antiqua"/>
          <w:noProof/>
          <w:sz w:val="20"/>
        </w:rPr>
        <w:drawing>
          <wp:inline distT="0" distB="0" distL="0" distR="0">
            <wp:extent cx="1905000" cy="2901950"/>
            <wp:effectExtent l="19050" t="0" r="0" b="0"/>
            <wp:docPr id="72" name="il_fi" descr="http://micro.magnet.fsu.edu/optics/timeline/people/antiqueimages/fouc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oucault.jpg"/>
                    <pic:cNvPicPr>
                      <a:picLocks noChangeAspect="1" noChangeArrowheads="1"/>
                    </pic:cNvPicPr>
                  </pic:nvPicPr>
                  <pic:blipFill>
                    <a:blip r:embed="rId109" cstate="print"/>
                    <a:srcRect/>
                    <a:stretch>
                      <a:fillRect/>
                    </a:stretch>
                  </pic:blipFill>
                  <pic:spPr bwMode="auto">
                    <a:xfrm>
                      <a:off x="0" y="0"/>
                      <a:ext cx="1905000" cy="2901950"/>
                    </a:xfrm>
                    <a:prstGeom prst="rect">
                      <a:avLst/>
                    </a:prstGeom>
                    <a:noFill/>
                    <a:ln w="9525">
                      <a:noFill/>
                      <a:miter lim="800000"/>
                      <a:headEnd/>
                      <a:tailEnd/>
                    </a:ln>
                  </pic:spPr>
                </pic:pic>
              </a:graphicData>
            </a:graphic>
          </wp:inline>
        </w:drawing>
      </w:r>
    </w:p>
    <w:p w:rsidR="00E64A28" w:rsidRPr="00E64A28" w:rsidRDefault="00821A88" w:rsidP="004532A2">
      <w:pPr>
        <w:pStyle w:val="NoSpacing"/>
        <w:jc w:val="center"/>
        <w:rPr>
          <w:rFonts w:ascii="Book Antiqua" w:hAnsi="Book Antiqua"/>
          <w:i/>
          <w:sz w:val="18"/>
          <w:szCs w:val="18"/>
        </w:rPr>
      </w:pPr>
      <w:r w:rsidRPr="00E64A28">
        <w:rPr>
          <w:rFonts w:ascii="Book Antiqua" w:hAnsi="Book Antiqua"/>
          <w:b/>
          <w:i/>
          <w:sz w:val="18"/>
          <w:szCs w:val="18"/>
        </w:rPr>
        <w:t>Figure 21:</w:t>
      </w:r>
      <w:r w:rsidRPr="00E64A28">
        <w:rPr>
          <w:rFonts w:ascii="Book Antiqua" w:hAnsi="Book Antiqua"/>
          <w:i/>
          <w:sz w:val="18"/>
          <w:szCs w:val="18"/>
        </w:rPr>
        <w:t xml:space="preserve"> J.B.L. Foucault (1819-1868)</w:t>
      </w:r>
    </w:p>
    <w:p w:rsidR="00B817A8" w:rsidRDefault="00B817A8" w:rsidP="00B817A8">
      <w:pPr>
        <w:pStyle w:val="NoSpacing"/>
        <w:ind w:firstLine="720"/>
        <w:jc w:val="both"/>
        <w:rPr>
          <w:rFonts w:ascii="Book Antiqua" w:hAnsi="Book Antiqua"/>
          <w:sz w:val="20"/>
        </w:rPr>
      </w:pPr>
    </w:p>
    <w:p w:rsidR="00B817A8" w:rsidRDefault="00B817A8" w:rsidP="00B817A8">
      <w:pPr>
        <w:pStyle w:val="NoSpacing"/>
        <w:ind w:firstLine="720"/>
        <w:jc w:val="both"/>
        <w:rPr>
          <w:rFonts w:ascii="Book Antiqua" w:hAnsi="Book Antiqua"/>
          <w:sz w:val="20"/>
        </w:rPr>
      </w:pPr>
      <w:r w:rsidRPr="007F536A">
        <w:rPr>
          <w:rFonts w:ascii="Book Antiqua" w:hAnsi="Book Antiqua"/>
          <w:sz w:val="20"/>
        </w:rPr>
        <w:t xml:space="preserve">In 1834, at 32 years of age, Sir Charles Wheatstone of England (1802-1875), after whom the electrical circuitry known as the Wheatstone Bridge is named, entered the discussion on the speed of light. He was the first to suggest the method that incorporated a rotating mirror for the measurement of </w:t>
      </w:r>
      <m:oMath>
        <m:r>
          <w:rPr>
            <w:rStyle w:val="Emphasis"/>
            <w:rFonts w:ascii="Cambria Math" w:hAnsi="Cambria Math"/>
            <w:sz w:val="20"/>
          </w:rPr>
          <m:t>c</m:t>
        </m:r>
      </m:oMath>
      <w:r w:rsidRPr="007F536A">
        <w:rPr>
          <w:rFonts w:ascii="Book Antiqua" w:hAnsi="Book Antiqua"/>
          <w:sz w:val="20"/>
        </w:rPr>
        <w:t xml:space="preserve"> [102].</w:t>
      </w:r>
      <w:r w:rsidRPr="007F536A">
        <w:rPr>
          <w:rFonts w:ascii="Book Antiqua" w:hAnsi="Book Antiqua"/>
          <w:color w:val="FF0000"/>
          <w:sz w:val="20"/>
        </w:rPr>
        <w:t xml:space="preserve"> </w:t>
      </w:r>
      <w:r w:rsidRPr="007F536A">
        <w:rPr>
          <w:rFonts w:ascii="Book Antiqua" w:hAnsi="Book Antiqua"/>
          <w:sz w:val="20"/>
        </w:rPr>
        <w:t xml:space="preserve">Unfortunately for England in the debate about the value for </w:t>
      </w:r>
      <m:oMath>
        <m:r>
          <w:rPr>
            <w:rStyle w:val="Emphasis"/>
            <w:rFonts w:ascii="Cambria Math" w:hAnsi="Cambria Math"/>
            <w:sz w:val="20"/>
          </w:rPr>
          <m:t>c</m:t>
        </m:r>
      </m:oMath>
      <w:r w:rsidRPr="007F536A">
        <w:rPr>
          <w:rFonts w:ascii="Book Antiqua" w:hAnsi="Book Antiqua"/>
          <w:sz w:val="20"/>
        </w:rPr>
        <w:t xml:space="preserve">, Sir Charles’ suggestion was not taken up by his countrymen. However, the suggestion regarding the rotating mirror was picked up four years later, in 1838, by the noted Parisian astronomer and physicist D. F. J. Arago </w:t>
      </w:r>
      <w:r w:rsidRPr="007F536A">
        <w:rPr>
          <w:rFonts w:ascii="Book Antiqua" w:hAnsi="Book Antiqua"/>
          <w:sz w:val="20"/>
        </w:rPr>
        <w:lastRenderedPageBreak/>
        <w:t xml:space="preserve">(1786-1853). </w:t>
      </w:r>
      <w:r w:rsidRPr="007F536A">
        <w:rPr>
          <w:rStyle w:val="FootnoteReference"/>
          <w:rFonts w:ascii="Book Antiqua" w:hAnsi="Book Antiqua"/>
          <w:sz w:val="20"/>
        </w:rPr>
        <w:footnoteReference w:id="1"/>
      </w:r>
      <w:r w:rsidRPr="007F536A">
        <w:rPr>
          <w:rFonts w:ascii="Book Antiqua" w:hAnsi="Book Antiqua"/>
          <w:sz w:val="20"/>
        </w:rPr>
        <w:t xml:space="preserve"> Arago polished the suggestion, [105], which was then examined in detail by his collaborating French fellow scientists, Fizeau and Foucault, between 1845 and 1849. Following a difference of opinion, Fizeau dropped out, leaving Foucault to pursue the issue independently [106].</w:t>
      </w:r>
    </w:p>
    <w:p w:rsidR="006E6A0D" w:rsidRPr="007F536A" w:rsidRDefault="006E6A0D" w:rsidP="00B817A8">
      <w:pPr>
        <w:pStyle w:val="NoSpacing"/>
        <w:ind w:firstLine="720"/>
        <w:jc w:val="both"/>
        <w:rPr>
          <w:rFonts w:ascii="Book Antiqua" w:hAnsi="Book Antiqua"/>
          <w:color w:val="FF0000"/>
          <w:sz w:val="20"/>
        </w:rPr>
      </w:pPr>
    </w:p>
    <w:p w:rsidR="00821A88" w:rsidRPr="007F536A" w:rsidRDefault="00821A88" w:rsidP="00E64A28">
      <w:pPr>
        <w:pStyle w:val="NoSpacing"/>
        <w:ind w:firstLine="720"/>
        <w:jc w:val="both"/>
        <w:rPr>
          <w:rFonts w:ascii="Book Antiqua" w:hAnsi="Book Antiqua"/>
          <w:sz w:val="20"/>
        </w:rPr>
      </w:pPr>
      <w:r w:rsidRPr="007F536A">
        <w:rPr>
          <w:rFonts w:ascii="Book Antiqua" w:hAnsi="Book Antiqua"/>
          <w:sz w:val="20"/>
        </w:rPr>
        <w:t xml:space="preserve">Jean Bernard Leon Foucault (1819-1868), who preferred the name Leon, is remembered for the Foucault pendulum, whereby he demonstrated the rotation of the earth. (In optics, the Foucault knife-edge test bears his name, a test which many amateur astronomers use to try their concave mirrors for accuracy.) His association with Fizeau led him into dealings with light; his doctoral thesis in 1851 comprised his research into the velocity of light in water. One year prior to this, he had been researching possible problems with the rotating mirror method of discovering the speed of light.  He continued studying in this area for several years.  By 1862 he had overcome these difficulties sufficiently to obtain a pioneering result for </w:t>
      </w:r>
      <w:r w:rsidRPr="007F536A">
        <w:rPr>
          <w:rStyle w:val="Emphasis"/>
          <w:rFonts w:ascii="Book Antiqua" w:hAnsi="Book Antiqua"/>
          <w:sz w:val="20"/>
        </w:rPr>
        <w:t>c</w:t>
      </w:r>
      <w:r w:rsidRPr="007F536A">
        <w:rPr>
          <w:rFonts w:ascii="Book Antiqua" w:hAnsi="Book Antiqua"/>
          <w:sz w:val="20"/>
        </w:rPr>
        <w:t xml:space="preserve"> by the method that now bears his name. </w:t>
      </w:r>
    </w:p>
    <w:p w:rsidR="00821A88" w:rsidRPr="007F536A" w:rsidRDefault="00821A88" w:rsidP="00821A88">
      <w:pPr>
        <w:pStyle w:val="NoSpacing"/>
        <w:ind w:firstLine="720"/>
        <w:rPr>
          <w:rFonts w:ascii="Book Antiqua" w:hAnsi="Book Antiqua"/>
          <w:sz w:val="20"/>
        </w:rPr>
      </w:pPr>
    </w:p>
    <w:p w:rsidR="00821A88" w:rsidRPr="007F536A" w:rsidRDefault="00821A88" w:rsidP="00821A88">
      <w:pPr>
        <w:pStyle w:val="NoSpacing"/>
        <w:rPr>
          <w:rFonts w:ascii="Book Antiqua" w:hAnsi="Book Antiqua"/>
          <w:b/>
          <w:i/>
          <w:sz w:val="20"/>
        </w:rPr>
      </w:pPr>
      <w:bookmarkStart w:id="88" w:name="FRM"/>
      <w:bookmarkEnd w:id="88"/>
      <w:r w:rsidRPr="007F536A">
        <w:rPr>
          <w:rStyle w:val="Strong"/>
          <w:rFonts w:ascii="Book Antiqua" w:hAnsi="Book Antiqua"/>
          <w:b w:val="0"/>
          <w:i/>
          <w:sz w:val="20"/>
        </w:rPr>
        <w:t xml:space="preserve">4.2  Foucault’s Rotating Mirror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5714731" cy="2543175"/>
            <wp:effectExtent l="19050" t="0" r="269" b="0"/>
            <wp:docPr id="37" name="il_fi" descr="speed_of_light_Fouc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peed_of_light_Foucault"/>
                    <pic:cNvPicPr>
                      <a:picLocks noChangeAspect="1" noChangeArrowheads="1"/>
                    </pic:cNvPicPr>
                  </pic:nvPicPr>
                  <pic:blipFill>
                    <a:blip r:embed="rId110" cstate="print">
                      <a:lum contrast="40000"/>
                    </a:blip>
                    <a:srcRect/>
                    <a:stretch>
                      <a:fillRect/>
                    </a:stretch>
                  </pic:blipFill>
                  <pic:spPr bwMode="auto">
                    <a:xfrm>
                      <a:off x="0" y="0"/>
                      <a:ext cx="5721339" cy="2546116"/>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E64A28" w:rsidRDefault="00821A88" w:rsidP="004532A2">
      <w:pPr>
        <w:pStyle w:val="NoSpacing"/>
        <w:jc w:val="center"/>
        <w:rPr>
          <w:rFonts w:ascii="Book Antiqua" w:hAnsi="Book Antiqua"/>
          <w:i/>
          <w:sz w:val="18"/>
          <w:szCs w:val="18"/>
        </w:rPr>
      </w:pPr>
      <w:r w:rsidRPr="00E64A28">
        <w:rPr>
          <w:rFonts w:ascii="Book Antiqua" w:hAnsi="Book Antiqua"/>
          <w:b/>
          <w:i/>
          <w:sz w:val="18"/>
          <w:szCs w:val="18"/>
        </w:rPr>
        <w:t>Figure 22:</w:t>
      </w:r>
      <w:r w:rsidRPr="00E64A28">
        <w:rPr>
          <w:rFonts w:ascii="Book Antiqua" w:hAnsi="Book Antiqua"/>
          <w:i/>
          <w:sz w:val="18"/>
          <w:szCs w:val="18"/>
        </w:rPr>
        <w:t xml:space="preserve"> Foucault’s Rotating Mirror arrangement for determining “</w:t>
      </w:r>
      <m:oMath>
        <m:r>
          <w:rPr>
            <w:rFonts w:ascii="Cambria Math" w:hAnsi="Book Antiqua"/>
            <w:sz w:val="18"/>
            <w:szCs w:val="18"/>
          </w:rPr>
          <m:t>c</m:t>
        </m:r>
      </m:oMath>
      <w:r w:rsidRPr="00E64A28">
        <w:rPr>
          <w:rFonts w:ascii="Book Antiqua" w:hAnsi="Book Antiqua"/>
          <w:i/>
          <w:sz w:val="18"/>
          <w:szCs w:val="18"/>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Foucault’s method, a source of light passes through a semi-transparent plate of glass and is reflected from the rotating mirror. The reflected light is then focused through the lens onto a concave mirror, which then returns the light to the rotating mirror. If the rotating mirror is stationary, light is reflected back to the semi-transparent plate of glass, from which it is reflected to the observer. If the mirror is rotating, the position of the image will have moved through a small angle. The distance between the original position of the image and its position when the mirror rotates (in other words, its deflection), depends primarily on the rate of rotation of the mirror and the total distance that the light has to travel. Knowing the details of a given experimental setup allows the velocity of light to be calculated for a given deflection of the image [107].</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Foucault used a flat glass disk that was silvered on one side and blackened on the other as his rotating mirror. It was just 14 mm in diameter and mounted in a ring that was part of the vertical axis of a 24 vane turbine driven by compressed air. The total air pressure was kept constant at 30 centimeters of water, to within 0.2 mm, and the air was delivered to the turbine by a regulated precision blower. A continuous flow of oil at constant pressure lubricated all bearings. A toothed disk performing two rotations per second under precision clockwork was used as a stroboscope for determining the speed of the mirror. Though Foucault rotated the mirror at 500 turns per second, [108],</w:t>
      </w:r>
      <w:r w:rsidRPr="007F536A">
        <w:rPr>
          <w:rFonts w:ascii="Book Antiqua" w:hAnsi="Book Antiqua"/>
          <w:color w:val="FF0000"/>
          <w:sz w:val="20"/>
        </w:rPr>
        <w:t xml:space="preserve"> </w:t>
      </w:r>
      <w:r w:rsidRPr="007F536A">
        <w:rPr>
          <w:rFonts w:ascii="Book Antiqua" w:hAnsi="Book Antiqua"/>
          <w:sz w:val="20"/>
        </w:rPr>
        <w:t xml:space="preserve">he stated that the </w:t>
      </w:r>
      <w:r w:rsidRPr="007F536A">
        <w:rPr>
          <w:rFonts w:ascii="Book Antiqua" w:hAnsi="Book Antiqua"/>
          <w:sz w:val="20"/>
        </w:rPr>
        <w:lastRenderedPageBreak/>
        <w:t>mirror and the disk would keep in step within one part in 10,000 for minutes at a time when the mirror was rotating at 400 turns per second [109].</w:t>
      </w:r>
    </w:p>
    <w:p w:rsidR="006E57E7" w:rsidRDefault="006E57E7"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89" w:name="FP"/>
      <w:bookmarkEnd w:id="89"/>
      <w:r w:rsidRPr="007F536A">
        <w:rPr>
          <w:rStyle w:val="Strong"/>
          <w:rFonts w:ascii="Book Antiqua" w:hAnsi="Book Antiqua"/>
          <w:b w:val="0"/>
          <w:i/>
          <w:sz w:val="20"/>
        </w:rPr>
        <w:t>4.3  Foucault’s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One of the problems inherent in Foucault’s method was diffraction. The small size of the rotating mirror accentuated this, resulting in a returned image whose sharpness was impaired and whose contours were altered. To overcome this problem, Foucault used a grid of ten equal and parallel lines to the millimeter at the light source.  The resulting image was thus composed of a series of lines of maximum and minimum intensity. The distance apart of the maxima would be the same as that of the lines of light in the grid itself, and so also for the minima.</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second problem in the technique that Foucault addressed was that the intensity of the returned image dropped off with the cube of the distance between the mirrors. Looking at Figure 22, the distance between the revolving flat mirror and the concave mirror which reflected the beam back is the critical distance.  If that distance is too large, the returned image is too faint. He overcame this problem by using a chain of five mirrors (although initially he suggested a series of convex lenses) [110]. This allowed him to have a folded light path of 20 meters within the confines of a room.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0" w:name="FMCV"/>
      <w:bookmarkEnd w:id="90"/>
      <w:r w:rsidRPr="007F536A">
        <w:rPr>
          <w:rStyle w:val="Strong"/>
          <w:rFonts w:ascii="Book Antiqua" w:hAnsi="Book Antiqua"/>
          <w:b w:val="0"/>
          <w:i/>
          <w:sz w:val="20"/>
        </w:rPr>
        <w:t xml:space="preserve">4.4  Foucault’s Micrometer and </w:t>
      </w:r>
      <m:oMath>
        <m:r>
          <m:rPr>
            <m:sty m:val="bi"/>
          </m:rPr>
          <w:rPr>
            <w:rStyle w:val="Emphasis"/>
            <w:rFonts w:ascii="Cambria Math" w:hAnsi="Cambria Math"/>
            <w:sz w:val="20"/>
          </w:rPr>
          <m:t>c</m:t>
        </m:r>
      </m:oMath>
      <w:r w:rsidRPr="007F536A">
        <w:rPr>
          <w:rStyle w:val="Strong"/>
          <w:rFonts w:ascii="Book Antiqua" w:hAnsi="Book Antiqua"/>
          <w:b w:val="0"/>
          <w:i/>
          <w:sz w:val="20"/>
        </w:rPr>
        <w:t xml:space="preserve"> Value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Measurement of the deflection distance between the direct image and the returned image was achieved by a micrometer and is the vital part in the whole exercise. The larger distance between the rotating and concave mirrors, the greater will be the displacement.  The greater the displacement between the two images, the smaller will be the relative error in measurement and the more accurate the value of </w:t>
      </w:r>
      <m:oMath>
        <m:r>
          <w:rPr>
            <w:rFonts w:ascii="Cambria Math" w:hAnsi="Cambria Math"/>
            <w:sz w:val="20"/>
          </w:rPr>
          <m:t>c</m:t>
        </m:r>
        <m:r>
          <w:rPr>
            <w:rFonts w:ascii="Cambria Math" w:hAnsi="Book Antiqua"/>
            <w:sz w:val="20"/>
          </w:rPr>
          <m:t>.</m:t>
        </m:r>
      </m:oMath>
      <w:r w:rsidRPr="007F536A">
        <w:rPr>
          <w:rFonts w:ascii="Book Antiqua" w:hAnsi="Book Antiqua"/>
          <w:sz w:val="20"/>
        </w:rPr>
        <w:t xml:space="preserve"> It is at this point that Foucault’s measurement problems began. The short base-line of 20 meters allowed only a small displacement with the rate at which the mirror could reliably rotate. To get the optimum displacement he took the rotation rate to 500 turns per second rather than, as outlined above, the more desirable 400. This fixed rotation rate appears to have been used for all experiments [108].</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Foucault initially determined the displacement by means of the screw of the micrometer eyepiece. The calibration of the micrometer was performed by its measurements of ten spaces of the grid on the light source. This grid had been accurately made with great care by Froment and served as the length standard for the micrometer, having ten spaces of the grid to the millimeter. However, Foucault discovered that the screw was not as good as he had expected, and discarded this method of using it [112].</w:t>
      </w:r>
      <w:r w:rsidRPr="007F536A">
        <w:rPr>
          <w:rFonts w:ascii="Book Antiqua" w:hAnsi="Book Antiqua"/>
          <w:color w:val="FF0000"/>
          <w:sz w:val="20"/>
        </w:rPr>
        <w:t xml:space="preserve"> </w:t>
      </w:r>
      <w:r w:rsidRPr="007F536A">
        <w:rPr>
          <w:rFonts w:ascii="Book Antiqua" w:hAnsi="Book Antiqua"/>
          <w:sz w:val="20"/>
        </w:rPr>
        <w:t xml:space="preserve">Instead he fixed the micrometer at a setting of seven divisions of the grid or 0.7mm., and adjusted the distance of the mirrors to get that exact displacement. In a </w:t>
      </w:r>
      <w:r w:rsidR="00F7636C">
        <w:rPr>
          <w:rFonts w:ascii="Book Antiqua" w:hAnsi="Book Antiqua"/>
          <w:sz w:val="20"/>
        </w:rPr>
        <w:t>trial se</w:t>
      </w:r>
      <w:r w:rsidRPr="007F536A">
        <w:rPr>
          <w:rFonts w:ascii="Book Antiqua" w:hAnsi="Book Antiqua"/>
          <w:sz w:val="20"/>
        </w:rPr>
        <w:t xml:space="preserve">t of twenty measurements, the micrometer </w:t>
      </w:r>
      <w:r w:rsidR="00F7636C">
        <w:rPr>
          <w:rFonts w:ascii="Book Antiqua" w:hAnsi="Book Antiqua"/>
          <w:sz w:val="20"/>
        </w:rPr>
        <w:t xml:space="preserve">was </w:t>
      </w:r>
      <w:r w:rsidRPr="007F536A">
        <w:rPr>
          <w:rFonts w:ascii="Book Antiqua" w:hAnsi="Book Antiqua"/>
          <w:sz w:val="20"/>
        </w:rPr>
        <w:t xml:space="preserve">fixed at 0.7 mm, the mirror rotated 500 turns per second, </w:t>
      </w:r>
      <w:r w:rsidR="00F7636C">
        <w:rPr>
          <w:rFonts w:ascii="Book Antiqua" w:hAnsi="Book Antiqua"/>
          <w:sz w:val="20"/>
        </w:rPr>
        <w:t xml:space="preserve">and </w:t>
      </w:r>
      <w:r w:rsidRPr="007F536A">
        <w:rPr>
          <w:rFonts w:ascii="Book Antiqua" w:hAnsi="Book Antiqua"/>
          <w:sz w:val="20"/>
        </w:rPr>
        <w:t xml:space="preserve">the mirror distance </w:t>
      </w:r>
      <w:r w:rsidR="00F7636C">
        <w:rPr>
          <w:rFonts w:ascii="Book Antiqua" w:hAnsi="Book Antiqua"/>
          <w:sz w:val="20"/>
        </w:rPr>
        <w:t>varied just</w:t>
      </w:r>
      <w:r w:rsidRPr="007F536A">
        <w:rPr>
          <w:rFonts w:ascii="Book Antiqua" w:hAnsi="Book Antiqua"/>
          <w:sz w:val="20"/>
        </w:rPr>
        <w:t xml:space="preserve"> 5 mm [113].</w:t>
      </w:r>
    </w:p>
    <w:p w:rsidR="00821A88" w:rsidRPr="007F536A" w:rsidRDefault="00821A88" w:rsidP="00821A88">
      <w:pPr>
        <w:pStyle w:val="NoSpacing"/>
        <w:ind w:firstLine="720"/>
        <w:jc w:val="both"/>
        <w:rPr>
          <w:rFonts w:ascii="Book Antiqua" w:hAnsi="Book Antiqua"/>
          <w:sz w:val="20"/>
        </w:rPr>
      </w:pPr>
    </w:p>
    <w:p w:rsidR="00821A88" w:rsidRPr="007F536A" w:rsidRDefault="00B817A8" w:rsidP="00821A88">
      <w:pPr>
        <w:pStyle w:val="NoSpacing"/>
        <w:ind w:firstLine="720"/>
        <w:jc w:val="both"/>
        <w:rPr>
          <w:rFonts w:ascii="Book Antiqua" w:hAnsi="Book Antiqua"/>
          <w:sz w:val="20"/>
        </w:rPr>
      </w:pPr>
      <w:r>
        <w:rPr>
          <w:rFonts w:ascii="Book Antiqua" w:hAnsi="Book Antiqua"/>
          <w:sz w:val="20"/>
        </w:rPr>
        <w:t>There</w:t>
      </w:r>
      <w:r w:rsidR="00821A88" w:rsidRPr="007F536A">
        <w:rPr>
          <w:rFonts w:ascii="Book Antiqua" w:hAnsi="Book Antiqua"/>
          <w:sz w:val="20"/>
        </w:rPr>
        <w:t xml:space="preserve"> were some further difficulties in using the micrometer in this fashion. We don’t know how the micrometer was set, as no record was left of this. In the best case, with the mirror at rest, setting on the seventh division from the center of the grid may </w:t>
      </w:r>
      <w:r>
        <w:rPr>
          <w:rFonts w:ascii="Book Antiqua" w:hAnsi="Book Antiqua"/>
          <w:sz w:val="20"/>
        </w:rPr>
        <w:t xml:space="preserve">have </w:t>
      </w:r>
      <w:r w:rsidR="00821A88" w:rsidRPr="007F536A">
        <w:rPr>
          <w:rFonts w:ascii="Book Antiqua" w:hAnsi="Book Antiqua"/>
          <w:sz w:val="20"/>
        </w:rPr>
        <w:t>involve</w:t>
      </w:r>
      <w:r>
        <w:rPr>
          <w:rFonts w:ascii="Book Antiqua" w:hAnsi="Book Antiqua"/>
          <w:sz w:val="20"/>
        </w:rPr>
        <w:t>d</w:t>
      </w:r>
      <w:r w:rsidR="00821A88" w:rsidRPr="007F536A">
        <w:rPr>
          <w:rFonts w:ascii="Book Antiqua" w:hAnsi="Book Antiqua"/>
          <w:sz w:val="20"/>
        </w:rPr>
        <w:t xml:space="preserve"> some uncertainty</w:t>
      </w:r>
      <w:r>
        <w:rPr>
          <w:rFonts w:ascii="Book Antiqua" w:hAnsi="Book Antiqua"/>
          <w:sz w:val="20"/>
        </w:rPr>
        <w:t xml:space="preserve"> due to</w:t>
      </w:r>
      <w:r w:rsidR="00821A88" w:rsidRPr="007F536A">
        <w:rPr>
          <w:rFonts w:ascii="Book Antiqua" w:hAnsi="Book Antiqua"/>
          <w:sz w:val="20"/>
        </w:rPr>
        <w:t xml:space="preserve"> uncertainty in the accuracy of the original marking of the grid lines and from the breadth of the images from the grid, particularly under brilliant illumination.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 that as it may, a more important problem arises since it was admitted that the returned image was altered in contour by the very effects of diffraction that he was trying to avoid. Dorsey points out that the position of the displaced lines of maximum and minimum intensity were themselves probably changed by this effect with respect to their true position if the contours had not been altered [113]. In other words, with the mirror rotating, the position of the image of the center of the grid was systematically changed by diffraction so that the 0.7 mm was not its true displacement after all. All Foucault’s </w:t>
      </w:r>
      <m:oMath>
        <m:r>
          <w:rPr>
            <w:rStyle w:val="Emphasis"/>
            <w:rFonts w:ascii="Cambria Math" w:hAnsi="Cambria Math"/>
            <w:sz w:val="20"/>
          </w:rPr>
          <m:t>c</m:t>
        </m:r>
      </m:oMath>
      <w:r w:rsidRPr="007F536A">
        <w:rPr>
          <w:rFonts w:ascii="Book Antiqua" w:hAnsi="Book Antiqua"/>
          <w:sz w:val="20"/>
        </w:rPr>
        <w:t xml:space="preserve"> values would be systematically affected as a result of these micrometer/diffraction problems which give a large relative error due to the small value of the displacement.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Foucault worked on his speed of light observations from May 22 until September 21 of 1862, and quoted his final value in 1878 as </w:t>
      </w:r>
      <m:oMath>
        <m:r>
          <w:rPr>
            <w:rFonts w:ascii="Cambria Math" w:hAnsi="Book Antiqua"/>
            <w:sz w:val="20"/>
          </w:rPr>
          <m:t xml:space="preserve">298,000 </m:t>
        </m:r>
        <m:r>
          <w:rPr>
            <w:rFonts w:ascii="Book Antiqua" w:hAnsi="Book Antiqua"/>
            <w:sz w:val="20"/>
          </w:rPr>
          <m:t>±</m:t>
        </m:r>
        <m:r>
          <w:rPr>
            <w:rFonts w:ascii="Cambria Math" w:hAnsi="Book Antiqua"/>
            <w:sz w:val="20"/>
          </w:rPr>
          <m:t xml:space="preserve"> 500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[108]. Analyses of his work and results were published in both the United States </w:t>
      </w:r>
      <w:r w:rsidRPr="007F536A">
        <w:rPr>
          <w:rFonts w:ascii="Book Antiqua" w:hAnsi="Book Antiqua"/>
          <w:sz w:val="20"/>
        </w:rPr>
        <w:lastRenderedPageBreak/>
        <w:t>[107] and England [114].   In the United States, Professor William Harkness</w:t>
      </w:r>
      <w:r w:rsidRPr="007F536A">
        <w:rPr>
          <w:rStyle w:val="FootnoteReference"/>
          <w:rFonts w:ascii="Book Antiqua" w:hAnsi="Book Antiqua"/>
          <w:sz w:val="20"/>
        </w:rPr>
        <w:footnoteReference w:id="2"/>
      </w:r>
      <w:r w:rsidRPr="007F536A">
        <w:rPr>
          <w:rFonts w:ascii="Book Antiqua" w:hAnsi="Book Antiqua"/>
          <w:sz w:val="20"/>
        </w:rPr>
        <w:t xml:space="preserve"> stated that the final results from Foucault’s 80 observations made on September 16, 18 and 21 of 1862 is </w:t>
      </w:r>
      <m:oMath>
        <m:r>
          <w:rPr>
            <w:rFonts w:ascii="Cambria Math" w:hAnsi="Book Antiqua"/>
            <w:sz w:val="20"/>
          </w:rPr>
          <m:t xml:space="preserve">298,574 </m:t>
        </m:r>
        <m:r>
          <w:rPr>
            <w:rFonts w:ascii="Book Antiqua" w:hAnsi="Book Antiqua"/>
            <w:sz w:val="20"/>
          </w:rPr>
          <m:t>±</m:t>
        </m:r>
        <m:r>
          <w:rPr>
            <w:rFonts w:ascii="Cambria Math" w:hAnsi="Book Antiqua"/>
            <w:sz w:val="20"/>
          </w:rPr>
          <m:t xml:space="preserve"> 204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color w:val="FF0000"/>
          <w:sz w:val="20"/>
        </w:rPr>
        <w:t xml:space="preserve"> </w:t>
      </w:r>
      <w:r w:rsidRPr="007F536A">
        <w:rPr>
          <w:rFonts w:ascii="Book Antiqua" w:hAnsi="Book Antiqua"/>
          <w:sz w:val="20"/>
        </w:rPr>
        <w:t>[115].  Foucault, using the same series of observations, had come to a different speed of light.  It is not known how Harkness obtained his result.  Harkness’ values almost certainly result from the micrometer/diffraction problem mentioned above. This pioneer experiment could have been built on by the French, but it seems that the influence of Fizeau and Cornu concentrated attention on the toothed wheel method, as evidenced by the Perrotin series. This open</w:t>
      </w:r>
      <w:r w:rsidR="00F7636C">
        <w:rPr>
          <w:rFonts w:ascii="Book Antiqua" w:hAnsi="Book Antiqua"/>
          <w:sz w:val="20"/>
        </w:rPr>
        <w:t>ed the way</w:t>
      </w:r>
      <w:r w:rsidRPr="007F536A">
        <w:rPr>
          <w:rFonts w:ascii="Book Antiqua" w:hAnsi="Book Antiqua"/>
          <w:sz w:val="20"/>
        </w:rPr>
        <w:t xml:space="preserve"> for others to </w:t>
      </w:r>
      <w:r w:rsidR="00F7636C">
        <w:rPr>
          <w:rFonts w:ascii="Book Antiqua" w:hAnsi="Book Antiqua"/>
          <w:sz w:val="20"/>
        </w:rPr>
        <w:t xml:space="preserve">assess </w:t>
      </w:r>
      <w:r w:rsidRPr="007F536A">
        <w:rPr>
          <w:rFonts w:ascii="Book Antiqua" w:hAnsi="Book Antiqua"/>
          <w:sz w:val="20"/>
        </w:rPr>
        <w:t>the method</w:t>
      </w:r>
      <w:r w:rsidR="00F7636C">
        <w:rPr>
          <w:rFonts w:ascii="Book Antiqua" w:hAnsi="Book Antiqua"/>
          <w:sz w:val="20"/>
        </w:rPr>
        <w:t>’s possibilities</w:t>
      </w:r>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long run, due to the micrometer deflection problems, Foucoult discounted his own findings.  The tiny 0.7 mm deflection was miniscule compared to what later experiments were able to achieve with this method.  Later analysis by Dorsey also showed that the micrometer was the source of Foucault’s problems [107].</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1" w:name="EA"/>
      <w:bookmarkEnd w:id="91"/>
      <w:r w:rsidRPr="007F536A">
        <w:rPr>
          <w:rStyle w:val="Strong"/>
          <w:rFonts w:ascii="Book Antiqua" w:hAnsi="Book Antiqua"/>
          <w:b w:val="0"/>
          <w:i/>
          <w:sz w:val="20"/>
        </w:rPr>
        <w:t>4.5  Enter the Americans</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Encouraged by Foucault’s success, Michelson followed on in the U.S.A., using the rotating mirror pattern to perform a series of experiments from 1878 until 1926. His compatriot, Newcomb, also performed several determinations from about 1880 to 1883. The final determination by a form of this method coupled with a toothed-wheel type of effect was later performed by Pease and Pearson in California and reported in 1935.</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Simon Newcomb (1835 – 1909) was a distinguished astronomer who was associated with both the United States Naval Observatory and Johns Hopkins University. Among many other feats, he formulated a precise theoretical expression for the changing tilt of the earth’s axis by taking into account the effects of the pull of the sun, moon and planets on the earth’s equatorial bulge. It is still known today as ‘Newcomb’s Formula.’</w:t>
      </w:r>
      <w:r w:rsidRPr="007F536A">
        <w:rPr>
          <w:rStyle w:val="FootnoteReference"/>
          <w:rFonts w:ascii="Book Antiqua" w:hAnsi="Book Antiqua"/>
          <w:sz w:val="20"/>
        </w:rPr>
        <w:footnoteReference w:id="3"/>
      </w:r>
    </w:p>
    <w:p w:rsidR="00821A88" w:rsidRPr="007F536A" w:rsidRDefault="00821A88" w:rsidP="00821A88">
      <w:pPr>
        <w:pStyle w:val="NoSpacing"/>
        <w:ind w:firstLine="360"/>
        <w:jc w:val="both"/>
        <w:rPr>
          <w:rFonts w:ascii="Book Antiqua" w:hAnsi="Book Antiqua"/>
          <w:sz w:val="20"/>
        </w:rPr>
      </w:pPr>
    </w:p>
    <w:tbl>
      <w:tblPr>
        <w:tblStyle w:val="TableGrid"/>
        <w:tblW w:w="0" w:type="auto"/>
        <w:jc w:val="center"/>
        <w:tblLook w:val="04A0"/>
      </w:tblPr>
      <w:tblGrid>
        <w:gridCol w:w="3396"/>
        <w:gridCol w:w="3726"/>
      </w:tblGrid>
      <w:tr w:rsidR="00821A88" w:rsidRPr="007F536A" w:rsidTr="004532A2">
        <w:trPr>
          <w:jc w:val="center"/>
        </w:trPr>
        <w:tc>
          <w:tcPr>
            <w:tcW w:w="3396" w:type="dxa"/>
          </w:tcPr>
          <w:p w:rsidR="00821A88" w:rsidRPr="007F536A" w:rsidRDefault="00821A88" w:rsidP="00400B4E">
            <w:pPr>
              <w:pStyle w:val="NoSpacing"/>
              <w:jc w:val="both"/>
              <w:rPr>
                <w:rFonts w:ascii="Book Antiqua" w:hAnsi="Book Antiqua"/>
                <w:color w:val="FF0000"/>
                <w:sz w:val="20"/>
              </w:rPr>
            </w:pPr>
            <w:r w:rsidRPr="007F536A">
              <w:rPr>
                <w:rFonts w:ascii="Book Antiqua" w:hAnsi="Book Antiqua"/>
                <w:noProof/>
                <w:sz w:val="20"/>
              </w:rPr>
              <w:drawing>
                <wp:inline distT="0" distB="0" distL="0" distR="0">
                  <wp:extent cx="2000250" cy="2402842"/>
                  <wp:effectExtent l="19050" t="0" r="0" b="0"/>
                  <wp:docPr id="27" name="il_fi" descr="http://www.physics.csbsju.edu/astro/newcomb/Newcom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csbsju.edu/astro/newcomb/Newcomb2.jpg"/>
                          <pic:cNvPicPr>
                            <a:picLocks noChangeAspect="1" noChangeArrowheads="1"/>
                          </pic:cNvPicPr>
                        </pic:nvPicPr>
                        <pic:blipFill>
                          <a:blip r:embed="rId111" cstate="print"/>
                          <a:srcRect l="8980" t="2597" r="5629" b="15724"/>
                          <a:stretch>
                            <a:fillRect/>
                          </a:stretch>
                        </pic:blipFill>
                        <pic:spPr bwMode="auto">
                          <a:xfrm>
                            <a:off x="0" y="0"/>
                            <a:ext cx="2000250" cy="2402842"/>
                          </a:xfrm>
                          <a:prstGeom prst="rect">
                            <a:avLst/>
                          </a:prstGeom>
                          <a:noFill/>
                          <a:ln w="9525">
                            <a:noFill/>
                            <a:miter lim="800000"/>
                            <a:headEnd/>
                            <a:tailEnd/>
                          </a:ln>
                        </pic:spPr>
                      </pic:pic>
                    </a:graphicData>
                  </a:graphic>
                </wp:inline>
              </w:drawing>
            </w:r>
          </w:p>
        </w:tc>
        <w:tc>
          <w:tcPr>
            <w:tcW w:w="3726" w:type="dxa"/>
          </w:tcPr>
          <w:p w:rsidR="00821A88" w:rsidRPr="007F536A" w:rsidRDefault="00390245" w:rsidP="00400B4E">
            <w:pPr>
              <w:pStyle w:val="NoSpacing"/>
              <w:jc w:val="center"/>
              <w:rPr>
                <w:rFonts w:ascii="Book Antiqua" w:hAnsi="Book Antiqua"/>
                <w:color w:val="FF0000"/>
                <w:sz w:val="20"/>
              </w:rPr>
            </w:pPr>
            <w:r w:rsidRPr="007F536A">
              <w:rPr>
                <w:rFonts w:ascii="Book Antiqua" w:hAnsi="Book Antiqua"/>
                <w:noProof/>
                <w:color w:val="FF0000"/>
                <w:sz w:val="20"/>
              </w:rPr>
              <w:drawing>
                <wp:inline distT="0" distB="0" distL="0" distR="0">
                  <wp:extent cx="2200275" cy="2400300"/>
                  <wp:effectExtent l="19050" t="0" r="9525" b="0"/>
                  <wp:docPr id="133" name="Picture 93" descr="http://t2.gstatic.com/images?q=tbn:ANd9GcSUG0oab64SiVvmBfwQXy2LvlNagM4_O3hFZPav2n3YMLROd2whmw"/>
                  <wp:cNvGraphicFramePr/>
                  <a:graphic xmlns:a="http://schemas.openxmlformats.org/drawingml/2006/main">
                    <a:graphicData uri="http://schemas.openxmlformats.org/drawingml/2006/picture">
                      <pic:pic xmlns:pic="http://schemas.openxmlformats.org/drawingml/2006/picture">
                        <pic:nvPicPr>
                          <pic:cNvPr id="4" name="rg_hi" descr="http://t2.gstatic.com/images?q=tbn:ANd9GcSUG0oab64SiVvmBfwQXy2LvlNagM4_O3hFZPav2n3YMLROd2whmw"/>
                          <pic:cNvPicPr/>
                        </pic:nvPicPr>
                        <pic:blipFill>
                          <a:blip r:embed="rId112" cstate="print"/>
                          <a:srcRect t="5637" r="5415" b="18873"/>
                          <a:stretch>
                            <a:fillRect/>
                          </a:stretch>
                        </pic:blipFill>
                        <pic:spPr bwMode="auto">
                          <a:xfrm>
                            <a:off x="0" y="0"/>
                            <a:ext cx="2200275" cy="24003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color w:val="FF0000"/>
          <w:sz w:val="20"/>
        </w:rPr>
      </w:pPr>
    </w:p>
    <w:p w:rsidR="00821A88" w:rsidRPr="001C099A" w:rsidRDefault="00821A88" w:rsidP="004532A2">
      <w:pPr>
        <w:pStyle w:val="NoSpacing"/>
        <w:jc w:val="center"/>
        <w:rPr>
          <w:rFonts w:ascii="Book Antiqua" w:hAnsi="Book Antiqua"/>
          <w:i/>
          <w:sz w:val="18"/>
          <w:szCs w:val="18"/>
        </w:rPr>
      </w:pPr>
      <w:r w:rsidRPr="001C099A">
        <w:rPr>
          <w:rFonts w:ascii="Book Antiqua" w:hAnsi="Book Antiqua"/>
          <w:b/>
          <w:i/>
          <w:sz w:val="18"/>
          <w:szCs w:val="18"/>
        </w:rPr>
        <w:t>Figure 23: Left</w:t>
      </w:r>
      <w:r w:rsidRPr="001C099A">
        <w:rPr>
          <w:rFonts w:ascii="Book Antiqua" w:hAnsi="Book Antiqua"/>
          <w:i/>
          <w:sz w:val="18"/>
          <w:szCs w:val="18"/>
        </w:rPr>
        <w:t xml:space="preserve"> - Simon Newcomb 1835-1909; </w:t>
      </w:r>
      <w:r w:rsidRPr="001C099A">
        <w:rPr>
          <w:rFonts w:ascii="Book Antiqua" w:hAnsi="Book Antiqua"/>
          <w:b/>
          <w:i/>
          <w:sz w:val="18"/>
          <w:szCs w:val="18"/>
        </w:rPr>
        <w:t>Right -</w:t>
      </w:r>
      <w:r w:rsidRPr="001C099A">
        <w:rPr>
          <w:rFonts w:ascii="Book Antiqua" w:hAnsi="Book Antiqua"/>
          <w:i/>
          <w:sz w:val="18"/>
          <w:szCs w:val="18"/>
        </w:rPr>
        <w:t xml:space="preserve"> Albert A. Michelson 1852-1931.</w:t>
      </w:r>
    </w:p>
    <w:p w:rsidR="004532A2" w:rsidRDefault="004532A2" w:rsidP="004532A2">
      <w:pPr>
        <w:pStyle w:val="NoSpacing"/>
        <w:jc w:val="both"/>
        <w:rPr>
          <w:rFonts w:ascii="Book Antiqua" w:hAnsi="Book Antiqua"/>
          <w:sz w:val="20"/>
        </w:rPr>
      </w:pPr>
    </w:p>
    <w:p w:rsidR="004532A2" w:rsidRPr="007F536A" w:rsidRDefault="004532A2" w:rsidP="004532A2">
      <w:pPr>
        <w:pStyle w:val="NoSpacing"/>
        <w:jc w:val="both"/>
        <w:rPr>
          <w:rFonts w:ascii="Book Antiqua" w:hAnsi="Book Antiqua"/>
          <w:color w:val="FF0000"/>
          <w:sz w:val="20"/>
        </w:rPr>
      </w:pPr>
      <w:r w:rsidRPr="007F536A">
        <w:rPr>
          <w:rFonts w:ascii="Book Antiqua" w:hAnsi="Book Antiqua"/>
          <w:sz w:val="20"/>
        </w:rPr>
        <w:t xml:space="preserve">Newcomb’s extensive report of his determinations of </w:t>
      </w:r>
      <m:oMath>
        <m:r>
          <w:rPr>
            <w:rStyle w:val="Emphasis"/>
            <w:rFonts w:ascii="Cambria Math" w:hAnsi="Cambria Math"/>
            <w:sz w:val="20"/>
          </w:rPr>
          <m:t>c</m:t>
        </m:r>
      </m:oMath>
      <w:r w:rsidRPr="007F536A">
        <w:rPr>
          <w:rFonts w:ascii="Book Antiqua" w:hAnsi="Book Antiqua"/>
          <w:sz w:val="20"/>
        </w:rPr>
        <w:t xml:space="preserve"> during 1880-1882 appeared in 1891 [117]. It seems that he had been considering the project since 1867. However, it was not until March of 1879 that Congress gave him the necessary appropriation for the work. By then Michelson had already performed preliminary experiments and was working towards a more definitive value for </w:t>
      </w:r>
      <m:oMath>
        <m:r>
          <w:rPr>
            <w:rStyle w:val="Emphasis"/>
            <w:rFonts w:ascii="Cambria Math" w:hAnsi="Cambria Math"/>
            <w:sz w:val="20"/>
          </w:rPr>
          <m:t>c</m:t>
        </m:r>
      </m:oMath>
      <w:r w:rsidRPr="007F536A">
        <w:rPr>
          <w:rFonts w:ascii="Book Antiqua" w:hAnsi="Book Antiqua"/>
          <w:sz w:val="20"/>
        </w:rPr>
        <w:t xml:space="preserve">. Michelson’s results were published in 1878 and 1880 respectively. He had performed his experiments at the Naval Academy, Annapolis, where he was an instructor, and submitted his results to </w:t>
      </w:r>
      <w:r w:rsidRPr="007F536A">
        <w:rPr>
          <w:rFonts w:ascii="Book Antiqua" w:hAnsi="Book Antiqua"/>
          <w:sz w:val="20"/>
        </w:rPr>
        <w:lastRenderedPageBreak/>
        <w:t>the Secretary of the Navy. As the protocol required, the Naval Secretary forwarded the manuscript to the Nautical Almanac Office, whose Superintendent was none other than Newcomb [118].</w:t>
      </w:r>
    </w:p>
    <w:p w:rsidR="004532A2" w:rsidRDefault="004532A2" w:rsidP="004532A2">
      <w:pPr>
        <w:pStyle w:val="NoSpacing"/>
        <w:jc w:val="both"/>
        <w:rPr>
          <w:rFonts w:ascii="Book Antiqua" w:hAnsi="Book Antiqua"/>
          <w:sz w:val="20"/>
        </w:rPr>
      </w:pPr>
    </w:p>
    <w:p w:rsidR="00821A88" w:rsidRPr="007F536A" w:rsidRDefault="00821A88" w:rsidP="00821A88">
      <w:pPr>
        <w:pStyle w:val="NoSpacing"/>
        <w:ind w:firstLine="360"/>
        <w:jc w:val="both"/>
        <w:rPr>
          <w:rStyle w:val="Emphasis"/>
          <w:rFonts w:ascii="Book Antiqua" w:hAnsi="Book Antiqua"/>
          <w:sz w:val="20"/>
        </w:rPr>
      </w:pPr>
      <w:r w:rsidRPr="007F536A">
        <w:rPr>
          <w:rFonts w:ascii="Book Antiqua" w:hAnsi="Book Antiqua"/>
          <w:sz w:val="20"/>
        </w:rPr>
        <w:t xml:space="preserve">Newcomb thereupon requested that Michelson be seconded to assist him with his determination. The required assistance was rendered during a portion of Newcomb’s first series, until September 13, 1880. By then, Michelson had accepted an appointment to the Case Institute and moved to Cleveland, Ohio, terminating his association with Newcomb. However, Newcomb encouraged Michelson to make an entirely new determination of </w:t>
      </w:r>
      <m:oMath>
        <m:r>
          <w:rPr>
            <w:rStyle w:val="Emphasis"/>
            <w:rFonts w:ascii="Book Antiqua" w:hAnsi="Cambria Math"/>
            <w:sz w:val="20"/>
          </w:rPr>
          <m:t>c</m:t>
        </m:r>
      </m:oMath>
      <w:r w:rsidRPr="007F536A">
        <w:rPr>
          <w:rFonts w:ascii="Book Antiqua" w:hAnsi="Book Antiqua"/>
          <w:sz w:val="20"/>
        </w:rPr>
        <w:t xml:space="preserve"> there at Cleveland, which was done in 1882, and wrote the introductory note to Michelson’s report in 1891. Michelson continued with a more extensive series of determinations of</w:t>
      </w:r>
      <m:oMath>
        <m:r>
          <w:rPr>
            <w:rFonts w:ascii="Book Antiqua" w:hAnsi="Book Antiqua"/>
            <w:sz w:val="20"/>
          </w:rPr>
          <m:t xml:space="preserve"> </m:t>
        </m:r>
        <m:r>
          <w:rPr>
            <w:rStyle w:val="Emphasis"/>
            <w:rFonts w:ascii="Book Antiqua" w:hAnsi="Cambria Math"/>
            <w:sz w:val="20"/>
          </w:rPr>
          <m:t>c</m:t>
        </m:r>
      </m:oMath>
      <w:r w:rsidRPr="007F536A">
        <w:rPr>
          <w:rStyle w:val="Emphasis"/>
          <w:rFonts w:ascii="Book Antiqua" w:hAnsi="Book Antiqua"/>
          <w:sz w:val="20"/>
        </w:rPr>
        <w:t>.</w:t>
      </w:r>
    </w:p>
    <w:p w:rsidR="00821A88" w:rsidRPr="007F536A" w:rsidRDefault="00821A88" w:rsidP="00821A88">
      <w:pPr>
        <w:pStyle w:val="NoSpacing"/>
        <w:rPr>
          <w:rStyle w:val="Strong"/>
          <w:rFonts w:ascii="Book Antiqua" w:hAnsi="Book Antiqua"/>
          <w:b w:val="0"/>
          <w:i/>
          <w:sz w:val="20"/>
        </w:rPr>
      </w:pPr>
      <w:bookmarkStart w:id="92" w:name="NX"/>
      <w:bookmarkEnd w:id="92"/>
    </w:p>
    <w:p w:rsidR="00821A88" w:rsidRPr="007F536A" w:rsidRDefault="00821A88" w:rsidP="00821A88">
      <w:pPr>
        <w:pStyle w:val="NoSpacing"/>
        <w:numPr>
          <w:ilvl w:val="1"/>
          <w:numId w:val="25"/>
        </w:numPr>
        <w:rPr>
          <w:rFonts w:ascii="Book Antiqua" w:hAnsi="Book Antiqua"/>
          <w:b/>
          <w:i/>
          <w:sz w:val="20"/>
        </w:rPr>
      </w:pPr>
      <w:r w:rsidRPr="007F536A">
        <w:rPr>
          <w:rStyle w:val="Strong"/>
          <w:rFonts w:ascii="Book Antiqua" w:hAnsi="Book Antiqua"/>
          <w:b w:val="0"/>
          <w:i/>
          <w:sz w:val="20"/>
        </w:rPr>
        <w:t>Newcomb’s Experiments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Newcomb utilized a square steel prism as his rotating mirror.  It was 85 mm. long and 37.5 mm. square. All four faces were nickel-plated and polished. The prism was rotated on its long axis inside a metal housing that had two open windows opposite each other. Rotation of the prism was effected by a stream of air directed through the windows against the 12 vanes in each of the two fan wheels rigidly attached to either end of the prism. It appears from Newcomb’s Figure 5 of Plate VI that four of the vanes were pointing in the direction of the corners of the prism on the lower wheel. However, the prism corners were midway between vanes for the upper wheel. </w:t>
      </w:r>
      <w:r w:rsidR="00DA69B6">
        <w:rPr>
          <w:rFonts w:ascii="Book Antiqua" w:hAnsi="Book Antiqua"/>
          <w:sz w:val="20"/>
        </w:rPr>
        <w:t xml:space="preserve">Some years later, in an effort to discount any change in the speed of light, </w:t>
      </w:r>
      <w:r w:rsidRPr="007F536A">
        <w:rPr>
          <w:rFonts w:ascii="Book Antiqua" w:hAnsi="Book Antiqua"/>
          <w:sz w:val="20"/>
        </w:rPr>
        <w:t>Dorsey suggested that wheels of 13 vanes may have been better for symmetry and to overcome any potential problems caused by any absence of symmetry [119].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6076568" cy="2438400"/>
            <wp:effectExtent l="19050" t="0" r="382"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lum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6079800" cy="2439697"/>
                    </a:xfrm>
                    <a:prstGeom prst="rect">
                      <a:avLst/>
                    </a:prstGeom>
                    <a:noFill/>
                    <a:ln>
                      <a:noFill/>
                    </a:ln>
                  </pic:spPr>
                </pic:pic>
              </a:graphicData>
            </a:graphic>
          </wp:inline>
        </w:drawing>
      </w:r>
    </w:p>
    <w:p w:rsidR="00821A88" w:rsidRPr="007F536A" w:rsidRDefault="00821A88" w:rsidP="00821A88">
      <w:pPr>
        <w:pStyle w:val="NoSpacing"/>
        <w:rPr>
          <w:rFonts w:ascii="Book Antiqua" w:hAnsi="Book Antiqua"/>
          <w:sz w:val="18"/>
          <w:szCs w:val="18"/>
        </w:rPr>
      </w:pPr>
    </w:p>
    <w:p w:rsidR="00821A88" w:rsidRPr="001C099A" w:rsidRDefault="00821A88" w:rsidP="00821A88">
      <w:pPr>
        <w:pStyle w:val="NoSpacing"/>
        <w:rPr>
          <w:rFonts w:ascii="Book Antiqua" w:eastAsiaTheme="minorHAnsi" w:hAnsi="Book Antiqua"/>
          <w:i/>
          <w:sz w:val="18"/>
          <w:szCs w:val="18"/>
        </w:rPr>
      </w:pPr>
      <w:r w:rsidRPr="001C099A">
        <w:rPr>
          <w:rFonts w:ascii="Book Antiqua" w:eastAsiaTheme="minorHAnsi" w:hAnsi="Book Antiqua"/>
          <w:b/>
          <w:i/>
          <w:sz w:val="18"/>
          <w:szCs w:val="18"/>
        </w:rPr>
        <w:t>Figure 24:</w:t>
      </w:r>
      <w:r w:rsidRPr="001C099A">
        <w:rPr>
          <w:rFonts w:ascii="Book Antiqua" w:eastAsiaTheme="minorHAnsi" w:hAnsi="Book Antiqua"/>
          <w:i/>
          <w:sz w:val="18"/>
          <w:szCs w:val="18"/>
        </w:rPr>
        <w:t xml:space="preserve"> This simplified sketch shows the general layout of the optical components used for the Newcomb-Michelson Washington D.C. velocity of light experiments. S was the light source (illuminated slit), G was a beam splitter, R was the rotating mirror, L was the objective lens, M was a fixed spherical mirror, and E was the observer’s eyepiece. The image returning from the fixed mirror was displaced by twice the angle through which R rotated during the time interval that it took for the light to travel from R to M. By measuring the angular velocity of R, the angular deviation 2a, and the distance RM, it was possible to compute the velocity of light.</w:t>
      </w:r>
    </w:p>
    <w:p w:rsidR="00821A88" w:rsidRPr="007F536A" w:rsidRDefault="00821A88" w:rsidP="00821A88">
      <w:pPr>
        <w:pStyle w:val="NoSpacing"/>
        <w:jc w:val="both"/>
        <w:rPr>
          <w:rFonts w:ascii="Book Antiqua" w:eastAsiaTheme="minorHAnsi" w:hAnsi="Book Antiqua"/>
          <w:i/>
          <w:iCs/>
          <w:sz w:val="20"/>
        </w:rPr>
      </w:pPr>
    </w:p>
    <w:p w:rsidR="00CF20BB" w:rsidRPr="007F536A" w:rsidRDefault="00192315" w:rsidP="00DA69B6">
      <w:pPr>
        <w:pStyle w:val="NoSpacing"/>
        <w:ind w:firstLine="720"/>
        <w:jc w:val="both"/>
        <w:rPr>
          <w:rFonts w:ascii="Book Antiqua" w:hAnsi="Book Antiqua"/>
          <w:sz w:val="20"/>
        </w:rPr>
      </w:pPr>
      <w:r w:rsidRPr="007F536A">
        <w:rPr>
          <w:rFonts w:ascii="Book Antiqua" w:hAnsi="Book Antiqua"/>
          <w:sz w:val="20"/>
        </w:rPr>
        <w:t xml:space="preserve">A stiff frame carrying the observing telescope swung about an axis coincident with that of the rotating prism. At its other end was a pair of microscopes for reading the deflection. The radius of the arc over which it swung was 2.4 meters. The sending telescope was placed immediately above the observing ‘scope and had as its light source an adjustable slit illuminated by sunlight reflected from </w:t>
      </w:r>
      <w:r w:rsidR="00CF20BB" w:rsidRPr="007F536A">
        <w:rPr>
          <w:rFonts w:ascii="Book Antiqua" w:hAnsi="Book Antiqua"/>
          <w:sz w:val="20"/>
        </w:rPr>
        <w:t>the heliostat. Light from the slit was directed to the upper half of one of the rotating prism’s faces. Following its return from the distant concave mirror, the light beam was reflected from the lower half of the same face into the observing telescope.</w:t>
      </w:r>
    </w:p>
    <w:p w:rsidR="00CF20BB" w:rsidRPr="007F536A" w:rsidRDefault="00CF20BB" w:rsidP="00821A88">
      <w:pPr>
        <w:pStyle w:val="NoSpacing"/>
        <w:jc w:val="both"/>
        <w:rPr>
          <w:rFonts w:ascii="Book Antiqua" w:eastAsiaTheme="minorHAnsi" w:hAnsi="Book Antiqua"/>
          <w:i/>
          <w:iCs/>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In his initial work, centering about 1880.9, the base-line was 2550.95 meters from Fort Meyer to the U.S. Naval Observatory. For this series he used mirror speeds ranging from 114 to 254 turns per second. In his second and third series, centered in 1881.7 and 1882.7 respectively, the base was lengthened to 3721.21 meters from Fort Meyer to the Washington Monument. The base-line was measured by the United States Coast and Geodetic Survey. This time, mirror speeds of 176 to 268 turns per second were employed. The mirror rotation rate was obtained from a chronograph record of every 28 turns of the mirror, the time being recorded by a rated chronometer.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placed the observing telescope in a suitable position and adjusted the rotation rate of the prism until the returned image was just on the cross hairs. The prism rotation rate was then held steady until a long enough chronograph record had been obtained. The observing scope was then swung equally far on the other side of the zero deflection position, and the prism rotated in the opposite direction while the necessary quantities were noted.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method overcame the problem of getting an accurate setting on the un-deflected beam due to its brilliance and the width of the slit. Additionally, the trouble suffered by Foucault with the lack of symmetry in the diffraction pattern was eliminated. The difficulty of Foucault’s miniscule deflection of 0.7 mm was well under control. The first series with the shortest base line gave double angles ranging from 10,500 arc seconds to 22,300” with an average of 15,000”. That is an average of 4.2 degrees, which translates into about 17.5 cm for the linear deflection, the range being roughly 12 cm to 26 cm for the double angle. This average is just 125 times the linear deflection of Foucault’s pioneer result if the single angle is taken.</w:t>
      </w:r>
      <w:bookmarkStart w:id="93" w:name="NP"/>
      <w:bookmarkEnd w:id="93"/>
    </w:p>
    <w:p w:rsidR="00821A88" w:rsidRPr="007F536A" w:rsidRDefault="00821A88" w:rsidP="00821A88">
      <w:pPr>
        <w:pStyle w:val="NoSpacing"/>
        <w:jc w:val="both"/>
        <w:rPr>
          <w:rStyle w:val="Strong"/>
          <w:rFonts w:ascii="Book Antiqua" w:hAnsi="Book Antiqua"/>
          <w:b w:val="0"/>
          <w:bCs w:val="0"/>
          <w:i/>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r w:rsidRPr="007F536A">
        <w:rPr>
          <w:rStyle w:val="Strong"/>
          <w:rFonts w:ascii="Book Antiqua" w:hAnsi="Book Antiqua"/>
          <w:b w:val="0"/>
          <w:i/>
          <w:sz w:val="20"/>
        </w:rPr>
        <w:t>Newcomb’s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All told, there were three distinct series of experiments. Michelson assisted Newcomb for part of the first series from June 28 until September 13, 1880. The series continued until April 15, 1881, by which time 150 experiments had been performed. Of these, Michelson had been involved with 99. The second series went from August 8, 1881, until September 24, with 39 experiments performed. The third series, in which Newcomb was assisted by Holcombe, extended from July 24, 1882, to September 5 of that year for a total of 66 experiments. This made a grand total of 255 experiments.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However, they were not all equally successful. The first series over the short path from Fort Meyer to the Naval Observatory seemed to go smoothly, but all was not as it seemed. The second series over the longer path from Fort Meyer to the Washington Monument demonstrated a problem. Newcomb had the pivots of the mirror examined and re-ground by the manufacturers at the beginning of each series [120]. As the second series proceeded, abnormalities were noticed. Different mirror faces appeared to give slightly different displacements of portions of the image. By the 12th of September, 1881, there was no doubt. The image was split into two pairs of parts. The arrangement indicated that an axial vibration of the mirror was responsible with its period being half the time of rotation.  The problem with the vibration was not noticeable below a certain speed, which is why it had not been seen previously [121].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sent the mirror to the maker on September 14th. There, two troubles were discovered by the maker. First, he reported the mirror was out of balance, a condition that seems to have existed from the beginning, thereby affecting the first series. The second problem was that the pivot was not perfectly round. These problems were fixed and experimentation began again on the 19th, but by the 24th the pivot problem had reasserted itself. The pivot by then had “</w:t>
      </w:r>
      <w:r w:rsidRPr="007F536A">
        <w:rPr>
          <w:rStyle w:val="Emphasis"/>
          <w:rFonts w:ascii="Book Antiqua" w:hAnsi="Book Antiqua"/>
          <w:sz w:val="20"/>
        </w:rPr>
        <w:t>cohered to its conical cap, and the mirror was sent to the makers for another thorough overhauling of its pivots</w:t>
      </w:r>
      <w:r w:rsidRPr="007F536A">
        <w:rPr>
          <w:rFonts w:ascii="Book Antiqua" w:hAnsi="Book Antiqua"/>
          <w:sz w:val="20"/>
        </w:rPr>
        <w:t>.”[122]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the same time, Newcomb arranged for the sending and receiving telescopes to have their positions interchangeable. If the mirror was out of balance, or if there were torsional vibrations of the mirror in which the top was in a different position relative to the bottom, then interchanging the telescopes would change the sign of the systematic error. The problem could thus be picked up and estimated, or eliminated. Newcomb suspected that such torsional vibrations may have been present due to a static twist from the offset vanes in the fan wheels, as well as the mirror imbalance already noted. Recognizing this allowed both problems to be corrected. However, after analysis, Dorsey decided that the magnitude of the force needed for such a static twist, whether from fan wheels or any other cause, was </w:t>
      </w:r>
      <w:r w:rsidRPr="007F536A">
        <w:rPr>
          <w:rFonts w:ascii="Book Antiqua" w:hAnsi="Book Antiqua"/>
          <w:sz w:val="20"/>
        </w:rPr>
        <w:lastRenderedPageBreak/>
        <w:t>too high to have caused these problems. Furthermore, in the third series that was conducted in 1882, the reversal of the two telescopes produced a difference “</w:t>
      </w:r>
      <w:r w:rsidRPr="007F536A">
        <w:rPr>
          <w:rStyle w:val="Emphasis"/>
          <w:rFonts w:ascii="Book Antiqua" w:hAnsi="Book Antiqua"/>
          <w:sz w:val="20"/>
        </w:rPr>
        <w:t>too small for taking account of</w:t>
      </w:r>
      <w:r w:rsidRPr="007F536A">
        <w:rPr>
          <w:rFonts w:ascii="Book Antiqua" w:hAnsi="Book Antiqua"/>
          <w:sz w:val="20"/>
        </w:rPr>
        <w:t>.” [123]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Thus, the third series ran smoothly, with no mirror imbalance and no upsetting vibrations detected. The first series appeared to be affected by the presence of the vibration from the mirror imbalance. It could not have been detected without the telescope reversals unless its period happened to be some high multiple of the time for quarter of a revolution. This was only attained in some of the observations of series 2. Newcomb therefore based his value of </w:t>
      </w:r>
      <w:r w:rsidRPr="007F536A">
        <w:rPr>
          <w:rStyle w:val="Emphasis"/>
          <w:rFonts w:ascii="Book Antiqua" w:hAnsi="Book Antiqua"/>
          <w:sz w:val="20"/>
        </w:rPr>
        <w:t>c</w:t>
      </w:r>
      <w:r w:rsidRPr="007F536A">
        <w:rPr>
          <w:rFonts w:ascii="Book Antiqua" w:hAnsi="Book Antiqua"/>
          <w:sz w:val="20"/>
        </w:rPr>
        <w:t xml:space="preserve"> solely on the results of </w:t>
      </w:r>
      <w:r w:rsidR="00DA69B6">
        <w:rPr>
          <w:rFonts w:ascii="Book Antiqua" w:hAnsi="Book Antiqua"/>
          <w:sz w:val="20"/>
        </w:rPr>
        <w:t xml:space="preserve">the third </w:t>
      </w:r>
      <w:r w:rsidRPr="007F536A">
        <w:rPr>
          <w:rFonts w:ascii="Book Antiqua" w:hAnsi="Book Antiqua"/>
          <w:sz w:val="20"/>
        </w:rPr>
        <w:t>series. He stated, “</w:t>
      </w:r>
      <w:r w:rsidRPr="007F536A">
        <w:rPr>
          <w:rStyle w:val="Emphasis"/>
          <w:rFonts w:ascii="Book Antiqua" w:hAnsi="Book Antiqua"/>
          <w:sz w:val="20"/>
        </w:rPr>
        <w:t>The preceding investigations and discussions seem to show that our results should depend entirely on the measures of 1882</w:t>
      </w:r>
      <w:r w:rsidRPr="007F536A">
        <w:rPr>
          <w:rFonts w:ascii="Book Antiqua" w:hAnsi="Book Antiqua"/>
          <w:sz w:val="20"/>
        </w:rPr>
        <w:t>.” [124]</w:t>
      </w:r>
    </w:p>
    <w:p w:rsidR="00821A88" w:rsidRPr="007F536A" w:rsidRDefault="00821A88" w:rsidP="00821A88">
      <w:pPr>
        <w:pStyle w:val="NoSpacing"/>
        <w:jc w:val="both"/>
        <w:rPr>
          <w:rStyle w:val="Strong"/>
          <w:rFonts w:ascii="Book Antiqua" w:hAnsi="Book Antiqua"/>
          <w:b w:val="0"/>
          <w:bCs w:val="0"/>
          <w:sz w:val="20"/>
        </w:rPr>
      </w:pPr>
      <w:bookmarkStart w:id="94" w:name="NR"/>
      <w:bookmarkEnd w:id="94"/>
    </w:p>
    <w:p w:rsidR="00821A88" w:rsidRPr="007F536A" w:rsidRDefault="00821A88" w:rsidP="00821A88">
      <w:pPr>
        <w:pStyle w:val="NoSpacing"/>
        <w:numPr>
          <w:ilvl w:val="1"/>
          <w:numId w:val="24"/>
        </w:numPr>
        <w:jc w:val="both"/>
        <w:rPr>
          <w:rFonts w:ascii="Book Antiqua" w:hAnsi="Book Antiqua"/>
          <w:b/>
          <w:i/>
          <w:sz w:val="20"/>
        </w:rPr>
      </w:pPr>
      <w:r w:rsidRPr="007F536A">
        <w:rPr>
          <w:rStyle w:val="Strong"/>
          <w:rFonts w:ascii="Book Antiqua" w:hAnsi="Book Antiqua"/>
          <w:b w:val="0"/>
          <w:i/>
          <w:sz w:val="20"/>
        </w:rPr>
        <w:t>Newcomb’s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result from Newcomb’s first series of 150 experiments centering on 1880.9 over the 2550.95 meter path (about 1.6 miles) </w:t>
      </w:r>
      <w:proofErr w:type="gramStart"/>
      <w:r w:rsidRPr="007F536A">
        <w:rPr>
          <w:rFonts w:ascii="Book Antiqua" w:hAnsi="Book Antiqua"/>
          <w:sz w:val="20"/>
        </w:rPr>
        <w:t xml:space="preserve">was </w:t>
      </w:r>
      <m:oMath>
        <w:proofErr w:type="gramEnd"/>
        <m:r>
          <w:rPr>
            <w:rFonts w:ascii="Book Antiqua" w:hAnsi="Book Antiqua"/>
            <w:sz w:val="20"/>
          </w:rPr>
          <m:t xml:space="preserve">299,627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The result from the second series of 39 experiments over the 3721.21 meters </w:t>
      </w:r>
      <w:proofErr w:type="gramStart"/>
      <w:r w:rsidRPr="007F536A">
        <w:rPr>
          <w:rFonts w:ascii="Book Antiqua" w:hAnsi="Book Antiqua"/>
          <w:sz w:val="20"/>
        </w:rPr>
        <w:t>( about</w:t>
      </w:r>
      <w:proofErr w:type="gramEnd"/>
      <w:r w:rsidRPr="007F536A">
        <w:rPr>
          <w:rFonts w:ascii="Book Antiqua" w:hAnsi="Book Antiqua"/>
          <w:sz w:val="20"/>
        </w:rPr>
        <w:t xml:space="preserve"> 2.3 miles) for a mean date of 1881.7 was </w:t>
      </w:r>
      <m:oMath>
        <m:r>
          <w:rPr>
            <w:rFonts w:ascii="Book Antiqua" w:hAnsi="Book Antiqua"/>
            <w:sz w:val="20"/>
          </w:rPr>
          <m:t xml:space="preserve">299,694 </m:t>
        </m:r>
        <m:r>
          <w:rPr>
            <w:rFonts w:ascii="Cambria Math" w:hAnsi="Book Antiqua"/>
            <w:sz w:val="20"/>
          </w:rPr>
          <m:t>km</m:t>
        </m:r>
        <m:r>
          <w:rPr>
            <w:rFonts w:ascii="Book Antiqua" w:hAnsi="Cambria Math"/>
            <w:sz w:val="20"/>
          </w:rPr>
          <m:t>k</m:t>
        </m:r>
        <m:r>
          <w:rPr>
            <w:rFonts w:ascii="Cambria Math" w:hAnsi="Cambria Math"/>
            <w:sz w:val="20"/>
          </w:rPr>
          <m:t>s</m:t>
        </m:r>
        <m:r>
          <w:rPr>
            <w:rFonts w:ascii="Book Antiqua" w:hAnsi="Cambria Math"/>
            <w:sz w:val="20"/>
          </w:rPr>
          <m:t>m</m:t>
        </m:r>
        <m:r>
          <w:rPr>
            <w:rFonts w:ascii="Book Antiqua" w:hAnsi="Book Antiqua"/>
            <w:sz w:val="20"/>
          </w:rPr>
          <m:t>/</m:t>
        </m:r>
        <m:r>
          <w:rPr>
            <w:rFonts w:ascii="Book Antiqua" w:hAnsi="Cambria Math"/>
            <w:sz w:val="20"/>
          </w:rPr>
          <m:t>s</m:t>
        </m:r>
      </m:oMath>
      <w:r w:rsidRPr="007F536A">
        <w:rPr>
          <w:rFonts w:ascii="Book Antiqua" w:hAnsi="Book Antiqua"/>
          <w:sz w:val="20"/>
        </w:rPr>
        <w:t xml:space="preserve">. Both of these values are for the speed of light in air. Newcomb did not even bother to reduce them to a vacuum or even mention their probable errors because of the problems associated with these two series. The result from the third series of 66 experiments over 3721.21 meters (about 2.3 miles) with a mean date of 1882.7 was </w:t>
      </w:r>
      <m:oMath>
        <m:r>
          <w:rPr>
            <w:rFonts w:ascii="Book Antiqua" w:hAnsi="Book Antiqua"/>
            <w:sz w:val="20"/>
          </w:rPr>
          <m:t xml:space="preserve">299,860 ± 30 </m:t>
        </m:r>
        <m:r>
          <w:rPr>
            <w:rFonts w:ascii="Book Antiqua" w:hAnsi="Cambria Math"/>
            <w:sz w:val="20"/>
          </w:rPr>
          <m:t>km</m:t>
        </m:r>
        <m:r>
          <w:rPr>
            <w:rFonts w:ascii="Cambria Math" w:hAnsi="Cambria Math"/>
            <w:sz w:val="20"/>
          </w:rPr>
          <m:t>km</m:t>
        </m:r>
        <m:r>
          <w:rPr>
            <w:rFonts w:ascii="Book Antiqua" w:hAnsi="Book Antiqua"/>
            <w:sz w:val="20"/>
          </w:rPr>
          <m:t>/</m:t>
        </m:r>
      </m:oMath>
      <w:r w:rsidRPr="007F536A">
        <w:rPr>
          <w:rFonts w:ascii="Book Antiqua" w:hAnsi="Book Antiqua"/>
          <w:sz w:val="20"/>
        </w:rPr>
        <w:t xml:space="preserve">s in a vacuum. This was the result he favored [124]. However, with some reluctance, and only in order to avoid criticism, he included the first two series in a mean value with the third, resulting in </w:t>
      </w:r>
      <m:oMath>
        <m:r>
          <w:rPr>
            <w:rFonts w:ascii="Book Antiqua" w:hAnsi="Book Antiqua"/>
            <w:sz w:val="20"/>
          </w:rPr>
          <m:t xml:space="preserve">299,810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for a vacuum</w:t>
      </w:r>
      <w:bookmarkStart w:id="95" w:name="b23"/>
      <w:bookmarkEnd w:id="95"/>
      <w:r w:rsidRPr="007F536A">
        <w:rPr>
          <w:rFonts w:ascii="Book Antiqua" w:hAnsi="Book Antiqua"/>
          <w:sz w:val="20"/>
        </w:rPr>
        <w:t xml:space="preserve"> [124]. No probable error was given for this mean because of Newcomb’s dissatisfaction with 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bookmarkStart w:id="96" w:name="BWM"/>
      <w:bookmarkEnd w:id="96"/>
      <w:r w:rsidRPr="007F536A">
        <w:rPr>
          <w:rStyle w:val="Strong"/>
          <w:rFonts w:ascii="Book Antiqua" w:hAnsi="Book Antiqua"/>
          <w:b w:val="0"/>
          <w:i/>
          <w:sz w:val="20"/>
        </w:rPr>
        <w:t>The Beginnings with Michelson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Albert Abraham Michelson was an American physicist born in 1852. Prior to his death in 1931, he had been Professor of Physics at the University of Chicago where many famous experiments on the interference of light were done. He had been an instructor in physics and chemistry at the U.S. Naval Academy after he had graduated in 1873. His Superintendent questioned his </w:t>
      </w:r>
      <w:r w:rsidRPr="007F536A">
        <w:rPr>
          <w:rFonts w:ascii="Book Antiqua" w:hAnsi="Book Antiqua"/>
          <w:i/>
          <w:sz w:val="20"/>
        </w:rPr>
        <w:t>“useless experiments”</w:t>
      </w:r>
      <w:r w:rsidRPr="007F536A">
        <w:rPr>
          <w:rFonts w:ascii="Book Antiqua" w:hAnsi="Book Antiqua"/>
          <w:sz w:val="20"/>
        </w:rPr>
        <w:t xml:space="preserve"> on light that were done while he was there. He continued his light velocity experiments during his ten years at the Case Institute of Technology, and his work was rewarded in 1907 with the Nobel Prize [125].</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Michelson’s first two determinations of </w:t>
      </w:r>
      <w:r w:rsidRPr="007F536A">
        <w:rPr>
          <w:rStyle w:val="Emphasis"/>
          <w:rFonts w:ascii="Book Antiqua" w:hAnsi="Book Antiqua"/>
          <w:sz w:val="20"/>
        </w:rPr>
        <w:t>c</w:t>
      </w:r>
      <w:r w:rsidRPr="007F536A">
        <w:rPr>
          <w:rFonts w:ascii="Book Antiqua" w:hAnsi="Book Antiqua"/>
          <w:sz w:val="20"/>
        </w:rPr>
        <w:t xml:space="preserve"> were performed entirely independently of Newcomb</w:t>
      </w:r>
      <w:r w:rsidR="00DA69B6">
        <w:rPr>
          <w:rFonts w:ascii="Book Antiqua" w:hAnsi="Book Antiqua"/>
          <w:sz w:val="20"/>
        </w:rPr>
        <w:t>.  They</w:t>
      </w:r>
      <w:r w:rsidRPr="007F536A">
        <w:rPr>
          <w:rFonts w:ascii="Book Antiqua" w:hAnsi="Book Antiqua"/>
          <w:sz w:val="20"/>
        </w:rPr>
        <w:t xml:space="preserve"> were personally initiated by him and privately funded. His initial aim in the first series in 1878 was to prove that a much larger displacement was possible than Foucault obtained with his apparatus [126]. His base line was 500 feet, or 152.4 meters. The rotating mirror was thirty feet from the slit and eyepiece and achieved 130 turns per second. Given the final result, it appears that the displacement, about 7.58 mm, was about ten times greater than Foucault’s. In doing this, Michelson achieved his initial purpose in showing that the procedure worked.  However, whereas Foucault was able use a chain of mirrors and so achieved a folded light path of 20 meters within the confines of a room, it appears that Michelson failed to appreciate this light-saving technique [110].</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Later experimenters overcame these problems in another way that allowed for a much longer light-path and a vastly increased deflection distance between the images. In Michelson’s work, the main biconvex lens, was of much longer focal length, and the light source was placed closer to the apparatus. Thus, in later experiments, when an appropriate focal length was chosen, the concave mirror could be placed several miles away. When viewed through the micrometer eyepiece, there is the direct reflection from the revolving mirror and beside it the returned image at a distance dependent upon the rotation rate. For Foucault’s arrangement, the mirror reflected the light back to the eyepiece once every revolution, giving a flickering effect until a high enough rotation rate was achieved</w:t>
      </w:r>
      <w:r w:rsidRPr="007F536A">
        <w:rPr>
          <w:rFonts w:ascii="Book Antiqua" w:hAnsi="Book Antiqua"/>
          <w:color w:val="FF0000"/>
          <w:sz w:val="20"/>
        </w:rPr>
        <w:t xml:space="preserve"> </w:t>
      </w:r>
      <w:r w:rsidRPr="007F536A">
        <w:rPr>
          <w:rFonts w:ascii="Book Antiqua" w:hAnsi="Book Antiqua"/>
          <w:sz w:val="20"/>
        </w:rPr>
        <w:t>[111].</w:t>
      </w:r>
      <w:r w:rsidRPr="007F536A">
        <w:rPr>
          <w:rFonts w:ascii="Book Antiqua" w:hAnsi="Book Antiqua"/>
          <w:color w:val="FF0000"/>
          <w:sz w:val="20"/>
        </w:rPr>
        <w:t xml:space="preserve"> </w:t>
      </w:r>
      <w:r w:rsidRPr="007F536A">
        <w:rPr>
          <w:rFonts w:ascii="Book Antiqua" w:hAnsi="Book Antiqua"/>
          <w:sz w:val="20"/>
        </w:rPr>
        <w:t>Newcomb and Michelson used mirrors of four or more reflecting faces which also gave a brighter image.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Because of a funding situation, Michelson’s equipment was simple for the first series. The circular mirror was silvered on one side and about one inch in diameter. The drive comprised a blast of air that was directed against the mirror itself. The rotation rate was measured stroboscopically. This initial apparatus was used to obtain ten </w:t>
      </w:r>
      <w:r w:rsidRPr="007F536A">
        <w:rPr>
          <w:rFonts w:ascii="Book Antiqua" w:hAnsi="Book Antiqua"/>
          <w:sz w:val="20"/>
        </w:rPr>
        <w:lastRenderedPageBreak/>
        <w:t xml:space="preserve">measurements of </w:t>
      </w:r>
      <w:r w:rsidRPr="007F536A">
        <w:rPr>
          <w:rFonts w:ascii="Book Antiqua" w:hAnsi="Book Antiqua"/>
          <w:i/>
          <w:sz w:val="20"/>
        </w:rPr>
        <w:t>c</w:t>
      </w:r>
      <w:r w:rsidRPr="007F536A">
        <w:rPr>
          <w:rFonts w:ascii="Book Antiqua" w:hAnsi="Book Antiqua"/>
          <w:sz w:val="20"/>
        </w:rPr>
        <w:t xml:space="preserve"> for </w:t>
      </w:r>
      <w:proofErr w:type="gramStart"/>
      <w:r w:rsidRPr="007F536A">
        <w:rPr>
          <w:rFonts w:ascii="Book Antiqua" w:hAnsi="Book Antiqua"/>
          <w:sz w:val="20"/>
        </w:rPr>
        <w:t>1878.0,</w:t>
      </w:r>
      <w:proofErr w:type="gramEnd"/>
      <w:r w:rsidRPr="007F536A">
        <w:rPr>
          <w:rFonts w:ascii="Book Antiqua" w:hAnsi="Book Antiqua"/>
          <w:sz w:val="20"/>
        </w:rPr>
        <w:t xml:space="preserve"> the result being </w:t>
      </w:r>
      <m:oMath>
        <m:r>
          <w:rPr>
            <w:rFonts w:ascii="Book Antiqua" w:hAnsi="Book Antiqua"/>
            <w:sz w:val="20"/>
          </w:rPr>
          <m:t xml:space="preserve">186,500 ± 300 </m:t>
        </m:r>
        <m:r>
          <w:rPr>
            <w:rFonts w:ascii="Book Antiqua" w:hAnsi="Cambria Math"/>
            <w:sz w:val="20"/>
          </w:rPr>
          <m:t>miles</m:t>
        </m:r>
        <m:r>
          <w:rPr>
            <w:rFonts w:ascii="Cambria Math" w:hAnsi="Cambria Math"/>
            <w:sz w:val="20"/>
          </w:rPr>
          <m:t>miles</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or </w:t>
      </w:r>
      <m:oMath>
        <m:r>
          <w:rPr>
            <w:rFonts w:ascii="Book Antiqua" w:hAnsi="Book Antiqua"/>
            <w:sz w:val="20"/>
          </w:rPr>
          <m:t xml:space="preserve">300,140 ± 480 </m:t>
        </m:r>
        <m:r>
          <w:rPr>
            <w:rFonts w:ascii="Cambria Math" w:hAnsi="Book Antiqua"/>
            <w:sz w:val="20"/>
          </w:rPr>
          <m:t>km</m:t>
        </m:r>
        <m:r>
          <w:rPr>
            <w:rFonts w:ascii="Book Antiqua" w:hAnsi="Cambria Math"/>
            <w:sz w:val="20"/>
          </w:rPr>
          <m:t>km</m:t>
        </m:r>
        <m:r>
          <w:rPr>
            <w:rFonts w:ascii="Book Antiqua" w:hAnsi="Book Antiqua"/>
            <w:sz w:val="20"/>
          </w:rPr>
          <m:t>/</m:t>
        </m:r>
        <m:r>
          <w:rPr>
            <w:rFonts w:ascii="Book Antiqua" w:hAnsi="Cambria Math"/>
            <w:sz w:val="20"/>
          </w:rPr>
          <m:t>s</m:t>
        </m:r>
        <m:r>
          <w:rPr>
            <w:rFonts w:ascii="Cambria Math" w:hAnsi="Cambria Math"/>
            <w:sz w:val="20"/>
          </w:rPr>
          <m:t>s</m:t>
        </m:r>
        <m:r>
          <w:rPr>
            <w:rFonts w:ascii="Book Antiqua" w:hAnsi="Book Antiqua"/>
            <w:sz w:val="20"/>
          </w:rPr>
          <m:t>.</m:t>
        </m:r>
      </m:oMath>
      <w:r w:rsidRPr="007F536A">
        <w:rPr>
          <w:rFonts w:ascii="Book Antiqua" w:hAnsi="Book Antiqua"/>
          <w:sz w:val="20"/>
        </w:rPr>
        <w:t xml:space="preserve"> Note that Gheury de Bray retains the probable error of </w:t>
      </w:r>
      <m:oMath>
        <m:r>
          <w:rPr>
            <w:rFonts w:ascii="Book Antiqua" w:hAnsi="Book Antiqua"/>
            <w:sz w:val="20"/>
          </w:rPr>
          <m:t>±300</m:t>
        </m:r>
        <m:r>
          <w:rPr>
            <w:rFonts w:ascii="Cambria Math" w:hAnsi="Book Antiqua"/>
            <w:sz w:val="20"/>
          </w:rPr>
          <m:t xml:space="preserve"> miles/s </m:t>
        </m:r>
        <m:r>
          <w:rPr>
            <w:rFonts w:ascii="Book Antiqua" w:hAnsi="Cambria Math"/>
            <w:sz w:val="20"/>
          </w:rPr>
          <m:t>as</m:t>
        </m:r>
        <m:r>
          <m:rPr>
            <m:sty m:val="p"/>
          </m:rPr>
          <w:rPr>
            <w:rFonts w:ascii="Cambria Math" w:hAnsi="Cambria Math"/>
            <w:sz w:val="20"/>
          </w:rPr>
          <m:t>as</m:t>
        </m:r>
        <m:r>
          <w:rPr>
            <w:rFonts w:ascii="Book Antiqua" w:hAnsi="Book Antiqua"/>
            <w:sz w:val="20"/>
          </w:rPr>
          <m:t xml:space="preserve"> ± 300</m:t>
        </m:r>
        <m:r>
          <w:rPr>
            <w:rFonts w:ascii="Cambria Math" w:hAnsi="Book Antiqua"/>
            <w:sz w:val="20"/>
          </w:rPr>
          <m:t xml:space="preserve"> km</m:t>
        </m:r>
        <m:r>
          <w:rPr>
            <w:rFonts w:ascii="Book Antiqua"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(without any conversion) and gives the base line the same as the second series</w:t>
      </w:r>
      <w:bookmarkStart w:id="97" w:name="a13"/>
      <w:bookmarkEnd w:id="97"/>
      <w:r w:rsidRPr="007F536A">
        <w:rPr>
          <w:rFonts w:ascii="Book Antiqua" w:hAnsi="Book Antiqua"/>
          <w:sz w:val="20"/>
        </w:rPr>
        <w:t xml:space="preserve"> [114].</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Dorsey refers to this result </w:t>
      </w:r>
      <w:r w:rsidRPr="007F536A">
        <w:rPr>
          <w:rFonts w:ascii="Book Antiqua" w:hAnsi="Book Antiqua"/>
          <w:i/>
          <w:sz w:val="20"/>
        </w:rPr>
        <w:t>as “merely an exploratory determination”</w:t>
      </w:r>
      <w:r w:rsidRPr="007F536A">
        <w:rPr>
          <w:rFonts w:ascii="Book Antiqua" w:hAnsi="Book Antiqua"/>
          <w:sz w:val="20"/>
        </w:rPr>
        <w:t>, [127]</w:t>
      </w:r>
      <w:r w:rsidRPr="007F536A">
        <w:rPr>
          <w:rFonts w:ascii="Book Antiqua" w:hAnsi="Book Antiqua"/>
          <w:color w:val="FF0000"/>
          <w:sz w:val="20"/>
        </w:rPr>
        <w:t xml:space="preserve"> </w:t>
      </w:r>
      <w:r w:rsidRPr="007F536A">
        <w:rPr>
          <w:rFonts w:ascii="Book Antiqua" w:hAnsi="Book Antiqua"/>
          <w:sz w:val="20"/>
        </w:rPr>
        <w:t>while Michelson himself discarded it owing to its large probable error. Michelson’s 1880 paper dealing with both this exploratory determination and the second, more sophisticated series, commented on the limitations of the initial equipment. Referring to the mirror drive, he states “</w:t>
      </w:r>
      <w:r w:rsidRPr="007F536A">
        <w:rPr>
          <w:rStyle w:val="Emphasis"/>
          <w:rFonts w:ascii="Book Antiqua" w:hAnsi="Book Antiqua"/>
          <w:sz w:val="20"/>
        </w:rPr>
        <w:t>This crude piece of apparatus is now supplanted by a turbine wheel which insures a steadier and more uniform motion.</w:t>
      </w:r>
      <w:r w:rsidRPr="007F536A">
        <w:rPr>
          <w:rFonts w:ascii="Book Antiqua" w:hAnsi="Book Antiqua"/>
          <w:sz w:val="20"/>
        </w:rPr>
        <w:t>” [128]</w:t>
      </w:r>
      <w:r w:rsidRPr="007F536A">
        <w:rPr>
          <w:rFonts w:ascii="Book Antiqua" w:hAnsi="Book Antiqua"/>
          <w:color w:val="FF0000"/>
          <w:sz w:val="20"/>
        </w:rPr>
        <w:t xml:space="preserve"> </w:t>
      </w:r>
      <w:r w:rsidRPr="007F536A">
        <w:rPr>
          <w:rFonts w:ascii="Book Antiqua" w:hAnsi="Book Antiqua"/>
          <w:sz w:val="20"/>
        </w:rPr>
        <w:t>Due to these factors, this initial series is not held to be definitive by anyone.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Fonts w:ascii="Book Antiqua" w:hAnsi="Book Antiqua"/>
          <w:b/>
          <w:i/>
          <w:sz w:val="20"/>
        </w:rPr>
      </w:pPr>
      <w:bookmarkStart w:id="98" w:name="MNA"/>
      <w:bookmarkEnd w:id="98"/>
      <w:r w:rsidRPr="007F536A">
        <w:rPr>
          <w:rStyle w:val="Strong"/>
          <w:rFonts w:ascii="Book Antiqua" w:hAnsi="Book Antiqua"/>
          <w:sz w:val="20"/>
        </w:rPr>
        <w:t xml:space="preserve"> </w:t>
      </w:r>
      <w:r w:rsidRPr="007F536A">
        <w:rPr>
          <w:rStyle w:val="Strong"/>
          <w:rFonts w:ascii="Book Antiqua" w:hAnsi="Book Antiqua"/>
          <w:b w:val="0"/>
          <w:i/>
          <w:sz w:val="20"/>
        </w:rPr>
        <w:t>Michelson’s New Apparatus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By mid-1878, Michelson had received a contribution of $2000 from Mr. A.G. Hemingway of New York, to be used towards another determination of </w:t>
      </w:r>
      <m:oMath>
        <m:r>
          <w:rPr>
            <w:rStyle w:val="Emphasis"/>
            <w:rFonts w:ascii="Book Antiqua" w:hAnsi="Cambria Math"/>
            <w:sz w:val="20"/>
          </w:rPr>
          <m:t>c</m:t>
        </m:r>
        <m:r>
          <m:rPr>
            <m:sty m:val="p"/>
          </m:rPr>
          <w:rPr>
            <w:rFonts w:ascii="Book Antiqua" w:hAnsi="Book Antiqua"/>
            <w:sz w:val="20"/>
          </w:rPr>
          <m:t xml:space="preserve"> </m:t>
        </m:r>
      </m:oMath>
      <w:r w:rsidRPr="007F536A">
        <w:rPr>
          <w:rFonts w:ascii="Book Antiqua" w:hAnsi="Book Antiqua"/>
          <w:sz w:val="20"/>
        </w:rPr>
        <w:t>[128]. This allowed new instruments to be constructed. A much longer path was envisaged. As it eventuated, the path at the U.S. Naval Academy was 1986.23 feet between mirrors, or 605.40 meters [129]. A new mirror was made of a disk of glass 1.25 inches in diameter, 0.2 inches thick, and silvered on one side only. It was mounted in a metal ring that was part of a spinning axle having six outlets exhausting air as a form of air turbine with constant thrust. This system overcame any erratic motion arising from Newcomb’s type of drive. However, the disadvantage was that it could not rotate in both directions.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mirror speed was stroboscopically determined by an electrically driven tuning fork compared with a freely vibrating standard Koenig fork on a resonator. Comparison was made via the beat phenomenon (the tuning fork was driven by the rotating mirrors and its frequency was then compared with the standard set by the Koenig fork). After the series was completed on the 2</w:t>
      </w:r>
      <w:r w:rsidRPr="007F536A">
        <w:rPr>
          <w:rFonts w:ascii="Book Antiqua" w:hAnsi="Book Antiqua"/>
          <w:sz w:val="20"/>
          <w:vertAlign w:val="superscript"/>
        </w:rPr>
        <w:t>nd</w:t>
      </w:r>
      <w:r w:rsidRPr="007F536A">
        <w:rPr>
          <w:rFonts w:ascii="Book Antiqua" w:hAnsi="Book Antiqua"/>
          <w:sz w:val="20"/>
        </w:rPr>
        <w:t xml:space="preserve"> of July, 1879, the arrangement was carefully studied by Professor A. M. Mayer of Stevens Institute, Hoboken, on July 4. Two series of measurements were made averaging 256.072 and 256.068 vibrations per second at 18.3 degrees centigrade. Originally, the tuning fork was armed with a tip of copper foil which was somehow lost and a platinum tip of 4.6 milligrams was then used as its replacement. The copper tip seems to have given 256.180 vibrations per second. All work prior to the platinum tip replacement on June 4th, 1879, was discarded [130]. This comprised the 30 sets of observations taken from April 2 to June 5, while the equipment was being set up and adjusted. In the formal series itself, from June 5</w:t>
      </w:r>
      <w:r w:rsidRPr="007F536A">
        <w:rPr>
          <w:rFonts w:ascii="Book Antiqua" w:hAnsi="Book Antiqua"/>
          <w:sz w:val="20"/>
          <w:vertAlign w:val="superscript"/>
        </w:rPr>
        <w:t>th</w:t>
      </w:r>
      <w:r w:rsidRPr="007F536A">
        <w:rPr>
          <w:rFonts w:ascii="Book Antiqua" w:hAnsi="Book Antiqua"/>
          <w:sz w:val="20"/>
        </w:rPr>
        <w:t xml:space="preserve"> on, the electric fork was compared by beats with the standard two or three times before every set of observations and the temperature read concurrently.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speed of the mirror was usually 257.3 turns per second, but four sets of experiments were made on July 2nd at speeds of about 193, 128.6,   96.5, and 64.3 turns per second. This test indicated no untoward effects or systematic errors. However, Dorsey points out that they are harmonics of one-eighth the usual speed and any error in that harmonic could not be found [131].</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Because Michelson used a single lens of 45.7 meters focal length between the two mirrors instead of two telescopes, the mirror rotation axis had to be very slightly inclined to the vertical to avoid the mirror flashing light into the eyes of the observer. The effect of this change in azimuth was tested by Michelson to see if there was any variation in speed in the mirror on that account. His testing procedure was designed to pick up any variation due to the frame holding the mirror, friction from the pivots, or the sockets. The azimuth angle was varied both ways and the mirror was inverted on its bearings. These tests were carried out on June 7 and 9 for the frame inclined at various angles (ten sets of experiments), on June 30 and July 1 for the mirror inversion (8 sets). He reported “</w:t>
      </w:r>
      <w:r w:rsidRPr="007F536A">
        <w:rPr>
          <w:rStyle w:val="Emphasis"/>
          <w:rFonts w:ascii="Book Antiqua" w:hAnsi="Book Antiqua"/>
          <w:sz w:val="20"/>
        </w:rPr>
        <w:t>The results were unchanged, showing that any such variation was too small to affect the result</w:t>
      </w:r>
      <w:r w:rsidRPr="007F536A">
        <w:rPr>
          <w:rFonts w:ascii="Book Antiqua" w:hAnsi="Book Antiqua"/>
          <w:sz w:val="20"/>
        </w:rPr>
        <w:t>.” [132]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only possible to conduct experiments for an hour after sunrise and an hour before sunset, as an electric lamp illumination of the source slit was found unsuitable after the first experimental set, and so the sun had to be employed. The source slit was firmly clamped to the frame of the micrometer screw that moved the eyepiece. The distance from the micrometer and source slit to the rotating mirror was either of two values: 8.60 or 10.15 meters. The average displacement from each was about 112.6 or 133.2 mm respectively.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micrometer screw calibration was checked by the aforementioned Professor Mayer. Each ‘set’ of observations consisted of the mean of ten consecutive settings of the micrometer, along with other relevant values. Michelson invited other observers to make the micrometer readings on a number of occasions. There were three sets on both of the evenings of June 14th and 17th made by other observers. Their values were in close agreement with Michelson’s final mean of all observations. In this way a lack of bias in the micrometer settings was assured.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99" w:name="MSSR"/>
      <w:bookmarkEnd w:id="99"/>
      <w:r w:rsidRPr="007F536A">
        <w:rPr>
          <w:rStyle w:val="Strong"/>
          <w:rFonts w:ascii="Book Antiqua" w:hAnsi="Book Antiqua"/>
          <w:sz w:val="20"/>
        </w:rPr>
        <w:t xml:space="preserve"> 4.11 </w:t>
      </w:r>
      <w:r w:rsidRPr="007F536A">
        <w:rPr>
          <w:rStyle w:val="Strong"/>
          <w:rFonts w:ascii="Book Antiqua" w:hAnsi="Book Antiqua"/>
          <w:b w:val="0"/>
          <w:i/>
          <w:sz w:val="20"/>
        </w:rPr>
        <w:t>Michelson’s Second Series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setting up and testing his apparatus from April 2 to June 5 of 1879, Michelson made 30 observations which were not considered in his final analysis and were not even recorded in any of his reports. His series proper began on June 5, and concluded on July 2 that same year, and comprised precisely 100 sets of experiments. Each set consisted of a group of ten readings as mentioned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Initially, Michelson gave his result as </w:t>
      </w:r>
      <m:oMath>
        <m:r>
          <w:rPr>
            <w:rFonts w:ascii="Book Antiqua" w:hAnsi="Book Antiqua"/>
            <w:sz w:val="20"/>
          </w:rPr>
          <m:t xml:space="preserve">299,944 ± 51 </m:t>
        </m:r>
        <m:r>
          <w:rPr>
            <w:rFonts w:ascii="Cambria Math" w:hAnsi="Book Antiqua"/>
            <w:sz w:val="20"/>
          </w:rPr>
          <m:t>km</m:t>
        </m:r>
        <m:r>
          <w:rPr>
            <w:rFonts w:ascii="Book Antiqua"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r>
          <w:rPr>
            <w:rFonts w:ascii="Book Antiqua" w:hAnsi="Book Antiqua"/>
            <w:sz w:val="20"/>
          </w:rPr>
          <m:t xml:space="preserve"> </m:t>
        </m:r>
      </m:oMath>
      <w:r w:rsidRPr="007F536A">
        <w:rPr>
          <w:rFonts w:ascii="Book Antiqua" w:hAnsi="Book Antiqua"/>
          <w:sz w:val="20"/>
        </w:rPr>
        <w:t>and then rounded to</w:t>
      </w:r>
      <m:oMath>
        <m:r>
          <w:rPr>
            <w:rFonts w:ascii="Book Antiqua" w:hAnsi="Book Antiqua"/>
            <w:sz w:val="20"/>
          </w:rPr>
          <m:t xml:space="preserve"> 299,940 ± 50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[132]. This value was then revised for both a false temperature correction and a trigonometrical misinterpretation of the micrometer readings. When this was done, the final corrected value for </w:t>
      </w:r>
      <m:oMath>
        <m:r>
          <w:rPr>
            <w:rFonts w:ascii="Cambria Math" w:hAnsi="Cambria Math"/>
            <w:sz w:val="20"/>
          </w:rPr>
          <m:t>c</m:t>
        </m:r>
        <m:r>
          <w:rPr>
            <w:rStyle w:val="Emphasis"/>
            <w:rFonts w:ascii="Book Antiqua" w:hAnsi="Cambria Math"/>
            <w:sz w:val="20"/>
          </w:rPr>
          <m:t>c</m:t>
        </m:r>
      </m:oMath>
      <w:r w:rsidRPr="007F536A">
        <w:rPr>
          <w:rFonts w:ascii="Book Antiqua" w:hAnsi="Book Antiqua"/>
          <w:sz w:val="20"/>
        </w:rPr>
        <w:t xml:space="preserve"> was given as </w:t>
      </w:r>
      <m:oMath>
        <m:r>
          <w:rPr>
            <w:rFonts w:ascii="Book Antiqua" w:hAnsi="Book Antiqua"/>
            <w:sz w:val="20"/>
          </w:rPr>
          <m:t xml:space="preserve">299,910 ± 50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for a vacuum</w:t>
      </w:r>
      <w:r w:rsidRPr="007F536A">
        <w:rPr>
          <w:rFonts w:ascii="Book Antiqua" w:hAnsi="Book Antiqua"/>
          <w:color w:val="FF0000"/>
          <w:sz w:val="20"/>
        </w:rPr>
        <w:t xml:space="preserve"> </w:t>
      </w:r>
      <w:r w:rsidRPr="007F536A">
        <w:rPr>
          <w:rFonts w:ascii="Book Antiqua" w:hAnsi="Book Antiqua"/>
          <w:sz w:val="20"/>
        </w:rPr>
        <w:t xml:space="preserve">[133]. Dorsey felt that a value </w:t>
      </w:r>
      <w:bookmarkStart w:id="100" w:name="_ednref33"/>
      <w:r w:rsidRPr="007F536A">
        <w:rPr>
          <w:rFonts w:ascii="Book Antiqua" w:hAnsi="Book Antiqua"/>
          <w:sz w:val="20"/>
        </w:rPr>
        <w:t xml:space="preserve">of </w:t>
      </w:r>
      <m:oMath>
        <m:r>
          <w:rPr>
            <w:rFonts w:ascii="Book Antiqua" w:hAnsi="Book Antiqua"/>
            <w:sz w:val="20"/>
          </w:rPr>
          <m:t>299,900</m:t>
        </m:r>
        <m:r>
          <w:rPr>
            <w:rFonts w:ascii="Cambria Math" w:hAnsi="Book Antiqua"/>
            <w:sz w:val="20"/>
          </w:rPr>
          <m:t xml:space="preserve"> km/s  </m:t>
        </m:r>
      </m:oMath>
      <w:r w:rsidRPr="007F536A">
        <w:rPr>
          <w:rFonts w:ascii="Book Antiqua" w:hAnsi="Book Antiqua"/>
          <w:sz w:val="20"/>
        </w:rPr>
        <w:t>might be justifiable [134</w:t>
      </w:r>
      <w:bookmarkEnd w:id="100"/>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When Newcomb mentioned the correction, he misquoted the value as </w:t>
      </w:r>
      <m:oMath>
        <m:r>
          <w:rPr>
            <w:rFonts w:ascii="Book Antiqua" w:hAnsi="Book Antiqua"/>
            <w:sz w:val="20"/>
          </w:rPr>
          <m:t xml:space="preserve">299,942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w:bookmarkStart w:id="101" w:name="_ednref34"/>
        <m:r>
          <w:rPr>
            <w:rFonts w:ascii="Book Antiqua" w:hAnsi="Book Antiqua"/>
            <w:sz w:val="20"/>
          </w:rPr>
          <m:t xml:space="preserve"> </m:t>
        </m:r>
      </m:oMath>
      <w:r w:rsidRPr="007F536A">
        <w:rPr>
          <w:rFonts w:ascii="Book Antiqua" w:hAnsi="Book Antiqua"/>
          <w:sz w:val="20"/>
        </w:rPr>
        <w:t>[135</w:t>
      </w:r>
      <w:bookmarkEnd w:id="101"/>
      <w:r w:rsidRPr="007F536A">
        <w:rPr>
          <w:rFonts w:ascii="Book Antiqua" w:hAnsi="Book Antiqua"/>
          <w:sz w:val="20"/>
        </w:rPr>
        <w:t xml:space="preserve">]. Todd’s discussion refers to this value as given in the ‘corrected slip’ but quotes </w:t>
      </w:r>
      <m:oMath>
        <m:r>
          <w:rPr>
            <w:rFonts w:ascii="Book Antiqua" w:hAnsi="Book Antiqua"/>
            <w:sz w:val="20"/>
          </w:rPr>
          <m:t xml:space="preserve">299,930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bookmarkStart w:id="102" w:name="_ednref35"/>
      <w:r w:rsidRPr="007F536A">
        <w:rPr>
          <w:rFonts w:ascii="Book Antiqua" w:hAnsi="Book Antiqua"/>
          <w:sz w:val="20"/>
        </w:rPr>
        <w:t xml:space="preserve"> [136</w:t>
      </w:r>
      <w:bookmarkEnd w:id="102"/>
      <w:r w:rsidRPr="007F536A">
        <w:rPr>
          <w:rFonts w:ascii="Book Antiqua" w:hAnsi="Book Antiqua"/>
          <w:sz w:val="20"/>
        </w:rPr>
        <w:t>]. Some of this confusion may be traced to Michelson’s report to the American Association</w:t>
      </w:r>
      <w:bookmarkStart w:id="103" w:name="_ednref36"/>
      <w:r w:rsidRPr="007F536A">
        <w:rPr>
          <w:rFonts w:ascii="Book Antiqua" w:hAnsi="Book Antiqua"/>
          <w:sz w:val="20"/>
        </w:rPr>
        <w:t xml:space="preserve"> for the Advancement of Science [137</w:t>
      </w:r>
      <w:bookmarkEnd w:id="103"/>
      <w:r w:rsidRPr="007F536A">
        <w:rPr>
          <w:rFonts w:ascii="Book Antiqua" w:hAnsi="Book Antiqua"/>
          <w:sz w:val="20"/>
        </w:rPr>
        <w:t>]. The report itself was published accurately. However, an Abstract of Michelson’s report was then circulated. The Table of values that appeared in the Abstract, and those in the ‘corrected slip’ associated w</w:t>
      </w:r>
      <w:bookmarkStart w:id="104" w:name="_ednref37"/>
      <w:r w:rsidRPr="007F536A">
        <w:rPr>
          <w:rFonts w:ascii="Book Antiqua" w:hAnsi="Book Antiqua"/>
          <w:sz w:val="20"/>
        </w:rPr>
        <w:t>ith the Abstract were erroneous [138</w:t>
      </w:r>
      <w:bookmarkEnd w:id="104"/>
      <w:r w:rsidRPr="007F536A">
        <w:rPr>
          <w:rFonts w:ascii="Book Antiqua" w:hAnsi="Book Antiqua"/>
          <w:sz w:val="20"/>
        </w:rPr>
        <w:t>]. Todd’s discussion was based on these incorrect values and so must be discounted.</w:t>
      </w:r>
    </w:p>
    <w:p w:rsidR="00821A88" w:rsidRPr="007F536A" w:rsidRDefault="00821A88" w:rsidP="00821A88">
      <w:pPr>
        <w:pStyle w:val="NoSpacing"/>
        <w:jc w:val="both"/>
        <w:rPr>
          <w:rStyle w:val="Strong"/>
          <w:rFonts w:ascii="Book Antiqua" w:hAnsi="Book Antiqua"/>
          <w:b w:val="0"/>
          <w:bCs w:val="0"/>
          <w:sz w:val="20"/>
        </w:rPr>
      </w:pPr>
      <w:bookmarkStart w:id="105" w:name="MTS"/>
      <w:bookmarkEnd w:id="105"/>
    </w:p>
    <w:p w:rsidR="00821A88" w:rsidRPr="007F536A" w:rsidRDefault="00821A88" w:rsidP="00821A88">
      <w:pPr>
        <w:pStyle w:val="NoSpacing"/>
        <w:jc w:val="both"/>
        <w:rPr>
          <w:rFonts w:ascii="Book Antiqua" w:hAnsi="Book Antiqua"/>
          <w:b/>
          <w:i/>
          <w:sz w:val="20"/>
        </w:rPr>
      </w:pPr>
      <w:r w:rsidRPr="007F536A">
        <w:rPr>
          <w:rStyle w:val="Strong"/>
          <w:rFonts w:ascii="Book Antiqua" w:hAnsi="Book Antiqua"/>
          <w:b w:val="0"/>
          <w:i/>
          <w:sz w:val="20"/>
        </w:rPr>
        <w:t>4.12 Michelson’s Third Series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moving to the Case Institute, Michelson was prompted by Newcomb to continue his investigation into the </w:t>
      </w:r>
      <w:r w:rsidRPr="00BD7068">
        <w:rPr>
          <w:rFonts w:ascii="Book Antiqua" w:hAnsi="Book Antiqua"/>
          <w:sz w:val="20"/>
        </w:rPr>
        <w:t>value of</w:t>
      </w:r>
      <w:r w:rsidR="00BD7068">
        <w:rPr>
          <w:rFonts w:ascii="Book Antiqua" w:hAnsi="Book Antiqua"/>
          <w:sz w:val="20"/>
        </w:rPr>
        <w:t xml:space="preserve"> </w:t>
      </w:r>
      <m:oMath>
        <m:r>
          <w:rPr>
            <w:rFonts w:ascii="Cambria Math" w:hAnsi="Cambria Math"/>
            <w:sz w:val="20"/>
          </w:rPr>
          <m:t>c</m:t>
        </m:r>
        <m:r>
          <w:rPr>
            <w:rStyle w:val="Emphasis"/>
            <w:rFonts w:ascii="Book Antiqua" w:hAnsi="Cambria Math"/>
            <w:sz w:val="20"/>
          </w:rPr>
          <m:t>c</m:t>
        </m:r>
      </m:oMath>
      <w:r w:rsidRPr="00BD7068">
        <w:rPr>
          <w:rFonts w:ascii="Book Antiqua" w:hAnsi="Book Antiqua"/>
          <w:sz w:val="20"/>
        </w:rPr>
        <w:t>.</w:t>
      </w:r>
      <w:r w:rsidRPr="007F536A">
        <w:rPr>
          <w:rFonts w:ascii="Book Antiqua" w:hAnsi="Book Antiqua"/>
          <w:sz w:val="20"/>
        </w:rPr>
        <w:t xml:space="preserve"> This was carried out in 1882, essentially concurrent with Newcomb’s final series. Michelson used virtually the same equipme</w:t>
      </w:r>
      <w:bookmarkStart w:id="106" w:name="_ednref38"/>
      <w:r w:rsidRPr="007F536A">
        <w:rPr>
          <w:rFonts w:ascii="Book Antiqua" w:hAnsi="Book Antiqua"/>
          <w:sz w:val="20"/>
        </w:rPr>
        <w:t>nt as that in his second series [139</w:t>
      </w:r>
      <w:bookmarkEnd w:id="106"/>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The same micrometer, the same rotating mirror, lens, and air drive were used both times. The general optical arrangements were the same. The main differences were the path length of 624.546 meters (the old one was 605.4 meters) and the distant fixed mirror, which was slightly concave and fifteen inches in diameter compared with seven inches for the old. The same tape was used for measuring as was the previous calibration of the micrometer screw. The new cross-checks and comparisons indicated that all was satisfactory, which, years later, Dorsey also agreed to.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other main difference was the stroboscopic speed measurement. The electrically driven fork made 128 vibrations per second (the old was 256), and compared by beats with the freely vibrating standard. A clock comparison was made with the standard. It was thus determined that the standard had 128 vibrations per second from 71 degrees F down to a low of 54 degrees F. Everything else was the same as the previous series. Dorsey admits that “</w:t>
      </w:r>
      <w:r w:rsidRPr="007F536A">
        <w:rPr>
          <w:rStyle w:val="Emphasis"/>
          <w:rFonts w:ascii="Book Antiqua" w:hAnsi="Book Antiqua"/>
          <w:sz w:val="20"/>
        </w:rPr>
        <w:t>One would expect the result to be essentially the same for each</w:t>
      </w:r>
      <w:r w:rsidRPr="007F536A">
        <w:rPr>
          <w:rFonts w:ascii="Book Antiqua" w:hAnsi="Book Antiqua"/>
          <w:sz w:val="20"/>
        </w:rPr>
        <w:t>.” [139] Accordingly, the stage was set for an interesting comparison of results, as this new series virtually differed only in location.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b/>
          <w:i/>
          <w:sz w:val="20"/>
        </w:rPr>
      </w:pPr>
      <w:bookmarkStart w:id="107" w:name="MTSR"/>
      <w:bookmarkEnd w:id="107"/>
      <w:r w:rsidRPr="007F536A">
        <w:rPr>
          <w:rStyle w:val="Strong"/>
          <w:rFonts w:ascii="Book Antiqua" w:hAnsi="Book Antiqua"/>
          <w:b w:val="0"/>
          <w:i/>
          <w:sz w:val="20"/>
        </w:rPr>
        <w:t xml:space="preserve"> Michelson’s Third Series Results</w:t>
      </w:r>
    </w:p>
    <w:p w:rsidR="00821A88" w:rsidRPr="007F536A" w:rsidRDefault="00821A88" w:rsidP="00821A88">
      <w:pPr>
        <w:pStyle w:val="NoSpacing"/>
        <w:jc w:val="both"/>
        <w:rPr>
          <w:rFonts w:ascii="Book Antiqua" w:hAnsi="Book Antiqua"/>
          <w:sz w:val="20"/>
        </w:rPr>
      </w:pPr>
    </w:p>
    <w:p w:rsidR="001C099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conducted 563 experiments between October 12 and November 14, 1883. The mirror was rotated at speeds ranging from 128.927 turns per second up to 258.754 with the usual speed being close to 258 turns per second. These speeds resulted in deflections from 68.907 mm. up to 138.233 mm with the average being close to 138 mm. The distance from the rotating mirror to the micrometer was 10.15 meters, the same as the largest separation in the second series. Michelson’s definitive value for a vacuum in this series </w:t>
      </w:r>
      <w:proofErr w:type="gramStart"/>
      <w:r w:rsidRPr="007F536A">
        <w:rPr>
          <w:rFonts w:ascii="Book Antiqua" w:hAnsi="Book Antiqua"/>
          <w:sz w:val="20"/>
        </w:rPr>
        <w:t xml:space="preserve">was </w:t>
      </w:r>
      <m:oMath>
        <w:proofErr w:type="gramEnd"/>
        <m:r>
          <w:rPr>
            <w:rFonts w:ascii="Book Antiqua" w:hAnsi="Book Antiqua"/>
            <w:sz w:val="20"/>
          </w:rPr>
          <m:t xml:space="preserve">299,853 ± 60 </m:t>
        </m:r>
        <m:r>
          <w:rPr>
            <w:rFonts w:ascii="Book Antiqua" w:hAnsi="Cambria Math"/>
            <w:sz w:val="20"/>
          </w:rPr>
          <m:t>km</m:t>
        </m:r>
        <m:r>
          <w:rPr>
            <w:rFonts w:ascii="Cambria Math" w:hAnsi="Cambria Math"/>
            <w:sz w:val="20"/>
          </w:rPr>
          <m:t>km</m:t>
        </m:r>
        <m:r>
          <w:rPr>
            <w:rFonts w:ascii="Book Antiqua" w:hAnsi="Book Antiqua"/>
            <w:sz w:val="20"/>
          </w:rPr>
          <m:t>/</m:t>
        </m:r>
        <m:r>
          <w:rPr>
            <w:rFonts w:ascii="Cambria Math" w:hAnsi="Book Antiqua"/>
            <w:sz w:val="20"/>
          </w:rPr>
          <m:t>s</m:t>
        </m:r>
        <m:r>
          <w:rPr>
            <w:rFonts w:ascii="Book Antiqua" w:hAnsi="Cambria Math"/>
            <w:sz w:val="20"/>
          </w:rPr>
          <m:t>s</m:t>
        </m:r>
      </m:oMath>
      <w:r w:rsidRPr="007F536A">
        <w:rPr>
          <w:rFonts w:ascii="Book Antiqua" w:hAnsi="Book Antiqua"/>
          <w:sz w:val="20"/>
        </w:rPr>
        <w:t xml:space="preserve">. </w:t>
      </w:r>
    </w:p>
    <w:p w:rsidR="001C099A" w:rsidRDefault="001C099A"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As Dorsey notes, no reason is given why the probable error for this series is </w:t>
      </w:r>
      <m:oMath>
        <m:r>
          <w:rPr>
            <w:rFonts w:ascii="Cambria Math" w:hAnsi="Cambria Math"/>
            <w:sz w:val="20"/>
          </w:rPr>
          <m:t>10 km/s</m:t>
        </m:r>
      </m:oMath>
      <w:r w:rsidRPr="007F536A">
        <w:rPr>
          <w:rFonts w:ascii="Book Antiqua" w:hAnsi="Book Antiqua"/>
          <w:sz w:val="20"/>
        </w:rPr>
        <w:t xml:space="preserve"> larger than for the previous one. Dorsey also admits that a value of </w:t>
      </w:r>
      <m:oMath>
        <m:r>
          <w:rPr>
            <w:rFonts w:ascii="Cambria Math" w:hAnsi="Cambria Math"/>
            <w:sz w:val="20"/>
          </w:rPr>
          <m:t>299,850 km/s</m:t>
        </m:r>
      </m:oMath>
      <w:r w:rsidRPr="007F536A">
        <w:rPr>
          <w:rFonts w:ascii="Book Antiqua" w:hAnsi="Book Antiqua"/>
          <w:sz w:val="20"/>
        </w:rPr>
        <w:t xml:space="preserve"> might be justifiable. Thus, taking either the values issued by Michelson, or Dorsey’s approximation of them, the result was a lower value for </w:t>
      </w:r>
      <w:r w:rsidRPr="007F536A">
        <w:rPr>
          <w:rStyle w:val="Emphasis"/>
          <w:rFonts w:ascii="Book Antiqua" w:hAnsi="Book Antiqua"/>
          <w:sz w:val="20"/>
        </w:rPr>
        <w:t>c</w:t>
      </w:r>
      <w:r w:rsidRPr="007F536A">
        <w:rPr>
          <w:rFonts w:ascii="Book Antiqua" w:hAnsi="Book Antiqua"/>
          <w:sz w:val="20"/>
        </w:rPr>
        <w:t xml:space="preserve"> at the later date.</w:t>
      </w:r>
    </w:p>
    <w:p w:rsidR="001C099A" w:rsidRDefault="001C099A" w:rsidP="00821A88">
      <w:pPr>
        <w:pStyle w:val="NoSpacing"/>
        <w:ind w:firstLine="720"/>
        <w:jc w:val="both"/>
        <w:rPr>
          <w:rFonts w:ascii="Book Antiqua" w:hAnsi="Book Antiqua"/>
          <w:sz w:val="20"/>
        </w:rPr>
      </w:pPr>
    </w:p>
    <w:p w:rsidR="00FF18D0" w:rsidRPr="007F536A" w:rsidRDefault="00FF18D0" w:rsidP="00821A88">
      <w:pPr>
        <w:pStyle w:val="NoSpacing"/>
        <w:ind w:firstLine="720"/>
        <w:jc w:val="both"/>
        <w:rPr>
          <w:rFonts w:ascii="Book Antiqua" w:hAnsi="Book Antiqua"/>
          <w:sz w:val="20"/>
        </w:rPr>
      </w:pPr>
    </w:p>
    <w:p w:rsidR="00821A88" w:rsidRPr="00965DCB" w:rsidRDefault="00DF622E" w:rsidP="00821A88">
      <w:pPr>
        <w:pStyle w:val="NoSpacing"/>
        <w:numPr>
          <w:ilvl w:val="1"/>
          <w:numId w:val="26"/>
        </w:numPr>
        <w:jc w:val="both"/>
        <w:rPr>
          <w:rStyle w:val="Strong"/>
          <w:rFonts w:ascii="Book Antiqua" w:hAnsi="Book Antiqua"/>
          <w:bCs w:val="0"/>
          <w:i/>
          <w:sz w:val="20"/>
        </w:rPr>
      </w:pPr>
      <w:bookmarkStart w:id="108" w:name="MTA"/>
      <w:bookmarkEnd w:id="108"/>
      <w:r>
        <w:rPr>
          <w:rStyle w:val="Strong"/>
          <w:rFonts w:ascii="Book Antiqua" w:hAnsi="Book Antiqua"/>
          <w:b w:val="0"/>
          <w:i/>
          <w:sz w:val="20"/>
        </w:rPr>
        <w:t xml:space="preserve"> </w:t>
      </w:r>
      <w:r w:rsidR="00821A88" w:rsidRPr="007F536A">
        <w:rPr>
          <w:rStyle w:val="Strong"/>
          <w:rFonts w:ascii="Book Antiqua" w:hAnsi="Book Antiqua"/>
          <w:b w:val="0"/>
          <w:i/>
          <w:sz w:val="20"/>
        </w:rPr>
        <w:t>Michelson Tries Again</w:t>
      </w:r>
    </w:p>
    <w:p w:rsidR="00965DCB" w:rsidRDefault="00965DCB" w:rsidP="00965DCB">
      <w:pPr>
        <w:pStyle w:val="NoSpacing"/>
        <w:ind w:left="360"/>
        <w:jc w:val="both"/>
        <w:rPr>
          <w:rStyle w:val="Strong"/>
          <w:rFonts w:ascii="Book Antiqua" w:hAnsi="Book Antiqua"/>
          <w:b w:val="0"/>
          <w:i/>
          <w:sz w:val="20"/>
        </w:rPr>
      </w:pPr>
    </w:p>
    <w:p w:rsidR="00965DCB" w:rsidRPr="007F536A" w:rsidRDefault="00965DCB" w:rsidP="00965DCB">
      <w:pPr>
        <w:pStyle w:val="NoSpacing"/>
        <w:ind w:firstLine="720"/>
        <w:jc w:val="both"/>
        <w:rPr>
          <w:rFonts w:ascii="Book Antiqua" w:hAnsi="Book Antiqua"/>
          <w:sz w:val="20"/>
        </w:rPr>
      </w:pPr>
      <w:r w:rsidRPr="007F536A">
        <w:rPr>
          <w:rFonts w:ascii="Book Antiqua" w:hAnsi="Book Antiqua"/>
          <w:sz w:val="20"/>
        </w:rPr>
        <w:t xml:space="preserve">Years later, Michelson was willing to try again. He may have been somewhat influenced by the fact that his earlier determinations of </w:t>
      </w:r>
      <w:r w:rsidRPr="007F536A">
        <w:rPr>
          <w:rFonts w:ascii="Book Antiqua" w:hAnsi="Book Antiqua"/>
          <w:i/>
          <w:sz w:val="20"/>
        </w:rPr>
        <w:t>c</w:t>
      </w:r>
      <w:r w:rsidRPr="007F536A">
        <w:rPr>
          <w:rFonts w:ascii="Book Antiqua" w:hAnsi="Book Antiqua"/>
          <w:sz w:val="20"/>
        </w:rPr>
        <w:t xml:space="preserve"> had been privately funded. This time the Carnegie Institute of Washington offered to back the enterprise. Accordingly, an improved method, a longer path and fewer financial restrictions saw Michelson rising to the challenge and conducting a new series of experiments in August of 1924, when he was 72.</w:t>
      </w:r>
    </w:p>
    <w:p w:rsidR="00965DCB" w:rsidRPr="007F536A" w:rsidRDefault="00965DCB" w:rsidP="00965DCB">
      <w:pPr>
        <w:pStyle w:val="NoSpacing"/>
        <w:ind w:left="360"/>
        <w:jc w:val="both"/>
        <w:rPr>
          <w:rFonts w:ascii="Book Antiqua" w:hAnsi="Book Antiqua"/>
          <w:b/>
          <w:i/>
          <w:sz w:val="20"/>
        </w:rPr>
      </w:pPr>
    </w:p>
    <w:tbl>
      <w:tblPr>
        <w:tblStyle w:val="TableGrid"/>
        <w:tblW w:w="0" w:type="auto"/>
        <w:jc w:val="center"/>
        <w:tblLook w:val="04A0"/>
      </w:tblPr>
      <w:tblGrid>
        <w:gridCol w:w="2588"/>
        <w:gridCol w:w="2766"/>
        <w:gridCol w:w="3126"/>
      </w:tblGrid>
      <w:tr w:rsidR="00821A88" w:rsidRPr="007F536A" w:rsidTr="00B77C92">
        <w:trPr>
          <w:trHeight w:val="2130"/>
          <w:jc w:val="center"/>
        </w:trPr>
        <w:tc>
          <w:tcPr>
            <w:tcW w:w="2588"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487066" cy="1714500"/>
                  <wp:effectExtent l="19050" t="0" r="0" b="0"/>
                  <wp:docPr id="84" name="il_fi" descr="http://upload.wikimedia.org/wikipedia/commons/thumb/d/d6/Albert_Abraham_Michelson_1918.jpg/230px-Albert_Abraham_Michelson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d/d6/Albert_Abraham_Michelson_1918.jpg/230px-Albert_Abraham_Michelson_1918.jpg"/>
                          <pic:cNvPicPr>
                            <a:picLocks noChangeAspect="1" noChangeArrowheads="1"/>
                          </pic:cNvPicPr>
                        </pic:nvPicPr>
                        <pic:blipFill>
                          <a:blip r:embed="rId114" cstate="print"/>
                          <a:srcRect l="19568" r="21781" b="51915"/>
                          <a:stretch>
                            <a:fillRect/>
                          </a:stretch>
                        </pic:blipFill>
                        <pic:spPr bwMode="auto">
                          <a:xfrm>
                            <a:off x="0" y="0"/>
                            <a:ext cx="1497316" cy="1726317"/>
                          </a:xfrm>
                          <a:prstGeom prst="rect">
                            <a:avLst/>
                          </a:prstGeom>
                          <a:noFill/>
                          <a:ln w="9525">
                            <a:noFill/>
                            <a:miter lim="800000"/>
                            <a:headEnd/>
                            <a:tailEnd/>
                          </a:ln>
                        </pic:spPr>
                      </pic:pic>
                    </a:graphicData>
                  </a:graphic>
                </wp:inline>
              </w:drawing>
            </w:r>
          </w:p>
        </w:tc>
        <w:tc>
          <w:tcPr>
            <w:tcW w:w="276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591969" cy="1714500"/>
                  <wp:effectExtent l="19050" t="0" r="8231" b="0"/>
                  <wp:docPr id="7" name="il_fi" descr="http://upload.wikimedia.org/wikipedia/commons/thumb/9/9e/Albert_Abraham_Michelson2.jpg/220px-Albert_Abraham_Michel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9/9e/Albert_Abraham_Michelson2.jpg/220px-Albert_Abraham_Michelson2.jpg"/>
                          <pic:cNvPicPr>
                            <a:picLocks noChangeAspect="1" noChangeArrowheads="1"/>
                          </pic:cNvPicPr>
                        </pic:nvPicPr>
                        <pic:blipFill>
                          <a:blip r:embed="rId115" cstate="print"/>
                          <a:srcRect r="-506" b="22517"/>
                          <a:stretch>
                            <a:fillRect/>
                          </a:stretch>
                        </pic:blipFill>
                        <pic:spPr bwMode="auto">
                          <a:xfrm>
                            <a:off x="0" y="0"/>
                            <a:ext cx="1600570" cy="1723763"/>
                          </a:xfrm>
                          <a:prstGeom prst="rect">
                            <a:avLst/>
                          </a:prstGeom>
                          <a:noFill/>
                          <a:ln w="9525">
                            <a:noFill/>
                            <a:miter lim="800000"/>
                            <a:headEnd/>
                            <a:tailEnd/>
                          </a:ln>
                        </pic:spPr>
                      </pic:pic>
                    </a:graphicData>
                  </a:graphic>
                </wp:inline>
              </w:drawing>
            </w:r>
          </w:p>
        </w:tc>
        <w:tc>
          <w:tcPr>
            <w:tcW w:w="312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822589" cy="1714500"/>
                  <wp:effectExtent l="19050" t="0" r="6211" b="0"/>
                  <wp:docPr id="10" name="il_fi" descr="http://www.nndb.com/people/501/000099204/albert-michelson-1-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ndb.com/people/501/000099204/albert-michelson-1-sized.jpg"/>
                          <pic:cNvPicPr>
                            <a:picLocks noChangeAspect="1" noChangeArrowheads="1"/>
                          </pic:cNvPicPr>
                        </pic:nvPicPr>
                        <pic:blipFill>
                          <a:blip r:embed="rId116" cstate="print"/>
                          <a:srcRect r="-132" b="23838"/>
                          <a:stretch>
                            <a:fillRect/>
                          </a:stretch>
                        </pic:blipFill>
                        <pic:spPr bwMode="auto">
                          <a:xfrm>
                            <a:off x="0" y="0"/>
                            <a:ext cx="1839692" cy="1730589"/>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1C099A" w:rsidRDefault="00821A88" w:rsidP="004532A2">
      <w:pPr>
        <w:pStyle w:val="NoSpacing"/>
        <w:jc w:val="center"/>
        <w:rPr>
          <w:rFonts w:ascii="Book Antiqua" w:hAnsi="Book Antiqua"/>
          <w:i/>
          <w:sz w:val="18"/>
          <w:szCs w:val="18"/>
        </w:rPr>
      </w:pPr>
      <w:r w:rsidRPr="001C099A">
        <w:rPr>
          <w:rFonts w:ascii="Book Antiqua" w:hAnsi="Book Antiqua"/>
          <w:b/>
          <w:i/>
          <w:sz w:val="18"/>
          <w:szCs w:val="18"/>
        </w:rPr>
        <w:t>Figure 25:</w:t>
      </w:r>
      <w:r w:rsidRPr="001C099A">
        <w:rPr>
          <w:rFonts w:ascii="Book Antiqua" w:hAnsi="Book Antiqua"/>
          <w:i/>
          <w:sz w:val="18"/>
          <w:szCs w:val="18"/>
        </w:rPr>
        <w:t xml:space="preserve"> Albert Abraham Michelson at three stages of his life.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new method, which has been described as a special case of the rotating mirror experiment, actually combined features of both the old toothed wheel system and the Foucault arrangement. It is illustrated in Figure 26.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center"/>
        <w:rPr>
          <w:rFonts w:ascii="Book Antiqua" w:hAnsi="Book Antiqua"/>
          <w:sz w:val="20"/>
        </w:rPr>
      </w:pPr>
      <w:r w:rsidRPr="007F536A">
        <w:rPr>
          <w:rFonts w:ascii="Book Antiqua" w:hAnsi="Book Antiqua"/>
          <w:noProof/>
          <w:sz w:val="20"/>
        </w:rPr>
        <w:drawing>
          <wp:inline distT="0" distB="0" distL="0" distR="0">
            <wp:extent cx="3784546" cy="2853828"/>
            <wp:effectExtent l="19050" t="0" r="6404" b="0"/>
            <wp:docPr id="38" name="Picture 65" descr="The Michelson light speed appar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Michelson light speed apparatus ."/>
                    <pic:cNvPicPr>
                      <a:picLocks noChangeAspect="1" noChangeArrowheads="1"/>
                    </pic:cNvPicPr>
                  </pic:nvPicPr>
                  <pic:blipFill>
                    <a:blip r:embed="rId117" cstate="print"/>
                    <a:srcRect/>
                    <a:stretch>
                      <a:fillRect/>
                    </a:stretch>
                  </pic:blipFill>
                  <pic:spPr bwMode="auto">
                    <a:xfrm>
                      <a:off x="0" y="0"/>
                      <a:ext cx="3815010" cy="2876800"/>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18"/>
          <w:szCs w:val="18"/>
        </w:rPr>
      </w:pPr>
    </w:p>
    <w:p w:rsidR="00821A88" w:rsidRPr="001C099A" w:rsidRDefault="00821A88" w:rsidP="00F050C2">
      <w:pPr>
        <w:pStyle w:val="NoSpacing"/>
        <w:jc w:val="center"/>
        <w:rPr>
          <w:rFonts w:ascii="Book Antiqua" w:hAnsi="Book Antiqua"/>
          <w:i/>
          <w:sz w:val="18"/>
          <w:szCs w:val="18"/>
        </w:rPr>
      </w:pPr>
      <w:r w:rsidRPr="001C099A">
        <w:rPr>
          <w:rFonts w:ascii="Book Antiqua" w:hAnsi="Book Antiqua"/>
          <w:b/>
          <w:i/>
          <w:sz w:val="18"/>
          <w:szCs w:val="18"/>
        </w:rPr>
        <w:t>Figure 26:</w:t>
      </w:r>
      <w:r w:rsidRPr="001C099A">
        <w:rPr>
          <w:rFonts w:ascii="Book Antiqua" w:hAnsi="Book Antiqua"/>
          <w:i/>
          <w:sz w:val="18"/>
          <w:szCs w:val="18"/>
        </w:rPr>
        <w:t xml:space="preserve"> Michelson’s 8-Faced Rotating Mirror</w:t>
      </w:r>
    </w:p>
    <w:p w:rsidR="00FF18D0" w:rsidRDefault="00FF18D0" w:rsidP="00965DCB">
      <w:pPr>
        <w:pStyle w:val="NoSpacing"/>
        <w:ind w:firstLine="720"/>
        <w:jc w:val="both"/>
        <w:rPr>
          <w:rFonts w:ascii="Book Antiqua" w:hAnsi="Book Antiqua"/>
          <w:sz w:val="20"/>
        </w:rPr>
      </w:pPr>
    </w:p>
    <w:p w:rsidR="00F050C2" w:rsidRPr="007F536A" w:rsidRDefault="00F050C2" w:rsidP="00F050C2">
      <w:pPr>
        <w:pStyle w:val="NoSpacing"/>
        <w:ind w:firstLine="720"/>
        <w:jc w:val="both"/>
        <w:rPr>
          <w:rFonts w:ascii="Book Antiqua" w:hAnsi="Book Antiqua"/>
          <w:sz w:val="20"/>
        </w:rPr>
      </w:pPr>
      <w:r w:rsidRPr="007F536A">
        <w:rPr>
          <w:rFonts w:ascii="Book Antiqua" w:hAnsi="Book Antiqua"/>
          <w:sz w:val="20"/>
        </w:rPr>
        <w:lastRenderedPageBreak/>
        <w:t>The source of light was a Sperry arc focused on a slit. This light then passes to one face of the octagonal rotating mirror, and via a system of small optically flat mirrors to a large concave mirror. This sent a parallel beam of light to its twin mirror, M</w:t>
      </w:r>
      <w:r w:rsidRPr="007F536A">
        <w:rPr>
          <w:rFonts w:ascii="Book Antiqua" w:hAnsi="Book Antiqua"/>
          <w:sz w:val="20"/>
          <w:vertAlign w:val="subscript"/>
        </w:rPr>
        <w:t>2</w:t>
      </w:r>
      <w:r w:rsidRPr="007F536A">
        <w:rPr>
          <w:rFonts w:ascii="Book Antiqua" w:hAnsi="Book Antiqua"/>
          <w:sz w:val="20"/>
        </w:rPr>
        <w:t xml:space="preserve">, 22.5 miles away. From there, the mirror reflected it back to the eyes of the observer, at the telescope, by the system of optical flats and the opposite face of the octagonal mirror. </w:t>
      </w:r>
    </w:p>
    <w:p w:rsidR="00F050C2" w:rsidRDefault="00F050C2" w:rsidP="00965DCB">
      <w:pPr>
        <w:pStyle w:val="NoSpacing"/>
        <w:ind w:firstLine="720"/>
        <w:jc w:val="both"/>
        <w:rPr>
          <w:rFonts w:ascii="Book Antiqua" w:hAnsi="Book Antiqua"/>
          <w:sz w:val="20"/>
        </w:rPr>
      </w:pPr>
    </w:p>
    <w:p w:rsidR="00821A88" w:rsidRPr="007F536A" w:rsidRDefault="00965DCB" w:rsidP="00965DCB">
      <w:pPr>
        <w:pStyle w:val="NoSpacing"/>
        <w:ind w:firstLine="720"/>
        <w:jc w:val="both"/>
        <w:rPr>
          <w:rFonts w:ascii="Book Antiqua" w:hAnsi="Book Antiqua"/>
          <w:sz w:val="20"/>
        </w:rPr>
      </w:pPr>
      <w:r w:rsidRPr="007F536A">
        <w:rPr>
          <w:rFonts w:ascii="Book Antiqua" w:hAnsi="Book Antiqua"/>
          <w:sz w:val="20"/>
        </w:rPr>
        <w:t>The system was adjusted with the octagonal mirror at rest and the image of the slit adjusted on the micrometer. The octagon was then rotated, displacing the image. However, at a certain critical speed, the next face of the octagon was in the position of the first face and as a consequence, the image was again un-deflected. This situation was basically similar to the undimmed image from the toothed wheel. This system also allowed two types of measurement. The speed of the octagon could be measured for the un-displaced image, or, alternatively, fixing the speed at some convenient value, the image displacement</w:t>
      </w:r>
      <w:r w:rsidR="00821A88" w:rsidRPr="007F536A">
        <w:rPr>
          <w:rFonts w:ascii="Book Antiqua" w:hAnsi="Book Antiqua"/>
          <w:sz w:val="20"/>
        </w:rPr>
        <w:t xml:space="preserve"> could be measured by the micrometer. Additionally, Michelson arranged for a number of rotating mirrors to be used, some of 8, 12, or 16 sides, and comparisons made.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experiment was first suggested by Cornu,</w:t>
      </w:r>
      <w:bookmarkStart w:id="109" w:name="_ednref39"/>
      <w:r w:rsidRPr="007F536A">
        <w:rPr>
          <w:rFonts w:ascii="Book Antiqua" w:hAnsi="Book Antiqua"/>
          <w:sz w:val="20"/>
        </w:rPr>
        <w:t xml:space="preserve"> [140</w:t>
      </w:r>
      <w:bookmarkEnd w:id="109"/>
      <w:r w:rsidRPr="007F536A">
        <w:rPr>
          <w:rFonts w:ascii="Book Antiqua" w:hAnsi="Book Antiqua"/>
          <w:sz w:val="20"/>
        </w:rPr>
        <w:t>], though Michelson did not appreciate Cornu’s view of it as harmonizing both the Foucault as well as the Fizeau methods</w:t>
      </w:r>
      <w:bookmarkStart w:id="110" w:name="_ednref40"/>
      <w:r w:rsidRPr="007F536A">
        <w:rPr>
          <w:rFonts w:ascii="Book Antiqua" w:hAnsi="Book Antiqua"/>
          <w:sz w:val="20"/>
        </w:rPr>
        <w:t xml:space="preserve"> [141</w:t>
      </w:r>
      <w:bookmarkEnd w:id="110"/>
      <w:r w:rsidRPr="007F536A">
        <w:rPr>
          <w:rFonts w:ascii="Book Antiqua" w:hAnsi="Book Antiqua"/>
          <w:sz w:val="20"/>
        </w:rPr>
        <w:t>]. Newcomb also made the helpful suggestion that a multi-faceted prismatic mirror be used in which the returned beam be reflected from the op</w:t>
      </w:r>
      <w:bookmarkStart w:id="111" w:name="_ednref41"/>
      <w:r w:rsidRPr="007F536A">
        <w:rPr>
          <w:rFonts w:ascii="Book Antiqua" w:hAnsi="Book Antiqua"/>
          <w:sz w:val="20"/>
        </w:rPr>
        <w:t>posite face to the outgoing one [142</w:t>
      </w:r>
      <w:bookmarkEnd w:id="111"/>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12" w:name="details"/>
      <w:bookmarkEnd w:id="112"/>
      <w:r w:rsidRPr="007F536A">
        <w:rPr>
          <w:rStyle w:val="Strong"/>
          <w:rFonts w:ascii="Book Antiqua" w:hAnsi="Book Antiqua"/>
          <w:b w:val="0"/>
          <w:i/>
          <w:sz w:val="20"/>
        </w:rPr>
        <w:t xml:space="preserve"> Details of the New Try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twin concave mirrors each had a 30 foot focus (9.14 meters) and two foot aperture (61 centimeters). Light was sent from Mt. Wilson Observatory in California about 22.5 miles to San Antonio Peak. The measurement between the two mountain bench marks was exactly 35,385.53 meters, with a probable error of one part in two million</w:t>
      </w:r>
      <w:bookmarkStart w:id="113" w:name="_ednref42"/>
      <w:r w:rsidRPr="007F536A">
        <w:rPr>
          <w:rFonts w:ascii="Book Antiqua" w:hAnsi="Book Antiqua"/>
          <w:sz w:val="20"/>
        </w:rPr>
        <w:t xml:space="preserve"> [143</w:t>
      </w:r>
      <w:bookmarkEnd w:id="113"/>
      <w:r w:rsidRPr="007F536A">
        <w:rPr>
          <w:rFonts w:ascii="Book Antiqua" w:hAnsi="Book Antiqua"/>
          <w:sz w:val="20"/>
        </w:rPr>
        <w:t>]. When the distance from the markers to the mirrors is added, the final d</w:t>
      </w:r>
      <w:bookmarkStart w:id="114" w:name="_ednref43"/>
      <w:r w:rsidRPr="007F536A">
        <w:rPr>
          <w:rFonts w:ascii="Book Antiqua" w:hAnsi="Book Antiqua"/>
          <w:sz w:val="20"/>
        </w:rPr>
        <w:t>istance became 35,426.23 meters [144</w:t>
      </w:r>
      <w:bookmarkEnd w:id="114"/>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The reports indicate that the glass octagonal prism was used exclusively as the rotating mirror for this determination in 1924</w:t>
      </w:r>
      <w:bookmarkStart w:id="115" w:name="_ednref44"/>
      <w:r w:rsidRPr="007F536A">
        <w:rPr>
          <w:rFonts w:ascii="Book Antiqua" w:hAnsi="Book Antiqua"/>
          <w:sz w:val="20"/>
        </w:rPr>
        <w:t xml:space="preserve"> [145</w:t>
      </w:r>
      <w:bookmarkEnd w:id="115"/>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It was driven by two nozzles directing a blast of air at 40 cm mercury pressure against the six (or 8?) vanes of an open fan wheel. Mirror speeds were about 528 turns per second and regulated by a control valve issuing a counter-blast to the fan wheel. The distance of the micrometer from the rotating mirror was 25 centimeters and the unshifted position of the image was utilized.</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The item that had to be established was the rate of mirror rotation for the unshifted position of the image. Again, stroboscopic means were employed. This time it was an electrically driven tuning fork of 132.25 vibrations per second. It was compared with a free auxiliary pendulum that was itself checked against an invar gravity pendulum rated and loaned by the U.S. Coast and Geodetic Survey. Experiments were conducted at night between August 4 and 10, 1924, and comprised ten series of observations conducted on each of eight occasions, giving a total of eighty experiments.</w:t>
      </w:r>
    </w:p>
    <w:p w:rsidR="000C431E" w:rsidRPr="007F536A" w:rsidRDefault="000C431E"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the New Try</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Michelson initially published a r</w:t>
      </w:r>
      <w:r w:rsidRPr="00BD7068">
        <w:rPr>
          <w:rFonts w:ascii="Book Antiqua" w:hAnsi="Book Antiqua"/>
          <w:sz w:val="20"/>
        </w:rPr>
        <w:t xml:space="preserve">esult of </w:t>
      </w:r>
      <m:oMath>
        <m:r>
          <w:rPr>
            <w:rFonts w:ascii="Cambria Math" w:hAnsi="Cambria Math"/>
            <w:sz w:val="20"/>
          </w:rPr>
          <m:t>299,820 ± 30</m:t>
        </m:r>
      </m:oMath>
      <w:r w:rsidRPr="00BD7068">
        <w:rPr>
          <w:rFonts w:ascii="Book Antiqua" w:hAnsi="Book Antiqua"/>
          <w:sz w:val="20"/>
        </w:rPr>
        <w:t xml:space="preserve"> </w:t>
      </w:r>
      <m:oMath>
        <m:r>
          <w:rPr>
            <w:rFonts w:ascii="Cambria Math" w:hAnsi="Cambria Math"/>
            <w:sz w:val="20"/>
          </w:rPr>
          <m:t>km/s</m:t>
        </m:r>
      </m:oMath>
      <w:bookmarkStart w:id="116" w:name="a44"/>
      <w:bookmarkEnd w:id="116"/>
      <w:r w:rsidRPr="00BD7068">
        <w:rPr>
          <w:rFonts w:ascii="Book Antiqua" w:hAnsi="Book Antiqua"/>
          <w:sz w:val="20"/>
        </w:rPr>
        <w:t xml:space="preserve"> [145].</w:t>
      </w:r>
      <w:r w:rsidRPr="007F536A">
        <w:rPr>
          <w:rFonts w:ascii="Book Antiqua" w:hAnsi="Book Antiqua"/>
          <w:sz w:val="20"/>
        </w:rPr>
        <w:t xml:space="preserve"> However, it was then realized that the vacuum correction was faulty due to the altitude of the experiments and further examination of this issue resulted in a correction being issued later, giving the final value for this fourth series as</w:t>
      </w:r>
      <m:oMath>
        <m:r>
          <w:rPr>
            <w:rFonts w:ascii="Cambria Math" w:hAnsi="Cambria Math"/>
            <w:sz w:val="20"/>
          </w:rPr>
          <m:t xml:space="preserve"> 299,802 ± 30 km/s</m:t>
        </m:r>
        <w:bookmarkStart w:id="117" w:name="_ednref45"/>
        <m:r>
          <w:rPr>
            <w:rFonts w:ascii="Cambria Math" w:hAnsi="Cambria Math"/>
            <w:sz w:val="20"/>
          </w:rPr>
          <m:t xml:space="preserve"> </m:t>
        </m:r>
      </m:oMath>
      <w:r w:rsidRPr="007F536A">
        <w:rPr>
          <w:rFonts w:ascii="Book Antiqua" w:hAnsi="Book Antiqua"/>
          <w:sz w:val="20"/>
        </w:rPr>
        <w:t>[146</w:t>
      </w:r>
      <w:bookmarkEnd w:id="117"/>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Dorsey conceded a value of 299,800 km/s was justifiable, but later points out that a further correction to the group refractive index is more appropriate than the ordinary index, and this adds another </w:t>
      </w:r>
      <m:oMath>
        <m:r>
          <w:rPr>
            <w:rFonts w:ascii="Cambria Math" w:hAnsi="Cambria Math"/>
            <w:sz w:val="20"/>
          </w:rPr>
          <m:t>2 km/s</m:t>
        </m:r>
      </m:oMath>
      <w:r w:rsidRPr="007F536A">
        <w:rPr>
          <w:rFonts w:ascii="Book Antiqua" w:hAnsi="Book Antiqua"/>
          <w:sz w:val="20"/>
        </w:rPr>
        <w:t xml:space="preserve"> to the value, leaving the final result as it stands</w:t>
      </w:r>
      <w:bookmarkStart w:id="118" w:name="_ednref46"/>
      <w:r w:rsidRPr="007F536A">
        <w:rPr>
          <w:rFonts w:ascii="Book Antiqua" w:hAnsi="Book Antiqua"/>
          <w:sz w:val="20"/>
        </w:rPr>
        <w:t xml:space="preserve"> [147</w:t>
      </w:r>
      <w:bookmarkEnd w:id="118"/>
      <w:r w:rsidRPr="007F536A">
        <w:rPr>
          <w:rFonts w:ascii="Book Antiqua" w:hAnsi="Book Antiqua"/>
          <w:sz w:val="20"/>
        </w:rPr>
        <w:t xml:space="preserve">]. Because he planned to continue with further experiments using other mirrors but the same equipment, Michelson called this result ‘preliminary.’ However, the series was complete in </w:t>
      </w:r>
      <w:proofErr w:type="gramStart"/>
      <w:r w:rsidRPr="007F536A">
        <w:rPr>
          <w:rFonts w:ascii="Book Antiqua" w:hAnsi="Book Antiqua"/>
          <w:sz w:val="20"/>
        </w:rPr>
        <w:t>itself</w:t>
      </w:r>
      <w:proofErr w:type="gramEnd"/>
      <w:r w:rsidRPr="007F536A">
        <w:rPr>
          <w:rFonts w:ascii="Book Antiqua" w:hAnsi="Book Antiqua"/>
          <w:sz w:val="20"/>
        </w:rPr>
        <w:t xml:space="preserve"> and deemed of sufficient accuracy to be published at once, with the speed of light value of </w:t>
      </w:r>
      <m:oMath>
        <m:r>
          <w:rPr>
            <w:rFonts w:ascii="Cambria Math" w:hAnsi="Cambria Math"/>
            <w:sz w:val="20"/>
          </w:rPr>
          <m:t>299,802 ± 30 km/s</m:t>
        </m:r>
      </m:oMath>
      <w:r w:rsidRPr="007F536A">
        <w:rPr>
          <w:rFonts w:ascii="Book Antiqua" w:hAnsi="Book Antiqua"/>
          <w:sz w:val="20"/>
        </w:rPr>
        <w:t xml:space="preserve"> – again a lower value than before.</w:t>
      </w:r>
    </w:p>
    <w:p w:rsidR="0079566F" w:rsidRDefault="0079566F" w:rsidP="00821A88">
      <w:pPr>
        <w:pStyle w:val="NoSpacing"/>
        <w:ind w:firstLine="720"/>
        <w:jc w:val="both"/>
        <w:rPr>
          <w:rFonts w:ascii="Book Antiqua" w:hAnsi="Book Antiqua"/>
          <w:sz w:val="20"/>
        </w:rPr>
      </w:pPr>
    </w:p>
    <w:p w:rsidR="00821A88" w:rsidRDefault="00821A88" w:rsidP="00821A88">
      <w:pPr>
        <w:pStyle w:val="NoSpacing"/>
        <w:jc w:val="both"/>
        <w:rPr>
          <w:rFonts w:ascii="Book Antiqua" w:hAnsi="Book Antiqua"/>
          <w:sz w:val="20"/>
        </w:rPr>
      </w:pPr>
      <w:bookmarkStart w:id="119" w:name="MSF"/>
      <w:bookmarkEnd w:id="119"/>
    </w:p>
    <w:p w:rsidR="00912022" w:rsidRDefault="00912022" w:rsidP="00821A88">
      <w:pPr>
        <w:pStyle w:val="NoSpacing"/>
        <w:jc w:val="both"/>
        <w:rPr>
          <w:rFonts w:ascii="Book Antiqua" w:hAnsi="Book Antiqua"/>
          <w:sz w:val="20"/>
        </w:rPr>
      </w:pPr>
    </w:p>
    <w:p w:rsidR="00912022" w:rsidRDefault="00912022" w:rsidP="00821A88">
      <w:pPr>
        <w:pStyle w:val="NoSpacing"/>
        <w:jc w:val="both"/>
        <w:rPr>
          <w:rFonts w:ascii="Book Antiqua" w:hAnsi="Book Antiqua"/>
          <w:sz w:val="20"/>
        </w:rPr>
      </w:pPr>
    </w:p>
    <w:p w:rsidR="00912022" w:rsidRPr="007F536A" w:rsidRDefault="00912022" w:rsidP="00821A88">
      <w:pPr>
        <w:pStyle w:val="NoSpacing"/>
        <w:jc w:val="both"/>
        <w:rPr>
          <w:rStyle w:val="Strong"/>
          <w:rFonts w:ascii="Book Antiqua" w:hAnsi="Book Antiqua"/>
          <w:b w:val="0"/>
          <w:bCs w:val="0"/>
          <w:i/>
          <w:sz w:val="20"/>
        </w:rPr>
      </w:pPr>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lastRenderedPageBreak/>
        <w:t xml:space="preserve"> Michelson’s Series Five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arrangements for series five were virtually unchanged from the initial series four experiments</w:t>
      </w:r>
      <w:bookmarkStart w:id="120" w:name="_ednref47"/>
      <w:r w:rsidRPr="007F536A">
        <w:rPr>
          <w:rFonts w:ascii="Book Antiqua" w:hAnsi="Book Antiqua"/>
          <w:sz w:val="20"/>
        </w:rPr>
        <w:t xml:space="preserve"> [148</w:t>
      </w:r>
      <w:bookmarkEnd w:id="120"/>
      <w:r w:rsidRPr="007F536A">
        <w:rPr>
          <w:rFonts w:ascii="Book Antiqua" w:hAnsi="Book Antiqua"/>
          <w:sz w:val="20"/>
        </w:rPr>
        <w:t>]. The main differences were occasioned by the use of a variety of mirrors. In addition to the 8-sided glass prism used earlier, there were four new mirrors. One was an 8-faced prism of nickel-steel which was rotated at approximately 528 revolutions per second, as the old glass octagon was. There was a 12-faced nickel-steel mirror and a 12-faced glass mirror, the latter being 6.25 cm. in diameter, and both rotating at about 352 revolutions per second. For the glass mirrors the drive was as before. The steel mirrors had four air nozzles at 90 degrees that impinged upon 24 recessed buckets cut into a wheel attached to the axle. In each case the air drive was reversible, the steel mirrors having a second bucket wheel for the occasion.</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other improvement was the use of a tuning fork of 528 vibrations per second that was driven by a vacuum-tube circuit. This was compared directly with the same standard C.G.S. invar gravity pendulum used before. Comparisons were made between this standard pendulum and the observatory clock on July 1 and August 15 of 1926, the agreement being to about 1 part in 100,000. Thus, with basically the same equipment, the scene was again set for an interesting comparison of the values obtained for </w:t>
      </w:r>
      <m:oMath>
        <m:r>
          <w:rPr>
            <w:rStyle w:val="Emphasis"/>
            <w:rFonts w:ascii="Cambria Math" w:hAnsi="Cambria Math"/>
            <w:sz w:val="20"/>
          </w:rPr>
          <m:t>c</m:t>
        </m:r>
      </m:oMath>
      <w:r w:rsidRPr="007F536A">
        <w:rPr>
          <w:rStyle w:val="Emphasis"/>
          <w:rFonts w:ascii="Book Antiqua" w:hAnsi="Book Antiqua"/>
          <w:sz w:val="20"/>
        </w:rPr>
        <w:t>.</w:t>
      </w:r>
    </w:p>
    <w:p w:rsidR="00821A88" w:rsidRPr="007F536A" w:rsidRDefault="00821A88" w:rsidP="00821A88">
      <w:pPr>
        <w:pStyle w:val="NoSpacing"/>
        <w:jc w:val="both"/>
        <w:rPr>
          <w:rStyle w:val="Strong"/>
          <w:rFonts w:ascii="Book Antiqua" w:hAnsi="Book Antiqua"/>
          <w:b w:val="0"/>
          <w:bCs w:val="0"/>
          <w:i/>
          <w:sz w:val="20"/>
        </w:rPr>
      </w:pPr>
      <w:bookmarkStart w:id="121" w:name="resultsfive"/>
      <w:bookmarkEnd w:id="121"/>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Series Five</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Michelson states that “</w:t>
      </w:r>
      <w:r w:rsidRPr="007F536A">
        <w:rPr>
          <w:rStyle w:val="Emphasis"/>
          <w:rFonts w:ascii="Book Antiqua" w:hAnsi="Book Antiqua"/>
          <w:sz w:val="20"/>
        </w:rPr>
        <w:t>the definitive measurements were begun in June 1926 and continued until the middle of September</w:t>
      </w:r>
      <w:r w:rsidRPr="007F536A">
        <w:rPr>
          <w:rFonts w:ascii="Book Antiqua" w:hAnsi="Book Antiqua"/>
          <w:sz w:val="20"/>
        </w:rPr>
        <w:t>.”</w:t>
      </w:r>
      <w:bookmarkStart w:id="122" w:name="a47"/>
      <w:bookmarkEnd w:id="122"/>
      <w:r w:rsidRPr="007F536A">
        <w:rPr>
          <w:rFonts w:ascii="Book Antiqua" w:hAnsi="Book Antiqua"/>
          <w:sz w:val="20"/>
        </w:rPr>
        <w:t xml:space="preserve"> [148]</w:t>
      </w:r>
      <w:r w:rsidRPr="007F536A">
        <w:rPr>
          <w:rFonts w:ascii="Book Antiqua" w:hAnsi="Book Antiqua"/>
          <w:color w:val="FF0000"/>
          <w:sz w:val="20"/>
        </w:rPr>
        <w:t xml:space="preserve"> </w:t>
      </w:r>
      <w:r w:rsidRPr="007F536A">
        <w:rPr>
          <w:rFonts w:ascii="Book Antiqua" w:hAnsi="Book Antiqua"/>
          <w:sz w:val="20"/>
        </w:rPr>
        <w:t>This is just two years after the first run with the equipment, giving a mean date is 1926.5 for reasons seen shortly. An interesting result emerged after usual appropriate weighting of the values from the five separate prismatic mirrors. If the correct reduction to the vacuum is applied to them, they read as follows [148]:</w:t>
      </w:r>
    </w:p>
    <w:p w:rsidR="00694618" w:rsidRPr="007F536A" w:rsidRDefault="00694618" w:rsidP="00821A88">
      <w:pPr>
        <w:pStyle w:val="NoSpacing"/>
        <w:ind w:firstLine="360"/>
        <w:jc w:val="both"/>
        <w:rPr>
          <w:rFonts w:ascii="Book Antiqua" w:hAnsi="Book Antiqua"/>
          <w:sz w:val="20"/>
        </w:rPr>
      </w:pPr>
    </w:p>
    <w:p w:rsidR="00821A88" w:rsidRPr="00BD7068" w:rsidRDefault="00BD7068" w:rsidP="00821A88">
      <w:pPr>
        <w:pStyle w:val="NoSpacing"/>
        <w:ind w:left="720"/>
        <w:rPr>
          <w:oMath/>
          <w:rFonts w:ascii="Cambria Math" w:hAnsi="Cambria Math"/>
          <w:sz w:val="20"/>
        </w:rPr>
      </w:pPr>
      <m:oMathPara>
        <m:oMath>
          <m:r>
            <w:rPr>
              <w:rFonts w:ascii="Cambria Math" w:hAnsi="Cambria Math"/>
              <w:sz w:val="20"/>
            </w:rPr>
            <m:t>Glass octagon – 299.799 km/s</m:t>
          </m:r>
          <m:r>
            <m:rPr>
              <m:sty m:val="p"/>
            </m:rPr>
            <w:rPr>
              <w:rFonts w:ascii="Cambria Math" w:hAnsi="Cambria Math"/>
              <w:sz w:val="20"/>
            </w:rPr>
            <w:br/>
          </m:r>
        </m:oMath>
        <m:oMath>
          <m:r>
            <w:rPr>
              <w:rFonts w:ascii="Cambria Math" w:hAnsi="Cambria Math"/>
              <w:sz w:val="20"/>
            </w:rPr>
            <m:t>Steel octagon – 299.797 km/s</m:t>
          </m:r>
          <m:r>
            <m:rPr>
              <m:sty m:val="p"/>
            </m:rPr>
            <w:rPr>
              <w:rFonts w:ascii="Cambria Math" w:hAnsi="Cambria Math"/>
              <w:sz w:val="20"/>
            </w:rPr>
            <w:br/>
          </m:r>
        </m:oMath>
        <m:oMath>
          <m:r>
            <w:rPr>
              <w:rFonts w:ascii="Cambria Math" w:hAnsi="Cambria Math"/>
              <w:sz w:val="20"/>
            </w:rPr>
            <m:t>12-faced glass prism – 299,798 km/s</m:t>
          </m:r>
          <m:r>
            <m:rPr>
              <m:sty m:val="p"/>
            </m:rPr>
            <w:rPr>
              <w:rFonts w:ascii="Cambria Math" w:hAnsi="Cambria Math"/>
              <w:sz w:val="20"/>
            </w:rPr>
            <w:br/>
          </m:r>
        </m:oMath>
        <m:oMath>
          <m:r>
            <w:rPr>
              <w:rFonts w:ascii="Cambria Math" w:hAnsi="Cambria Math"/>
              <w:sz w:val="20"/>
            </w:rPr>
            <m:t>12-faced steel prism – 299,798 km/s</m:t>
          </m:r>
          <m:r>
            <m:rPr>
              <m:sty m:val="p"/>
            </m:rPr>
            <w:rPr>
              <w:rFonts w:ascii="Cambria Math" w:hAnsi="Cambria Math"/>
              <w:sz w:val="20"/>
            </w:rPr>
            <w:br/>
          </m:r>
        </m:oMath>
        <m:oMath>
          <m:r>
            <w:rPr>
              <w:rFonts w:ascii="Cambria Math" w:hAnsi="Cambria Math"/>
              <w:sz w:val="20"/>
            </w:rPr>
            <m:t>16-faced glass prism – 299,798 km/s</m:t>
          </m:r>
          <w:bookmarkStart w:id="123" w:name="b47"/>
          <w:bookmarkEnd w:id="123"/>
        </m:oMath>
      </m:oMathPara>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other words, they are in agreement to within</w:t>
      </w:r>
      <m:oMath>
        <m:r>
          <w:rPr>
            <w:rFonts w:ascii="Cambria Math" w:hAnsi="Cambria Math"/>
            <w:sz w:val="20"/>
          </w:rPr>
          <m:t xml:space="preserve"> ± 1 km/s.</m:t>
        </m:r>
      </m:oMath>
      <w:r w:rsidRPr="007F536A">
        <w:rPr>
          <w:rFonts w:ascii="Book Antiqua" w:hAnsi="Book Antiqua"/>
          <w:sz w:val="20"/>
        </w:rPr>
        <w:t xml:space="preserve"> It should be pointed out, however, that in the case of the glass octagon the values obtained earlier from 1924 and 1925 were lumped up with the 1926 results to get the final quote. It may (or may not) be of significance that lumping together these earlier results from the same glass octagon has resulted in the highest value of </w:t>
      </w:r>
      <m:oMath>
        <m:r>
          <w:rPr>
            <w:rFonts w:ascii="Cambria Math" w:hAnsi="Cambria Math"/>
            <w:sz w:val="20"/>
          </w:rPr>
          <m:t>c</m:t>
        </m:r>
      </m:oMath>
      <w:r w:rsidRPr="007F536A">
        <w:rPr>
          <w:rFonts w:ascii="Book Antiqua" w:hAnsi="Book Antiqua"/>
          <w:sz w:val="20"/>
        </w:rPr>
        <w:t xml:space="preserve"> for the series. This result is in accord with the trend from other data.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All told, the final result came from eight values of </w:t>
      </w:r>
      <m:oMath>
        <m:r>
          <w:rPr>
            <w:rFonts w:ascii="Cambria Math" w:hAnsi="Cambria Math"/>
            <w:sz w:val="20"/>
          </w:rPr>
          <m:t>c</m:t>
        </m:r>
      </m:oMath>
      <w:r w:rsidRPr="007F536A">
        <w:rPr>
          <w:rFonts w:ascii="Book Antiqua" w:hAnsi="Book Antiqua"/>
          <w:sz w:val="20"/>
        </w:rPr>
        <w:t>, each comprising around 200 individual experiments. The eight values derive from the above quoted five as there were two separate sets for the 16-faced glass prism and 3 separate sets for the glass octagon, including the 1924 results. Thus, about 1600 individual experiments were performed to obtain the final value for the fifth series.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quoted a final value of </w:t>
      </w:r>
      <m:oMath>
        <m:r>
          <w:rPr>
            <w:rFonts w:ascii="Cambria Math" w:hAnsi="Cambria Math"/>
            <w:sz w:val="20"/>
          </w:rPr>
          <m:t>299,796 ± 4 km/s</m:t>
        </m:r>
      </m:oMath>
      <w:r w:rsidRPr="007F536A">
        <w:rPr>
          <w:rFonts w:ascii="Book Antiqua" w:hAnsi="Book Antiqua"/>
          <w:sz w:val="20"/>
        </w:rPr>
        <w:t xml:space="preserve"> in his report. However, as Birge pointed out, the final value had to be revised upwards by </w:t>
      </w:r>
      <m:oMath>
        <m:r>
          <w:rPr>
            <w:rFonts w:ascii="Cambria Math" w:hAnsi="Cambria Math"/>
            <w:sz w:val="20"/>
          </w:rPr>
          <m:t>2 km/s</m:t>
        </m:r>
      </m:oMath>
      <w:r w:rsidRPr="007F536A">
        <w:rPr>
          <w:rFonts w:ascii="Book Antiqua" w:hAnsi="Book Antiqua"/>
          <w:sz w:val="20"/>
        </w:rPr>
        <w:t xml:space="preserve"> due to Michelson’s failure to take account of the group velocity correction</w:t>
      </w:r>
      <w:bookmarkStart w:id="124" w:name="48"/>
      <w:bookmarkEnd w:id="124"/>
      <w:r w:rsidRPr="007F536A">
        <w:rPr>
          <w:rFonts w:ascii="Book Antiqua" w:hAnsi="Book Antiqua"/>
          <w:sz w:val="20"/>
        </w:rPr>
        <w:t xml:space="preserve"> [149]. Additionally, despite the close agreement of the above results, Birge felt that the variety of temperatures and pressures that would have been encountered introduced an element of uncertainty. Consequently, and possibly to try to counteract the apparent continual dropping of the speed of light, he and Dorsey increased the error bars far beyond Michelson’s, and  put the corrected value at </w:t>
      </w:r>
      <m:oMath>
        <m:r>
          <w:rPr>
            <w:rFonts w:ascii="Cambria Math" w:hAnsi="Cambria Math"/>
            <w:sz w:val="20"/>
          </w:rPr>
          <m:t>299,798 ± 15 km/s</m:t>
        </m:r>
      </m:oMath>
      <w:r w:rsidRPr="007F536A">
        <w:rPr>
          <w:rFonts w:ascii="Book Antiqua" w:hAnsi="Book Antiqua"/>
          <w:sz w:val="20"/>
        </w:rPr>
        <w:t xml:space="preserve">.   Interestingly, both </w:t>
      </w:r>
      <w:r w:rsidRPr="007F536A">
        <w:rPr>
          <w:rFonts w:ascii="Book Antiqua" w:hAnsi="Book Antiqua"/>
          <w:i/>
          <w:sz w:val="20"/>
        </w:rPr>
        <w:t xml:space="preserve">Studies in Optics </w:t>
      </w:r>
      <w:r w:rsidRPr="007F536A">
        <w:rPr>
          <w:rFonts w:ascii="Book Antiqua" w:hAnsi="Book Antiqua"/>
          <w:sz w:val="20"/>
        </w:rPr>
        <w:t>(1927: 136-137) and the Encyclopedia Britannica (23:34-38, 1929) “quote” Michelson as saying something other than what he wrote in his own reports.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BD7068">
        <w:rPr>
          <w:rFonts w:ascii="Book Antiqua" w:hAnsi="Book Antiqua"/>
          <w:sz w:val="20"/>
        </w:rPr>
        <w:t>Following this series,</w:t>
      </w:r>
      <w:r w:rsidRPr="007F536A">
        <w:rPr>
          <w:rFonts w:ascii="Book Antiqua" w:hAnsi="Book Antiqua"/>
          <w:sz w:val="20"/>
        </w:rPr>
        <w:t xml:space="preserve"> Michelson endeavored to try a series of experiments over a path from Mt. Wilson Observatory to Mt. San Jacinto, a distance of about 82 miles, or roughly 131 km with the same equipment. However, because of bad atmospheric conditions, the experiments were abandoned and the initial results obtained were not considered reliable enough for publication</w:t>
      </w:r>
      <w:bookmarkStart w:id="125" w:name="49"/>
      <w:bookmarkEnd w:id="125"/>
      <w:r w:rsidRPr="007F536A">
        <w:rPr>
          <w:rFonts w:ascii="Book Antiqua" w:hAnsi="Book Antiqua"/>
          <w:sz w:val="20"/>
        </w:rPr>
        <w:t xml:space="preserve"> [150].</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Using essentially the same equipment, Michelson had obtained </w:t>
      </w:r>
      <m:oMath>
        <m:r>
          <w:rPr>
            <w:rFonts w:ascii="Cambria Math" w:hAnsi="Cambria Math"/>
            <w:sz w:val="20"/>
          </w:rPr>
          <m:t>299,802 km/s</m:t>
        </m:r>
      </m:oMath>
      <w:r w:rsidRPr="007F536A">
        <w:rPr>
          <w:rFonts w:ascii="Book Antiqua" w:hAnsi="Book Antiqua"/>
          <w:sz w:val="20"/>
        </w:rPr>
        <w:t xml:space="preserve"> for his results in 1925.6, and 299,798 km/s for his results in 1926.5. This was the second time that two series by Michelson resulted in a lower value for </w:t>
      </w:r>
      <m:oMath>
        <m:r>
          <w:rPr>
            <w:rFonts w:ascii="Cambria Math" w:hAnsi="Cambria Math"/>
            <w:sz w:val="20"/>
          </w:rPr>
          <m:t>c</m:t>
        </m:r>
      </m:oMath>
      <w:r w:rsidRPr="007F536A">
        <w:rPr>
          <w:rFonts w:ascii="Book Antiqua" w:hAnsi="Book Antiqua"/>
          <w:sz w:val="20"/>
        </w:rPr>
        <w:t xml:space="preserve"> on the second occasion using the same equipment. Comparison between those two sets of series also shows a drop with time. In other words, four determinations, in two sets of two, show a consistent drop with time through the four, within each of the two related sets, and between the two sets. As noted previously, Michelson’s results indicate, on a least squares analysis, a decay of </w:t>
      </w:r>
      <m:oMath>
        <m:r>
          <w:rPr>
            <w:rFonts w:ascii="Cambria Math" w:hAnsi="Cambria Math"/>
            <w:sz w:val="20"/>
          </w:rPr>
          <m:t>1.86 km/s per year</m:t>
        </m:r>
      </m:oMath>
      <w:r w:rsidRPr="007F536A">
        <w:rPr>
          <w:rFonts w:ascii="Book Antiqua" w:hAnsi="Book Antiqua"/>
          <w:sz w:val="20"/>
        </w:rPr>
        <w:t xml:space="preserve"> over the 47 years of his </w:t>
      </w:r>
      <m:oMath>
        <m:r>
          <w:rPr>
            <w:rFonts w:ascii="Cambria Math" w:hAnsi="Cambria Math"/>
            <w:sz w:val="20"/>
          </w:rPr>
          <m:t>c</m:t>
        </m:r>
      </m:oMath>
      <w:r w:rsidRPr="007F536A">
        <w:rPr>
          <w:rFonts w:ascii="Book Antiqua" w:hAnsi="Book Antiqua"/>
          <w:sz w:val="20"/>
        </w:rPr>
        <w:t xml:space="preserve"> experimentation. These last two series suggest about </w:t>
      </w:r>
      <m:oMath>
        <m:r>
          <w:rPr>
            <w:rFonts w:ascii="Cambria Math" w:hAnsi="Cambria Math"/>
            <w:sz w:val="20"/>
          </w:rPr>
          <m:t>2 km/s per year</m:t>
        </m:r>
      </m:oMath>
      <w:r w:rsidRPr="007F536A">
        <w:rPr>
          <w:rFonts w:ascii="Book Antiqua" w:hAnsi="Book Antiqua"/>
          <w:sz w:val="20"/>
        </w:rPr>
        <w:t xml:space="preserve"> for the decay rate.</w:t>
      </w:r>
    </w:p>
    <w:p w:rsidR="000C431E" w:rsidRPr="007F536A" w:rsidRDefault="000C431E"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r w:rsidRPr="007F536A">
        <w:rPr>
          <w:rFonts w:ascii="Book Antiqua" w:hAnsi="Book Antiqua"/>
          <w:i/>
          <w:sz w:val="20"/>
        </w:rPr>
        <w:t xml:space="preserve"> Dorsey’s Comments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Regarding Michelson’s work, Dorsey later noted that </w:t>
      </w:r>
      <w:r w:rsidRPr="007F536A">
        <w:rPr>
          <w:rFonts w:ascii="Book Antiqua" w:hAnsi="Book Antiqua"/>
          <w:i/>
          <w:sz w:val="20"/>
        </w:rPr>
        <w:t>“Although each series of determinations has yielded a value that differs from each of the others, Michelson has made no attempt in his reports, or elsewhere, so far as I know, to account for these differences.”</w:t>
      </w:r>
      <w:bookmarkStart w:id="126" w:name="50"/>
      <w:bookmarkEnd w:id="126"/>
      <w:r w:rsidRPr="007F536A">
        <w:rPr>
          <w:rFonts w:ascii="Book Antiqua" w:hAnsi="Book Antiqua"/>
          <w:sz w:val="20"/>
        </w:rPr>
        <w:t xml:space="preserve"> [151] This statement still holds even if Dorsey’s modified values for Michelson’s work are used. With a persistent drop in values for </w:t>
      </w:r>
      <m:oMath>
        <m:r>
          <w:rPr>
            <w:rFonts w:ascii="Cambria Math" w:hAnsi="Cambria Math"/>
            <w:sz w:val="20"/>
          </w:rPr>
          <m:t>c</m:t>
        </m:r>
      </m:oMath>
      <w:r w:rsidRPr="007F536A">
        <w:rPr>
          <w:rFonts w:ascii="Book Antiqua" w:hAnsi="Book Antiqua"/>
          <w:sz w:val="20"/>
        </w:rPr>
        <w:t xml:space="preserve"> by a single experimenter, as well as for all values by any particular method, one would imagine that the simplest explanation that Michelson or Dorsey could offer is that the physical quantity itself is dropping with time. M. E. J. Gheury de Bray suggested this, but Dorsey preferred to leave the problem unresolved and not accept that explanation.</w:t>
      </w:r>
    </w:p>
    <w:p w:rsidR="00F72A0C" w:rsidRDefault="00F72A0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Instead, Dorsey tried to overcome the problem by invoking the action of vibrations. However, this had been tested for each time. The single mirrors were able to be inverted or have their azimuth changed to cross-check that possibility while the multi-faceted mirrors could be rotated both ways to check. No vibrations were discovered by these processes. In response, </w:t>
      </w:r>
      <w:r w:rsidR="00BD7068">
        <w:rPr>
          <w:rFonts w:ascii="Book Antiqua" w:hAnsi="Book Antiqua"/>
          <w:sz w:val="20"/>
        </w:rPr>
        <w:t xml:space="preserve">however, </w:t>
      </w:r>
      <w:r w:rsidRPr="007F536A">
        <w:rPr>
          <w:rFonts w:ascii="Book Antiqua" w:hAnsi="Book Antiqua"/>
          <w:sz w:val="20"/>
        </w:rPr>
        <w:t>Dorsey suggested that this meant vibrations were at a maximum! It is an argument from silence as no evidence of such anomalous motion was discovered, whether it be blurred, split, or multiple images or asymmetric broadening such as Newcomb found with his work which genuinely did have vibration troubles.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Dorsey then decided that all series must have had vibrations that would give rise to the lower value for </w:t>
      </w:r>
      <w:r w:rsidRPr="007F536A">
        <w:rPr>
          <w:rFonts w:ascii="Book Antiqua" w:hAnsi="Book Antiqua"/>
          <w:i/>
          <w:sz w:val="20"/>
        </w:rPr>
        <w:t>c</w:t>
      </w:r>
      <w:r w:rsidRPr="007F536A">
        <w:rPr>
          <w:rFonts w:ascii="Book Antiqua" w:hAnsi="Book Antiqua"/>
          <w:sz w:val="20"/>
        </w:rPr>
        <w:t xml:space="preserve"> in the 1924-26 determinations compared with the 1878-80 series. He does not elucidate why a drop in </w:t>
      </w:r>
      <m:oMath>
        <m:r>
          <w:rPr>
            <w:rFonts w:ascii="Cambria Math" w:hAnsi="Cambria Math"/>
            <w:sz w:val="20"/>
          </w:rPr>
          <m:t>c</m:t>
        </m:r>
      </m:oMath>
      <w:r w:rsidRPr="007F536A">
        <w:rPr>
          <w:rFonts w:ascii="Book Antiqua" w:hAnsi="Book Antiqua"/>
          <w:sz w:val="20"/>
        </w:rPr>
        <w:t xml:space="preserve"> would result from vibrations being present in </w:t>
      </w:r>
      <w:r w:rsidRPr="007F536A">
        <w:rPr>
          <w:rFonts w:ascii="Book Antiqua" w:hAnsi="Book Antiqua"/>
          <w:b/>
          <w:sz w:val="20"/>
        </w:rPr>
        <w:t>both</w:t>
      </w:r>
      <w:r w:rsidRPr="007F536A">
        <w:rPr>
          <w:rFonts w:ascii="Book Antiqua" w:hAnsi="Book Antiqua"/>
          <w:sz w:val="20"/>
        </w:rPr>
        <w:t xml:space="preserve"> cases. Furthermore, he ignored the small drop in </w:t>
      </w:r>
      <m:oMath>
        <m:r>
          <w:rPr>
            <w:rFonts w:ascii="Cambria Math" w:hAnsi="Cambria Math"/>
            <w:sz w:val="20"/>
          </w:rPr>
          <m:t>c</m:t>
        </m:r>
      </m:oMath>
      <w:r w:rsidRPr="007F536A">
        <w:rPr>
          <w:rFonts w:ascii="Book Antiqua" w:hAnsi="Book Antiqua"/>
          <w:sz w:val="20"/>
        </w:rPr>
        <w:t xml:space="preserve"> that was picked up within both the 1878-80 series and the 1924-26 determinations. Additionally, as the same equipment was being used in each set, Dorsey’s proposed vibrations would be equally present within the 1879-80 series or the 1924-26 series, and all measurements then equally affected.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inescapable conclusion is that the drop in </w:t>
      </w:r>
      <m:oMath>
        <m:r>
          <w:rPr>
            <w:rFonts w:ascii="Cambria Math" w:hAnsi="Cambria Math"/>
            <w:sz w:val="20"/>
          </w:rPr>
          <m:t>c</m:t>
        </m:r>
      </m:oMath>
      <w:r w:rsidRPr="007F536A">
        <w:rPr>
          <w:rFonts w:ascii="Book Antiqua" w:hAnsi="Book Antiqua"/>
          <w:sz w:val="20"/>
        </w:rPr>
        <w:t xml:space="preserve"> within each of the series is not the result of this proposed systematic error, then, but despite it. It would be picked up whether or not the systematic error was there. All any systematic error (real or imaginary) does is to shift the effect into another range of values.  In fact, Newcomb’s experience suggests that Dorsey’s proposed vibrations would give a measured value of </w:t>
      </w:r>
      <m:oMath>
        <m:r>
          <w:rPr>
            <w:rFonts w:ascii="Cambria Math" w:hAnsi="Cambria Math"/>
            <w:sz w:val="20"/>
          </w:rPr>
          <m:t>c</m:t>
        </m:r>
      </m:oMath>
      <w:r w:rsidRPr="007F536A">
        <w:rPr>
          <w:rFonts w:ascii="Book Antiqua" w:hAnsi="Book Antiqua"/>
          <w:sz w:val="20"/>
        </w:rPr>
        <w:t xml:space="preserve"> below its true value, not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Accordingly, as all Michelson’s results are above the present value of </w:t>
      </w:r>
      <m:oMath>
        <m:r>
          <w:rPr>
            <w:rFonts w:ascii="Cambria Math" w:hAnsi="Cambria Math"/>
            <w:sz w:val="20"/>
          </w:rPr>
          <m:t>c</m:t>
        </m:r>
      </m:oMath>
      <w:r w:rsidRPr="007F536A">
        <w:rPr>
          <w:rFonts w:ascii="Book Antiqua" w:hAnsi="Book Antiqua"/>
          <w:sz w:val="20"/>
        </w:rPr>
        <w:t xml:space="preserve">, and vibrations would seem to lower the result, then all these values should be corrected upwards if Dorsey’s vibration idea is accepted. But this would accentuate the already observed trend. It would also deny Dorsey’s purpose which was to suggest that it was only instrumental or procedural errors which produced the early higher </w:t>
      </w:r>
      <m:oMath>
        <m:r>
          <w:rPr>
            <w:rFonts w:ascii="Cambria Math" w:hAnsi="Cambria Math"/>
            <w:sz w:val="20"/>
          </w:rPr>
          <m:t>c</m:t>
        </m:r>
      </m:oMath>
      <w:r w:rsidRPr="007F536A">
        <w:rPr>
          <w:rFonts w:ascii="Book Antiqua" w:hAnsi="Book Antiqua"/>
          <w:sz w:val="20"/>
        </w:rPr>
        <w:t xml:space="preserve">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7" w:name="last"/>
      <w:bookmarkEnd w:id="127"/>
      <w:r w:rsidRPr="007F536A">
        <w:rPr>
          <w:rFonts w:ascii="Book Antiqua" w:hAnsi="Book Antiqua"/>
          <w:b/>
          <w:sz w:val="20"/>
        </w:rPr>
        <w:t xml:space="preserve"> </w:t>
      </w:r>
      <w:r w:rsidRPr="007F536A">
        <w:rPr>
          <w:rFonts w:ascii="Book Antiqua" w:hAnsi="Book Antiqua"/>
          <w:i/>
          <w:sz w:val="20"/>
        </w:rPr>
        <w:t>Michelson’s Last Experiment</w:t>
      </w:r>
    </w:p>
    <w:p w:rsidR="00821A88" w:rsidRDefault="00821A88" w:rsidP="00821A88">
      <w:pPr>
        <w:pStyle w:val="NoSpacing"/>
        <w:ind w:firstLine="360"/>
        <w:jc w:val="both"/>
        <w:rPr>
          <w:rFonts w:ascii="Book Antiqua" w:hAnsi="Book Antiqua"/>
          <w:sz w:val="20"/>
        </w:rPr>
      </w:pPr>
    </w:p>
    <w:p w:rsidR="00694618" w:rsidRPr="007F536A" w:rsidRDefault="00694618" w:rsidP="00694618">
      <w:pPr>
        <w:pStyle w:val="NoSpacing"/>
        <w:ind w:firstLine="360"/>
        <w:jc w:val="both"/>
        <w:rPr>
          <w:rFonts w:ascii="Book Antiqua" w:hAnsi="Book Antiqua"/>
          <w:sz w:val="20"/>
        </w:rPr>
      </w:pPr>
      <w:r w:rsidRPr="007F536A">
        <w:rPr>
          <w:rFonts w:ascii="Book Antiqua" w:hAnsi="Book Antiqua"/>
          <w:sz w:val="20"/>
        </w:rPr>
        <w:t>Because of the increasing accuracy and necessity for precise correction within a vacuum, Michelson decided in 1929 to initiate what was to be his last experiment. His collaborators were Pease and Pearson</w:t>
      </w:r>
      <w:bookmarkStart w:id="128" w:name="51"/>
      <w:bookmarkEnd w:id="128"/>
      <w:r w:rsidRPr="007F536A">
        <w:rPr>
          <w:rFonts w:ascii="Book Antiqua" w:hAnsi="Book Antiqua"/>
          <w:color w:val="FF0000"/>
          <w:sz w:val="20"/>
        </w:rPr>
        <w:t xml:space="preserve"> </w:t>
      </w:r>
      <w:r w:rsidRPr="007F536A">
        <w:rPr>
          <w:rFonts w:ascii="Book Antiqua" w:hAnsi="Book Antiqua"/>
          <w:sz w:val="20"/>
        </w:rPr>
        <w:t>[1</w:t>
      </w:r>
      <w:hyperlink r:id="rId118" w:anchor="a51" w:history="1">
        <w:r w:rsidRPr="007F536A">
          <w:rPr>
            <w:rFonts w:ascii="Book Antiqua" w:hAnsi="Book Antiqua"/>
            <w:sz w:val="20"/>
          </w:rPr>
          <w:t>52</w:t>
        </w:r>
      </w:hyperlink>
      <w:r w:rsidRPr="007F536A">
        <w:rPr>
          <w:rFonts w:ascii="Book Antiqua" w:hAnsi="Book Antiqua"/>
          <w:sz w:val="20"/>
        </w:rPr>
        <w:t xml:space="preserve">]. The idea was that a one mile long pipe would be exhausted of its air and by repeated reflections from mirrors at either end a path length of some ten miles could be achieved in a fair vacuum. Pressure in the pipe varied from 0.5 to 5.5 millimeters of mercury. The arrangement was essentially that shown in Figure 27. A carbon arc source was at A focused on an adjustable slit 0.075 mm </w:t>
      </w:r>
      <w:r w:rsidRPr="007F536A">
        <w:rPr>
          <w:rFonts w:ascii="Book Antiqua" w:hAnsi="Book Antiqua"/>
          <w:sz w:val="20"/>
        </w:rPr>
        <w:lastRenderedPageBreak/>
        <w:t>wide and was reflected from a 32-faced rotating mirror, D. The mirror was a glass prism 0.25 inches long and 1.5 inches along the diagonals of its cross-section. All its angles were corrected to within one arc second and its surfaces to 0.1 wave.</w:t>
      </w:r>
    </w:p>
    <w:p w:rsidR="00694618" w:rsidRPr="007F536A" w:rsidRDefault="00694618" w:rsidP="00694618">
      <w:pPr>
        <w:pStyle w:val="NoSpacing"/>
        <w:ind w:firstLine="720"/>
        <w:jc w:val="both"/>
        <w:rPr>
          <w:rFonts w:ascii="Book Antiqua" w:hAnsi="Book Antiqua"/>
          <w:sz w:val="20"/>
        </w:rPr>
      </w:pPr>
    </w:p>
    <w:p w:rsidR="00036707" w:rsidRDefault="00694618" w:rsidP="00036707">
      <w:pPr>
        <w:pStyle w:val="NoSpacing"/>
        <w:jc w:val="both"/>
        <w:rPr>
          <w:rFonts w:ascii="Book Antiqua" w:hAnsi="Book Antiqua"/>
          <w:sz w:val="20"/>
        </w:rPr>
      </w:pPr>
      <w:r w:rsidRPr="007F536A">
        <w:rPr>
          <w:rFonts w:ascii="Book Antiqua" w:hAnsi="Book Antiqua"/>
          <w:sz w:val="20"/>
        </w:rPr>
        <w:t xml:space="preserve">Light was reflected from the upper half of face ‘a’ of the rotating mirror through a glass window, L, that was 2 cm. thick, into the pipe and via the mirrors E and F, onto the large optically flat mirrors, 1 and 2, which were 55.9 cm. in diameter. F was essentially a concave mirror 101.6 cm in diameter and of 15.02 m. focus that gave a parallel beam forming an image of the slit on M. After repeated reflections from H and G, and by 3 and 4, the beam was returned through the window to strike the lower half of face ‘b’ of the rotating mirror, if it were at rest, and into the eye of the observer at K. The distance from the rotating mirror to the eyepiece micrometer was 30 cm. In operation, the mirror was rotated at such a speed that face ‘a’ would move into the position occupied by face ‘b’ in the time that the light took to be reflected along </w:t>
      </w:r>
      <w:r w:rsidR="00036707" w:rsidRPr="007F536A">
        <w:rPr>
          <w:rFonts w:ascii="Book Antiqua" w:hAnsi="Book Antiqua"/>
          <w:sz w:val="20"/>
        </w:rPr>
        <w:t>the pipe and return. Depending on the adjustment of the four fixed mirrors, (1, 2, 3, and 4), light could travel eight or ten miles before being returned to R.</w:t>
      </w:r>
    </w:p>
    <w:p w:rsidR="00694618" w:rsidRPr="007F536A" w:rsidRDefault="00694618" w:rsidP="0069461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b/>
          <w:noProof/>
          <w:sz w:val="20"/>
        </w:rPr>
        <w:drawing>
          <wp:inline distT="0" distB="0" distL="0" distR="0">
            <wp:extent cx="6057900" cy="2962275"/>
            <wp:effectExtent l="19050" t="0" r="0" b="0"/>
            <wp:docPr id="79" name="il_fi" descr="http://oisc.net/tu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oisc.net/tube1.jpg"/>
                    <pic:cNvPicPr>
                      <a:picLocks noChangeAspect="1" noChangeArrowheads="1"/>
                    </pic:cNvPicPr>
                  </pic:nvPicPr>
                  <pic:blipFill>
                    <a:blip r:embed="rId119" cstate="print">
                      <a:lum contrast="10000"/>
                    </a:blip>
                    <a:srcRect/>
                    <a:stretch>
                      <a:fillRect/>
                    </a:stretch>
                  </pic:blipFill>
                  <pic:spPr bwMode="auto">
                    <a:xfrm>
                      <a:off x="0" y="0"/>
                      <a:ext cx="6075606" cy="2970933"/>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1C099A" w:rsidRDefault="00821A88" w:rsidP="00183232">
      <w:pPr>
        <w:pStyle w:val="NoSpacing"/>
        <w:jc w:val="center"/>
        <w:rPr>
          <w:rFonts w:ascii="Book Antiqua" w:hAnsi="Book Antiqua"/>
          <w:i/>
          <w:sz w:val="18"/>
          <w:szCs w:val="18"/>
        </w:rPr>
      </w:pPr>
      <w:r w:rsidRPr="001C099A">
        <w:rPr>
          <w:rFonts w:ascii="Book Antiqua" w:hAnsi="Book Antiqua"/>
          <w:b/>
          <w:i/>
          <w:sz w:val="18"/>
          <w:szCs w:val="18"/>
        </w:rPr>
        <w:t>Figure 27:</w:t>
      </w:r>
      <w:r w:rsidRPr="001C099A">
        <w:rPr>
          <w:rFonts w:ascii="Book Antiqua" w:hAnsi="Book Antiqua"/>
          <w:i/>
          <w:sz w:val="18"/>
          <w:szCs w:val="18"/>
        </w:rPr>
        <w:t xml:space="preserve"> The Michelson-Pease-Pearson experiment using a one mile long evacuated tube at Irvine Ranch, Laguna Beach, California.</w:t>
      </w:r>
    </w:p>
    <w:p w:rsidR="00CF20BB" w:rsidRDefault="00CF20BB" w:rsidP="0069461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two distances required different rotation rates of the prism. For a distance of 7,999.87 meters, the rotation rate was about 585 revolutions per second, while 6,405.59 meters required about 730 revolutions per second. This rotation rate was again controlled and determined stroboscopically with a tuning fork compared with a free pendulum swinging in a heavy bronze box of constant temperature and low pressure. The pendulum was itself compared with a time-piece that was checked against time signals from Arlington, Virginia.</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practice, the speed of the mirror was held at some convenient value close to the position where the returned beam was undeflected. The drive was a compressed air turbine. The difference from the precise </w:t>
      </w:r>
      <m:oMath>
        <m:r>
          <w:rPr>
            <w:rFonts w:ascii="Cambria Math" w:hAnsi="Cambria Math"/>
            <w:sz w:val="20"/>
          </w:rPr>
          <m:t>1/32</m:t>
        </m:r>
      </m:oMath>
      <w:r w:rsidRPr="007F536A">
        <w:rPr>
          <w:rFonts w:ascii="Book Antiqua" w:hAnsi="Book Antiqua"/>
          <w:sz w:val="20"/>
        </w:rPr>
        <w:t xml:space="preserve"> of a revolution was determined by measuring the deflection with the micrometer. The mirror was, in fact, reversed at the same convenient speed and the double displacement measured. Also capable of reversal was the arrangement whereby light from the slit hit the top of face ‘a’ while the returned hit the bottom of face ‘b’. In this it was similar to Newcomb’s arrangement to check for any vibrational errors. Correction for residual air in the pipe was done for each experiment.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9" w:name="OPP"/>
      <w:bookmarkEnd w:id="129"/>
      <w:r w:rsidRPr="007F536A">
        <w:rPr>
          <w:rFonts w:ascii="Book Antiqua" w:hAnsi="Book Antiqua"/>
          <w:i/>
          <w:sz w:val="20"/>
        </w:rPr>
        <w:t xml:space="preserve"> Over to Pease and Pearson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From 1929 until February 19, 1931, Michelson was preparing for his last experiment to determine the speed of light.  The work was sponsored by the University of Chicago, the Mount Wilson Observatory, the Carnegie Corporation </w:t>
      </w:r>
      <w:r w:rsidRPr="007F536A">
        <w:rPr>
          <w:rFonts w:ascii="Book Antiqua" w:hAnsi="Book Antiqua"/>
          <w:sz w:val="20"/>
        </w:rPr>
        <w:lastRenderedPageBreak/>
        <w:t>and the Rockefeller Foundation. The evacuated pipe was constructed of Armco-iron steel sheets and was one meter in diameter. It was situated on the Irvine Ranch, near Laguna Beach, California. Michelson began his measurements on February 19, 1931, at 79 years old.  He was ably assisted by Pease and Pearson. The work continued until February 27, 1933, resulting in a total of 233 series of observations which totaled 2885 experiments altogether for the full determination. Michelson, however, did not live to see the final results.  After spending a lifetime measuring</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and studying the behavior and properties of light, Michelson died on May 9, 1931, after completing only 36 of the full series of 233.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Even while they were working, Pease and Pearson noticed a peculiar circumstance. Irregular as well as regular variations in the value of </w:t>
      </w:r>
      <m:oMath>
        <m:r>
          <w:rPr>
            <w:rFonts w:ascii="Cambria Math" w:hAnsi="Cambria Math"/>
            <w:sz w:val="20"/>
          </w:rPr>
          <m:t>c</m:t>
        </m:r>
      </m:oMath>
      <w:r w:rsidRPr="007F536A">
        <w:rPr>
          <w:rFonts w:ascii="Book Antiqua" w:hAnsi="Book Antiqua"/>
          <w:sz w:val="20"/>
        </w:rPr>
        <w:t xml:space="preserve"> obtained occurred hourly and daily, as well as over longer periods – up to a year. Deviations of </w:t>
      </w:r>
      <m:oMath>
        <m:r>
          <w:rPr>
            <w:rFonts w:ascii="Cambria Math" w:hAnsi="Cambria Math"/>
            <w:sz w:val="20"/>
          </w:rPr>
          <m:t xml:space="preserve">10 km/s </m:t>
        </m:r>
      </m:oMath>
      <w:r w:rsidRPr="007F536A">
        <w:rPr>
          <w:rFonts w:ascii="Book Antiqua" w:hAnsi="Book Antiqua"/>
          <w:sz w:val="20"/>
        </w:rPr>
        <w:t xml:space="preserve">over a period of a week or so were common, and occasionally they went as high as </w:t>
      </w:r>
      <m:oMath>
        <m:r>
          <w:rPr>
            <w:rFonts w:ascii="Cambria Math" w:hAnsi="Cambria Math"/>
            <w:sz w:val="20"/>
          </w:rPr>
          <m:t>30 km/s</m:t>
        </m:r>
      </m:oMath>
      <w:bookmarkStart w:id="130" w:name="52"/>
      <w:bookmarkEnd w:id="130"/>
      <w:r w:rsidRPr="007F536A">
        <w:rPr>
          <w:rFonts w:ascii="Book Antiqua" w:hAnsi="Book Antiqua"/>
          <w:sz w:val="20"/>
        </w:rPr>
        <w:t xml:space="preserve"> [1</w:t>
      </w:r>
      <w:hyperlink r:id="rId120" w:anchor="a52" w:history="1">
        <w:r w:rsidRPr="007F536A">
          <w:rPr>
            <w:rFonts w:ascii="Book Antiqua" w:hAnsi="Book Antiqua"/>
            <w:sz w:val="20"/>
          </w:rPr>
          <w:t>53</w:t>
        </w:r>
      </w:hyperlink>
      <w:r w:rsidRPr="007F536A">
        <w:rPr>
          <w:rFonts w:ascii="Book Antiqua" w:hAnsi="Book Antiqua"/>
          <w:sz w:val="20"/>
        </w:rPr>
        <w:t xml:space="preserve">]. Within the 233 series conducted, the average deviation from the mean value of a series was about </w:t>
      </w:r>
      <m:oMath>
        <m:r>
          <w:rPr>
            <w:rFonts w:ascii="Cambria Math" w:hAnsi="Cambria Math"/>
            <w:sz w:val="20"/>
          </w:rPr>
          <m:t>10.5 km/s</m:t>
        </m:r>
      </m:oMath>
      <w:r w:rsidRPr="007F536A">
        <w:rPr>
          <w:rFonts w:ascii="Book Antiqua" w:hAnsi="Book Antiqua"/>
          <w:sz w:val="20"/>
        </w:rPr>
        <w:t xml:space="preserve">. As Cohen points out, </w:t>
      </w:r>
      <w:r w:rsidRPr="007F536A">
        <w:rPr>
          <w:rFonts w:ascii="Book Antiqua" w:hAnsi="Book Antiqua"/>
          <w:i/>
          <w:sz w:val="20"/>
        </w:rPr>
        <w:t>“The base line was on very unstable alluvial soil. A correlation between fluctuations in the results and the tides on the sea coast was reported.”</w:t>
      </w:r>
      <w:bookmarkStart w:id="131" w:name="53"/>
      <w:bookmarkEnd w:id="131"/>
      <w:r w:rsidRPr="007F536A">
        <w:rPr>
          <w:rFonts w:ascii="Book Antiqua" w:hAnsi="Book Antiqua"/>
          <w:i/>
          <w:sz w:val="20"/>
        </w:rPr>
        <w:t xml:space="preserve"> </w:t>
      </w:r>
      <w:r w:rsidRPr="007F536A">
        <w:rPr>
          <w:rFonts w:ascii="Book Antiqua" w:hAnsi="Book Antiqua"/>
          <w:sz w:val="20"/>
        </w:rPr>
        <w:t xml:space="preserve">[154] The base-line was discovered to be fluctuating from other causes as well. As Birge noted, Pease and Pearson </w:t>
      </w:r>
      <w:r w:rsidRPr="007F536A">
        <w:rPr>
          <w:rFonts w:ascii="Book Antiqua" w:hAnsi="Book Antiqua"/>
          <w:i/>
          <w:sz w:val="20"/>
        </w:rPr>
        <w:t>“found their carefully measured mile-long base line showed for two years a steady increase in length of 6.5 mm. per year…and then a sudden decrease of 8mm after a mild earthquake in the vicinity.”</w:t>
      </w:r>
      <w:bookmarkStart w:id="132" w:name="54"/>
      <w:bookmarkEnd w:id="132"/>
      <w:r w:rsidRPr="007F536A">
        <w:rPr>
          <w:rFonts w:ascii="Book Antiqua" w:hAnsi="Book Antiqua"/>
          <w:i/>
          <w:sz w:val="20"/>
        </w:rPr>
        <w:t xml:space="preserve"> </w:t>
      </w:r>
      <w:r w:rsidRPr="007F536A">
        <w:rPr>
          <w:rFonts w:ascii="Book Antiqua" w:hAnsi="Book Antiqua"/>
          <w:sz w:val="20"/>
        </w:rPr>
        <w:t>[155] As the base line was only measured on those three occasions, one wonders what else it was doing in the meantime, being not only by the sea coast, but also right by the main fault line, as well as considering the fact that the pipe was joined by many seals.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Dorsey noted something else that may be relevant. Though he continued discussing possible vibrations (that Pease and Pearson established as negligible), he pointed out that the micrometer only read directly to 0.001 inches</w:t>
      </w:r>
      <w:bookmarkStart w:id="133" w:name="55"/>
      <w:bookmarkEnd w:id="133"/>
      <w:r w:rsidRPr="007F536A">
        <w:rPr>
          <w:rFonts w:ascii="Book Antiqua" w:hAnsi="Book Antiqua"/>
          <w:sz w:val="20"/>
        </w:rPr>
        <w:t xml:space="preserve"> [1</w:t>
      </w:r>
      <w:hyperlink r:id="rId121" w:anchor="a55" w:history="1">
        <w:r w:rsidRPr="007F536A">
          <w:rPr>
            <w:rFonts w:ascii="Book Antiqua" w:hAnsi="Book Antiqua"/>
            <w:sz w:val="20"/>
          </w:rPr>
          <w:t>56</w:t>
        </w:r>
      </w:hyperlink>
      <w:r w:rsidRPr="007F536A">
        <w:rPr>
          <w:rFonts w:ascii="Book Antiqua" w:hAnsi="Book Antiqua"/>
          <w:sz w:val="20"/>
        </w:rPr>
        <w:t xml:space="preserve">]. This corresponds to a velocity of </w:t>
      </w:r>
      <m:oMath>
        <m:r>
          <w:rPr>
            <w:rFonts w:ascii="Cambria Math" w:hAnsi="Cambria Math"/>
            <w:sz w:val="20"/>
          </w:rPr>
          <m:t>32 km/s</m:t>
        </m:r>
      </m:oMath>
      <w:r w:rsidRPr="007F536A">
        <w:rPr>
          <w:rFonts w:ascii="Book Antiqua" w:hAnsi="Book Antiqua"/>
          <w:sz w:val="20"/>
        </w:rPr>
        <w:t>. Yet this was used to establish the displacement from the central position.  However,  the mean deviation of the early sample of  five readings was about 0.00025 inches from the mean – much too small for the micrometer to pick up.</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is for these reasons that Pease and Pearson’s final quoted value of </w:t>
      </w:r>
      <m:oMath>
        <m:r>
          <w:rPr>
            <w:rFonts w:ascii="Cambria Math" w:hAnsi="Cambria Math"/>
            <w:sz w:val="20"/>
          </w:rPr>
          <m:t>299,744 ± 10 km/s</m:t>
        </m:r>
      </m:oMath>
      <w:r w:rsidRPr="007F536A">
        <w:rPr>
          <w:rFonts w:ascii="Book Antiqua" w:hAnsi="Book Antiqua"/>
          <w:sz w:val="20"/>
        </w:rPr>
        <w:t xml:space="preserve"> is regarded today as unacceptably low due to systematic errors in the micrometer readings and problems with an unstable base line. But the plot of distribution frequency of all 2885 values compared with the mean value is also enlightening. There were 1095 values that lay in the range of </w:t>
      </w:r>
      <m:oMath>
        <m:r>
          <w:rPr>
            <w:rFonts w:ascii="Cambria Math" w:hAnsi="Cambria Math"/>
            <w:sz w:val="20"/>
          </w:rPr>
          <m:t xml:space="preserve">299,770 </m:t>
        </m:r>
      </m:oMath>
      <w:r w:rsidRPr="007F536A">
        <w:rPr>
          <w:rFonts w:ascii="Book Antiqua" w:hAnsi="Book Antiqua"/>
          <w:sz w:val="20"/>
        </w:rPr>
        <w:t>to</w:t>
      </w:r>
      <m:oMath>
        <m:r>
          <w:rPr>
            <w:rFonts w:ascii="Cambria Math" w:hAnsi="Cambria Math"/>
            <w:sz w:val="20"/>
          </w:rPr>
          <m:t xml:space="preserve"> 299,780 km/</m:t>
        </m:r>
      </m:oMath>
      <w:r w:rsidRPr="007F536A">
        <w:rPr>
          <w:rFonts w:ascii="Book Antiqua" w:hAnsi="Book Antiqua"/>
          <w:sz w:val="20"/>
        </w:rPr>
        <w:t xml:space="preserve">s and 1790 values outside it. Of this latter number, 1025 values were below </w:t>
      </w:r>
      <m:oMath>
        <m:r>
          <w:rPr>
            <w:rFonts w:ascii="Cambria Math" w:hAnsi="Cambria Math"/>
            <w:sz w:val="20"/>
          </w:rPr>
          <m:t>299,770</m:t>
        </m:r>
      </m:oMath>
      <w:r w:rsidRPr="007F536A">
        <w:rPr>
          <w:rFonts w:ascii="Book Antiqua" w:hAnsi="Book Antiqua"/>
          <w:sz w:val="20"/>
        </w:rPr>
        <w:t xml:space="preserve"> and only 765 above </w:t>
      </w:r>
      <m:oMath>
        <m:r>
          <w:rPr>
            <w:rFonts w:ascii="Cambria Math" w:hAnsi="Cambria Math"/>
            <w:sz w:val="20"/>
          </w:rPr>
          <m:t>299,780</m:t>
        </m:r>
      </m:oMath>
      <w:r w:rsidRPr="007F536A">
        <w:rPr>
          <w:rFonts w:ascii="Book Antiqua" w:hAnsi="Book Antiqua"/>
          <w:sz w:val="20"/>
        </w:rPr>
        <w:t>. The distribution is plainly unsymmetrical and thus differs appreciably from the normal error curve, there being an excess of low values.</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34" w:name="CFRM"/>
      <w:bookmarkEnd w:id="134"/>
      <w:r w:rsidRPr="007F536A">
        <w:rPr>
          <w:rFonts w:ascii="Book Antiqua" w:hAnsi="Book Antiqua"/>
          <w:i/>
          <w:sz w:val="20"/>
        </w:rPr>
        <w:t xml:space="preserve"> Rotating Mirror Conclusions</w:t>
      </w:r>
    </w:p>
    <w:p w:rsidR="00821A88" w:rsidRPr="007F536A" w:rsidRDefault="00821A88" w:rsidP="00821A88">
      <w:pPr>
        <w:pStyle w:val="NoSpacing"/>
        <w:jc w:val="both"/>
        <w:rPr>
          <w:rFonts w:ascii="Book Antiqua" w:hAnsi="Book Antiqua"/>
          <w:sz w:val="20"/>
        </w:rPr>
      </w:pPr>
    </w:p>
    <w:p w:rsidR="00821A88" w:rsidRPr="007F536A" w:rsidRDefault="00821A88" w:rsidP="0079566F">
      <w:pPr>
        <w:pStyle w:val="NoSpacing"/>
        <w:jc w:val="both"/>
        <w:rPr>
          <w:rFonts w:ascii="Book Antiqua" w:hAnsi="Book Antiqua"/>
          <w:sz w:val="20"/>
        </w:rPr>
      </w:pPr>
      <w:r w:rsidRPr="007F536A">
        <w:rPr>
          <w:rFonts w:ascii="Book Antiqua" w:hAnsi="Book Antiqua"/>
          <w:sz w:val="20"/>
        </w:rPr>
        <w:t xml:space="preserve">The results of the rotating mirror experiments are summarized in Table 9. If the results rejected by the experimenters themselves are omitted along with Foucault’s admittedly pioneer experiment which was </w:t>
      </w:r>
      <w:r w:rsidRPr="007F536A">
        <w:rPr>
          <w:rFonts w:ascii="Book Antiqua" w:hAnsi="Book Antiqua"/>
          <w:i/>
          <w:sz w:val="20"/>
        </w:rPr>
        <w:t>“intended to ascertain the possibilities of the method,”</w:t>
      </w:r>
      <w:bookmarkStart w:id="135" w:name="b13"/>
      <w:bookmarkEnd w:id="135"/>
      <w:r w:rsidRPr="007F536A">
        <w:rPr>
          <w:rFonts w:ascii="Book Antiqua" w:hAnsi="Book Antiqua"/>
          <w:sz w:val="20"/>
        </w:rPr>
        <w:t xml:space="preserve"> [114], then a least squares linear fit to the six data points gives a decay of </w:t>
      </w:r>
      <m:oMath>
        <m:r>
          <w:rPr>
            <w:rFonts w:ascii="Cambria Math" w:hAnsi="Cambria Math"/>
            <w:sz w:val="20"/>
          </w:rPr>
          <m:t>1.85 km/s per year</m:t>
        </m:r>
      </m:oMath>
      <w:r w:rsidRPr="007F536A">
        <w:rPr>
          <w:rFonts w:ascii="Book Antiqua" w:hAnsi="Book Antiqua"/>
          <w:sz w:val="20"/>
        </w:rPr>
        <w:t xml:space="preserve">. The value of the correlation coefficient, </w:t>
      </w:r>
      <m:oMath>
        <m:r>
          <w:rPr>
            <w:rFonts w:ascii="Cambria Math" w:hAnsi="Cambria Math"/>
            <w:sz w:val="20"/>
          </w:rPr>
          <m:t>r</m:t>
        </m:r>
      </m:oMath>
      <w:r w:rsidRPr="007F536A">
        <w:rPr>
          <w:rFonts w:ascii="Book Antiqua" w:hAnsi="Book Antiqua"/>
          <w:sz w:val="20"/>
        </w:rPr>
        <w:t xml:space="preserve">, equals -0.932, with a confidence interval of 99.6% in this decay correlation. Omitting Pease and Pearson’s result gives a decay of </w:t>
      </w:r>
      <m:oMath>
        <m:r>
          <w:rPr>
            <w:rFonts w:ascii="Cambria Math" w:hAnsi="Cambria Math"/>
            <w:sz w:val="20"/>
          </w:rPr>
          <m:t>1.74 Km/s per year</m:t>
        </m:r>
      </m:oMath>
      <w:r w:rsidRPr="007F536A">
        <w:rPr>
          <w:rFonts w:ascii="Book Antiqua" w:hAnsi="Book Antiqua"/>
          <w:sz w:val="20"/>
        </w:rPr>
        <w:t xml:space="preserve">, with </w:t>
      </w:r>
      <m:oMath>
        <m:r>
          <w:rPr>
            <w:rFonts w:ascii="Cambria Math" w:hAnsi="Cambria Math"/>
            <w:sz w:val="20"/>
          </w:rPr>
          <m:t>r =- 0.905</m:t>
        </m:r>
      </m:oMath>
      <w:r w:rsidRPr="007F536A">
        <w:rPr>
          <w:rFonts w:ascii="Book Antiqua" w:hAnsi="Book Antiqua"/>
          <w:sz w:val="20"/>
        </w:rPr>
        <w:t xml:space="preserve">, this correlation being significant at the 98.2% level. This results in a 95.6% confidence interval that </w:t>
      </w:r>
      <m:oMath>
        <m:r>
          <w:rPr>
            <w:rFonts w:ascii="Cambria Math" w:hAnsi="Cambria Math"/>
            <w:sz w:val="20"/>
          </w:rPr>
          <m:t>c</m:t>
        </m:r>
      </m:oMath>
      <w:r w:rsidRPr="007F536A">
        <w:rPr>
          <w:rFonts w:ascii="Book Antiqua" w:hAnsi="Book Antiqua"/>
          <w:sz w:val="20"/>
        </w:rPr>
        <w:t xml:space="preserve"> was not constant at its present value during the years of these experiments.</w:t>
      </w:r>
      <w:r w:rsidR="0079566F">
        <w:rPr>
          <w:rFonts w:ascii="Book Antiqua" w:hAnsi="Book Antiqua"/>
          <w:sz w:val="20"/>
        </w:rPr>
        <w:t xml:space="preserve"> </w:t>
      </w:r>
      <w:r w:rsidR="00945782">
        <w:rPr>
          <w:rFonts w:ascii="Book Antiqua" w:hAnsi="Book Antiqua"/>
          <w:sz w:val="20"/>
        </w:rPr>
        <w:t>A comparison of</w:t>
      </w:r>
      <w:r w:rsidRPr="007F536A">
        <w:rPr>
          <w:rFonts w:ascii="Book Antiqua" w:hAnsi="Book Antiqua"/>
          <w:sz w:val="20"/>
        </w:rPr>
        <w:t xml:space="preserve"> Michelson’s four definitive values strongly suggests a decay </w:t>
      </w:r>
      <w:proofErr w:type="gramStart"/>
      <w:r w:rsidRPr="007F536A">
        <w:rPr>
          <w:rFonts w:ascii="Book Antiqua" w:hAnsi="Book Antiqua"/>
          <w:sz w:val="20"/>
        </w:rPr>
        <w:t xml:space="preserve">in </w:t>
      </w:r>
      <m:oMath>
        <w:proofErr w:type="gramEnd"/>
        <m:r>
          <w:rPr>
            <w:rFonts w:ascii="Cambria Math" w:hAnsi="Cambria Math"/>
            <w:sz w:val="20"/>
          </w:rPr>
          <m:t>c</m:t>
        </m:r>
      </m:oMath>
      <w:r w:rsidRPr="007F536A">
        <w:rPr>
          <w:rFonts w:ascii="Book Antiqua" w:hAnsi="Book Antiqua"/>
          <w:sz w:val="20"/>
        </w:rPr>
        <w:t xml:space="preserve">. The fact that the first two values, obtained with the same equipment show a drop, and the last two values, also obtained under similar conditions, show a drop, is important. The fact that Newcomb independently obtained a value practically identical with Michelson in mid-1882, virtually simultaneously, is also important. It suggests that their error limits should perhaps be decreased somewhat, rather than increased, as Dorsey suggested. The persistent downward trend in the measured value of </w:t>
      </w:r>
      <m:oMath>
        <m:r>
          <w:rPr>
            <w:rFonts w:ascii="Cambria Math" w:hAnsi="Cambria Math"/>
            <w:sz w:val="20"/>
          </w:rPr>
          <m:t>c</m:t>
        </m:r>
      </m:oMath>
      <w:r w:rsidRPr="007F536A">
        <w:rPr>
          <w:rFonts w:ascii="Book Antiqua" w:hAnsi="Book Antiqua"/>
          <w:sz w:val="20"/>
        </w:rPr>
        <w:t xml:space="preserve"> was noted by M.E.J. Gheury de Bray after Michelson’s 1924 series results became available. As a result, he wrote to the Editor of </w:t>
      </w:r>
      <w:r w:rsidRPr="007F536A">
        <w:rPr>
          <w:rFonts w:ascii="Book Antiqua" w:hAnsi="Book Antiqua"/>
          <w:i/>
          <w:sz w:val="20"/>
        </w:rPr>
        <w:t>Nature</w:t>
      </w:r>
      <w:r w:rsidRPr="007F536A">
        <w:rPr>
          <w:rFonts w:ascii="Book Antiqua" w:hAnsi="Book Antiqua"/>
          <w:sz w:val="20"/>
        </w:rPr>
        <w:t xml:space="preserve"> on the 20th December, 1924, and to </w:t>
      </w:r>
      <w:r w:rsidRPr="007F536A">
        <w:rPr>
          <w:rFonts w:ascii="Book Antiqua" w:hAnsi="Book Antiqua"/>
          <w:i/>
          <w:sz w:val="20"/>
        </w:rPr>
        <w:t>l’Astronomie</w:t>
      </w:r>
      <w:r w:rsidRPr="007F536A">
        <w:rPr>
          <w:rFonts w:ascii="Book Antiqua" w:hAnsi="Book Antiqua"/>
          <w:sz w:val="20"/>
        </w:rPr>
        <w:t xml:space="preserve"> in France on January 23rd, 1925, calling attention to the trend</w:t>
      </w:r>
      <w:bookmarkStart w:id="136" w:name="56"/>
      <w:bookmarkEnd w:id="136"/>
      <w:r w:rsidRPr="007F536A">
        <w:rPr>
          <w:rFonts w:ascii="Book Antiqua" w:hAnsi="Book Antiqua"/>
          <w:sz w:val="20"/>
        </w:rPr>
        <w:t xml:space="preserve"> [157]. In the latter case, he predicted a lower value for Michelson’s next determination, which was in the process of being prepared. His prediction was correct. As a result of that, the Editor of </w:t>
      </w:r>
      <w:r w:rsidRPr="007F536A">
        <w:rPr>
          <w:rFonts w:ascii="Book Antiqua" w:hAnsi="Book Antiqua"/>
          <w:i/>
          <w:sz w:val="20"/>
        </w:rPr>
        <w:t>Nature</w:t>
      </w:r>
      <w:r w:rsidRPr="007F536A">
        <w:rPr>
          <w:rFonts w:ascii="Book Antiqua" w:hAnsi="Book Antiqua"/>
          <w:sz w:val="20"/>
        </w:rPr>
        <w:t xml:space="preserve">, who had ignored his earlier letters, decided to publish Gheury de Bray’s next offering. This opened up the discussion in the scientific literature, a discussion which continued throughout the late twenties, the thirties and into the early forties. Again, as Gheury de Bray himself noted, the only values that go against the trend in Table 8 are those that the </w:t>
      </w:r>
      <w:r w:rsidRPr="007F536A">
        <w:rPr>
          <w:rFonts w:ascii="Book Antiqua" w:hAnsi="Book Antiqua"/>
          <w:sz w:val="20"/>
        </w:rPr>
        <w:lastRenderedPageBreak/>
        <w:t xml:space="preserve">experimenters themselves have rejected. If the polygonal mirror technique is counted separately, five methods have demonstrated a decline in the speed of light over time. </w:t>
      </w:r>
    </w:p>
    <w:p w:rsidR="00821A88" w:rsidRPr="007F536A" w:rsidRDefault="00821A88" w:rsidP="00821A88">
      <w:pPr>
        <w:pStyle w:val="NoSpacing"/>
        <w:ind w:firstLine="720"/>
        <w:jc w:val="both"/>
        <w:rPr>
          <w:rFonts w:ascii="Book Antiqua" w:hAnsi="Book Antiqua"/>
          <w:sz w:val="20"/>
        </w:rPr>
      </w:pPr>
    </w:p>
    <w:p w:rsidR="00AF7640" w:rsidRPr="007F536A" w:rsidRDefault="00AF7640" w:rsidP="0079566F">
      <w:pPr>
        <w:pStyle w:val="NoSpacing"/>
        <w:jc w:val="center"/>
        <w:rPr>
          <w:rFonts w:ascii="Book Antiqua" w:hAnsi="Book Antiqua"/>
        </w:rPr>
      </w:pPr>
      <w:r w:rsidRPr="00AF7640">
        <w:rPr>
          <w:rFonts w:ascii="Book Antiqua" w:hAnsi="Book Antiqua"/>
          <w:b/>
          <w:sz w:val="18"/>
          <w:szCs w:val="18"/>
        </w:rPr>
        <w:t>Table 9:</w:t>
      </w:r>
      <w:r w:rsidRPr="00AF7640">
        <w:rPr>
          <w:rFonts w:ascii="Book Antiqua" w:hAnsi="Book Antiqua"/>
          <w:b/>
          <w:i/>
          <w:sz w:val="18"/>
          <w:szCs w:val="18"/>
        </w:rPr>
        <w:t xml:space="preserve"> Rotating Mirror Results</w:t>
      </w:r>
    </w:p>
    <w:tbl>
      <w:tblPr>
        <w:tblW w:w="9209" w:type="dxa"/>
        <w:jc w:val="center"/>
        <w:tblCellSpacing w:w="7" w:type="dxa"/>
        <w:tblCellMar>
          <w:top w:w="15" w:type="dxa"/>
          <w:left w:w="15" w:type="dxa"/>
          <w:bottom w:w="15" w:type="dxa"/>
          <w:right w:w="15" w:type="dxa"/>
        </w:tblCellMar>
        <w:tblLook w:val="04A0"/>
      </w:tblPr>
      <w:tblGrid>
        <w:gridCol w:w="10056"/>
      </w:tblGrid>
      <w:tr w:rsidR="00AF7640" w:rsidRPr="007F536A" w:rsidTr="00183232">
        <w:trPr>
          <w:tblCellSpacing w:w="7" w:type="dxa"/>
          <w:jc w:val="center"/>
        </w:trPr>
        <w:tc>
          <w:tcPr>
            <w:tcW w:w="9181" w:type="dxa"/>
            <w:vAlign w:val="center"/>
            <w:hideMark/>
          </w:tcPr>
          <w:tbl>
            <w:tblPr>
              <w:tblW w:w="9982"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82"/>
              <w:gridCol w:w="900"/>
              <w:gridCol w:w="720"/>
              <w:gridCol w:w="810"/>
              <w:gridCol w:w="1350"/>
              <w:gridCol w:w="1080"/>
              <w:gridCol w:w="1440"/>
              <w:gridCol w:w="1800"/>
            </w:tblGrid>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Experimenter</w:t>
                  </w:r>
                </w:p>
              </w:tc>
              <w:tc>
                <w:tcPr>
                  <w:tcW w:w="90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Date</w:t>
                  </w:r>
                </w:p>
              </w:tc>
              <w:tc>
                <w:tcPr>
                  <w:tcW w:w="72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i/>
                      <w:sz w:val="18"/>
                      <w:szCs w:val="18"/>
                    </w:rPr>
                    <w:t># Exp</w:t>
                  </w:r>
                </w:p>
              </w:tc>
              <w:tc>
                <w:tcPr>
                  <w:tcW w:w="81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Faces</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Base (meters)</w:t>
                  </w:r>
                </w:p>
              </w:tc>
              <w:tc>
                <w:tcPr>
                  <w:tcW w:w="108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Rev/sec</w:t>
                  </w:r>
                </w:p>
              </w:tc>
              <w:tc>
                <w:tcPr>
                  <w:tcW w:w="144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Deflection</w:t>
                  </w:r>
                </w:p>
              </w:tc>
              <w:tc>
                <w:tcPr>
                  <w:tcW w:w="18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c value in km/s</w:t>
                  </w:r>
                </w:p>
              </w:tc>
            </w:tr>
            <w:tr w:rsidR="00AF7640" w:rsidRPr="00AF7640" w:rsidTr="0079566F">
              <w:trPr>
                <w:trHeight w:val="201"/>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1.</w:t>
                  </w:r>
                  <w:r w:rsidRPr="00790E4F">
                    <w:rPr>
                      <w:rFonts w:ascii="Book Antiqua" w:hAnsi="Book Antiqua"/>
                      <w:b/>
                      <w:sz w:val="16"/>
                      <w:szCs w:val="16"/>
                    </w:rPr>
                    <w:t xml:space="preserve"> Foucault</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20.0</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500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0.7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298,000 ± 500</w:t>
                  </w:r>
                </w:p>
              </w:tc>
            </w:tr>
            <w:tr w:rsidR="00AF7640" w:rsidRPr="00AF7640" w:rsidTr="0079566F">
              <w:trPr>
                <w:trHeight w:val="147"/>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2.</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1878.0</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152.4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7.58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300,140 ± 480</w:t>
                  </w:r>
                </w:p>
              </w:tc>
            </w:tr>
            <w:tr w:rsidR="00AF7640" w:rsidRPr="00AF7640" w:rsidTr="0079566F">
              <w:trPr>
                <w:trHeight w:val="192"/>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3.</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1879.5*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100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605.4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257.3</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133.20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299,910 ± 50</w:t>
                  </w:r>
                </w:p>
              </w:tc>
            </w:tr>
            <w:tr w:rsidR="00AF7640" w:rsidRPr="00AF7640" w:rsidTr="0079566F">
              <w:trPr>
                <w:trHeight w:val="156"/>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F72A0C">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4.</w:t>
                  </w:r>
                  <w:r w:rsidRPr="00790E4F">
                    <w:rPr>
                      <w:rFonts w:ascii="Book Antiqua" w:hAnsi="Book Antiqua"/>
                      <w:b/>
                      <w:sz w:val="16"/>
                      <w:szCs w:val="16"/>
                    </w:rPr>
                    <w:t xml:space="preserve"> Newcomb </w:t>
                  </w:r>
                  <w:r w:rsidR="00F72A0C" w:rsidRPr="00790E4F">
                    <w:rPr>
                      <w:rFonts w:ascii="Book Antiqua" w:hAnsi="Book Antiqua"/>
                      <w:b/>
                      <w:sz w:val="16"/>
                      <w:szCs w:val="16"/>
                    </w:rPr>
                    <w:t>av.</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1881.8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255</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2550.95</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114-268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 cm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299,810</w:t>
                  </w:r>
                </w:p>
              </w:tc>
            </w:tr>
            <w:tr w:rsidR="00AF7640" w:rsidRPr="00AF7640" w:rsidTr="0079566F">
              <w:trPr>
                <w:trHeight w:val="192"/>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5.</w:t>
                  </w:r>
                  <w:r w:rsidRPr="00790E4F">
                    <w:rPr>
                      <w:rFonts w:ascii="Book Antiqua" w:hAnsi="Book Antiqua"/>
                      <w:b/>
                      <w:sz w:val="16"/>
                      <w:szCs w:val="16"/>
                    </w:rPr>
                    <w:t xml:space="preserve"> Newcomb</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1882.7*</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66</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3721.21</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176-268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 cm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299,860 ± 30</w:t>
                  </w:r>
                </w:p>
              </w:tc>
            </w:tr>
            <w:tr w:rsidR="00AF7640" w:rsidRPr="00AF7640" w:rsidTr="0079566F">
              <w:trPr>
                <w:trHeight w:val="156"/>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6.</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563</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624.645</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129-259</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138 mm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299,853 ± 60</w:t>
                  </w:r>
                </w:p>
              </w:tc>
            </w:tr>
            <w:tr w:rsidR="00AF7640" w:rsidRPr="00AF7640" w:rsidTr="0079566F">
              <w:trPr>
                <w:trHeight w:val="210"/>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7.</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1924.6*</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35,426.23</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528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Nil</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299,802 ± 30</w:t>
                  </w:r>
                </w:p>
              </w:tc>
            </w:tr>
            <w:tr w:rsidR="00AF7640" w:rsidRPr="00AF7640" w:rsidTr="0079566F">
              <w:trPr>
                <w:trHeight w:val="147"/>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8.</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1926.5*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1600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8-16</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35,426.23</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264-528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Nil</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299,798 ± 15</w:t>
                  </w:r>
                </w:p>
              </w:tc>
            </w:tr>
            <w:tr w:rsidR="00AF7640" w:rsidRPr="00AF7640" w:rsidTr="0079566F">
              <w:trPr>
                <w:trHeight w:val="53"/>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790E4F">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9.</w:t>
                  </w:r>
                  <w:r w:rsidRPr="00790E4F">
                    <w:rPr>
                      <w:rFonts w:ascii="Book Antiqua" w:hAnsi="Book Antiqua"/>
                      <w:b/>
                      <w:sz w:val="16"/>
                      <w:szCs w:val="16"/>
                    </w:rPr>
                    <w:t xml:space="preserve"> Pease/Pearson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1932.5*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2885</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32</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1,610.4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585-730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0.01 mm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299,774 ± 10</w:t>
                  </w:r>
                </w:p>
              </w:tc>
            </w:tr>
          </w:tbl>
          <w:p w:rsidR="00AF7640" w:rsidRPr="007F536A" w:rsidRDefault="00AF7640" w:rsidP="0079566F">
            <w:pPr>
              <w:spacing w:before="100" w:beforeAutospacing="1" w:after="100" w:afterAutospacing="1"/>
              <w:rPr>
                <w:rFonts w:ascii="Book Antiqua" w:hAnsi="Book Antiqua"/>
                <w:sz w:val="16"/>
                <w:szCs w:val="16"/>
              </w:rPr>
            </w:pPr>
            <w:r w:rsidRPr="00AF7640">
              <w:rPr>
                <w:rFonts w:ascii="Book Antiqua" w:hAnsi="Book Antiqua"/>
                <w:bCs/>
                <w:sz w:val="16"/>
                <w:szCs w:val="16"/>
              </w:rPr>
              <w:t>NOTE: Column marked # Exp means “number of experiments performed</w:t>
            </w:r>
            <w:r w:rsidR="00790E4F">
              <w:rPr>
                <w:rFonts w:ascii="Book Antiqua" w:hAnsi="Book Antiqua"/>
                <w:bCs/>
                <w:sz w:val="16"/>
                <w:szCs w:val="16"/>
              </w:rPr>
              <w:t>.</w:t>
            </w:r>
            <w:r w:rsidRPr="00AF7640">
              <w:rPr>
                <w:rFonts w:ascii="Book Antiqua" w:hAnsi="Book Antiqua"/>
                <w:bCs/>
                <w:sz w:val="16"/>
                <w:szCs w:val="16"/>
              </w:rPr>
              <w:t>”</w:t>
            </w:r>
            <w:r w:rsidR="00790E4F">
              <w:rPr>
                <w:rFonts w:ascii="Book Antiqua" w:hAnsi="Book Antiqua"/>
                <w:bCs/>
                <w:sz w:val="16"/>
                <w:szCs w:val="16"/>
              </w:rPr>
              <w:t xml:space="preserve"> </w:t>
            </w:r>
            <w:r w:rsidRPr="00AF7640">
              <w:rPr>
                <w:rFonts w:ascii="Book Antiqua" w:hAnsi="Book Antiqua"/>
                <w:bCs/>
                <w:sz w:val="16"/>
                <w:szCs w:val="16"/>
              </w:rPr>
              <w:t xml:space="preserve"> Values marked * included in Table 17.</w:t>
            </w:r>
            <w:r w:rsidR="00790E4F">
              <w:rPr>
                <w:rFonts w:ascii="Book Antiqua" w:hAnsi="Book Antiqua"/>
                <w:bCs/>
                <w:sz w:val="16"/>
                <w:szCs w:val="16"/>
              </w:rPr>
              <w:t xml:space="preserve"> Comments boxed below.</w:t>
            </w:r>
          </w:p>
        </w:tc>
      </w:tr>
    </w:tbl>
    <w:tbl>
      <w:tblPr>
        <w:tblStyle w:val="TableGrid"/>
        <w:tblW w:w="0" w:type="auto"/>
        <w:tblInd w:w="1440" w:type="dxa"/>
        <w:tblLook w:val="04A0"/>
      </w:tblPr>
      <w:tblGrid>
        <w:gridCol w:w="8720"/>
      </w:tblGrid>
      <w:tr w:rsidR="00AF7640" w:rsidRPr="007F536A" w:rsidTr="0079566F">
        <w:trPr>
          <w:trHeight w:val="6506"/>
        </w:trPr>
        <w:tc>
          <w:tcPr>
            <w:tcW w:w="8720" w:type="dxa"/>
          </w:tcPr>
          <w:p w:rsidR="00CB4EA7" w:rsidRDefault="00CB4EA7" w:rsidP="00BA6F67">
            <w:pPr>
              <w:pStyle w:val="NoSpacing"/>
              <w:rPr>
                <w:rFonts w:ascii="Book Antiqua" w:hAnsi="Book Antiqua"/>
                <w:b/>
                <w:bCs/>
                <w:sz w:val="20"/>
              </w:rPr>
            </w:pPr>
          </w:p>
          <w:p w:rsidR="0079566F" w:rsidRDefault="0079566F"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1</w:t>
            </w:r>
            <w:r w:rsidRPr="007F536A">
              <w:rPr>
                <w:rFonts w:ascii="Book Antiqua" w:hAnsi="Book Antiqua"/>
                <w:sz w:val="20"/>
              </w:rPr>
              <w:t xml:space="preserve">. Foucault: Micrometer and diffraction problems coupled with miniscule deflection. </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2</w:t>
            </w:r>
            <w:r w:rsidRPr="007F536A">
              <w:rPr>
                <w:rFonts w:ascii="Book Antiqua" w:hAnsi="Book Antiqua"/>
                <w:sz w:val="20"/>
              </w:rPr>
              <w:t>. Michelson: Value discarded by Michelson – large probable error and crude equipment.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3</w:t>
            </w:r>
            <w:r w:rsidRPr="007F536A">
              <w:rPr>
                <w:rFonts w:ascii="Book Antiqua" w:hAnsi="Book Antiqua"/>
                <w:sz w:val="20"/>
              </w:rPr>
              <w:t>. Michelson: Number of experiments listed as 100, but there were ten sets per experiment.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4</w:t>
            </w:r>
            <w:r w:rsidRPr="007F536A">
              <w:rPr>
                <w:rFonts w:ascii="Book Antiqua" w:hAnsi="Book Antiqua"/>
                <w:sz w:val="20"/>
              </w:rPr>
              <w:t>. Newcomb: This mean resulted from the inclusion of two series whose results Newcomb rejected as unreliable due to systematic errors (mirror imbalance and vibration). These results were 299,627 km/s in 1880.9 and 299,694 km/s in 1881.7, both for air. They were included with the final reliable value to get a vacuum mean only in order to avoid criticism. These figures give the average displacement and range of rotation rates and the total number of experiments conducted. The smaller path is quoted.</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5</w:t>
            </w:r>
            <w:r w:rsidRPr="007F536A">
              <w:rPr>
                <w:rFonts w:ascii="Book Antiqua" w:hAnsi="Book Antiqua"/>
                <w:sz w:val="20"/>
              </w:rPr>
              <w:t xml:space="preserve">. Newcomb: Definitive. He insisted his results </w:t>
            </w:r>
            <w:r w:rsidRPr="007F536A">
              <w:rPr>
                <w:rFonts w:ascii="Book Antiqua" w:hAnsi="Book Antiqua"/>
                <w:i/>
                <w:sz w:val="20"/>
              </w:rPr>
              <w:t>“should depend entirely on the measures of 1882.”</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6</w:t>
            </w:r>
            <w:r w:rsidRPr="007F536A">
              <w:rPr>
                <w:rFonts w:ascii="Book Antiqua" w:hAnsi="Book Antiqua"/>
                <w:sz w:val="20"/>
              </w:rPr>
              <w:t xml:space="preserve">. Michelson: 1882.8 result obtained with same equipment as 1879.5 result. </w:t>
            </w:r>
            <w:r w:rsidR="00CB4EA7">
              <w:rPr>
                <w:rFonts w:ascii="Book Antiqua" w:hAnsi="Book Antiqua"/>
                <w:sz w:val="20"/>
              </w:rPr>
              <w:t>Later</w:t>
            </w:r>
            <w:r w:rsidRPr="007F536A">
              <w:rPr>
                <w:rFonts w:ascii="Book Antiqua" w:hAnsi="Book Antiqua"/>
                <w:sz w:val="20"/>
              </w:rPr>
              <w:t xml:space="preserve"> value is lower.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7</w:t>
            </w:r>
            <w:r w:rsidRPr="007F536A">
              <w:rPr>
                <w:rFonts w:ascii="Book Antiqua" w:hAnsi="Book Antiqua"/>
                <w:sz w:val="20"/>
              </w:rPr>
              <w:t xml:space="preserve">. Michelson: </w:t>
            </w:r>
            <w:r w:rsidR="00CB4EA7">
              <w:rPr>
                <w:rFonts w:ascii="Book Antiqua" w:hAnsi="Book Antiqua"/>
                <w:sz w:val="20"/>
              </w:rPr>
              <w:t>A</w:t>
            </w:r>
            <w:r w:rsidRPr="007F536A">
              <w:rPr>
                <w:rFonts w:ascii="Book Antiqua" w:hAnsi="Book Antiqua"/>
                <w:sz w:val="20"/>
              </w:rPr>
              <w:t xml:space="preserve"> new method. An octagonal glass prism with a rotation rate giving no deflection.</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8</w:t>
            </w:r>
            <w:r w:rsidRPr="007F536A">
              <w:rPr>
                <w:rFonts w:ascii="Book Antiqua" w:hAnsi="Book Antiqua"/>
                <w:sz w:val="20"/>
              </w:rPr>
              <w:t xml:space="preserve">. Michelson: Polygonal mirrors of 8, 12, and 16 faces. Result corrected for group velocity. Equipment the same as for 1924.6. This new method registered a decay in </w:t>
            </w:r>
            <w:r w:rsidRPr="007F536A">
              <w:rPr>
                <w:rFonts w:ascii="Book Antiqua" w:hAnsi="Book Antiqua"/>
                <w:i/>
                <w:iCs/>
                <w:sz w:val="20"/>
              </w:rPr>
              <w:t>c</w:t>
            </w:r>
            <w:r w:rsidRPr="007F536A">
              <w:rPr>
                <w:rFonts w:ascii="Book Antiqua" w:hAnsi="Book Antiqua"/>
                <w:sz w:val="20"/>
              </w:rPr>
              <w:t xml:space="preserve"> over two years approximately equal to 2 km/s per year.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9</w:t>
            </w:r>
            <w:r w:rsidRPr="007F536A">
              <w:rPr>
                <w:rFonts w:ascii="Book Antiqua" w:hAnsi="Book Antiqua"/>
                <w:sz w:val="20"/>
              </w:rPr>
              <w:t>. Pease/Pearson: Unstable baseline and minute deflection giving micrometer problems. These results are generally disregarded today.</w:t>
            </w:r>
          </w:p>
          <w:p w:rsidR="00AF7640" w:rsidRPr="007F536A" w:rsidRDefault="00AF7640" w:rsidP="00BA6F67">
            <w:pPr>
              <w:pStyle w:val="Els-body-text"/>
              <w:ind w:firstLine="0"/>
              <w:rPr>
                <w:rFonts w:ascii="Book Antiqua" w:hAnsi="Book Antiqua"/>
              </w:rPr>
            </w:pPr>
          </w:p>
          <w:p w:rsidR="00AF7640" w:rsidRPr="007F536A" w:rsidRDefault="00AF7640" w:rsidP="00BA6F67">
            <w:pPr>
              <w:pStyle w:val="Els-body-text"/>
              <w:ind w:firstLine="0"/>
              <w:rPr>
                <w:rFonts w:ascii="Book Antiqua" w:hAnsi="Book Antiqua"/>
              </w:rPr>
            </w:pPr>
          </w:p>
        </w:tc>
      </w:tr>
    </w:tbl>
    <w:p w:rsidR="00CB4EA7" w:rsidRDefault="00CB4EA7" w:rsidP="00183232">
      <w:pPr>
        <w:pStyle w:val="NoSpacing"/>
        <w:ind w:firstLine="720"/>
        <w:jc w:val="both"/>
        <w:rPr>
          <w:rFonts w:ascii="Book Antiqua" w:hAnsi="Book Antiqua"/>
          <w:sz w:val="20"/>
        </w:rPr>
      </w:pPr>
    </w:p>
    <w:p w:rsidR="00183232" w:rsidRDefault="00183232" w:rsidP="00183232">
      <w:pPr>
        <w:pStyle w:val="NoSpacing"/>
        <w:ind w:firstLine="720"/>
        <w:jc w:val="both"/>
        <w:rPr>
          <w:rFonts w:ascii="Book Antiqua" w:hAnsi="Book Antiqua"/>
          <w:sz w:val="20"/>
        </w:rPr>
      </w:pPr>
      <w:r w:rsidRPr="007F536A">
        <w:rPr>
          <w:rFonts w:ascii="Book Antiqua" w:hAnsi="Book Antiqua"/>
          <w:sz w:val="20"/>
        </w:rPr>
        <w:t xml:space="preserve">The data from Table 9 are plotted in Figure 28. The graph omits the outlier of Foucault’s pioneering value. This was described by Todd described as having </w:t>
      </w:r>
      <w:r w:rsidRPr="007F536A">
        <w:rPr>
          <w:rFonts w:ascii="Book Antiqua" w:hAnsi="Book Antiqua"/>
          <w:i/>
          <w:sz w:val="20"/>
        </w:rPr>
        <w:t xml:space="preserve">“very unfavorable limitations” </w:t>
      </w:r>
      <w:r w:rsidRPr="007F536A">
        <w:rPr>
          <w:rFonts w:ascii="Book Antiqua" w:hAnsi="Book Antiqua"/>
          <w:sz w:val="20"/>
        </w:rPr>
        <w:t>experimentally [158].</w:t>
      </w:r>
    </w:p>
    <w:p w:rsidR="00AF7640" w:rsidRPr="007F536A" w:rsidRDefault="00AF7640"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18"/>
          <w:szCs w:val="18"/>
        </w:rPr>
      </w:pPr>
      <w:r w:rsidRPr="007F536A">
        <w:rPr>
          <w:rFonts w:ascii="Book Antiqua" w:hAnsi="Book Antiqua"/>
          <w:noProof/>
          <w:sz w:val="18"/>
          <w:szCs w:val="18"/>
        </w:rPr>
        <w:lastRenderedPageBreak/>
        <w:drawing>
          <wp:inline distT="0" distB="0" distL="0" distR="0">
            <wp:extent cx="4914099" cy="3296451"/>
            <wp:effectExtent l="19050" t="0" r="19851" b="0"/>
            <wp:docPr id="151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821A88" w:rsidRPr="007F536A" w:rsidRDefault="00821A88" w:rsidP="00821A88">
      <w:pPr>
        <w:pStyle w:val="Els-body-text"/>
        <w:ind w:firstLine="0"/>
        <w:rPr>
          <w:rFonts w:ascii="Book Antiqua" w:hAnsi="Book Antiqua"/>
        </w:rPr>
      </w:pPr>
    </w:p>
    <w:p w:rsidR="00821A88" w:rsidRPr="001C099A" w:rsidRDefault="00821A88" w:rsidP="00821A88">
      <w:pPr>
        <w:pStyle w:val="NoSpacing"/>
        <w:rPr>
          <w:rFonts w:ascii="Book Antiqua" w:hAnsi="Book Antiqua"/>
          <w:i/>
          <w:sz w:val="18"/>
          <w:szCs w:val="18"/>
        </w:rPr>
      </w:pPr>
      <w:r w:rsidRPr="001C099A">
        <w:rPr>
          <w:rFonts w:ascii="Book Antiqua" w:hAnsi="Book Antiqua"/>
          <w:b/>
          <w:i/>
          <w:sz w:val="18"/>
          <w:szCs w:val="18"/>
        </w:rPr>
        <w:t>Figure 28:</w:t>
      </w:r>
      <w:r w:rsidRPr="001C099A">
        <w:rPr>
          <w:rFonts w:ascii="Book Antiqua" w:hAnsi="Book Antiqua"/>
          <w:i/>
          <w:sz w:val="18"/>
          <w:szCs w:val="18"/>
        </w:rPr>
        <w:t xml:space="preserve"> Graph of the speed of light values from the rotating mirror method using data listed in Table 9 but omitting Foucault’s pioneering value. A linear fit to these data gives a decline of 2.85 km/s per year.</w:t>
      </w:r>
    </w:p>
    <w:p w:rsidR="00821A88" w:rsidRPr="007F536A" w:rsidRDefault="00821A88" w:rsidP="00821A88">
      <w:pPr>
        <w:pStyle w:val="NoSpacing"/>
        <w:rPr>
          <w:rFonts w:ascii="Book Antiqua" w:hAnsi="Book Antiqua"/>
          <w:sz w:val="16"/>
          <w:szCs w:val="16"/>
        </w:rPr>
      </w:pPr>
    </w:p>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rPr>
          <w:rFonts w:ascii="Book Antiqua" w:hAnsi="Book Antiqua"/>
          <w:b/>
          <w:sz w:val="20"/>
        </w:rPr>
      </w:pPr>
      <w:r w:rsidRPr="007F536A">
        <w:rPr>
          <w:rFonts w:ascii="Book Antiqua" w:hAnsi="Book Antiqua"/>
          <w:b/>
          <w:sz w:val="20"/>
        </w:rPr>
        <w:t xml:space="preserve">Section 5: Recent </w:t>
      </w:r>
      <m:oMath>
        <m:r>
          <m:rPr>
            <m:sty m:val="b"/>
          </m:rPr>
          <w:rPr>
            <w:rFonts w:ascii="Cambria Math" w:hAnsi="Cambria Math"/>
            <w:sz w:val="20"/>
          </w:rPr>
          <m:t>c</m:t>
        </m:r>
      </m:oMath>
      <w:r w:rsidRPr="007F536A">
        <w:rPr>
          <w:rFonts w:ascii="Book Antiqua" w:hAnsi="Book Antiqua"/>
          <w:b/>
          <w:sz w:val="20"/>
        </w:rPr>
        <w:t xml:space="preserve"> Measurements. </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Kerr Cell Results 1928 - 1940.</w:t>
      </w:r>
    </w:p>
    <w:p w:rsidR="00821A88" w:rsidRPr="007F536A" w:rsidRDefault="00821A88" w:rsidP="00821A88">
      <w:pPr>
        <w:pStyle w:val="NoSpacing"/>
        <w:rPr>
          <w:rFonts w:ascii="Book Antiqua" w:hAnsi="Book Antiqua"/>
          <w:b/>
          <w:sz w:val="20"/>
        </w:rPr>
      </w:pPr>
    </w:p>
    <w:p w:rsidR="00821A88" w:rsidRPr="007F536A" w:rsidRDefault="00821A88" w:rsidP="00945782">
      <w:pPr>
        <w:pStyle w:val="NoSpacing"/>
        <w:ind w:firstLine="360"/>
        <w:jc w:val="both"/>
        <w:rPr>
          <w:rFonts w:ascii="Book Antiqua" w:hAnsi="Book Antiqua"/>
          <w:sz w:val="20"/>
        </w:rPr>
      </w:pPr>
      <w:r w:rsidRPr="007F536A">
        <w:rPr>
          <w:rFonts w:ascii="Book Antiqua" w:hAnsi="Book Antiqua"/>
          <w:sz w:val="20"/>
        </w:rPr>
        <w:t>From the end of Michelson’s experiments to the late 1940’s measurements of the speed of light were conducted via the Kerr cell method, using an electro-optic shutter developed by Kerr in 1875.   After this, a number of new methods were introduced. The Kerr cell method is similar to the toothed wheel, only in this case the light beam is chopped by the electro-optic shutter. The electro-optic shutter consists of a container of nitrobenzene through which an electric field can be applied. When there is no electric field, the nitrobenzene does not allow a light beam to pass through it, so there is no output. When the field is switched on, the nitrobenzene becomes optically active and the beam passes unhindered through the container. In this way a pulsed beam is obtained. However, the frequency of the pulses can be significantly higher than that of Fizeau’s toothed wheel. This reduces the time interval during which the light beam must travel before the next pulse. As a consequence, the operational distance needed to get a reliable result can be reduced. Therefore, it is possible to use this method in a large laboratory rather than between mountain-tops over 8 km apart as Fizeau initially did.</w:t>
      </w:r>
      <w:r w:rsidR="00945782">
        <w:rPr>
          <w:rFonts w:ascii="Book Antiqua" w:hAnsi="Book Antiqua"/>
          <w:sz w:val="20"/>
        </w:rPr>
        <w:t xml:space="preserve">  </w:t>
      </w:r>
      <w:r w:rsidRPr="007F536A">
        <w:rPr>
          <w:rFonts w:ascii="Book Antiqua" w:hAnsi="Book Antiqua"/>
          <w:sz w:val="20"/>
        </w:rPr>
        <w:t xml:space="preserve">The drawback is that the system is sensitive to transit times of electrons in detection tubes, as well as the time it takes for light to pass through glass, nitrobenzene and air. These factors, as well as a short base-line, all tend to result in an estimated value for </w:t>
      </w:r>
      <m:oMath>
        <m:r>
          <w:rPr>
            <w:rFonts w:ascii="Cambria Math" w:hAnsi="Cambria Math"/>
            <w:sz w:val="20"/>
          </w:rPr>
          <m:t>c</m:t>
        </m:r>
      </m:oMath>
      <w:r w:rsidRPr="007F536A">
        <w:rPr>
          <w:rFonts w:ascii="Book Antiqua" w:hAnsi="Book Antiqua"/>
          <w:sz w:val="20"/>
        </w:rPr>
        <w:t xml:space="preserve"> which is systematically below the real value.</w:t>
      </w:r>
    </w:p>
    <w:p w:rsidR="00821A88" w:rsidRPr="007F536A" w:rsidRDefault="00821A88" w:rsidP="00821A88">
      <w:pPr>
        <w:pStyle w:val="NoSpacing"/>
        <w:ind w:firstLine="360"/>
        <w:jc w:val="both"/>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 xml:space="preserve">This method was first used by Mittelstaedt in 1928 to measure the speed of light. Four determinations of </w:t>
      </w:r>
      <m:oMath>
        <m:r>
          <w:rPr>
            <w:rFonts w:ascii="Cambria Math" w:hAnsi="Cambria Math"/>
            <w:sz w:val="20"/>
          </w:rPr>
          <m:t>c</m:t>
        </m:r>
      </m:oMath>
      <w:r w:rsidRPr="007F536A">
        <w:rPr>
          <w:rFonts w:ascii="Book Antiqua" w:hAnsi="Book Antiqua"/>
          <w:sz w:val="20"/>
        </w:rPr>
        <w:t xml:space="preserve"> were performed up to 1940 using this method. Professor R. T. Birge applied uniform corrections to these four results. In doing so, he noted that </w:t>
      </w:r>
      <w:r w:rsidRPr="007F536A">
        <w:rPr>
          <w:rFonts w:ascii="Book Antiqua" w:hAnsi="Book Antiqua"/>
          <w:i/>
          <w:sz w:val="20"/>
        </w:rPr>
        <w:t>“The base line in each case was about 40 meters,”</w:t>
      </w:r>
      <w:r w:rsidRPr="007F536A">
        <w:rPr>
          <w:rFonts w:ascii="Book Antiqua" w:hAnsi="Book Antiqua"/>
          <w:sz w:val="20"/>
        </w:rPr>
        <w:t xml:space="preserve"> and gave the probable error for each experiment as about </w:t>
      </w:r>
      <m:oMath>
        <m:r>
          <w:rPr>
            <w:rFonts w:ascii="Cambria Math" w:hAnsi="Cambria Math"/>
            <w:sz w:val="20"/>
          </w:rPr>
          <m:t>± 10 km/s</m:t>
        </m:r>
      </m:oMath>
      <w:r w:rsidRPr="007F536A">
        <w:rPr>
          <w:rFonts w:ascii="Book Antiqua" w:hAnsi="Book Antiqua"/>
          <w:sz w:val="20"/>
        </w:rPr>
        <w:t xml:space="preserve"> [159]. Because the same type of equipment was used in these determinations and the error bar was the same, any trend would not be an instrumental effect.</w:t>
      </w:r>
    </w:p>
    <w:p w:rsidR="00945782" w:rsidRPr="007F536A" w:rsidRDefault="00945782"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results are given in Table 9. The column titled “Number” is the number of experiments performed to produce the quoted result. A linear fit to the data gives a decline in the value of </w:t>
      </w:r>
      <m:oMath>
        <m:r>
          <w:rPr>
            <w:rFonts w:ascii="Cambria Math" w:hAnsi="Cambria Math"/>
            <w:sz w:val="20"/>
          </w:rPr>
          <m:t>c</m:t>
        </m:r>
      </m:oMath>
      <w:r w:rsidRPr="007F536A">
        <w:rPr>
          <w:rFonts w:ascii="Book Antiqua" w:hAnsi="Book Antiqua"/>
          <w:sz w:val="20"/>
        </w:rPr>
        <w:t xml:space="preserve">  of </w:t>
      </w:r>
      <m:oMath>
        <m:r>
          <w:rPr>
            <w:rFonts w:ascii="Cambria Math" w:hAnsi="Cambria Math"/>
            <w:sz w:val="20"/>
          </w:rPr>
          <m:t>1.03 km/s per year</m:t>
        </m:r>
      </m:oMath>
      <w:r w:rsidRPr="007F536A">
        <w:rPr>
          <w:rFonts w:ascii="Book Antiqua" w:hAnsi="Book Antiqua"/>
          <w:sz w:val="20"/>
        </w:rPr>
        <w:t xml:space="preserve">, with a value of </w:t>
      </w:r>
      <m:oMath>
        <m:r>
          <w:rPr>
            <w:rFonts w:ascii="Cambria Math" w:hAnsi="Cambria Math"/>
            <w:sz w:val="20"/>
          </w:rPr>
          <m:t>r = - 0.81</m:t>
        </m:r>
      </m:oMath>
      <w:r w:rsidRPr="007F536A">
        <w:rPr>
          <w:rFonts w:ascii="Book Antiqua" w:hAnsi="Book Antiqua"/>
          <w:sz w:val="20"/>
        </w:rPr>
        <w:t xml:space="preserve"> at </w:t>
      </w:r>
      <w:r w:rsidRPr="007F536A">
        <w:rPr>
          <w:rFonts w:ascii="Book Antiqua" w:hAnsi="Book Antiqua"/>
          <w:sz w:val="20"/>
        </w:rPr>
        <w:lastRenderedPageBreak/>
        <w:t>the 90.5% confidence level. The systematic errors inherent in this type of system give low values for the speed of light, but the decay is still apparent. These systematic errors seem not to be the cause of the decay trend, but rather shift this trend into a lower range of values. All Table 10 values are included in Table 17.</w:t>
      </w:r>
    </w:p>
    <w:p w:rsidR="00821A88" w:rsidRPr="007F536A" w:rsidRDefault="00821A88" w:rsidP="00821A88">
      <w:pPr>
        <w:pStyle w:val="NoSpacing"/>
        <w:jc w:val="both"/>
        <w:rPr>
          <w:rFonts w:ascii="Book Antiqua" w:hAnsi="Book Antiqua"/>
          <w:sz w:val="20"/>
        </w:rPr>
      </w:pPr>
    </w:p>
    <w:p w:rsidR="00821A88" w:rsidRPr="00BA6F67" w:rsidRDefault="00821A88" w:rsidP="0058010B">
      <w:pPr>
        <w:pStyle w:val="NoSpacing"/>
        <w:jc w:val="center"/>
        <w:rPr>
          <w:rFonts w:ascii="Book Antiqua" w:hAnsi="Book Antiqua"/>
          <w:b/>
          <w:i/>
          <w:sz w:val="18"/>
          <w:szCs w:val="18"/>
        </w:rPr>
      </w:pPr>
      <w:r w:rsidRPr="00BA6F67">
        <w:rPr>
          <w:rFonts w:ascii="Book Antiqua" w:hAnsi="Book Antiqua"/>
          <w:b/>
          <w:sz w:val="18"/>
          <w:szCs w:val="18"/>
        </w:rPr>
        <w:t>Table 10:</w:t>
      </w:r>
      <w:r w:rsidRPr="00BA6F67">
        <w:rPr>
          <w:rFonts w:ascii="Book Antiqua" w:hAnsi="Book Antiqua"/>
          <w:b/>
          <w:i/>
          <w:sz w:val="18"/>
          <w:szCs w:val="18"/>
        </w:rPr>
        <w:t xml:space="preserve"> Kerr Cell Values of Light-Speed Corrected by Birge.</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1638"/>
        <w:gridCol w:w="990"/>
        <w:gridCol w:w="990"/>
        <w:gridCol w:w="1638"/>
      </w:tblGrid>
      <w:tr w:rsidR="00821A88" w:rsidRPr="007F536A" w:rsidTr="0058010B">
        <w:trPr>
          <w:jc w:val="center"/>
        </w:trPr>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Experimenter</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w:t>
            </w:r>
          </w:p>
        </w:tc>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c in km/s</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Mittelstaedt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1928.0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775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299,786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1936.8</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651</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Huttel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1937.0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135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1940.0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2895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299,776 </w:t>
            </w:r>
            <w:r w:rsidRPr="007F536A">
              <w:rPr>
                <w:rFonts w:ascii="Book Antiqua" w:hAnsi="Book Antiqua"/>
                <w:sz w:val="20"/>
                <w:u w:val="single"/>
              </w:rPr>
              <w:t>+</w:t>
            </w:r>
            <w:r w:rsidRPr="007F536A">
              <w:rPr>
                <w:rFonts w:ascii="Book Antiqua" w:hAnsi="Book Antiqua"/>
                <w:sz w:val="20"/>
              </w:rPr>
              <w:t xml:space="preserve"> 10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58010B">
      <w:pPr>
        <w:pStyle w:val="NoSpacing"/>
        <w:jc w:val="center"/>
        <w:rPr>
          <w:rFonts w:ascii="Book Antiqua" w:hAnsi="Book Antiqua"/>
          <w:sz w:val="20"/>
        </w:rPr>
      </w:pPr>
      <w:r w:rsidRPr="007F536A">
        <w:rPr>
          <w:rFonts w:ascii="Book Antiqua" w:hAnsi="Book Antiqua"/>
          <w:noProof/>
          <w:sz w:val="20"/>
        </w:rPr>
        <w:drawing>
          <wp:inline distT="0" distB="0" distL="0" distR="0">
            <wp:extent cx="3203228" cy="1905640"/>
            <wp:effectExtent l="19050" t="0" r="16222" b="0"/>
            <wp:docPr id="152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1C099A" w:rsidRDefault="00821A88" w:rsidP="00821A88">
      <w:pPr>
        <w:pStyle w:val="NoSpacing"/>
        <w:jc w:val="both"/>
        <w:rPr>
          <w:rFonts w:ascii="Book Antiqua" w:hAnsi="Book Antiqua"/>
          <w:i/>
          <w:sz w:val="18"/>
          <w:szCs w:val="18"/>
        </w:rPr>
      </w:pPr>
      <w:r w:rsidRPr="001C099A">
        <w:rPr>
          <w:rFonts w:ascii="Book Antiqua" w:hAnsi="Book Antiqua"/>
          <w:b/>
          <w:i/>
          <w:sz w:val="18"/>
          <w:szCs w:val="18"/>
        </w:rPr>
        <w:t>Figure 29:</w:t>
      </w:r>
      <w:r w:rsidRPr="001C099A">
        <w:rPr>
          <w:rFonts w:ascii="Book Antiqua" w:hAnsi="Book Antiqua"/>
          <w:i/>
          <w:sz w:val="18"/>
          <w:szCs w:val="18"/>
        </w:rPr>
        <w:t xml:space="preserve"> Plot of the Kerr cell data from Table 10. Horizontal axis is the date and the vertical axis is the speed of light in km/s. The linear trend line has a decline in the speed of light of 1.03 km/s per year.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case of the 1928 determination, a preliminary report was issued that year by Karolus and Mittelstaedt [160], with a final report by Mittelstaedt in 1929 [161, 162]. In recording this result, for some reason, M. E. J. Gheury de Bray assigned an incorrect base-length [163].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the case of the 1936.8 determination, an initial report was issued by Anderson [164], with the final corrections including the phase velocity given in reference [165]. For Huttel’s determination in 1937, the uncorrected original value was </w:t>
      </w:r>
      <m:oMath>
        <m:r>
          <w:rPr>
            <w:rFonts w:ascii="Cambria Math" w:hAnsi="Cambria Math"/>
            <w:sz w:val="20"/>
          </w:rPr>
          <m:t xml:space="preserve">299,768 </m:t>
        </m:r>
        <m:r>
          <w:rPr>
            <w:rFonts w:ascii="Cambria Math" w:hAnsi="Cambria Math"/>
            <w:sz w:val="20"/>
            <w:u w:val="single"/>
          </w:rPr>
          <m:t>±</m:t>
        </m:r>
        <m:r>
          <w:rPr>
            <w:rFonts w:ascii="Cambria Math" w:hAnsi="Cambria Math"/>
            <w:sz w:val="20"/>
          </w:rPr>
          <m:t xml:space="preserve"> 10 km/s</m:t>
        </m:r>
      </m:oMath>
      <w:r w:rsidRPr="007F536A">
        <w:rPr>
          <w:rFonts w:ascii="Book Antiqua" w:hAnsi="Book Antiqua"/>
          <w:sz w:val="20"/>
        </w:rPr>
        <w:t xml:space="preserve"> [166]. The value given here is the corrected 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the 1940 determination by Anderson, improved techniques had removed glass from the light-path. Other variables were also altered. Dorsey [167] stated the precision essentially the same as Anderson’s earlier experiment at </w:t>
      </w:r>
      <m:oMath>
        <m:r>
          <w:rPr>
            <w:rFonts w:ascii="Cambria Math" w:hAnsi="Cambria Math"/>
            <w:sz w:val="20"/>
          </w:rPr>
          <m:t>± 14 km/s</m:t>
        </m:r>
      </m:oMath>
      <w:r w:rsidRPr="007F536A">
        <w:rPr>
          <w:rFonts w:ascii="Book Antiqua" w:hAnsi="Book Antiqua"/>
          <w:sz w:val="20"/>
        </w:rPr>
        <w:t xml:space="preserve">. However, Birge in reference [168] puts it at </w:t>
      </w:r>
      <m:oMath>
        <m:r>
          <w:rPr>
            <w:rFonts w:ascii="Cambria Math" w:hAnsi="Cambria Math"/>
            <w:sz w:val="20"/>
          </w:rPr>
          <m:t>± 6 km/s</m:t>
        </m:r>
      </m:oMath>
      <w:r w:rsidRPr="007F536A">
        <w:rPr>
          <w:rFonts w:ascii="Book Antiqua" w:hAnsi="Book Antiqua"/>
          <w:sz w:val="20"/>
        </w:rPr>
        <w:t xml:space="preserve">. The average is again </w:t>
      </w:r>
      <m:oMath>
        <m:r>
          <w:rPr>
            <w:rFonts w:ascii="Cambria Math" w:hAnsi="Cambria Math"/>
            <w:sz w:val="20"/>
          </w:rPr>
          <m:t>± 10 km/s</m:t>
        </m:r>
      </m:oMath>
      <w:r w:rsidRPr="007F536A">
        <w:rPr>
          <w:rFonts w:ascii="Book Antiqua" w:hAnsi="Book Antiqua"/>
          <w:sz w:val="20"/>
        </w:rPr>
        <w:t>, as for all the other Kerr cell results. A plot of the data from Table 10 is given in Figure 29.</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The Six Methods Used 1945 - 1960.</w:t>
      </w:r>
    </w:p>
    <w:p w:rsidR="00821A88" w:rsidRPr="007F536A" w:rsidRDefault="00821A88" w:rsidP="00821A88">
      <w:pPr>
        <w:pStyle w:val="NoSpacing"/>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 xml:space="preserve">The data collected between 1945 and 1960 were collated and commented on by K. D. Froome and L. Essen in their book, </w:t>
      </w:r>
      <w:r w:rsidRPr="007F536A">
        <w:rPr>
          <w:rFonts w:ascii="Book Antiqua" w:hAnsi="Book Antiqua"/>
          <w:i/>
          <w:sz w:val="20"/>
        </w:rPr>
        <w:t>The Velocity of Light and Radio Waves.</w:t>
      </w:r>
      <w:r w:rsidRPr="007F536A">
        <w:rPr>
          <w:rFonts w:ascii="Book Antiqua" w:hAnsi="Book Antiqua"/>
          <w:sz w:val="20"/>
        </w:rPr>
        <w:t xml:space="preserve"> [169]. Their work includes a good discussion of each experiment and the conclusions reached. When their data is coupled with that from Taylor et al. [170], 23 additional data points from 6 new methods can be documented, as shown in Table 11. All Table 11 values are included in the final Table 17</w:t>
      </w:r>
      <w:r w:rsidR="00912022">
        <w:rPr>
          <w:rFonts w:ascii="Book Antiqua" w:hAnsi="Book Antiqua"/>
          <w:sz w:val="20"/>
        </w:rPr>
        <w:t>.</w:t>
      </w:r>
    </w:p>
    <w:p w:rsidR="00912022" w:rsidRDefault="00912022" w:rsidP="00821A88">
      <w:pPr>
        <w:pStyle w:val="NoSpacing"/>
        <w:ind w:firstLine="360"/>
        <w:jc w:val="both"/>
        <w:rPr>
          <w:rFonts w:ascii="Book Antiqua" w:hAnsi="Book Antiqua"/>
          <w:sz w:val="20"/>
        </w:rPr>
      </w:pPr>
    </w:p>
    <w:p w:rsidR="00912022" w:rsidRPr="007F536A" w:rsidRDefault="00912022" w:rsidP="00821A88">
      <w:pPr>
        <w:pStyle w:val="NoSpacing"/>
        <w:ind w:firstLine="360"/>
        <w:jc w:val="both"/>
        <w:rPr>
          <w:rFonts w:ascii="Book Antiqua" w:hAnsi="Book Antiqua"/>
          <w:sz w:val="20"/>
        </w:rPr>
      </w:pPr>
    </w:p>
    <w:p w:rsidR="00636D6F" w:rsidRPr="00636D6F" w:rsidRDefault="00636D6F" w:rsidP="0058010B">
      <w:pPr>
        <w:pStyle w:val="NoSpacing"/>
        <w:jc w:val="center"/>
        <w:rPr>
          <w:rFonts w:ascii="Book Antiqua" w:hAnsi="Book Antiqua"/>
          <w:b/>
          <w:i/>
          <w:sz w:val="18"/>
          <w:szCs w:val="18"/>
        </w:rPr>
      </w:pPr>
      <w:r w:rsidRPr="00636D6F">
        <w:rPr>
          <w:rFonts w:ascii="Book Antiqua" w:hAnsi="Book Antiqua"/>
          <w:b/>
          <w:sz w:val="18"/>
          <w:szCs w:val="18"/>
        </w:rPr>
        <w:lastRenderedPageBreak/>
        <w:t>Table 11:</w:t>
      </w:r>
      <w:r w:rsidRPr="00636D6F">
        <w:rPr>
          <w:rFonts w:ascii="Book Antiqua" w:hAnsi="Book Antiqua"/>
          <w:b/>
          <w:i/>
          <w:sz w:val="18"/>
          <w:szCs w:val="18"/>
        </w:rPr>
        <w:t xml:space="preserve"> Results by Six Methods 1945 – 1960 [112, 113].</w:t>
      </w:r>
    </w:p>
    <w:p w:rsidR="00636D6F" w:rsidRPr="0058010B" w:rsidRDefault="00636D6F" w:rsidP="00636D6F">
      <w:pPr>
        <w:pStyle w:val="NoSpacing"/>
        <w:jc w:val="center"/>
        <w:rPr>
          <w:rFonts w:ascii="Book Antiqua" w:hAnsi="Book Antiqua"/>
          <w:b/>
          <w:sz w:val="18"/>
          <w:szCs w:val="18"/>
        </w:rPr>
      </w:pPr>
    </w:p>
    <w:tbl>
      <w:tblPr>
        <w:tblStyle w:val="TableGrid"/>
        <w:tblW w:w="0" w:type="auto"/>
        <w:jc w:val="center"/>
        <w:tblLayout w:type="fixed"/>
        <w:tblLook w:val="04A0"/>
      </w:tblPr>
      <w:tblGrid>
        <w:gridCol w:w="828"/>
        <w:gridCol w:w="2880"/>
        <w:gridCol w:w="990"/>
        <w:gridCol w:w="1890"/>
      </w:tblGrid>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Date</w:t>
            </w:r>
          </w:p>
        </w:tc>
        <w:tc>
          <w:tcPr>
            <w:tcW w:w="2880"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Experimenter</w:t>
            </w:r>
          </w:p>
        </w:tc>
        <w:tc>
          <w:tcPr>
            <w:tcW w:w="990" w:type="dxa"/>
          </w:tcPr>
          <w:p w:rsidR="00636D6F" w:rsidRPr="0058010B" w:rsidRDefault="00636D6F" w:rsidP="00EB1629">
            <w:pPr>
              <w:pStyle w:val="NoSpacing"/>
              <w:jc w:val="center"/>
              <w:rPr>
                <w:rFonts w:ascii="Book Antiqua" w:hAnsi="Book Antiqua"/>
                <w:b/>
                <w:i/>
                <w:sz w:val="18"/>
                <w:szCs w:val="18"/>
              </w:rPr>
            </w:pPr>
            <w:r w:rsidRPr="0058010B">
              <w:rPr>
                <w:rFonts w:ascii="Book Antiqua" w:hAnsi="Book Antiqua"/>
                <w:b/>
                <w:i/>
                <w:sz w:val="18"/>
                <w:szCs w:val="18"/>
              </w:rPr>
              <w:t>Method</w:t>
            </w:r>
          </w:p>
        </w:tc>
        <w:tc>
          <w:tcPr>
            <w:tcW w:w="1890"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Value (km/s)</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Essen, Gordon-Smith [174]  </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299,798      </w:t>
            </w:r>
            <w:r w:rsidRPr="0058010B">
              <w:rPr>
                <w:rFonts w:ascii="Book Antiqua" w:hAnsi="Book Antiqua"/>
                <w:sz w:val="18"/>
                <w:szCs w:val="18"/>
                <w:u w:val="single"/>
              </w:rPr>
              <w:t>+</w:t>
            </w:r>
            <w:r w:rsidRPr="0058010B">
              <w:rPr>
                <w:rFonts w:ascii="Book Antiqua" w:hAnsi="Book Antiqua"/>
                <w:sz w:val="18"/>
                <w:szCs w:val="18"/>
              </w:rPr>
              <w:t xml:space="preserve"> 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Essen, Gordon-Smith [174]</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      </w:t>
            </w:r>
            <w:r w:rsidRPr="0058010B">
              <w:rPr>
                <w:rFonts w:ascii="Book Antiqua" w:hAnsi="Book Antiqua"/>
                <w:sz w:val="18"/>
                <w:szCs w:val="18"/>
                <w:u w:val="single"/>
              </w:rPr>
              <w:t>+</w:t>
            </w:r>
            <w:r w:rsidRPr="0058010B">
              <w:rPr>
                <w:rFonts w:ascii="Book Antiqua" w:hAnsi="Book Antiqua"/>
                <w:sz w:val="18"/>
                <w:szCs w:val="18"/>
              </w:rPr>
              <w:t xml:space="preserve"> 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1949</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Aslakson [175]</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2</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2.4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1949</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[176]</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299,796      </w:t>
            </w:r>
            <w:r w:rsidRPr="0058010B">
              <w:rPr>
                <w:rFonts w:ascii="Book Antiqua" w:hAnsi="Book Antiqua"/>
                <w:sz w:val="18"/>
                <w:szCs w:val="18"/>
                <w:u w:val="single"/>
              </w:rPr>
              <w:t>+</w:t>
            </w:r>
            <w:r w:rsidRPr="0058010B">
              <w:rPr>
                <w:rFonts w:ascii="Book Antiqua" w:hAnsi="Book Antiqua"/>
                <w:sz w:val="18"/>
                <w:szCs w:val="18"/>
              </w:rPr>
              <w:t xml:space="preserve"> 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Essen [177]</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299,792.5   </w:t>
            </w:r>
            <w:r w:rsidRPr="0058010B">
              <w:rPr>
                <w:rFonts w:ascii="Book Antiqua" w:hAnsi="Book Antiqua"/>
                <w:sz w:val="18"/>
                <w:szCs w:val="18"/>
                <w:u w:val="single"/>
              </w:rPr>
              <w:t>+</w:t>
            </w:r>
            <w:r w:rsidRPr="0058010B">
              <w:rPr>
                <w:rFonts w:ascii="Book Antiqua" w:hAnsi="Book Antiqua"/>
                <w:sz w:val="18"/>
                <w:szCs w:val="18"/>
              </w:rPr>
              <w:t xml:space="preserve"> 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Hansen and Bol [178]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299,794.3   </w:t>
            </w:r>
            <w:r w:rsidRPr="0058010B">
              <w:rPr>
                <w:rFonts w:ascii="Book Antiqua" w:hAnsi="Book Antiqua"/>
                <w:sz w:val="18"/>
                <w:szCs w:val="18"/>
                <w:u w:val="single"/>
              </w:rPr>
              <w:t>+</w:t>
            </w:r>
            <w:r w:rsidRPr="0058010B">
              <w:rPr>
                <w:rFonts w:ascii="Book Antiqua" w:hAnsi="Book Antiqua"/>
                <w:sz w:val="18"/>
                <w:szCs w:val="18"/>
              </w:rPr>
              <w:t xml:space="preserve"> 1.2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[179]</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299,793.1   </w:t>
            </w:r>
            <w:r w:rsidRPr="0058010B">
              <w:rPr>
                <w:rFonts w:ascii="Book Antiqua" w:hAnsi="Book Antiqua"/>
                <w:sz w:val="18"/>
                <w:szCs w:val="18"/>
                <w:u w:val="single"/>
              </w:rPr>
              <w:t>+</w:t>
            </w:r>
            <w:r w:rsidRPr="0058010B">
              <w:rPr>
                <w:rFonts w:ascii="Book Antiqua" w:hAnsi="Book Antiqua"/>
                <w:sz w:val="18"/>
                <w:szCs w:val="18"/>
              </w:rPr>
              <w:t xml:space="preserve"> 0.26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[180]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299,793.1   </w:t>
            </w:r>
            <w:r w:rsidRPr="0058010B">
              <w:rPr>
                <w:rFonts w:ascii="Book Antiqua" w:hAnsi="Book Antiqua"/>
                <w:sz w:val="18"/>
                <w:szCs w:val="18"/>
                <w:u w:val="single"/>
              </w:rPr>
              <w:t>+</w:t>
            </w:r>
            <w:r w:rsidRPr="0058010B">
              <w:rPr>
                <w:rFonts w:ascii="Book Antiqua" w:hAnsi="Book Antiqua"/>
                <w:sz w:val="18"/>
                <w:szCs w:val="18"/>
              </w:rPr>
              <w:t xml:space="preserve"> 0.4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Aslakson [181]</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2</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299,794.2   </w:t>
            </w:r>
            <w:r w:rsidRPr="0058010B">
              <w:rPr>
                <w:rFonts w:ascii="Book Antiqua" w:hAnsi="Book Antiqua"/>
                <w:sz w:val="18"/>
                <w:szCs w:val="18"/>
                <w:u w:val="single"/>
              </w:rPr>
              <w:t>+</w:t>
            </w:r>
            <w:r w:rsidRPr="0058010B">
              <w:rPr>
                <w:rFonts w:ascii="Book Antiqua" w:hAnsi="Book Antiqua"/>
                <w:sz w:val="18"/>
                <w:szCs w:val="18"/>
              </w:rPr>
              <w:t xml:space="preserve"> 1.4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[182]</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0.7</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1953</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Bergstrand (av. date) [183] </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299,792.85 </w:t>
            </w:r>
            <w:r w:rsidRPr="0058010B">
              <w:rPr>
                <w:rFonts w:ascii="Book Antiqua" w:hAnsi="Book Antiqua"/>
                <w:sz w:val="18"/>
                <w:szCs w:val="18"/>
                <w:u w:val="single"/>
              </w:rPr>
              <w:t>+</w:t>
            </w:r>
            <w:r w:rsidRPr="0058010B">
              <w:rPr>
                <w:rFonts w:ascii="Book Antiqua" w:hAnsi="Book Antiqua"/>
                <w:sz w:val="18"/>
                <w:szCs w:val="18"/>
              </w:rPr>
              <w:t xml:space="preserve"> 0.16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1954</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[184]</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299,792.75 </w:t>
            </w:r>
            <w:r w:rsidRPr="0058010B">
              <w:rPr>
                <w:rFonts w:ascii="Book Antiqua" w:hAnsi="Book Antiqua"/>
                <w:sz w:val="18"/>
                <w:szCs w:val="18"/>
                <w:u w:val="single"/>
              </w:rPr>
              <w:t>+</w:t>
            </w:r>
            <w:r w:rsidRPr="0058010B">
              <w:rPr>
                <w:rFonts w:ascii="Book Antiqua" w:hAnsi="Book Antiqua"/>
                <w:sz w:val="18"/>
                <w:szCs w:val="18"/>
              </w:rPr>
              <w:t xml:space="preserve"> 0.3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1954</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Florman  [185]</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299,795.1  </w:t>
            </w:r>
            <w:r w:rsidRPr="0058010B">
              <w:rPr>
                <w:rFonts w:ascii="Book Antiqua" w:hAnsi="Book Antiqua"/>
                <w:sz w:val="18"/>
                <w:szCs w:val="18"/>
                <w:u w:val="single"/>
              </w:rPr>
              <w:t>+</w:t>
            </w:r>
            <w:r w:rsidRPr="0058010B">
              <w:rPr>
                <w:rFonts w:ascii="Book Antiqua" w:hAnsi="Book Antiqua"/>
                <w:sz w:val="18"/>
                <w:szCs w:val="18"/>
              </w:rPr>
              <w:t xml:space="preserve"> 3.1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1955</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Scholdstrom [186]</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0.4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1955</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Plyler, Blaine, Connor [187]</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5</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     </w:t>
            </w:r>
            <w:r w:rsidRPr="0058010B">
              <w:rPr>
                <w:rFonts w:ascii="Book Antiqua" w:hAnsi="Book Antiqua"/>
                <w:sz w:val="18"/>
                <w:szCs w:val="18"/>
                <w:u w:val="single"/>
              </w:rPr>
              <w:t>+</w:t>
            </w:r>
            <w:r w:rsidRPr="0058010B">
              <w:rPr>
                <w:rFonts w:ascii="Book Antiqua" w:hAnsi="Book Antiqua"/>
                <w:sz w:val="18"/>
                <w:szCs w:val="18"/>
              </w:rPr>
              <w:t xml:space="preserve"> 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299,792.9  </w:t>
            </w:r>
            <w:r w:rsidRPr="0058010B">
              <w:rPr>
                <w:rFonts w:ascii="Book Antiqua" w:hAnsi="Book Antiqua"/>
                <w:sz w:val="18"/>
                <w:szCs w:val="18"/>
                <w:u w:val="single"/>
              </w:rPr>
              <w:t>+</w:t>
            </w:r>
            <w:r w:rsidRPr="0058010B">
              <w:rPr>
                <w:rFonts w:ascii="Book Antiqua" w:hAnsi="Book Antiqua"/>
                <w:sz w:val="18"/>
                <w:szCs w:val="18"/>
              </w:rPr>
              <w:t xml:space="preserve"> 2.0</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1956   </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299,792.7  </w:t>
            </w:r>
            <w:r w:rsidRPr="0058010B">
              <w:rPr>
                <w:rFonts w:ascii="Book Antiqua" w:hAnsi="Book Antiqua"/>
                <w:sz w:val="18"/>
                <w:szCs w:val="18"/>
                <w:u w:val="single"/>
              </w:rPr>
              <w:t>+</w:t>
            </w:r>
            <w:r w:rsidRPr="0058010B">
              <w:rPr>
                <w:rFonts w:ascii="Book Antiqua" w:hAnsi="Book Antiqua"/>
                <w:sz w:val="18"/>
                <w:szCs w:val="18"/>
              </w:rPr>
              <w:t xml:space="preserve"> 2.0</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Rank Bennett Bennett [189]</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5</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299,791.9  </w:t>
            </w:r>
            <w:r w:rsidRPr="0058010B">
              <w:rPr>
                <w:rFonts w:ascii="Book Antiqua" w:hAnsi="Book Antiqua"/>
                <w:sz w:val="18"/>
                <w:szCs w:val="18"/>
                <w:u w:val="single"/>
              </w:rPr>
              <w:t>+</w:t>
            </w:r>
            <w:r w:rsidRPr="0058010B">
              <w:rPr>
                <w:rFonts w:ascii="Book Antiqua" w:hAnsi="Book Antiqua"/>
                <w:sz w:val="18"/>
                <w:szCs w:val="18"/>
              </w:rPr>
              <w:t xml:space="preserve"> 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Edge [190]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0.11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Edge [190]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299,792.2  </w:t>
            </w:r>
            <w:r w:rsidRPr="0058010B">
              <w:rPr>
                <w:rFonts w:ascii="Book Antiqua" w:hAnsi="Book Antiqua"/>
                <w:sz w:val="18"/>
                <w:szCs w:val="18"/>
                <w:u w:val="single"/>
              </w:rPr>
              <w:t>+</w:t>
            </w:r>
            <w:r w:rsidRPr="0058010B">
              <w:rPr>
                <w:rFonts w:ascii="Book Antiqua" w:hAnsi="Book Antiqua"/>
                <w:sz w:val="18"/>
                <w:szCs w:val="18"/>
              </w:rPr>
              <w:t xml:space="preserve"> 0.13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1.2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1958</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[191]</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299,792.5  </w:t>
            </w:r>
            <w:r w:rsidRPr="0058010B">
              <w:rPr>
                <w:rFonts w:ascii="Book Antiqua" w:hAnsi="Book Antiqua"/>
                <w:sz w:val="18"/>
                <w:szCs w:val="18"/>
                <w:u w:val="single"/>
              </w:rPr>
              <w:t>+</w:t>
            </w:r>
            <w:r w:rsidRPr="0058010B">
              <w:rPr>
                <w:rFonts w:ascii="Book Antiqua" w:hAnsi="Book Antiqua"/>
                <w:sz w:val="18"/>
                <w:szCs w:val="18"/>
              </w:rPr>
              <w:t xml:space="preserve"> 0.1 </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1960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Kolibayev (av. date) [192]</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0.06</w:t>
            </w:r>
          </w:p>
        </w:tc>
      </w:tr>
    </w:tbl>
    <w:p w:rsidR="00636D6F" w:rsidRDefault="00636D6F" w:rsidP="00821A88">
      <w:pPr>
        <w:pStyle w:val="NoSpacing"/>
        <w:jc w:val="both"/>
        <w:rPr>
          <w:rFonts w:ascii="Book Antiqua" w:hAnsi="Book Antiqua"/>
          <w:sz w:val="20"/>
        </w:rPr>
      </w:pPr>
    </w:p>
    <w:p w:rsidR="0058010B" w:rsidRPr="007F536A" w:rsidRDefault="0058010B" w:rsidP="0058010B">
      <w:pPr>
        <w:pStyle w:val="NoSpacing"/>
        <w:ind w:firstLine="720"/>
        <w:jc w:val="both"/>
        <w:rPr>
          <w:rFonts w:ascii="Book Antiqua" w:hAnsi="Book Antiqua"/>
          <w:sz w:val="20"/>
        </w:rPr>
      </w:pPr>
      <w:r w:rsidRPr="007F536A">
        <w:rPr>
          <w:rFonts w:ascii="Book Antiqua" w:hAnsi="Book Antiqua"/>
          <w:sz w:val="20"/>
        </w:rPr>
        <w:t xml:space="preserve">Three radar values are omitted from Table11 as they did not measure atmospheric moisture which critically affects the radio refractive index. Under these circumstances, the final value obtained for </w:t>
      </w:r>
      <m:oMath>
        <m:r>
          <w:rPr>
            <w:rFonts w:ascii="Cambria Math" w:hAnsi="Cambria Math"/>
            <w:sz w:val="20"/>
          </w:rPr>
          <m:t>c</m:t>
        </m:r>
      </m:oMath>
      <w:r w:rsidRPr="007F536A">
        <w:rPr>
          <w:rFonts w:ascii="Book Antiqua" w:hAnsi="Book Antiqua"/>
          <w:sz w:val="20"/>
        </w:rPr>
        <w:t xml:space="preserve"> from these three experiments is somewhat spurious [171]. Also omitted are two early spectral line results that had errors due to imperfect wavelength measurements as Mulligan and McDonald have pointed out [172].  Two quartz modulator values are also omitted against a date of 1950 because they had results spread over </w:t>
      </w:r>
      <m:oMath>
        <m:r>
          <w:rPr>
            <w:rFonts w:ascii="Cambria Math" w:hAnsi="Cambria Math"/>
            <w:sz w:val="20"/>
          </w:rPr>
          <m:t>180 km/s</m:t>
        </m:r>
      </m:oMath>
      <w:r w:rsidRPr="007F536A">
        <w:rPr>
          <w:rFonts w:ascii="Book Antiqua" w:hAnsi="Book Antiqua"/>
          <w:sz w:val="20"/>
        </w:rPr>
        <w:t xml:space="preserve"> in one case and over </w:t>
      </w:r>
      <m:oMath>
        <m:r>
          <w:rPr>
            <w:rFonts w:ascii="Cambria Math" w:hAnsi="Cambria Math"/>
            <w:sz w:val="20"/>
          </w:rPr>
          <m:t xml:space="preserve">500 km/s </m:t>
        </m:r>
      </m:oMath>
      <w:r w:rsidRPr="007F536A">
        <w:rPr>
          <w:rFonts w:ascii="Book Antiqua" w:hAnsi="Book Antiqua"/>
          <w:sz w:val="20"/>
        </w:rPr>
        <w:t xml:space="preserve"> in the other [173].</w:t>
      </w:r>
    </w:p>
    <w:p w:rsidR="0058010B" w:rsidRDefault="0058010B"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781550" cy="2447925"/>
            <wp:effectExtent l="19050" t="0" r="19050" b="0"/>
            <wp:docPr id="15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821A88" w:rsidRPr="007F536A" w:rsidRDefault="00821A88" w:rsidP="00821A88">
      <w:pPr>
        <w:pStyle w:val="NoSpacing"/>
        <w:jc w:val="both"/>
        <w:rPr>
          <w:rFonts w:ascii="Book Antiqua" w:hAnsi="Book Antiqua"/>
          <w:sz w:val="20"/>
        </w:rPr>
      </w:pPr>
    </w:p>
    <w:p w:rsidR="00821A88" w:rsidRPr="001C099A" w:rsidRDefault="00821A88" w:rsidP="00821A88">
      <w:pPr>
        <w:pStyle w:val="NoSpacing"/>
        <w:rPr>
          <w:rFonts w:ascii="Book Antiqua" w:hAnsi="Book Antiqua"/>
          <w:i/>
          <w:sz w:val="18"/>
          <w:szCs w:val="18"/>
        </w:rPr>
      </w:pPr>
      <w:r w:rsidRPr="001C099A">
        <w:rPr>
          <w:rFonts w:ascii="Book Antiqua" w:hAnsi="Book Antiqua"/>
          <w:b/>
          <w:i/>
          <w:sz w:val="18"/>
          <w:szCs w:val="18"/>
        </w:rPr>
        <w:t>Figure 30:</w:t>
      </w:r>
      <w:r w:rsidRPr="001C099A">
        <w:rPr>
          <w:rFonts w:ascii="Book Antiqua" w:hAnsi="Book Antiqua"/>
          <w:i/>
          <w:sz w:val="18"/>
          <w:szCs w:val="18"/>
        </w:rPr>
        <w:t xml:space="preserve"> Plot of lightspeed data from 1945 to 1960 by 6 methods. The polynomial fit is superior to a linear fit to the data. Nevertheless, even a linear fit to the data gives a decline in c of 0.19 km/s per year at a 99.0% confidence level.</w:t>
      </w:r>
    </w:p>
    <w:p w:rsidR="00821A88"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 xml:space="preserve">When the data are plotted, as in Figure 30, the linear fit to the </w:t>
      </w:r>
      <m:oMath>
        <m:r>
          <w:rPr>
            <w:rFonts w:ascii="Cambria Math" w:hAnsi="Cambria Math"/>
            <w:sz w:val="20"/>
          </w:rPr>
          <m:t>c</m:t>
        </m:r>
      </m:oMath>
      <w:r w:rsidRPr="007F536A">
        <w:rPr>
          <w:rFonts w:ascii="Book Antiqua" w:hAnsi="Book Antiqua"/>
          <w:sz w:val="20"/>
        </w:rPr>
        <w:t xml:space="preserve"> data gives a decay of </w:t>
      </w:r>
      <m:oMath>
        <m:r>
          <w:rPr>
            <w:rFonts w:ascii="Cambria Math" w:hAnsi="Cambria Math"/>
            <w:sz w:val="20"/>
          </w:rPr>
          <m:t>0.19 km/s per year</m:t>
        </m:r>
      </m:oMath>
      <w:r w:rsidRPr="007F536A">
        <w:rPr>
          <w:rFonts w:ascii="Book Antiqua" w:hAnsi="Book Antiqua"/>
          <w:sz w:val="20"/>
        </w:rPr>
        <w:t xml:space="preserve"> with a confidence level of 99.0% that the data were showing that </w:t>
      </w:r>
      <m:oMath>
        <m:r>
          <w:rPr>
            <w:rFonts w:ascii="Cambria Math" w:hAnsi="Cambria Math"/>
            <w:sz w:val="20"/>
          </w:rPr>
          <m:t>c</m:t>
        </m:r>
      </m:oMath>
      <w:r w:rsidRPr="007F536A">
        <w:rPr>
          <w:rFonts w:ascii="Book Antiqua" w:hAnsi="Book Antiqua"/>
          <w:sz w:val="20"/>
        </w:rPr>
        <w:t xml:space="preserve"> was higher than the currently declared value during those 15 years. Five of those six methods each gave a decay as shown by the data in Table 11. The exception was the radar results due to the removal of a signal intensity error in the later experiment [173].</w:t>
      </w:r>
    </w:p>
    <w:p w:rsidR="000554D7" w:rsidRPr="007F536A" w:rsidRDefault="000554D7" w:rsidP="00821A88">
      <w:pPr>
        <w:pStyle w:val="NoSpacing"/>
        <w:rPr>
          <w:rFonts w:ascii="Book Antiqua" w:hAnsi="Book Antiqua"/>
          <w:sz w:val="16"/>
          <w:szCs w:val="16"/>
        </w:rPr>
      </w:pPr>
    </w:p>
    <w:p w:rsidR="000C2A7F" w:rsidRPr="007F536A" w:rsidRDefault="000C2A7F" w:rsidP="000C2A7F">
      <w:pPr>
        <w:pStyle w:val="NoSpacing"/>
        <w:ind w:firstLine="360"/>
        <w:jc w:val="both"/>
        <w:rPr>
          <w:rFonts w:ascii="Book Antiqua" w:hAnsi="Book Antiqua"/>
          <w:sz w:val="20"/>
        </w:rPr>
      </w:pPr>
      <w:r w:rsidRPr="007F536A">
        <w:rPr>
          <w:rFonts w:ascii="Book Antiqua" w:hAnsi="Book Antiqua"/>
          <w:sz w:val="20"/>
        </w:rPr>
        <w:t xml:space="preserve">The minimum value from the polynomial fit occurred about 1958. This is also the conclusion when the eight values obtained by method 3, are considered. The linear fit to these geodimeter data gives a decay of </w:t>
      </w:r>
      <m:oMath>
        <m:r>
          <w:rPr>
            <w:rFonts w:ascii="Cambria Math" w:hAnsi="Cambria Math"/>
            <w:sz w:val="20"/>
          </w:rPr>
          <m:t>0.22 km/s per year</m:t>
        </m:r>
      </m:oMath>
      <w:r w:rsidRPr="007F536A">
        <w:rPr>
          <w:rFonts w:ascii="Book Antiqua" w:hAnsi="Book Antiqua"/>
          <w:sz w:val="20"/>
        </w:rPr>
        <w:t>. But a polynomial fit to the data gives a superior result mathematically and gives the minimum value about 1957. The graph of the 8 geodimeter values in Figure 31 supports this.</w:t>
      </w:r>
    </w:p>
    <w:p w:rsidR="000554D7" w:rsidRPr="007F536A" w:rsidRDefault="000554D7" w:rsidP="00821A88">
      <w:pPr>
        <w:pStyle w:val="NoSpacing"/>
        <w:rPr>
          <w:rFonts w:ascii="Book Antiqua" w:hAnsi="Book Antiqua"/>
          <w:sz w:val="16"/>
          <w:szCs w:val="16"/>
        </w:rPr>
      </w:pPr>
    </w:p>
    <w:p w:rsidR="000C2A7F" w:rsidRPr="007F536A" w:rsidRDefault="000C2A7F" w:rsidP="00821A88">
      <w:pPr>
        <w:pStyle w:val="NoSpacing"/>
        <w:rPr>
          <w:rFonts w:ascii="Book Antiqua" w:hAnsi="Book Antiqua"/>
          <w:sz w:val="16"/>
          <w:szCs w:val="16"/>
        </w:rPr>
      </w:pPr>
    </w:p>
    <w:p w:rsidR="00821A88" w:rsidRPr="00675787" w:rsidRDefault="00821A88" w:rsidP="0058010B">
      <w:pPr>
        <w:pStyle w:val="NoSpacing"/>
        <w:jc w:val="center"/>
        <w:rPr>
          <w:rFonts w:ascii="Book Antiqua" w:hAnsi="Book Antiqua"/>
          <w:b/>
          <w:i/>
          <w:sz w:val="18"/>
          <w:szCs w:val="18"/>
        </w:rPr>
      </w:pPr>
      <w:r w:rsidRPr="00675787">
        <w:rPr>
          <w:rFonts w:ascii="Book Antiqua" w:hAnsi="Book Antiqua"/>
          <w:b/>
          <w:sz w:val="18"/>
          <w:szCs w:val="18"/>
        </w:rPr>
        <w:t>Table 12:</w:t>
      </w:r>
      <w:r w:rsidRPr="00675787">
        <w:rPr>
          <w:rFonts w:ascii="Book Antiqua" w:hAnsi="Book Antiqua"/>
          <w:b/>
          <w:i/>
          <w:sz w:val="18"/>
          <w:szCs w:val="18"/>
        </w:rPr>
        <w:t xml:space="preserve"> Decay Rate by the Six Methods 1945 – 1960</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2302"/>
        <w:gridCol w:w="1885"/>
        <w:gridCol w:w="2282"/>
      </w:tblGrid>
      <w:tr w:rsidR="00821A88" w:rsidRPr="007F536A" w:rsidTr="0058010B">
        <w:trPr>
          <w:trHeight w:val="361"/>
          <w:jc w:val="center"/>
        </w:trPr>
        <w:tc>
          <w:tcPr>
            <w:tcW w:w="230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188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 of data</w:t>
            </w:r>
          </w:p>
        </w:tc>
        <w:tc>
          <w:tcPr>
            <w:tcW w:w="228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Linear decay rate</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1 Cavity resonator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0.53 km/s per year</w:t>
            </w:r>
          </w:p>
        </w:tc>
      </w:tr>
      <w:tr w:rsidR="00821A88" w:rsidRPr="007F536A" w:rsidTr="0058010B">
        <w:trPr>
          <w:trHeight w:val="361"/>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Radar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Errors negated trend</w:t>
            </w:r>
          </w:p>
        </w:tc>
      </w:tr>
      <w:tr w:rsidR="00821A88" w:rsidRPr="007F536A" w:rsidTr="0058010B">
        <w:trPr>
          <w:trHeight w:val="361"/>
          <w:jc w:val="center"/>
        </w:trPr>
        <w:tc>
          <w:tcPr>
            <w:tcW w:w="2302" w:type="dxa"/>
          </w:tcPr>
          <w:p w:rsidR="00821A88" w:rsidRPr="00987B97" w:rsidRDefault="00821A88" w:rsidP="00821A88">
            <w:pPr>
              <w:pStyle w:val="NoSpacing"/>
              <w:numPr>
                <w:ilvl w:val="0"/>
                <w:numId w:val="21"/>
              </w:numPr>
              <w:jc w:val="both"/>
              <w:rPr>
                <w:rFonts w:ascii="Book Antiqua" w:hAnsi="Book Antiqua"/>
                <w:b/>
                <w:sz w:val="18"/>
                <w:szCs w:val="18"/>
              </w:rPr>
            </w:pPr>
            <w:r w:rsidRPr="00987B97">
              <w:rPr>
                <w:rFonts w:ascii="Book Antiqua" w:hAnsi="Book Antiqua"/>
                <w:b/>
                <w:sz w:val="18"/>
                <w:szCs w:val="18"/>
              </w:rPr>
              <w:t>Geodimeter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8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0.22 km/s per year</w:t>
            </w:r>
          </w:p>
        </w:tc>
      </w:tr>
      <w:tr w:rsidR="00821A88" w:rsidRPr="007F536A" w:rsidTr="0058010B">
        <w:trPr>
          <w:trHeight w:val="462"/>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Radio interferometer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0.04 km/s per year</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5 Spectral lines</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0.10 km/s per year</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6 Tellurometer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3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0.20 km/s per year</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i/>
          <w:sz w:val="20"/>
        </w:rPr>
      </w:pPr>
      <w:r w:rsidRPr="007F536A">
        <w:rPr>
          <w:rFonts w:ascii="Book Antiqua" w:hAnsi="Book Antiqua"/>
          <w:noProof/>
          <w:sz w:val="20"/>
        </w:rPr>
        <w:drawing>
          <wp:inline distT="0" distB="0" distL="0" distR="0">
            <wp:extent cx="5088420" cy="3404027"/>
            <wp:effectExtent l="19050" t="0" r="16980" b="5923"/>
            <wp:docPr id="2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821A88" w:rsidRPr="007F536A" w:rsidRDefault="00821A88" w:rsidP="00821A88">
      <w:pPr>
        <w:pStyle w:val="NoSpacing"/>
        <w:jc w:val="both"/>
        <w:rPr>
          <w:rFonts w:ascii="Book Antiqua" w:hAnsi="Book Antiqua"/>
          <w:b/>
          <w:i/>
          <w:sz w:val="20"/>
        </w:rPr>
      </w:pPr>
    </w:p>
    <w:p w:rsidR="00821A88" w:rsidRDefault="00821A88" w:rsidP="00821A88">
      <w:pPr>
        <w:pStyle w:val="NoSpacing"/>
        <w:rPr>
          <w:rFonts w:ascii="Book Antiqua" w:hAnsi="Book Antiqua"/>
          <w:sz w:val="18"/>
          <w:szCs w:val="18"/>
        </w:rPr>
      </w:pPr>
      <w:r w:rsidRPr="001C099A">
        <w:rPr>
          <w:rFonts w:ascii="Book Antiqua" w:hAnsi="Book Antiqua"/>
          <w:b/>
          <w:i/>
          <w:sz w:val="18"/>
          <w:szCs w:val="18"/>
        </w:rPr>
        <w:t>Figure 31:</w:t>
      </w:r>
      <w:r w:rsidRPr="001C099A">
        <w:rPr>
          <w:rFonts w:ascii="Book Antiqua" w:hAnsi="Book Antiqua"/>
          <w:i/>
          <w:sz w:val="18"/>
          <w:szCs w:val="18"/>
        </w:rPr>
        <w:t xml:space="preserve"> A graph of the eight geodimeter values obtained in the period 1945 to 1960. A polynomial trend-line gives a superior fit to the data compared with a linear trend. In this case the curve appears to bottom out about 1957</w:t>
      </w:r>
      <w:r w:rsidRPr="007F536A">
        <w:rPr>
          <w:rFonts w:ascii="Book Antiqua" w:hAnsi="Book Antiqua"/>
          <w:sz w:val="18"/>
          <w:szCs w:val="18"/>
        </w:rPr>
        <w:t>.</w:t>
      </w:r>
    </w:p>
    <w:p w:rsidR="00583031" w:rsidRDefault="00583031" w:rsidP="00821A88">
      <w:pPr>
        <w:pStyle w:val="NoSpacing"/>
        <w:rPr>
          <w:rFonts w:ascii="Book Antiqua" w:hAnsi="Book Antiqua"/>
          <w:sz w:val="18"/>
          <w:szCs w:val="18"/>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lastRenderedPageBreak/>
        <w:t xml:space="preserve">The Decreasing Decay Rate for </w:t>
      </w:r>
      <m:oMath>
        <m:r>
          <w:rPr>
            <w:rFonts w:ascii="Cambria Math" w:hAnsi="Cambria Math"/>
            <w:sz w:val="20"/>
          </w:rPr>
          <m:t>c</m:t>
        </m:r>
      </m:oMath>
      <w:r w:rsidRPr="007F536A">
        <w:rPr>
          <w:rFonts w:ascii="Book Antiqua" w:hAnsi="Book Antiqua"/>
          <w:i/>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An examination of the material in this chapter shows that the linear fit decay rate for the speed of light data is decreasing with time.  For this reason, a polynomial fit is better. The Roemer type determinations are considered in Table 1 where it can be seen that observations extended over a period of 210 years from 1667 to 1877. Delambre’s value of </w:t>
      </w:r>
      <m:oMath>
        <m:r>
          <w:rPr>
            <w:rFonts w:ascii="Cambria Math" w:hAnsi="Cambria Math"/>
            <w:sz w:val="20"/>
          </w:rPr>
          <m:t>303,320 km/s</m:t>
        </m:r>
      </m:oMath>
      <w:r w:rsidRPr="007F536A">
        <w:rPr>
          <w:rFonts w:ascii="Book Antiqua" w:hAnsi="Book Antiqua"/>
          <w:sz w:val="20"/>
        </w:rPr>
        <w:t xml:space="preserve"> is accepted here as the best initial value since his treatment included the Roemer data itself. The final value is taken as the Harvard reductions which gave </w:t>
      </w:r>
      <m:oMath>
        <m:r>
          <w:rPr>
            <w:rFonts w:ascii="Cambria Math" w:hAnsi="Cambria Math"/>
            <w:sz w:val="20"/>
          </w:rPr>
          <m:t>299,921 km/s</m:t>
        </m:r>
      </m:oMath>
      <w:r w:rsidRPr="007F536A">
        <w:rPr>
          <w:rFonts w:ascii="Book Antiqua" w:hAnsi="Book Antiqua"/>
          <w:sz w:val="20"/>
        </w:rPr>
        <w:t xml:space="preserve"> at the end date. There was thus a drop of </w:t>
      </w:r>
      <m:oMath>
        <m:r>
          <w:rPr>
            <w:rFonts w:ascii="Cambria Math" w:hAnsi="Cambria Math"/>
            <w:sz w:val="20"/>
          </w:rPr>
          <m:t>3,399 km/s</m:t>
        </m:r>
      </m:oMath>
      <w:r w:rsidRPr="007F536A">
        <w:rPr>
          <w:rFonts w:ascii="Book Antiqua" w:hAnsi="Book Antiqua"/>
          <w:sz w:val="20"/>
        </w:rPr>
        <w:t xml:space="preserve"> over a period of 210 years. This gives a drop of </w:t>
      </w:r>
      <m:oMath>
        <m:r>
          <w:rPr>
            <w:rFonts w:ascii="Cambria Math" w:hAnsi="Cambria Math"/>
            <w:sz w:val="20"/>
          </w:rPr>
          <m:t>16.18 km/s per year</m:t>
        </m:r>
      </m:oMath>
      <w:r w:rsidRPr="007F536A">
        <w:rPr>
          <w:rFonts w:ascii="Book Antiqua" w:hAnsi="Book Antiqua"/>
          <w:sz w:val="20"/>
        </w:rPr>
        <w:t xml:space="preserve"> for an average date of </w:t>
      </w:r>
      <m:oMath>
        <m:r>
          <w:rPr>
            <w:rFonts w:ascii="Cambria Math" w:hAnsi="Cambria Math"/>
            <w:sz w:val="20"/>
          </w:rPr>
          <m:t>1772</m:t>
        </m:r>
      </m:oMath>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like manner, the 67 aberration determinations are summarized in Table 7. Table 7 covers a period of 209 years for an average date of 1831.  A linear fit to all the data in Table 7 gave a decay of </w:t>
      </w:r>
      <m:oMath>
        <m:r>
          <w:rPr>
            <w:rFonts w:ascii="Cambria Math" w:hAnsi="Cambria Math"/>
            <w:sz w:val="20"/>
          </w:rPr>
          <m:t>5.04 km/s per year</m:t>
        </m:r>
      </m:oMath>
      <w:r w:rsidRPr="007F536A">
        <w:rPr>
          <w:rFonts w:ascii="Book Antiqua" w:hAnsi="Book Antiqua"/>
          <w:sz w:val="20"/>
        </w:rPr>
        <w:t xml:space="preserve">. Similarly, the rotating mirror results summarized in Figure 28 indicate a decline of </w:t>
      </w:r>
      <m:oMath>
        <m:r>
          <w:rPr>
            <w:rFonts w:ascii="Cambria Math" w:hAnsi="Cambria Math"/>
            <w:sz w:val="20"/>
          </w:rPr>
          <m:t>2.85 km/s per year</m:t>
        </m:r>
      </m:oMath>
      <w:r w:rsidRPr="007F536A">
        <w:rPr>
          <w:rFonts w:ascii="Book Antiqua" w:hAnsi="Book Antiqua"/>
          <w:sz w:val="20"/>
        </w:rPr>
        <w:t xml:space="preserve"> for an average date of 1905. Table 10 has established that the Kerr cell results give a decline of </w:t>
      </w:r>
      <m:oMath>
        <m:r>
          <w:rPr>
            <w:rFonts w:ascii="Cambria Math" w:hAnsi="Cambria Math"/>
            <w:sz w:val="20"/>
          </w:rPr>
          <m:t>1.03 km/s per year</m:t>
        </m:r>
      </m:oMath>
      <w:r w:rsidRPr="007F536A">
        <w:rPr>
          <w:rFonts w:ascii="Book Antiqua" w:hAnsi="Book Antiqua"/>
          <w:sz w:val="20"/>
        </w:rPr>
        <w:t xml:space="preserve"> for a mean date of </w:t>
      </w:r>
      <m:oMath>
        <m:r>
          <w:rPr>
            <w:rFonts w:ascii="Cambria Math" w:hAnsi="Cambria Math"/>
            <w:sz w:val="20"/>
          </w:rPr>
          <m:t>1934.6</m:t>
        </m:r>
      </m:oMath>
      <w:r w:rsidRPr="007F536A">
        <w:rPr>
          <w:rFonts w:ascii="Book Antiqua" w:hAnsi="Book Antiqua"/>
          <w:sz w:val="20"/>
        </w:rPr>
        <w:t xml:space="preserve"> years. Finally, Table 11 and Figure 30 in this chapter give the conclusion by 6 additional methods that there was a decay of </w:t>
      </w:r>
      <m:oMath>
        <m:r>
          <w:rPr>
            <w:rFonts w:ascii="Cambria Math" w:hAnsi="Cambria Math"/>
            <w:sz w:val="20"/>
          </w:rPr>
          <m:t xml:space="preserve">0.19 km/s per year </m:t>
        </m:r>
      </m:oMath>
      <w:r w:rsidRPr="007F536A">
        <w:rPr>
          <w:rFonts w:ascii="Book Antiqua" w:hAnsi="Book Antiqua"/>
          <w:sz w:val="20"/>
        </w:rPr>
        <w:t xml:space="preserve">for a mean date of </w:t>
      </w:r>
      <m:oMath>
        <m:r>
          <w:rPr>
            <w:rFonts w:ascii="Cambria Math" w:hAnsi="Cambria Math"/>
            <w:sz w:val="20"/>
          </w:rPr>
          <m:t>1953</m:t>
        </m:r>
      </m:oMath>
      <w:r w:rsidRPr="007F536A">
        <w:rPr>
          <w:rFonts w:ascii="Book Antiqua" w:hAnsi="Book Antiqua"/>
          <w:sz w:val="20"/>
        </w:rPr>
        <w:t xml:space="preserve">. This is summarized in Table 13.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all, then, 10 methods measuring the speed of light have been examined, and all show a decay in </w:t>
      </w:r>
      <m:oMath>
        <m:r>
          <w:rPr>
            <w:rFonts w:ascii="Cambria Math" w:hAnsi="Cambria Math"/>
            <w:sz w:val="20"/>
          </w:rPr>
          <m:t>c</m:t>
        </m:r>
      </m:oMath>
      <w:r w:rsidRPr="007F536A">
        <w:rPr>
          <w:rFonts w:ascii="Book Antiqua" w:hAnsi="Book Antiqua"/>
          <w:sz w:val="20"/>
        </w:rPr>
        <w:t xml:space="preserve">. However, Table 13 shows that the decay is not following a linear pattern, but rather is a tapering quantity. This is expected from the flattening out of the increase in Planck’s constant, </w:t>
      </w:r>
      <m:oMath>
        <m:r>
          <w:rPr>
            <w:rFonts w:ascii="Cambria Math" w:hAnsi="Cambria Math"/>
            <w:sz w:val="20"/>
          </w:rPr>
          <m:t>h</m:t>
        </m:r>
      </m:oMath>
      <w:r w:rsidRPr="007F536A">
        <w:rPr>
          <w:rFonts w:ascii="Book Antiqua" w:hAnsi="Book Antiqua"/>
          <w:sz w:val="20"/>
        </w:rPr>
        <w:t xml:space="preserve">, as shown in chapter 2 and atomic masses, </w:t>
      </w:r>
      <m:oMath>
        <m:r>
          <w:rPr>
            <w:rFonts w:ascii="Cambria Math" w:hAnsi="Cambria Math"/>
            <w:sz w:val="20"/>
          </w:rPr>
          <m:t>m</m:t>
        </m:r>
      </m:oMath>
      <w:r w:rsidRPr="007F536A">
        <w:rPr>
          <w:rFonts w:ascii="Book Antiqua" w:hAnsi="Book Antiqua"/>
          <w:sz w:val="20"/>
        </w:rPr>
        <w:t xml:space="preserve">, in Chapter 4. Chapter 4 also presents the testimony of the atomic clock whose rate of ticking slowed to a minimum around 1970 and then started to pick up marginally again. Figures 2 and 3 in that chapter illustrate this well. This minimum or flat-point in the graph of the behavior of these quantities </w:t>
      </w:r>
      <w:r w:rsidR="00945782">
        <w:rPr>
          <w:rFonts w:ascii="Book Antiqua" w:hAnsi="Book Antiqua"/>
          <w:sz w:val="20"/>
        </w:rPr>
        <w:t xml:space="preserve">may be </w:t>
      </w:r>
      <w:r w:rsidRPr="007F536A">
        <w:rPr>
          <w:rFonts w:ascii="Book Antiqua" w:hAnsi="Book Antiqua"/>
          <w:sz w:val="20"/>
        </w:rPr>
        <w:t>considered to be an expression of the Narliker-Arp oscillation of a now static cosmos.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16"/>
          <w:szCs w:val="16"/>
        </w:rPr>
      </w:pPr>
    </w:p>
    <w:p w:rsidR="00821A88" w:rsidRPr="00675787" w:rsidRDefault="00821A88" w:rsidP="00987B97">
      <w:pPr>
        <w:pStyle w:val="NoSpacing"/>
        <w:jc w:val="center"/>
        <w:rPr>
          <w:rFonts w:ascii="Book Antiqua" w:hAnsi="Book Antiqua"/>
          <w:b/>
          <w:i/>
          <w:sz w:val="18"/>
          <w:szCs w:val="18"/>
        </w:rPr>
      </w:pPr>
      <w:r w:rsidRPr="00675787">
        <w:rPr>
          <w:rFonts w:ascii="Book Antiqua" w:hAnsi="Book Antiqua"/>
          <w:b/>
          <w:sz w:val="18"/>
          <w:szCs w:val="18"/>
        </w:rPr>
        <w:t>Table 13:</w:t>
      </w:r>
      <w:r w:rsidRPr="00675787">
        <w:rPr>
          <w:rFonts w:ascii="Book Antiqua" w:hAnsi="Book Antiqua"/>
          <w:b/>
          <w:i/>
          <w:sz w:val="18"/>
          <w:szCs w:val="18"/>
        </w:rPr>
        <w:t xml:space="preserve"> Declining Rate of Decay in the Speed of Light.</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2044"/>
        <w:gridCol w:w="2283"/>
        <w:gridCol w:w="2205"/>
      </w:tblGrid>
      <w:tr w:rsidR="00821A88" w:rsidRPr="007F536A" w:rsidTr="00987B97">
        <w:trPr>
          <w:trHeight w:val="432"/>
          <w:jc w:val="center"/>
        </w:trPr>
        <w:tc>
          <w:tcPr>
            <w:tcW w:w="2044"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2283"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220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Decay  Rate</w:t>
            </w:r>
          </w:p>
        </w:tc>
      </w:tr>
      <w:tr w:rsidR="00821A88" w:rsidRPr="007F536A" w:rsidTr="00987B97">
        <w:trPr>
          <w:trHeight w:val="459"/>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1772 </w:t>
            </w:r>
            <w:r w:rsidRPr="00987B97">
              <w:rPr>
                <w:rFonts w:ascii="Book Antiqua" w:hAnsi="Book Antiqua"/>
                <w:b/>
                <w:sz w:val="20"/>
                <w:u w:val="single"/>
              </w:rPr>
              <w:t>+</w:t>
            </w:r>
            <w:r w:rsidRPr="00987B97">
              <w:rPr>
                <w:rFonts w:ascii="Book Antiqua" w:hAnsi="Book Antiqua"/>
                <w:b/>
                <w:sz w:val="20"/>
              </w:rPr>
              <w:t xml:space="preserve"> 105</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Jupiter’s satellite Io</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16.18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1831 </w:t>
            </w:r>
            <w:r w:rsidRPr="00987B97">
              <w:rPr>
                <w:rFonts w:ascii="Book Antiqua" w:hAnsi="Book Antiqua"/>
                <w:b/>
                <w:sz w:val="20"/>
                <w:u w:val="single"/>
              </w:rPr>
              <w:t>+</w:t>
            </w:r>
            <w:r w:rsidRPr="00987B97">
              <w:rPr>
                <w:rFonts w:ascii="Book Antiqua" w:hAnsi="Book Antiqua"/>
                <w:b/>
                <w:sz w:val="20"/>
              </w:rPr>
              <w:t xml:space="preserve"> 104</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Aberration</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5.04 km/s per yr.</w:t>
            </w:r>
          </w:p>
        </w:tc>
      </w:tr>
      <w:tr w:rsidR="00821A88" w:rsidRPr="007F536A" w:rsidTr="00987B97">
        <w:trPr>
          <w:trHeight w:val="459"/>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1905 </w:t>
            </w:r>
            <w:r w:rsidRPr="00987B97">
              <w:rPr>
                <w:rFonts w:ascii="Book Antiqua" w:hAnsi="Book Antiqua"/>
                <w:b/>
                <w:sz w:val="20"/>
                <w:u w:val="single"/>
              </w:rPr>
              <w:t>+</w:t>
            </w:r>
            <w:r w:rsidRPr="00987B97">
              <w:rPr>
                <w:rFonts w:ascii="Book Antiqua" w:hAnsi="Book Antiqua"/>
                <w:b/>
                <w:sz w:val="20"/>
              </w:rPr>
              <w:t xml:space="preserve"> 27</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Rotating Mirror</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2.85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1934 </w:t>
            </w:r>
            <w:r w:rsidRPr="00987B97">
              <w:rPr>
                <w:rFonts w:ascii="Book Antiqua" w:hAnsi="Book Antiqua"/>
                <w:b/>
                <w:sz w:val="20"/>
                <w:u w:val="single"/>
              </w:rPr>
              <w:t>+</w:t>
            </w:r>
            <w:r w:rsidRPr="00987B97">
              <w:rPr>
                <w:rFonts w:ascii="Book Antiqua" w:hAnsi="Book Antiqua"/>
                <w:b/>
                <w:sz w:val="20"/>
              </w:rPr>
              <w:t xml:space="preserve"> 6</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Kerr Cell</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1.03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1953 </w:t>
            </w:r>
            <w:r w:rsidRPr="00987B97">
              <w:rPr>
                <w:rFonts w:ascii="Book Antiqua" w:hAnsi="Book Antiqua"/>
                <w:b/>
                <w:sz w:val="20"/>
                <w:u w:val="single"/>
              </w:rPr>
              <w:t>+</w:t>
            </w:r>
            <w:r w:rsidRPr="00987B97">
              <w:rPr>
                <w:rFonts w:ascii="Book Antiqua" w:hAnsi="Book Antiqua"/>
                <w:b/>
                <w:sz w:val="20"/>
              </w:rPr>
              <w:t xml:space="preserve"> 7</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6 other methods</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0.19 km/s per yr.</w:t>
            </w: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The Oscillation Flat-Point.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Because there are several modes of oscillation of the cosmos occurring concurrently, it is difficult to know exactly how the curve is going to continue. However, the speed of light measurements in the period 1960 to 1983 give a more exact indication of the behavior of the cosmos at this minimum than all the other physical quantities except the atomic clock (considered in Chapter 4). These data are listed in Table 14 and graphed in Figure 32. Figure 33 graphs the data from 1947 to 1983 and also shows the “flat-point” in the oscillation.</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In Table 14, Karolus used modulated light to measure </w:t>
      </w:r>
      <m:oMath>
        <m:r>
          <w:rPr>
            <w:rFonts w:ascii="Cambria Math" w:hAnsi="Cambria Math"/>
            <w:sz w:val="20"/>
          </w:rPr>
          <m:t>c</m:t>
        </m:r>
      </m:oMath>
      <w:r w:rsidRPr="007F536A">
        <w:rPr>
          <w:rFonts w:ascii="Book Antiqua" w:hAnsi="Book Antiqua"/>
          <w:sz w:val="20"/>
        </w:rPr>
        <w:t xml:space="preserve">. His baseline error was corrected in 1967 as noted in </w:t>
      </w:r>
      <w:r w:rsidRPr="007F536A">
        <w:rPr>
          <w:rFonts w:ascii="Book Antiqua" w:hAnsi="Book Antiqua"/>
          <w:i/>
          <w:sz w:val="20"/>
        </w:rPr>
        <w:t>The Velocity of Light and Radio Waves</w:t>
      </w:r>
      <w:r w:rsidRPr="007F536A">
        <w:rPr>
          <w:rFonts w:ascii="Book Antiqua" w:hAnsi="Book Antiqua"/>
          <w:sz w:val="20"/>
        </w:rPr>
        <w:t xml:space="preserve"> [203]. Simkin et al. used a microwave interferometer to obtain their value, while Grosse used a geodimeter. The remainder all used laser methods to determine </w:t>
      </w:r>
      <m:oMath>
        <m:r>
          <w:rPr>
            <w:rFonts w:ascii="Cambria Math" w:hAnsi="Cambria Math"/>
            <w:sz w:val="20"/>
          </w:rPr>
          <m:t>c</m:t>
        </m:r>
      </m:oMath>
      <w:r w:rsidRPr="007F536A">
        <w:rPr>
          <w:rFonts w:ascii="Book Antiqua" w:hAnsi="Book Antiqua"/>
          <w:sz w:val="20"/>
        </w:rPr>
        <w:t>. Mulligan discussed these determinations in</w:t>
      </w:r>
      <w:r w:rsidR="00223817" w:rsidRPr="007F536A">
        <w:rPr>
          <w:rFonts w:ascii="Book Antiqua" w:hAnsi="Book Antiqua"/>
          <w:sz w:val="16"/>
          <w:szCs w:val="16"/>
        </w:rPr>
        <w:t xml:space="preserve"> </w:t>
      </w:r>
      <w:r w:rsidR="00223817" w:rsidRPr="00223817">
        <w:rPr>
          <w:rFonts w:ascii="Book Antiqua" w:hAnsi="Book Antiqua"/>
          <w:sz w:val="20"/>
        </w:rPr>
        <w:lastRenderedPageBreak/>
        <w:t>“Some Recent Determinations of the Velocity of Light III”</w:t>
      </w:r>
      <w:r w:rsidRPr="00223817">
        <w:rPr>
          <w:rFonts w:ascii="Book Antiqua" w:hAnsi="Book Antiqua"/>
          <w:sz w:val="20"/>
        </w:rPr>
        <w:t xml:space="preserve"> [204].</w:t>
      </w:r>
      <w:r w:rsidRPr="007F536A">
        <w:rPr>
          <w:rFonts w:ascii="Book Antiqua" w:hAnsi="Book Antiqua"/>
          <w:sz w:val="20"/>
        </w:rPr>
        <w:t xml:space="preserve"> Evenson et al. had their result corrected for a new definition by Blaney et al in, “Measurement of the speed of light” in [199].</w:t>
      </w:r>
    </w:p>
    <w:p w:rsidR="00E8355F" w:rsidRPr="007F536A" w:rsidRDefault="00E8355F"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sz w:val="16"/>
          <w:szCs w:val="16"/>
          <w:highlight w:val="yellow"/>
        </w:rPr>
      </w:pPr>
    </w:p>
    <w:p w:rsidR="00821A88" w:rsidRPr="00485197" w:rsidRDefault="00821A88" w:rsidP="00987B97">
      <w:pPr>
        <w:pStyle w:val="NoSpacing"/>
        <w:jc w:val="center"/>
        <w:rPr>
          <w:rFonts w:ascii="Book Antiqua" w:hAnsi="Book Antiqua"/>
          <w:b/>
          <w:i/>
          <w:sz w:val="18"/>
          <w:szCs w:val="18"/>
        </w:rPr>
      </w:pPr>
      <w:r w:rsidRPr="00485197">
        <w:rPr>
          <w:rFonts w:ascii="Book Antiqua" w:hAnsi="Book Antiqua"/>
          <w:b/>
          <w:sz w:val="18"/>
          <w:szCs w:val="18"/>
        </w:rPr>
        <w:t>Table 14:</w:t>
      </w:r>
      <w:r w:rsidRPr="00485197">
        <w:rPr>
          <w:rFonts w:ascii="Book Antiqua" w:hAnsi="Book Antiqua"/>
          <w:b/>
          <w:i/>
          <w:sz w:val="18"/>
          <w:szCs w:val="18"/>
        </w:rPr>
        <w:t xml:space="preserve"> The 1960 - 1983 Results Mainly Using Lasers.</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747"/>
        <w:gridCol w:w="3485"/>
        <w:gridCol w:w="2808"/>
      </w:tblGrid>
      <w:tr w:rsidR="00821A88" w:rsidRPr="007F536A" w:rsidTr="00987B97">
        <w:trPr>
          <w:trHeight w:val="417"/>
          <w:jc w:val="center"/>
        </w:trPr>
        <w:tc>
          <w:tcPr>
            <w:tcW w:w="747"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Date</w:t>
            </w:r>
          </w:p>
        </w:tc>
        <w:tc>
          <w:tcPr>
            <w:tcW w:w="3485"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Experimenter</w:t>
            </w:r>
          </w:p>
        </w:tc>
        <w:tc>
          <w:tcPr>
            <w:tcW w:w="2808"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Value of c (km/s)</w:t>
            </w:r>
          </w:p>
        </w:tc>
      </w:tr>
      <w:tr w:rsidR="00821A88" w:rsidRPr="007F536A" w:rsidTr="00987B97">
        <w:trPr>
          <w:trHeight w:val="242"/>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1966</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Karolus [193]</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299,792.44       </w:t>
            </w:r>
            <w:r w:rsidRPr="00987B97">
              <w:rPr>
                <w:rFonts w:ascii="Book Antiqua" w:hAnsi="Book Antiqua"/>
                <w:b/>
                <w:sz w:val="18"/>
                <w:szCs w:val="18"/>
                <w:u w:val="single"/>
              </w:rPr>
              <w:t>+</w:t>
            </w:r>
            <w:r w:rsidRPr="00987B97">
              <w:rPr>
                <w:rFonts w:ascii="Book Antiqua" w:hAnsi="Book Antiqua"/>
                <w:b/>
                <w:sz w:val="18"/>
                <w:szCs w:val="18"/>
              </w:rPr>
              <w:t xml:space="preserve"> 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1967</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Simkin et al. [194]</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299,792.56       </w:t>
            </w:r>
            <w:r w:rsidRPr="00987B97">
              <w:rPr>
                <w:rFonts w:ascii="Book Antiqua" w:hAnsi="Book Antiqua"/>
                <w:b/>
                <w:sz w:val="18"/>
                <w:szCs w:val="18"/>
                <w:u w:val="single"/>
              </w:rPr>
              <w:t>+</w:t>
            </w:r>
            <w:r w:rsidRPr="00987B97">
              <w:rPr>
                <w:rFonts w:ascii="Book Antiqua" w:hAnsi="Book Antiqua"/>
                <w:b/>
                <w:sz w:val="18"/>
                <w:szCs w:val="18"/>
              </w:rPr>
              <w:t xml:space="preserve"> 0.11</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1967</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Grosse [195]</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299,792.50       </w:t>
            </w:r>
            <w:r w:rsidRPr="00987B97">
              <w:rPr>
                <w:rFonts w:ascii="Book Antiqua" w:hAnsi="Book Antiqua"/>
                <w:b/>
                <w:sz w:val="18"/>
                <w:szCs w:val="18"/>
                <w:u w:val="single"/>
              </w:rPr>
              <w:t>+</w:t>
            </w:r>
            <w:r w:rsidRPr="00987B97">
              <w:rPr>
                <w:rFonts w:ascii="Book Antiqua" w:hAnsi="Book Antiqua"/>
                <w:b/>
                <w:sz w:val="18"/>
                <w:szCs w:val="18"/>
              </w:rPr>
              <w:t xml:space="preserve"> 0.05</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1972</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Bay/Luther/White [196]</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299,792.462     </w:t>
            </w:r>
            <w:r w:rsidRPr="00987B97">
              <w:rPr>
                <w:rFonts w:ascii="Book Antiqua" w:hAnsi="Book Antiqua"/>
                <w:b/>
                <w:sz w:val="18"/>
                <w:szCs w:val="18"/>
                <w:u w:val="single"/>
              </w:rPr>
              <w:t>+</w:t>
            </w:r>
            <w:r w:rsidRPr="00987B97">
              <w:rPr>
                <w:rFonts w:ascii="Book Antiqua" w:hAnsi="Book Antiqua"/>
                <w:b/>
                <w:sz w:val="18"/>
                <w:szCs w:val="18"/>
              </w:rPr>
              <w:t xml:space="preserve"> 0.018</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1972</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NRC/NBS [197]</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299,792.460     </w:t>
            </w:r>
            <w:r w:rsidRPr="00987B97">
              <w:rPr>
                <w:rFonts w:ascii="Book Antiqua" w:hAnsi="Book Antiqua"/>
                <w:b/>
                <w:sz w:val="18"/>
                <w:szCs w:val="18"/>
                <w:u w:val="single"/>
              </w:rPr>
              <w:t>+</w:t>
            </w:r>
            <w:r w:rsidRPr="00987B97">
              <w:rPr>
                <w:rFonts w:ascii="Book Antiqua" w:hAnsi="Book Antiqua"/>
                <w:b/>
                <w:sz w:val="18"/>
                <w:szCs w:val="18"/>
              </w:rPr>
              <w:t xml:space="preserve"> 0.006</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Evenson et al. [198]</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299,792.4574   </w:t>
            </w:r>
            <w:r w:rsidRPr="00987B97">
              <w:rPr>
                <w:rFonts w:ascii="Book Antiqua" w:hAnsi="Book Antiqua"/>
                <w:b/>
                <w:sz w:val="18"/>
                <w:szCs w:val="18"/>
                <w:u w:val="single"/>
              </w:rPr>
              <w:t>+</w:t>
            </w:r>
            <w:r w:rsidRPr="00987B97">
              <w:rPr>
                <w:rFonts w:ascii="Book Antiqua" w:hAnsi="Book Antiqua"/>
                <w:b/>
                <w:sz w:val="18"/>
                <w:szCs w:val="18"/>
              </w:rPr>
              <w:t xml:space="preserve"> 0.0011</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NRC/NBS [197]</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     </w:t>
            </w:r>
            <w:r w:rsidRPr="00987B97">
              <w:rPr>
                <w:rFonts w:ascii="Book Antiqua" w:hAnsi="Book Antiqua"/>
                <w:b/>
                <w:sz w:val="18"/>
                <w:szCs w:val="18"/>
                <w:u w:val="single"/>
              </w:rPr>
              <w:t>+</w:t>
            </w:r>
            <w:r w:rsidRPr="00987B97">
              <w:rPr>
                <w:rFonts w:ascii="Book Antiqua" w:hAnsi="Book Antiqua"/>
                <w:b/>
                <w:sz w:val="18"/>
                <w:szCs w:val="18"/>
              </w:rPr>
              <w:t xml:space="preserve"> 0.002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1974</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Blaney et al. [199]</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299,792.4590   </w:t>
            </w:r>
            <w:r w:rsidRPr="00987B97">
              <w:rPr>
                <w:rFonts w:ascii="Book Antiqua" w:hAnsi="Book Antiqua"/>
                <w:b/>
                <w:sz w:val="18"/>
                <w:szCs w:val="18"/>
                <w:u w:val="single"/>
              </w:rPr>
              <w:t>+</w:t>
            </w:r>
            <w:r w:rsidRPr="00987B97">
              <w:rPr>
                <w:rFonts w:ascii="Book Antiqua" w:hAnsi="Book Antiqua"/>
                <w:b/>
                <w:sz w:val="18"/>
                <w:szCs w:val="18"/>
              </w:rPr>
              <w:t xml:space="preserve"> 0.0008</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1978</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Woods Shotton Rowley [200]</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299,792.4588   </w:t>
            </w:r>
            <w:r w:rsidRPr="00987B97">
              <w:rPr>
                <w:rFonts w:ascii="Book Antiqua" w:hAnsi="Book Antiqua"/>
                <w:b/>
                <w:sz w:val="18"/>
                <w:szCs w:val="18"/>
                <w:u w:val="single"/>
              </w:rPr>
              <w:t>+</w:t>
            </w:r>
            <w:r w:rsidRPr="00987B97">
              <w:rPr>
                <w:rFonts w:ascii="Book Antiqua" w:hAnsi="Book Antiqua"/>
                <w:b/>
                <w:sz w:val="18"/>
                <w:szCs w:val="18"/>
              </w:rPr>
              <w:t xml:space="preserve"> 0.0002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1979</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Baird/Smith/Whitford [201]</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299,792.4581   </w:t>
            </w:r>
            <w:r w:rsidRPr="00987B97">
              <w:rPr>
                <w:rFonts w:ascii="Book Antiqua" w:hAnsi="Book Antiqua"/>
                <w:b/>
                <w:sz w:val="18"/>
                <w:szCs w:val="18"/>
                <w:u w:val="single"/>
              </w:rPr>
              <w:t>+</w:t>
            </w:r>
            <w:r w:rsidRPr="00987B97">
              <w:rPr>
                <w:rFonts w:ascii="Book Antiqua" w:hAnsi="Book Antiqua"/>
                <w:b/>
                <w:sz w:val="18"/>
                <w:szCs w:val="18"/>
              </w:rPr>
              <w:t xml:space="preserve"> 0.0019</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1983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NBS (US) [202]</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299,792.4586   </w:t>
            </w:r>
            <w:r w:rsidRPr="00987B97">
              <w:rPr>
                <w:rFonts w:ascii="Book Antiqua" w:hAnsi="Book Antiqua"/>
                <w:b/>
                <w:sz w:val="18"/>
                <w:szCs w:val="18"/>
                <w:u w:val="single"/>
              </w:rPr>
              <w:t>+</w:t>
            </w:r>
            <w:r w:rsidRPr="00987B97">
              <w:rPr>
                <w:rFonts w:ascii="Book Antiqua" w:hAnsi="Book Antiqua"/>
                <w:b/>
                <w:sz w:val="18"/>
                <w:szCs w:val="18"/>
              </w:rPr>
              <w:t xml:space="preserve"> 0.0003</w:t>
            </w:r>
          </w:p>
        </w:tc>
      </w:tr>
    </w:tbl>
    <w:p w:rsidR="00821A88" w:rsidRDefault="00821A88" w:rsidP="00821A88">
      <w:pPr>
        <w:pStyle w:val="NoSpacing"/>
        <w:jc w:val="both"/>
        <w:rPr>
          <w:rFonts w:ascii="Book Antiqua" w:hAnsi="Book Antiqua"/>
          <w:sz w:val="20"/>
        </w:rPr>
      </w:pPr>
    </w:p>
    <w:p w:rsidR="00E8355F" w:rsidRDefault="00E8355F" w:rsidP="00821A88">
      <w:pPr>
        <w:pStyle w:val="NoSpacing"/>
        <w:jc w:val="both"/>
        <w:rPr>
          <w:rFonts w:ascii="Book Antiqua" w:hAnsi="Book Antiqua"/>
          <w:sz w:val="20"/>
        </w:rPr>
      </w:pPr>
    </w:p>
    <w:p w:rsidR="006E78EF" w:rsidRPr="007F536A" w:rsidRDefault="006E78EF" w:rsidP="00821A88">
      <w:pPr>
        <w:pStyle w:val="NoSpacing"/>
        <w:jc w:val="both"/>
        <w:rPr>
          <w:rFonts w:ascii="Book Antiqua" w:hAnsi="Book Antiqua"/>
          <w:sz w:val="20"/>
        </w:rPr>
      </w:pPr>
    </w:p>
    <w:p w:rsidR="00821A88" w:rsidRDefault="00821A88" w:rsidP="00987B97">
      <w:pPr>
        <w:pStyle w:val="NoSpacing"/>
        <w:jc w:val="center"/>
        <w:rPr>
          <w:rFonts w:ascii="Book Antiqua" w:hAnsi="Book Antiqua"/>
          <w:sz w:val="18"/>
          <w:szCs w:val="18"/>
        </w:rPr>
      </w:pPr>
      <w:r w:rsidRPr="007F536A">
        <w:rPr>
          <w:rFonts w:ascii="Book Antiqua" w:hAnsi="Book Antiqua"/>
          <w:noProof/>
          <w:sz w:val="18"/>
          <w:szCs w:val="18"/>
        </w:rPr>
        <w:drawing>
          <wp:inline distT="0" distB="0" distL="0" distR="0">
            <wp:extent cx="4610100" cy="3600450"/>
            <wp:effectExtent l="19050" t="0" r="19050" b="0"/>
            <wp:docPr id="25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E8355F" w:rsidRPr="007F536A" w:rsidRDefault="00E8355F" w:rsidP="00821A88">
      <w:pPr>
        <w:pStyle w:val="NoSpacing"/>
        <w:jc w:val="both"/>
        <w:rPr>
          <w:rFonts w:ascii="Book Antiqua" w:hAnsi="Book Antiqua"/>
          <w:sz w:val="18"/>
          <w:szCs w:val="18"/>
        </w:rPr>
      </w:pPr>
    </w:p>
    <w:p w:rsidR="00821A88" w:rsidRPr="007F536A" w:rsidRDefault="00821A88" w:rsidP="00821A88">
      <w:pPr>
        <w:pStyle w:val="NoSpacing"/>
        <w:jc w:val="both"/>
        <w:rPr>
          <w:rFonts w:ascii="Book Antiqua" w:hAnsi="Book Antiqua"/>
          <w:sz w:val="18"/>
          <w:szCs w:val="18"/>
        </w:rPr>
      </w:pPr>
    </w:p>
    <w:p w:rsidR="00821A88" w:rsidRPr="00E8355F" w:rsidRDefault="00821A88" w:rsidP="00821A88">
      <w:pPr>
        <w:pStyle w:val="NoSpacing"/>
        <w:rPr>
          <w:rFonts w:ascii="Book Antiqua" w:hAnsi="Book Antiqua"/>
          <w:i/>
          <w:sz w:val="18"/>
          <w:szCs w:val="18"/>
        </w:rPr>
      </w:pPr>
      <w:r w:rsidRPr="00E8355F">
        <w:rPr>
          <w:rFonts w:ascii="Book Antiqua" w:hAnsi="Book Antiqua"/>
          <w:b/>
          <w:i/>
          <w:sz w:val="18"/>
          <w:szCs w:val="18"/>
        </w:rPr>
        <w:t>Figure 32:</w:t>
      </w:r>
      <w:r w:rsidRPr="00E8355F">
        <w:rPr>
          <w:rFonts w:ascii="Book Antiqua" w:hAnsi="Book Antiqua"/>
          <w:i/>
          <w:sz w:val="18"/>
          <w:szCs w:val="18"/>
        </w:rPr>
        <w:t xml:space="preserve"> Graph of light-speed values 1964 to 1983 from Table 14. A polynomial trend-line is superior to a linear one. The minimum is about 1978.</w:t>
      </w: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 xml:space="preserve"> </w:t>
      </w:r>
    </w:p>
    <w:p w:rsidR="00821A88" w:rsidRPr="007F536A" w:rsidRDefault="006E78EF" w:rsidP="00987B97">
      <w:pPr>
        <w:pStyle w:val="NoSpacing"/>
        <w:jc w:val="center"/>
        <w:rPr>
          <w:rFonts w:ascii="Book Antiqua" w:hAnsi="Book Antiqua"/>
          <w:b/>
          <w:sz w:val="20"/>
          <w:u w:val="single"/>
        </w:rPr>
      </w:pPr>
      <w:r w:rsidRPr="007F536A">
        <w:rPr>
          <w:rFonts w:ascii="Book Antiqua" w:hAnsi="Book Antiqua"/>
          <w:sz w:val="20"/>
        </w:rPr>
        <w:object w:dxaOrig="7188" w:dyaOrig="5388">
          <v:shape id="_x0000_i1028" type="#_x0000_t75" style="width:375.15pt;height:331.55pt" o:ole="">
            <v:imagedata r:id="rId77" o:title="" cropbottom="8757f"/>
          </v:shape>
          <o:OLEObject Type="Embed" ProgID="PowerPoint.Slide.12" ShapeID="_x0000_i1028" DrawAspect="Content" ObjectID="_1438188840" r:id="rId127"/>
        </w:object>
      </w:r>
    </w:p>
    <w:p w:rsidR="00821A88" w:rsidRPr="007F536A" w:rsidRDefault="00821A88" w:rsidP="00821A88">
      <w:pPr>
        <w:pStyle w:val="NoSpacing"/>
        <w:rPr>
          <w:rFonts w:ascii="Book Antiqua" w:hAnsi="Book Antiqua"/>
          <w:b/>
          <w:i/>
          <w:sz w:val="20"/>
          <w:highlight w:val="yellow"/>
        </w:rPr>
      </w:pPr>
    </w:p>
    <w:p w:rsidR="00821A88" w:rsidRPr="00E8355F" w:rsidRDefault="00821A88" w:rsidP="00821A88">
      <w:pPr>
        <w:pStyle w:val="NoSpacing"/>
        <w:rPr>
          <w:rFonts w:ascii="Book Antiqua" w:hAnsi="Book Antiqua"/>
          <w:i/>
          <w:sz w:val="18"/>
          <w:szCs w:val="18"/>
        </w:rPr>
      </w:pPr>
      <w:r w:rsidRPr="00E8355F">
        <w:rPr>
          <w:rFonts w:ascii="Book Antiqua" w:hAnsi="Book Antiqua"/>
          <w:b/>
          <w:i/>
          <w:sz w:val="18"/>
          <w:szCs w:val="18"/>
        </w:rPr>
        <w:t>Figure 33:</w:t>
      </w:r>
      <w:r w:rsidRPr="00E8355F">
        <w:rPr>
          <w:rFonts w:ascii="Book Antiqua" w:hAnsi="Book Antiqua"/>
          <w:i/>
          <w:sz w:val="18"/>
          <w:szCs w:val="18"/>
        </w:rPr>
        <w:t xml:space="preserve"> Speed of light data from 1947 to 1983 showing the broad detail of the “flat-point” in the oscillation.</w:t>
      </w:r>
      <w:r w:rsidR="00583031" w:rsidRPr="00E8355F">
        <w:rPr>
          <w:rFonts w:ascii="Book Antiqua" w:hAnsi="Book Antiqua"/>
          <w:i/>
          <w:sz w:val="18"/>
          <w:szCs w:val="18"/>
        </w:rPr>
        <w:t xml:space="preserve"> This </w:t>
      </w:r>
      <w:r w:rsidR="00790E4F" w:rsidRPr="00E8355F">
        <w:rPr>
          <w:rFonts w:ascii="Book Antiqua" w:hAnsi="Book Antiqua"/>
          <w:i/>
          <w:sz w:val="18"/>
          <w:szCs w:val="18"/>
        </w:rPr>
        <w:t xml:space="preserve">oscillation </w:t>
      </w:r>
      <w:r w:rsidR="00583031" w:rsidRPr="00E8355F">
        <w:rPr>
          <w:rFonts w:ascii="Book Antiqua" w:hAnsi="Book Antiqua"/>
          <w:i/>
          <w:sz w:val="18"/>
          <w:szCs w:val="18"/>
        </w:rPr>
        <w:t>is shown in more detail in Figure 3 of Chapter 4</w:t>
      </w:r>
      <w:r w:rsidR="00790E4F" w:rsidRPr="00E8355F">
        <w:rPr>
          <w:rFonts w:ascii="Book Antiqua" w:hAnsi="Book Antiqua"/>
          <w:i/>
          <w:sz w:val="18"/>
          <w:szCs w:val="18"/>
        </w:rPr>
        <w:t xml:space="preserve"> with data from the gyromagnetic ratio of the proton</w:t>
      </w:r>
      <w:r w:rsidR="00583031" w:rsidRPr="00E8355F">
        <w:rPr>
          <w:rFonts w:ascii="Book Antiqua" w:hAnsi="Book Antiqua"/>
          <w:i/>
          <w:sz w:val="18"/>
          <w:szCs w:val="18"/>
        </w:rPr>
        <w:t>.</w:t>
      </w:r>
    </w:p>
    <w:p w:rsidR="0002149A" w:rsidRPr="007F536A" w:rsidRDefault="0002149A" w:rsidP="00821A88">
      <w:pPr>
        <w:pStyle w:val="NoSpacing"/>
        <w:rPr>
          <w:rFonts w:ascii="Book Antiqua" w:hAnsi="Book Antiqua"/>
          <w:sz w:val="18"/>
          <w:szCs w:val="18"/>
        </w:rPr>
      </w:pP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Laser c Measurements and a Definition.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last, and most accurate, measurements of </w:t>
      </w:r>
      <m:oMath>
        <m:r>
          <w:rPr>
            <w:rFonts w:ascii="Cambria Math" w:hAnsi="Cambria Math"/>
            <w:sz w:val="20"/>
          </w:rPr>
          <m:t>c</m:t>
        </m:r>
      </m:oMath>
      <w:r w:rsidRPr="007F536A">
        <w:rPr>
          <w:rFonts w:ascii="Book Antiqua" w:hAnsi="Book Antiqua"/>
          <w:sz w:val="20"/>
        </w:rPr>
        <w:t xml:space="preserve"> on Table 14 relied on laser techniques. This was developed by Ken M. Evenson and his team at the National Bureau of Standards at Boulder (now NIST). The technique relies on separate measurements of wavelength and frequency emitted by a stabilized laser. Then the speed of light, </w:t>
      </w:r>
      <m:oMath>
        <m:r>
          <w:rPr>
            <w:rFonts w:ascii="Cambria Math" w:hAnsi="Cambria Math"/>
            <w:sz w:val="20"/>
          </w:rPr>
          <m:t>c</m:t>
        </m:r>
      </m:oMath>
      <w:r w:rsidRPr="007F536A">
        <w:rPr>
          <w:rFonts w:ascii="Book Antiqua" w:hAnsi="Book Antiqua"/>
          <w:sz w:val="20"/>
        </w:rPr>
        <w:t>, is obtained from the equation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i/>
          <w:sz w:val="20"/>
        </w:rPr>
      </w:pPr>
      <m:oMath>
        <m:r>
          <w:rPr>
            <w:rFonts w:ascii="Cambria Math" w:hAnsi="Cambria Math"/>
            <w:sz w:val="20"/>
          </w:rPr>
          <m:t>c  =  f W</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(3)</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where</w:t>
      </w:r>
      <m:oMath>
        <m:r>
          <w:rPr>
            <w:rFonts w:ascii="Cambria Math" w:hAnsi="Cambria Math"/>
            <w:sz w:val="20"/>
          </w:rPr>
          <m:t xml:space="preserve"> f</m:t>
        </m:r>
      </m:oMath>
      <w:r w:rsidRPr="007F536A">
        <w:rPr>
          <w:rFonts w:ascii="Book Antiqua" w:hAnsi="Book Antiqua"/>
          <w:sz w:val="20"/>
        </w:rPr>
        <w:t xml:space="preserve"> is the frequency of the laser and </w:t>
      </w:r>
      <m:oMath>
        <m:r>
          <w:rPr>
            <w:rFonts w:ascii="Cambria Math" w:hAnsi="Cambria Math"/>
            <w:sz w:val="20"/>
          </w:rPr>
          <m:t>W</m:t>
        </m:r>
      </m:oMath>
      <w:r w:rsidRPr="007F536A">
        <w:rPr>
          <w:rFonts w:ascii="Book Antiqua" w:hAnsi="Book Antiqua"/>
          <w:sz w:val="20"/>
        </w:rPr>
        <w:t xml:space="preserve"> is its wavelength.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Prior to this, the difficulty had been that, while frequencies could be measured accurately from the microwave region to the millimeter wavelength region, the corresponding wavelength measurement was problematic. It was only in the visible region of the spectrum that wavelengths could be measured with accuracy. Necessity therefore demanded that a method of accurate frequency measurements in the visible region be devised.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Boulder group developed a frequency synthesis chain which linked the microwave output of the cesium frequency standard to the visible region. This then made possible the direct measurement of the frequency of a helium-neon laser that was stabilized against a standard transition line in methane (</w:t>
      </w:r>
      <m:oMath>
        <m:r>
          <w:rPr>
            <w:rFonts w:ascii="Cambria Math" w:hAnsi="Cambria Math"/>
            <w:sz w:val="20"/>
          </w:rPr>
          <m:t xml:space="preserve">3.39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-6</m:t>
            </m:r>
          </m:sup>
        </m:sSup>
      </m:oMath>
      <w:r w:rsidRPr="007F536A">
        <w:rPr>
          <w:rFonts w:ascii="Book Antiqua" w:hAnsi="Book Antiqua"/>
          <w:sz w:val="20"/>
        </w:rPr>
        <w:t xml:space="preserve"> meters).  They went on to provide </w:t>
      </w:r>
      <w:r w:rsidRPr="007F536A">
        <w:rPr>
          <w:rFonts w:ascii="Book Antiqua" w:hAnsi="Book Antiqua"/>
          <w:sz w:val="20"/>
        </w:rPr>
        <w:lastRenderedPageBreak/>
        <w:t>the first direct measurement of the frequency of the 633 nano-meter line of the iodine-stabilized helium-neon laser [205] as well as the 576 nanometer line in iodine [206].</w:t>
      </w:r>
    </w:p>
    <w:p w:rsidR="00583031" w:rsidRDefault="00583031"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As a result of their efforts, a new definition of the meter was accepted by the 17</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1983. The definition read: </w:t>
      </w:r>
      <w:r w:rsidRPr="007F536A">
        <w:rPr>
          <w:rFonts w:ascii="Book Antiqua" w:hAnsi="Book Antiqua"/>
          <w:i/>
          <w:sz w:val="20"/>
        </w:rPr>
        <w:t>“The meter is the length of the path traveled by light in a vacuum during a time interval of 1/299 792 458 of a second.”</w:t>
      </w:r>
      <w:r w:rsidRPr="007F536A">
        <w:rPr>
          <w:rFonts w:ascii="Book Antiqua" w:hAnsi="Book Antiqua"/>
          <w:sz w:val="20"/>
        </w:rPr>
        <w:t xml:space="preserve"> This meant that the speed of light was now officially </w:t>
      </w:r>
      <m:oMath>
        <m:r>
          <w:rPr>
            <w:rFonts w:ascii="Cambria Math" w:hAnsi="Cambria Math"/>
            <w:sz w:val="20"/>
          </w:rPr>
          <m:t>299,792.458 km/s.</m:t>
        </m:r>
      </m:oMath>
      <w:r w:rsidRPr="007F536A">
        <w:rPr>
          <w:rFonts w:ascii="Book Antiqua" w:hAnsi="Book Antiqua"/>
          <w:sz w:val="20"/>
        </w:rPr>
        <w:t xml:space="preserve"> An NIST publication expresses the outcome of this definition in the following terms: </w:t>
      </w:r>
      <w:r w:rsidRPr="007F536A">
        <w:rPr>
          <w:rFonts w:ascii="Book Antiqua" w:hAnsi="Book Antiqua"/>
          <w:i/>
          <w:sz w:val="20"/>
        </w:rPr>
        <w:t>“A consequence of this definition is that the speed of light is now a defined constant, not to be measured again. NBS had played a key role in pioneering measurement methods that resulted in this redefinition and in the optical frequency measurements that contributed to practical realizations of the definition.”</w:t>
      </w:r>
      <w:r w:rsidRPr="007F536A">
        <w:rPr>
          <w:rFonts w:ascii="Book Antiqua" w:hAnsi="Book Antiqua"/>
          <w:sz w:val="20"/>
        </w:rPr>
        <w:t xml:space="preserve"> [207]</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Problems With Laser Measurements. </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Despite the great precision of the laser measurements, there is a problem. Equation (3) is used to determine the speed of light. In that equation,</w:t>
      </w:r>
      <m:oMath>
        <m:r>
          <w:rPr>
            <w:rFonts w:ascii="Cambria Math" w:hAnsi="Cambria Math"/>
            <w:sz w:val="20"/>
          </w:rPr>
          <m:t xml:space="preserve"> W</m:t>
        </m:r>
      </m:oMath>
      <w:r w:rsidRPr="007F536A">
        <w:rPr>
          <w:rFonts w:ascii="Book Antiqua" w:hAnsi="Book Antiqua"/>
          <w:sz w:val="20"/>
        </w:rPr>
        <w:t xml:space="preserve"> is the wavelength of the laser light that is being used. In a changing ZPE situation, that wavelength will remain unchanged. Therefore the behavior of </w:t>
      </w:r>
      <m:oMath>
        <m:r>
          <w:rPr>
            <w:rFonts w:ascii="Cambria Math" w:hAnsi="Cambria Math"/>
            <w:sz w:val="20"/>
          </w:rPr>
          <m:t>W</m:t>
        </m:r>
      </m:oMath>
      <w:r w:rsidRPr="007F536A">
        <w:rPr>
          <w:rFonts w:ascii="Book Antiqua" w:hAnsi="Book Antiqua"/>
          <w:sz w:val="20"/>
        </w:rPr>
        <w:t xml:space="preserve"> with time is not a consideration.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However, the situation is different with the frequency, </w:t>
      </w:r>
      <m:oMath>
        <m:r>
          <w:rPr>
            <w:rFonts w:ascii="Cambria Math" w:hAnsi="Cambria Math"/>
            <w:sz w:val="20"/>
          </w:rPr>
          <m:t>f</m:t>
        </m:r>
      </m:oMath>
      <w:r w:rsidRPr="007F536A">
        <w:rPr>
          <w:rFonts w:ascii="Book Antiqua" w:hAnsi="Book Antiqua"/>
          <w:sz w:val="20"/>
        </w:rPr>
        <w:t xml:space="preserve">, in (3). The frequency of the laser light in these experiments was being measured by an atomic clock and its frequency standard, and there lies the problem. In Chapter 4 it is shown that atomic clocks tick at a rate that is ZPE dependent so that when the ZPE increases, the rate of ticking drops in direct proportion to the speed of light. In addition, it was </w:t>
      </w:r>
      <w:r w:rsidRPr="00223817">
        <w:rPr>
          <w:rFonts w:ascii="Book Antiqua" w:hAnsi="Book Antiqua"/>
          <w:sz w:val="20"/>
        </w:rPr>
        <w:t>shown in Chapter 2</w:t>
      </w:r>
      <w:r w:rsidRPr="007F536A">
        <w:rPr>
          <w:rFonts w:ascii="Book Antiqua" w:hAnsi="Book Antiqua"/>
          <w:sz w:val="20"/>
        </w:rPr>
        <w:t xml:space="preserve"> that it is the frequency of light that changes in direct proportion to the speed of light. Since the laser frequency is being measured by atomic clocks whose rate is changing lock-step with the speed of light, then no change in frequency will be detected. Since </w:t>
      </w:r>
      <m:oMath>
        <m:r>
          <w:rPr>
            <w:rFonts w:ascii="Cambria Math" w:hAnsi="Cambria Math"/>
            <w:sz w:val="20"/>
          </w:rPr>
          <m:t>W</m:t>
        </m:r>
      </m:oMath>
      <w:r w:rsidRPr="007F536A">
        <w:rPr>
          <w:rFonts w:ascii="Book Antiqua" w:hAnsi="Book Antiqua"/>
          <w:sz w:val="20"/>
        </w:rPr>
        <w:t xml:space="preserve"> is constant, the laser experimental setup will make it impossible to measure any change in the speed of light.</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It was because of this that the speed of light was defined as an absolute constant.  In actual fact, the measurement of other ZPE dependent quantities suggest that, if anything, the speed of light may have increased slightly since 1970. The only way to find out is to use an experimental setup which is independent of atomic time and frequency standards. This effectively eliminates rotating mirrors, toothed wheels, and any modern methods which rely on atomic frequency or clock standards.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There is one other method of measuring </w:t>
      </w:r>
      <m:oMath>
        <m:r>
          <w:rPr>
            <w:rFonts w:ascii="Cambria Math" w:hAnsi="Cambria Math"/>
            <w:sz w:val="20"/>
          </w:rPr>
          <m:t xml:space="preserve">c </m:t>
        </m:r>
      </m:oMath>
      <w:r w:rsidRPr="007F536A">
        <w:rPr>
          <w:rFonts w:ascii="Book Antiqua" w:hAnsi="Book Antiqua"/>
          <w:sz w:val="20"/>
        </w:rPr>
        <w:t>which avoids these problems. The aberration method uses angles instead of length or time measurements. The aberration constant, K, was defined at the 15</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1975. This definition stated that </w:t>
      </w:r>
      <w:r w:rsidRPr="007F536A">
        <w:rPr>
          <w:rFonts w:ascii="Book Antiqua" w:hAnsi="Book Antiqua"/>
          <w:i/>
          <w:sz w:val="20"/>
        </w:rPr>
        <w:t>“The constant of aberration is the ratio of the mean speed of the earth to the speed of light and is conventionally expressed in seconds of arc.”</w:t>
      </w:r>
      <w:r w:rsidR="006E78EF">
        <w:rPr>
          <w:rFonts w:ascii="Book Antiqua" w:hAnsi="Book Antiqua"/>
          <w:i/>
          <w:sz w:val="20"/>
        </w:rPr>
        <w:t xml:space="preserve"> </w:t>
      </w:r>
      <w:r w:rsidR="006E78EF" w:rsidRPr="006E78EF">
        <w:rPr>
          <w:rFonts w:ascii="Book Antiqua" w:hAnsi="Book Antiqua"/>
          <w:sz w:val="20"/>
        </w:rPr>
        <w:t>[see:</w:t>
      </w:r>
      <w:r w:rsidRPr="007F536A">
        <w:rPr>
          <w:rFonts w:ascii="Book Antiqua" w:hAnsi="Book Antiqua"/>
          <w:sz w:val="20"/>
        </w:rPr>
        <w:t xml:space="preserve"> </w:t>
      </w:r>
      <w:r w:rsidRPr="007F536A">
        <w:rPr>
          <w:rFonts w:ascii="Book Antiqua" w:hAnsi="Book Antiqua"/>
          <w:i/>
          <w:sz w:val="20"/>
        </w:rPr>
        <w:t xml:space="preserve"> </w:t>
      </w:r>
      <w:hyperlink r:id="rId128" w:history="1">
        <w:r w:rsidRPr="006E78EF">
          <w:rPr>
            <w:rStyle w:val="Hyperlink"/>
            <w:rFonts w:ascii="Book Antiqua" w:hAnsi="Book Antiqua"/>
            <w:i/>
            <w:sz w:val="20"/>
          </w:rPr>
          <w:t>http://www.iau.org/static/resolutions/IAU1976_French.pdf</w:t>
        </w:r>
      </w:hyperlink>
      <w:r w:rsidRPr="007F536A">
        <w:rPr>
          <w:rFonts w:ascii="Book Antiqua" w:hAnsi="Book Antiqua"/>
          <w:sz w:val="20"/>
        </w:rPr>
        <w:t>]</w:t>
      </w:r>
      <w:r w:rsidRPr="007F536A">
        <w:rPr>
          <w:rFonts w:ascii="Book Antiqua" w:hAnsi="Book Antiqua"/>
          <w:i/>
          <w:sz w:val="20"/>
        </w:rPr>
        <w:t>.</w:t>
      </w:r>
      <w:r w:rsidRPr="007F536A">
        <w:rPr>
          <w:rFonts w:ascii="Book Antiqua" w:hAnsi="Book Antiqua"/>
          <w:sz w:val="20"/>
        </w:rPr>
        <w:t xml:space="preserve"> </w:t>
      </w:r>
    </w:p>
    <w:p w:rsidR="00821A88" w:rsidRPr="007F536A" w:rsidRDefault="00821A88" w:rsidP="00821A88">
      <w:pPr>
        <w:pStyle w:val="NoSpacing"/>
        <w:jc w:val="both"/>
        <w:rPr>
          <w:rFonts w:ascii="Book Antiqua" w:hAnsi="Book Antiqua"/>
          <w:sz w:val="20"/>
        </w:rPr>
      </w:pPr>
    </w:p>
    <w:p w:rsidR="000554D7"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follows from this definition that, if the speed of light changes, the measured angle of the aberration of light from the stars will also change. Since modern astronomical methods allow angles to be measured with increased accuracy compared to the old measurements, any significant change in angle from the current definition of the aberration constant should reveal the change in the value of </w:t>
      </w:r>
      <m:oMath>
        <m:r>
          <w:rPr>
            <w:rFonts w:ascii="Cambria Math" w:hAnsi="Cambria Math"/>
            <w:sz w:val="20"/>
          </w:rPr>
          <m:t>c</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223817" w:rsidRDefault="00821A88" w:rsidP="00821A88">
      <w:pPr>
        <w:pStyle w:val="NoSpacing"/>
        <w:numPr>
          <w:ilvl w:val="1"/>
          <w:numId w:val="27"/>
        </w:numPr>
        <w:rPr>
          <w:rFonts w:ascii="Book Antiqua" w:hAnsi="Book Antiqua"/>
          <w:i/>
          <w:sz w:val="20"/>
        </w:rPr>
      </w:pPr>
      <w:r w:rsidRPr="00223817">
        <w:rPr>
          <w:rFonts w:ascii="Book Antiqua" w:hAnsi="Book Antiqua"/>
          <w:i/>
          <w:sz w:val="20"/>
        </w:rPr>
        <w:t>Addendum on Two Different Methods.</w:t>
      </w:r>
    </w:p>
    <w:p w:rsidR="00821A88" w:rsidRPr="007F536A" w:rsidRDefault="00821A88" w:rsidP="00821A88">
      <w:pPr>
        <w:pStyle w:val="NoSpacing"/>
        <w:ind w:left="360"/>
        <w:rPr>
          <w:rFonts w:ascii="Book Antiqua" w:hAnsi="Book Antiqua"/>
          <w:sz w:val="20"/>
        </w:rPr>
      </w:pPr>
      <w:r w:rsidRPr="007F536A">
        <w:rPr>
          <w:rFonts w:ascii="Book Antiqua" w:hAnsi="Book Antiqua"/>
          <w:b/>
          <w:sz w:val="20"/>
        </w:rPr>
        <w:t xml:space="preserve">  </w:t>
      </w: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There are two other methods which, historically, have been used to measure the speed of light. However, </w:t>
      </w:r>
      <w:r w:rsidR="00223817">
        <w:rPr>
          <w:rFonts w:ascii="Book Antiqua" w:hAnsi="Book Antiqua"/>
          <w:sz w:val="20"/>
        </w:rPr>
        <w:t>neither of these</w:t>
      </w:r>
      <w:r w:rsidRPr="007F536A">
        <w:rPr>
          <w:rFonts w:ascii="Book Antiqua" w:hAnsi="Book Antiqua"/>
          <w:sz w:val="20"/>
        </w:rPr>
        <w:t xml:space="preserve"> methods have attained the precision that the previously discussed methods have. The first of these two is the ratio of electrostatic to electromagnetic units or esu/emu. This method was only possible using the old CGS system of units and was only used to measure the speed of light in the period from 1856 to 1906. In this method, the charge on a capacitor is measured in electrostatic and then electromagnetic units. Twenty five determinations of the speed of light were done this way.</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In the second type of experiment, called the waves on wires method, both the wavelength and frequency of a radio wave transmitted along a pair of parallel wires are measured. The dates during which this method was employed went from 1891 to 1923. In all six determinations were performed using this procedure.</w:t>
      </w:r>
    </w:p>
    <w:p w:rsidR="008013D4" w:rsidRDefault="008013D4"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  The values of c obtained by these two methods did not achieve high accuracy except in two cases. A glance at Tables 15 and 16, where these data are tabulated, tells the story. The variation in c values obtained during a determination by either of these methods could go as high as 16,000 Km/s or more. In the case of the 1856, 1868 and 1883 values in Table 1</w:t>
      </w:r>
      <w:r w:rsidR="008A3A7A">
        <w:rPr>
          <w:rFonts w:ascii="Book Antiqua" w:hAnsi="Book Antiqua"/>
          <w:sz w:val="20"/>
        </w:rPr>
        <w:t>5</w:t>
      </w:r>
      <w:r w:rsidRPr="007F536A">
        <w:rPr>
          <w:rFonts w:ascii="Book Antiqua" w:hAnsi="Book Antiqua"/>
          <w:sz w:val="20"/>
        </w:rPr>
        <w:t>, Fowles estimated the error as ±20,000 km/s [208]. It should be noted that  all the Table 1</w:t>
      </w:r>
      <w:r w:rsidR="008A3A7A">
        <w:rPr>
          <w:rFonts w:ascii="Book Antiqua" w:hAnsi="Book Antiqua"/>
          <w:sz w:val="20"/>
        </w:rPr>
        <w:t>5</w:t>
      </w:r>
      <w:r w:rsidRPr="007F536A">
        <w:rPr>
          <w:rFonts w:ascii="Book Antiqua" w:hAnsi="Book Antiqua"/>
          <w:sz w:val="20"/>
        </w:rPr>
        <w:t xml:space="preserve"> values come from the uniform treatment by Abraham in reference [209], while Froome and Essen applied a uniform correction of 95 km/s to these values obtained in air to bring them to the value of </w:t>
      </w:r>
      <m:oMath>
        <m:r>
          <w:rPr>
            <w:rFonts w:ascii="Cambria Math" w:hAnsi="Cambria Math"/>
            <w:sz w:val="20"/>
          </w:rPr>
          <m:t>c</m:t>
        </m:r>
      </m:oMath>
      <w:r w:rsidRPr="007F536A">
        <w:rPr>
          <w:rFonts w:ascii="Book Antiqua" w:hAnsi="Book Antiqua"/>
          <w:sz w:val="20"/>
        </w:rPr>
        <w:t xml:space="preserve"> in vacuo [210]. In general, the spread of values of the velocity in any one determination by this method ranged from 1% to 5%. This is in marked contrast to the 0.02% or lower obtained by the optical methods. These values have thus been omitted from the main analysis. </w:t>
      </w:r>
    </w:p>
    <w:p w:rsidR="00821A88" w:rsidRPr="007F536A" w:rsidRDefault="00821A88" w:rsidP="00821A88">
      <w:pPr>
        <w:pStyle w:val="NoSpacing"/>
        <w:jc w:val="both"/>
        <w:rPr>
          <w:rFonts w:ascii="Book Antiqua" w:hAnsi="Book Antiqua"/>
          <w:sz w:val="20"/>
        </w:rPr>
      </w:pPr>
    </w:p>
    <w:p w:rsidR="00821A88" w:rsidRPr="008A3A7A" w:rsidRDefault="00821A88" w:rsidP="005572DA">
      <w:pPr>
        <w:pStyle w:val="NoSpacing"/>
        <w:jc w:val="center"/>
        <w:rPr>
          <w:rFonts w:ascii="Book Antiqua" w:hAnsi="Book Antiqua"/>
          <w:b/>
          <w:i/>
          <w:sz w:val="18"/>
          <w:szCs w:val="18"/>
        </w:rPr>
      </w:pPr>
      <w:r w:rsidRPr="008A3A7A">
        <w:rPr>
          <w:rFonts w:ascii="Book Antiqua" w:hAnsi="Book Antiqua"/>
          <w:b/>
          <w:sz w:val="18"/>
          <w:szCs w:val="18"/>
        </w:rPr>
        <w:t>Table 15:</w:t>
      </w:r>
      <w:r w:rsidRPr="008A3A7A">
        <w:rPr>
          <w:rFonts w:ascii="Book Antiqua" w:hAnsi="Book Antiqua"/>
          <w:b/>
          <w:i/>
          <w:sz w:val="18"/>
          <w:szCs w:val="18"/>
        </w:rPr>
        <w:t xml:space="preserve"> Speed of Light Values from the Ratio of ESU/EMU.</w:t>
      </w:r>
    </w:p>
    <w:p w:rsidR="00821A88" w:rsidRPr="007F536A" w:rsidRDefault="00821A88" w:rsidP="00821A88">
      <w:pPr>
        <w:pStyle w:val="NoSpacing"/>
        <w:jc w:val="both"/>
        <w:rPr>
          <w:rFonts w:ascii="Book Antiqua" w:hAnsi="Book Antiqua"/>
          <w:b/>
          <w:sz w:val="20"/>
        </w:rPr>
      </w:pPr>
    </w:p>
    <w:tbl>
      <w:tblPr>
        <w:tblStyle w:val="TableGrid"/>
        <w:tblW w:w="0" w:type="auto"/>
        <w:jc w:val="center"/>
        <w:tblLayout w:type="fixed"/>
        <w:tblLook w:val="04A0"/>
      </w:tblPr>
      <w:tblGrid>
        <w:gridCol w:w="918"/>
        <w:gridCol w:w="2595"/>
        <w:gridCol w:w="1397"/>
        <w:gridCol w:w="2595"/>
      </w:tblGrid>
      <w:tr w:rsidR="00821A88" w:rsidRPr="007F536A" w:rsidTr="005572DA">
        <w:trPr>
          <w:trHeight w:val="336"/>
          <w:jc w:val="center"/>
        </w:trPr>
        <w:tc>
          <w:tcPr>
            <w:tcW w:w="918"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Date</w:t>
            </w:r>
          </w:p>
        </w:tc>
        <w:tc>
          <w:tcPr>
            <w:tcW w:w="2595"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Experimenter</w:t>
            </w:r>
          </w:p>
        </w:tc>
        <w:tc>
          <w:tcPr>
            <w:tcW w:w="1397"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 xml:space="preserve">Mean km/s </w:t>
            </w:r>
          </w:p>
        </w:tc>
        <w:tc>
          <w:tcPr>
            <w:tcW w:w="2595"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 xml:space="preserve">Range or Error </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1856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Weber/Kohlrausch [213]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 xml:space="preserve">310,700 </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Maxwell [214]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284,000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W.Thomson/King [215]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288,000-271,400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McKichan [216]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289,700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299,900-286,300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Rowland [217]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298,400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301,800-295j,000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Ayrton/Perry [218}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Hockin [219]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Shida [220]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295,500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Stoletov [221]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300,000-298,000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Exner [222]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287,000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8/100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1883</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 J.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296,400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Klemencic [224]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303,100-300,100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Colley [225]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2/100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*Himstedt [226]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300,570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301,460-299990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Thomson et al. [227]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292,000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1.75%</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 [228]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301,050-299,470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*J.Thomson/Searle [229]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299,600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*Pellat [230]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300,920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*Abraham [231]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299,130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299,470-298,980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*Hurmuzescu [232]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300,100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*Perot/Fabry [233]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299,730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Webster [234]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302,590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Lodge/Glazebrook [235]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4/100</w:t>
            </w:r>
          </w:p>
        </w:tc>
      </w:tr>
      <w:tr w:rsidR="00821A88" w:rsidRPr="007F536A" w:rsidTr="005572DA">
        <w:trPr>
          <w:trHeight w:val="336"/>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1906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*Rosa/Dorsey [236]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299,803</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30 km/s</w:t>
            </w:r>
          </w:p>
        </w:tc>
      </w:tr>
    </w:tbl>
    <w:p w:rsidR="00821A88" w:rsidRPr="007F536A" w:rsidRDefault="00821A88" w:rsidP="00821A88">
      <w:pPr>
        <w:pStyle w:val="NoSpacing"/>
        <w:jc w:val="both"/>
        <w:rPr>
          <w:rFonts w:ascii="Book Antiqua" w:hAnsi="Book Antiqua"/>
          <w:sz w:val="20"/>
        </w:rPr>
      </w:pPr>
    </w:p>
    <w:p w:rsidR="008A3A7A" w:rsidRPr="007F536A" w:rsidRDefault="00223817" w:rsidP="008A3A7A">
      <w:pPr>
        <w:pStyle w:val="NoSpacing"/>
        <w:ind w:firstLine="360"/>
        <w:jc w:val="both"/>
        <w:rPr>
          <w:rFonts w:ascii="Book Antiqua" w:hAnsi="Book Antiqua"/>
          <w:sz w:val="20"/>
        </w:rPr>
      </w:pPr>
      <w:r>
        <w:rPr>
          <w:rFonts w:ascii="Book Antiqua" w:hAnsi="Book Antiqua"/>
          <w:sz w:val="20"/>
        </w:rPr>
        <w:lastRenderedPageBreak/>
        <w:t>After</w:t>
      </w:r>
      <w:r w:rsidR="008A3A7A" w:rsidRPr="007F536A">
        <w:rPr>
          <w:rFonts w:ascii="Book Antiqua" w:hAnsi="Book Antiqua"/>
          <w:sz w:val="20"/>
        </w:rPr>
        <w:t xml:space="preserve"> a lengthy treatment of the esu/emu ratio experiments, Abraham concluded that the values marked with an asterisk </w:t>
      </w:r>
      <w:r w:rsidR="00976B9A">
        <w:rPr>
          <w:rFonts w:ascii="Book Antiqua" w:hAnsi="Book Antiqua"/>
          <w:sz w:val="20"/>
        </w:rPr>
        <w:t xml:space="preserve">in Table 15 </w:t>
      </w:r>
      <w:r w:rsidR="008A3A7A" w:rsidRPr="007F536A">
        <w:rPr>
          <w:rFonts w:ascii="Book Antiqua" w:hAnsi="Book Antiqua"/>
          <w:sz w:val="20"/>
        </w:rPr>
        <w:t xml:space="preserve">were the most accurate [209]. The errors of these eight experiments vary up to about 0.5%. Nevertheless, they show a decay trend of about 24 Km/s per year, with a mean value for the speed of light which is about 189 Km/s above </w:t>
      </w:r>
      <m:oMath>
        <m:r>
          <w:rPr>
            <w:rFonts w:ascii="Cambria Math" w:hAnsi="Cambria Math"/>
            <w:sz w:val="20"/>
          </w:rPr>
          <m:t>c</m:t>
        </m:r>
      </m:oMath>
      <w:r w:rsidR="008A3A7A" w:rsidRPr="007F536A">
        <w:rPr>
          <w:rFonts w:ascii="Book Antiqua" w:hAnsi="Book Antiqua"/>
          <w:sz w:val="20"/>
        </w:rPr>
        <w:t xml:space="preserve"> now. For the waves on wires experiments listed in Table 1</w:t>
      </w:r>
      <w:r w:rsidR="008A3A7A">
        <w:rPr>
          <w:rFonts w:ascii="Book Antiqua" w:hAnsi="Book Antiqua"/>
          <w:sz w:val="20"/>
        </w:rPr>
        <w:t>6</w:t>
      </w:r>
      <w:r w:rsidR="008A3A7A" w:rsidRPr="007F536A">
        <w:rPr>
          <w:rFonts w:ascii="Book Antiqua" w:hAnsi="Book Antiqua"/>
          <w:sz w:val="20"/>
        </w:rPr>
        <w:t xml:space="preserve"> a decay trend of 7.47 Km/s per year is exhibited. </w:t>
      </w:r>
      <w:r w:rsidR="00976B9A">
        <w:rPr>
          <w:rFonts w:ascii="Book Antiqua" w:hAnsi="Book Antiqua"/>
          <w:sz w:val="20"/>
        </w:rPr>
        <w:t>T</w:t>
      </w:r>
      <w:r w:rsidR="008A3A7A" w:rsidRPr="007F536A">
        <w:rPr>
          <w:rFonts w:ascii="Book Antiqua" w:hAnsi="Book Antiqua"/>
          <w:sz w:val="20"/>
        </w:rPr>
        <w:t xml:space="preserve">he column labeled </w:t>
      </w:r>
      <w:r w:rsidR="00976B9A">
        <w:rPr>
          <w:rFonts w:ascii="Book Antiqua" w:hAnsi="Book Antiqua"/>
          <w:sz w:val="20"/>
        </w:rPr>
        <w:t>‘</w:t>
      </w:r>
      <w:r w:rsidR="008A3A7A" w:rsidRPr="007F536A">
        <w:rPr>
          <w:rFonts w:ascii="Book Antiqua" w:hAnsi="Book Antiqua"/>
          <w:sz w:val="20"/>
        </w:rPr>
        <w:t>No.</w:t>
      </w:r>
      <w:r w:rsidR="00976B9A">
        <w:rPr>
          <w:rFonts w:ascii="Book Antiqua" w:hAnsi="Book Antiqua"/>
          <w:sz w:val="20"/>
        </w:rPr>
        <w:t>’</w:t>
      </w:r>
      <w:r w:rsidR="008A3A7A" w:rsidRPr="007F536A">
        <w:rPr>
          <w:rFonts w:ascii="Book Antiqua" w:hAnsi="Book Antiqua"/>
          <w:sz w:val="20"/>
        </w:rPr>
        <w:t xml:space="preserve"> </w:t>
      </w:r>
      <w:r w:rsidR="00976B9A">
        <w:rPr>
          <w:rFonts w:ascii="Book Antiqua" w:hAnsi="Book Antiqua"/>
          <w:sz w:val="20"/>
        </w:rPr>
        <w:t>gives</w:t>
      </w:r>
      <w:r w:rsidR="008A3A7A" w:rsidRPr="007F536A">
        <w:rPr>
          <w:rFonts w:ascii="Book Antiqua" w:hAnsi="Book Antiqua"/>
          <w:sz w:val="20"/>
        </w:rPr>
        <w:t xml:space="preserve"> the number of experiments done to achieve the listed result.</w:t>
      </w:r>
    </w:p>
    <w:p w:rsidR="00821A88" w:rsidRPr="00697854" w:rsidRDefault="00821A88" w:rsidP="005572DA">
      <w:pPr>
        <w:pStyle w:val="NormalWeb"/>
        <w:jc w:val="center"/>
        <w:rPr>
          <w:rFonts w:ascii="Book Antiqua" w:hAnsi="Book Antiqua"/>
          <w:b/>
          <w:i/>
          <w:sz w:val="18"/>
          <w:szCs w:val="18"/>
        </w:rPr>
      </w:pPr>
      <w:r w:rsidRPr="00697854">
        <w:rPr>
          <w:rFonts w:ascii="Book Antiqua" w:hAnsi="Book Antiqua"/>
          <w:b/>
          <w:sz w:val="18"/>
          <w:szCs w:val="18"/>
        </w:rPr>
        <w:t>Table 16:</w:t>
      </w:r>
      <w:r w:rsidRPr="00697854">
        <w:rPr>
          <w:rFonts w:ascii="Book Antiqua" w:hAnsi="Book Antiqua"/>
          <w:b/>
          <w:i/>
          <w:sz w:val="18"/>
          <w:szCs w:val="18"/>
        </w:rPr>
        <w:t xml:space="preserve"> Light-Speed Values by Waves on Wires Method [209].</w:t>
      </w:r>
    </w:p>
    <w:tbl>
      <w:tblPr>
        <w:tblStyle w:val="TableGrid"/>
        <w:tblW w:w="0" w:type="auto"/>
        <w:jc w:val="center"/>
        <w:tblLayout w:type="fixed"/>
        <w:tblLook w:val="04A0"/>
      </w:tblPr>
      <w:tblGrid>
        <w:gridCol w:w="714"/>
        <w:gridCol w:w="2340"/>
        <w:gridCol w:w="720"/>
        <w:gridCol w:w="1056"/>
        <w:gridCol w:w="1998"/>
      </w:tblGrid>
      <w:tr w:rsidR="00821A88" w:rsidRPr="007F536A" w:rsidTr="005572DA">
        <w:trPr>
          <w:trHeight w:val="297"/>
          <w:jc w:val="center"/>
        </w:trPr>
        <w:tc>
          <w:tcPr>
            <w:tcW w:w="714"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Date</w:t>
            </w:r>
          </w:p>
        </w:tc>
        <w:tc>
          <w:tcPr>
            <w:tcW w:w="2340"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Experimenter</w:t>
            </w:r>
          </w:p>
        </w:tc>
        <w:tc>
          <w:tcPr>
            <w:tcW w:w="720"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No.</w:t>
            </w:r>
          </w:p>
        </w:tc>
        <w:tc>
          <w:tcPr>
            <w:tcW w:w="1056"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c km/s</w:t>
            </w:r>
          </w:p>
        </w:tc>
        <w:tc>
          <w:tcPr>
            <w:tcW w:w="1998"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Range km/s</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1891</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Blondlot [237]</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12</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302,200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312,300-295,500</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1893</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Blondlot [238]</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8</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297,200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302,900-292,100</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1895</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Trowbridge/Duane [239]</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7</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300,300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303,600-292,300</w:t>
            </w:r>
          </w:p>
        </w:tc>
      </w:tr>
      <w:tr w:rsidR="00821A88" w:rsidRPr="007F536A" w:rsidTr="005572DA">
        <w:trPr>
          <w:trHeight w:val="260"/>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1897</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Saunders [240]</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6</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299,700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299,900-293,400</w:t>
            </w:r>
          </w:p>
        </w:tc>
      </w:tr>
      <w:tr w:rsidR="00821A88" w:rsidRPr="007F536A" w:rsidTr="005572DA">
        <w:trPr>
          <w:trHeight w:val="260"/>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1899</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MacLean [241]</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299,100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Free space value</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1923</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Mercier [242]</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5 sets</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299,795</w:t>
            </w:r>
          </w:p>
        </w:tc>
        <w:tc>
          <w:tcPr>
            <w:tcW w:w="1998" w:type="dxa"/>
          </w:tcPr>
          <w:p w:rsidR="00821A88" w:rsidRPr="005572DA" w:rsidRDefault="005572DA" w:rsidP="00400B4E">
            <w:pPr>
              <w:pStyle w:val="NormalWeb"/>
              <w:jc w:val="both"/>
              <w:rPr>
                <w:rFonts w:ascii="Book Antiqua" w:hAnsi="Book Antiqua"/>
                <w:b/>
                <w:sz w:val="18"/>
                <w:szCs w:val="18"/>
              </w:rPr>
            </w:pPr>
            <m:oMath>
              <m:r>
                <m:rPr>
                  <m:sty m:val="bi"/>
                </m:rPr>
                <w:rPr>
                  <w:rFonts w:ascii="Cambria Math" w:hAnsi="Cambria Math"/>
                  <w:sz w:val="18"/>
                  <w:szCs w:val="18"/>
                </w:rPr>
                <m:t>±</m:t>
              </m:r>
            </m:oMath>
            <w:r w:rsidR="00821A88" w:rsidRPr="005572DA">
              <w:rPr>
                <w:rFonts w:ascii="Book Antiqua" w:hAnsi="Book Antiqua"/>
                <w:b/>
                <w:sz w:val="18"/>
                <w:szCs w:val="18"/>
              </w:rPr>
              <w:t>30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rmalWeb"/>
        <w:ind w:firstLine="360"/>
        <w:jc w:val="both"/>
        <w:rPr>
          <w:rFonts w:ascii="Book Antiqua" w:hAnsi="Book Antiqua"/>
          <w:sz w:val="20"/>
          <w:szCs w:val="20"/>
        </w:rPr>
      </w:pPr>
      <w:r w:rsidRPr="007F536A">
        <w:rPr>
          <w:rFonts w:ascii="Book Antiqua" w:hAnsi="Book Antiqua"/>
          <w:sz w:val="20"/>
          <w:szCs w:val="20"/>
        </w:rPr>
        <w:t>The two exceptions to the generally low precision of these experiments are the Rosa/Dorsey value from the ratio of electrostatic to electromagnetic units, and that of Mercier from the waves on wires. Both of these values have been reassessed [210]: the first with the best value for the unit of resistance and air humidity (see also Florman [211]), the second for atmospheric conditions</w:t>
      </w:r>
      <w:r w:rsidR="00976B9A">
        <w:rPr>
          <w:rFonts w:ascii="Book Antiqua" w:hAnsi="Book Antiqua"/>
          <w:sz w:val="20"/>
          <w:szCs w:val="20"/>
        </w:rPr>
        <w:t>.</w:t>
      </w:r>
      <w:r w:rsidRPr="007F536A">
        <w:rPr>
          <w:rFonts w:ascii="Book Antiqua" w:hAnsi="Book Antiqua"/>
          <w:sz w:val="20"/>
          <w:szCs w:val="20"/>
        </w:rPr>
        <w:t xml:space="preserve"> </w:t>
      </w:r>
      <w:r w:rsidR="00976B9A">
        <w:rPr>
          <w:rFonts w:ascii="Book Antiqua" w:hAnsi="Book Antiqua"/>
          <w:sz w:val="20"/>
          <w:szCs w:val="20"/>
        </w:rPr>
        <w:t>Thus</w:t>
      </w:r>
      <w:r w:rsidRPr="007F536A">
        <w:rPr>
          <w:rFonts w:ascii="Book Antiqua" w:hAnsi="Book Antiqua"/>
          <w:sz w:val="20"/>
          <w:szCs w:val="20"/>
        </w:rPr>
        <w:t xml:space="preserve"> the value in Table 16 is in vacuo. Froome and Essen [212] also point out that these experiments were the only ones by those two methods that were </w:t>
      </w:r>
      <w:r w:rsidRPr="007F536A">
        <w:rPr>
          <w:rFonts w:ascii="Book Antiqua" w:hAnsi="Book Antiqua"/>
          <w:i/>
          <w:sz w:val="20"/>
          <w:szCs w:val="20"/>
        </w:rPr>
        <w:t>“as accurate as the direct measurements of the speed of light at that time...”.</w:t>
      </w:r>
      <w:r w:rsidRPr="007F536A">
        <w:rPr>
          <w:rFonts w:ascii="Book Antiqua" w:hAnsi="Book Antiqua"/>
          <w:sz w:val="20"/>
          <w:szCs w:val="20"/>
        </w:rPr>
        <w:t xml:space="preserve"> Accordingly, these two values alone from the data in Tables 15 and 16 have been included in the final data set in Table 17. A graph of c values with errors &lt; 0.1% from reference [243], with aberration values uncorrected, is given in Figure 34. A graph of all Table 17 values, </w:t>
      </w:r>
      <w:r w:rsidR="00976B9A">
        <w:rPr>
          <w:rFonts w:ascii="Book Antiqua" w:hAnsi="Book Antiqua"/>
          <w:sz w:val="20"/>
          <w:szCs w:val="20"/>
        </w:rPr>
        <w:t xml:space="preserve">in </w:t>
      </w:r>
      <w:r w:rsidRPr="007F536A">
        <w:rPr>
          <w:rFonts w:ascii="Book Antiqua" w:hAnsi="Book Antiqua"/>
          <w:sz w:val="20"/>
          <w:szCs w:val="20"/>
        </w:rPr>
        <w:t xml:space="preserve">which the aberration values </w:t>
      </w:r>
      <w:r w:rsidR="00976B9A">
        <w:rPr>
          <w:rFonts w:ascii="Book Antiqua" w:hAnsi="Book Antiqua"/>
          <w:sz w:val="20"/>
          <w:szCs w:val="20"/>
        </w:rPr>
        <w:t xml:space="preserve">are </w:t>
      </w:r>
      <w:r w:rsidRPr="007F536A">
        <w:rPr>
          <w:rFonts w:ascii="Book Antiqua" w:hAnsi="Book Antiqua"/>
          <w:sz w:val="20"/>
          <w:szCs w:val="20"/>
        </w:rPr>
        <w:t>corrected, appears in Figure 35.</w:t>
      </w:r>
    </w:p>
    <w:p w:rsidR="00821A88" w:rsidRPr="007F536A" w:rsidRDefault="00821A88" w:rsidP="00697854">
      <w:pPr>
        <w:pStyle w:val="NormalWeb"/>
        <w:jc w:val="center"/>
        <w:rPr>
          <w:rFonts w:ascii="Book Antiqua" w:hAnsi="Book Antiqua"/>
          <w:sz w:val="20"/>
          <w:szCs w:val="20"/>
        </w:rPr>
      </w:pPr>
      <w:r w:rsidRPr="007F536A">
        <w:rPr>
          <w:rFonts w:ascii="Book Antiqua" w:hAnsi="Book Antiqua"/>
          <w:noProof/>
          <w:sz w:val="20"/>
          <w:szCs w:val="20"/>
        </w:rPr>
        <w:drawing>
          <wp:inline distT="0" distB="0" distL="0" distR="0">
            <wp:extent cx="5298302" cy="3096665"/>
            <wp:effectExtent l="19050" t="0" r="0" b="0"/>
            <wp:docPr id="1517"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5" cstate="print">
                      <a:lum contrast="20000"/>
                    </a:blip>
                    <a:srcRect t="10841" b="7743"/>
                    <a:stretch>
                      <a:fillRect/>
                    </a:stretch>
                  </pic:blipFill>
                  <pic:spPr bwMode="auto">
                    <a:xfrm>
                      <a:off x="0" y="0"/>
                      <a:ext cx="5317505" cy="3107888"/>
                    </a:xfrm>
                    <a:prstGeom prst="rect">
                      <a:avLst/>
                    </a:prstGeom>
                    <a:noFill/>
                    <a:ln w="9525">
                      <a:noFill/>
                      <a:miter lim="800000"/>
                      <a:headEnd/>
                      <a:tailEnd/>
                    </a:ln>
                  </pic:spPr>
                </pic:pic>
              </a:graphicData>
            </a:graphic>
          </wp:inline>
        </w:drawing>
      </w:r>
    </w:p>
    <w:p w:rsidR="00821A88" w:rsidRPr="00E8355F" w:rsidRDefault="00821A88" w:rsidP="005572DA">
      <w:pPr>
        <w:pStyle w:val="NormalWeb"/>
        <w:jc w:val="center"/>
        <w:rPr>
          <w:rFonts w:ascii="Book Antiqua" w:hAnsi="Book Antiqua"/>
          <w:i/>
          <w:sz w:val="18"/>
          <w:szCs w:val="18"/>
        </w:rPr>
      </w:pPr>
      <w:r w:rsidRPr="00E8355F">
        <w:rPr>
          <w:rFonts w:ascii="Book Antiqua" w:hAnsi="Book Antiqua"/>
          <w:b/>
          <w:i/>
          <w:sz w:val="18"/>
          <w:szCs w:val="18"/>
        </w:rPr>
        <w:t>Figure 34:</w:t>
      </w:r>
      <w:r w:rsidRPr="00E8355F">
        <w:rPr>
          <w:rFonts w:ascii="Book Antiqua" w:hAnsi="Book Antiqua"/>
          <w:i/>
          <w:sz w:val="18"/>
          <w:szCs w:val="18"/>
        </w:rPr>
        <w:t xml:space="preserve"> c-data from [243]</w:t>
      </w:r>
      <w:r w:rsidR="00E6334E" w:rsidRPr="00E8355F">
        <w:rPr>
          <w:rFonts w:ascii="Book Antiqua" w:hAnsi="Book Antiqua"/>
          <w:i/>
          <w:sz w:val="18"/>
          <w:szCs w:val="18"/>
        </w:rPr>
        <w:t xml:space="preserve"> with</w:t>
      </w:r>
      <w:r w:rsidRPr="00E8355F">
        <w:rPr>
          <w:rFonts w:ascii="Book Antiqua" w:hAnsi="Book Antiqua"/>
          <w:i/>
          <w:sz w:val="18"/>
          <w:szCs w:val="18"/>
        </w:rPr>
        <w:t xml:space="preserve"> errors less than 0.1% (aberration uncorrected).</w:t>
      </w:r>
    </w:p>
    <w:p w:rsidR="00821A88" w:rsidRPr="007F536A" w:rsidRDefault="00821A88" w:rsidP="00C12038">
      <w:pPr>
        <w:pStyle w:val="NormalWeb"/>
        <w:jc w:val="center"/>
        <w:rPr>
          <w:rFonts w:ascii="Book Antiqua" w:hAnsi="Book Antiqua"/>
          <w:sz w:val="20"/>
          <w:szCs w:val="20"/>
        </w:rPr>
      </w:pPr>
      <w:r w:rsidRPr="007F536A">
        <w:rPr>
          <w:rFonts w:ascii="Book Antiqua" w:hAnsi="Book Antiqua"/>
          <w:noProof/>
          <w:sz w:val="20"/>
          <w:szCs w:val="20"/>
        </w:rPr>
        <w:lastRenderedPageBreak/>
        <w:drawing>
          <wp:inline distT="0" distB="0" distL="0" distR="0">
            <wp:extent cx="5934075" cy="3771900"/>
            <wp:effectExtent l="19050" t="0" r="9525" b="0"/>
            <wp:docPr id="151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821A88" w:rsidRDefault="00821A88" w:rsidP="005572DA">
      <w:pPr>
        <w:pStyle w:val="NormalWeb"/>
        <w:jc w:val="center"/>
        <w:rPr>
          <w:rFonts w:ascii="Book Antiqua" w:hAnsi="Book Antiqua"/>
          <w:i/>
          <w:sz w:val="18"/>
          <w:szCs w:val="18"/>
        </w:rPr>
      </w:pPr>
      <w:r w:rsidRPr="00E8355F">
        <w:rPr>
          <w:rFonts w:ascii="Book Antiqua" w:hAnsi="Book Antiqua"/>
          <w:b/>
          <w:i/>
          <w:sz w:val="18"/>
          <w:szCs w:val="18"/>
        </w:rPr>
        <w:t>Figure 35:</w:t>
      </w:r>
      <w:r w:rsidRPr="00E8355F">
        <w:rPr>
          <w:rFonts w:ascii="Book Antiqua" w:hAnsi="Book Antiqua"/>
          <w:i/>
          <w:sz w:val="18"/>
          <w:szCs w:val="18"/>
        </w:rPr>
        <w:t xml:space="preserve"> Plot of all light-speed data from Table 17 (aberration corrected).</w:t>
      </w:r>
    </w:p>
    <w:p w:rsidR="00976B9A" w:rsidRPr="007F536A" w:rsidRDefault="00976B9A" w:rsidP="00976B9A">
      <w:pPr>
        <w:pStyle w:val="NoSpacing"/>
        <w:ind w:firstLine="720"/>
        <w:jc w:val="both"/>
        <w:rPr>
          <w:rFonts w:ascii="Book Antiqua" w:hAnsi="Book Antiqua"/>
          <w:sz w:val="20"/>
        </w:rPr>
      </w:pPr>
      <w:r w:rsidRPr="007F536A">
        <w:rPr>
          <w:rFonts w:ascii="Book Antiqua" w:hAnsi="Book Antiqua"/>
          <w:sz w:val="20"/>
        </w:rPr>
        <w:t>In Table 17,</w:t>
      </w:r>
      <w:r>
        <w:rPr>
          <w:rFonts w:ascii="Book Antiqua" w:hAnsi="Book Antiqua"/>
          <w:sz w:val="20"/>
        </w:rPr>
        <w:t xml:space="preserve"> following, </w:t>
      </w:r>
      <w:r w:rsidRPr="007F536A">
        <w:rPr>
          <w:rFonts w:ascii="Book Antiqua" w:hAnsi="Book Antiqua"/>
          <w:sz w:val="20"/>
        </w:rPr>
        <w:t>the last two columns are labeled T and M respectively. T stands for Table, and the number appearing in that column against a given date and name is the Table in this chapter in which the item occurs. The M stands for Method by which the value of light-speed was determined. The letters in that column give the 17 different ways the measurements were made. They are as follows:</w:t>
      </w:r>
    </w:p>
    <w:p w:rsidR="00976B9A" w:rsidRPr="007F536A" w:rsidRDefault="00976B9A" w:rsidP="00976B9A">
      <w:pPr>
        <w:pStyle w:val="NoSpacing"/>
        <w:jc w:val="both"/>
        <w:rPr>
          <w:rFonts w:ascii="Book Antiqua" w:hAnsi="Book Antiqua"/>
          <w:sz w:val="20"/>
        </w:rPr>
      </w:pP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A</w:t>
      </w:r>
      <w:r w:rsidRPr="007F536A">
        <w:rPr>
          <w:rFonts w:ascii="Book Antiqua" w:hAnsi="Book Antiqua"/>
          <w:sz w:val="20"/>
        </w:rPr>
        <w:t xml:space="preserve"> = </w:t>
      </w:r>
      <w:r w:rsidRPr="007F536A">
        <w:rPr>
          <w:rFonts w:ascii="Book Antiqua" w:hAnsi="Book Antiqua"/>
          <w:i/>
          <w:sz w:val="20"/>
        </w:rPr>
        <w:t>Aberration</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CR</w:t>
      </w:r>
      <w:r w:rsidRPr="007F536A">
        <w:rPr>
          <w:rFonts w:ascii="Book Antiqua" w:hAnsi="Book Antiqua"/>
          <w:sz w:val="20"/>
        </w:rPr>
        <w:t xml:space="preserve"> = </w:t>
      </w:r>
      <w:r w:rsidRPr="007F536A">
        <w:rPr>
          <w:rFonts w:ascii="Book Antiqua" w:hAnsi="Book Antiqua"/>
          <w:i/>
          <w:sz w:val="20"/>
        </w:rPr>
        <w:t>Cavity Resonator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E</w:t>
      </w:r>
      <w:r w:rsidRPr="007F536A">
        <w:rPr>
          <w:rFonts w:ascii="Book Antiqua" w:hAnsi="Book Antiqua"/>
          <w:sz w:val="20"/>
        </w:rPr>
        <w:t xml:space="preserve"> = </w:t>
      </w:r>
      <w:r w:rsidRPr="007F536A">
        <w:rPr>
          <w:rFonts w:ascii="Book Antiqua" w:hAnsi="Book Antiqua"/>
          <w:i/>
          <w:sz w:val="20"/>
        </w:rPr>
        <w:t>Ratio of ESU/EMU</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G</w:t>
      </w:r>
      <w:r w:rsidRPr="007F536A">
        <w:rPr>
          <w:rFonts w:ascii="Book Antiqua" w:hAnsi="Book Antiqua"/>
          <w:sz w:val="20"/>
        </w:rPr>
        <w:t xml:space="preserve"> = </w:t>
      </w:r>
      <w:r w:rsidRPr="007F536A">
        <w:rPr>
          <w:rFonts w:ascii="Book Antiqua" w:hAnsi="Book Antiqua"/>
          <w:i/>
          <w:sz w:val="20"/>
        </w:rPr>
        <w:t>Geodimeter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J</w:t>
      </w:r>
      <w:r w:rsidRPr="007F536A">
        <w:rPr>
          <w:rFonts w:ascii="Book Antiqua" w:hAnsi="Book Antiqua"/>
          <w:sz w:val="20"/>
        </w:rPr>
        <w:t xml:space="preserve"> = </w:t>
      </w:r>
      <w:r w:rsidRPr="007F536A">
        <w:rPr>
          <w:rFonts w:ascii="Book Antiqua" w:hAnsi="Book Antiqua"/>
          <w:i/>
          <w:sz w:val="20"/>
        </w:rPr>
        <w:t>Jupiter Satellite</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K</w:t>
      </w:r>
      <w:r w:rsidRPr="007F536A">
        <w:rPr>
          <w:rFonts w:ascii="Book Antiqua" w:hAnsi="Book Antiqua"/>
          <w:sz w:val="20"/>
        </w:rPr>
        <w:t xml:space="preserve"> = </w:t>
      </w:r>
      <w:r w:rsidRPr="007F536A">
        <w:rPr>
          <w:rFonts w:ascii="Book Antiqua" w:hAnsi="Book Antiqua"/>
          <w:i/>
          <w:sz w:val="20"/>
        </w:rPr>
        <w:t>Kerr Cell</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L</w:t>
      </w:r>
      <w:r w:rsidRPr="007F536A">
        <w:rPr>
          <w:rFonts w:ascii="Book Antiqua" w:hAnsi="Book Antiqua"/>
          <w:sz w:val="20"/>
        </w:rPr>
        <w:t xml:space="preserve"> = </w:t>
      </w:r>
      <w:r w:rsidRPr="007F536A">
        <w:rPr>
          <w:rFonts w:ascii="Book Antiqua" w:hAnsi="Book Antiqua"/>
          <w:i/>
          <w:sz w:val="20"/>
        </w:rPr>
        <w:t>Laser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 xml:space="preserve">MI </w:t>
      </w:r>
      <w:r w:rsidRPr="007F536A">
        <w:rPr>
          <w:rFonts w:ascii="Book Antiqua" w:hAnsi="Book Antiqua"/>
          <w:sz w:val="20"/>
        </w:rPr>
        <w:t xml:space="preserve">= </w:t>
      </w:r>
      <w:r w:rsidRPr="007F536A">
        <w:rPr>
          <w:rFonts w:ascii="Book Antiqua" w:hAnsi="Book Antiqua"/>
          <w:i/>
          <w:sz w:val="20"/>
        </w:rPr>
        <w:t>Microwave Interferometer</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ML</w:t>
      </w:r>
      <w:r w:rsidRPr="007F536A">
        <w:rPr>
          <w:rFonts w:ascii="Book Antiqua" w:hAnsi="Book Antiqua"/>
          <w:sz w:val="20"/>
        </w:rPr>
        <w:t xml:space="preserve"> = </w:t>
      </w:r>
      <w:r w:rsidRPr="007F536A">
        <w:rPr>
          <w:rFonts w:ascii="Book Antiqua" w:hAnsi="Book Antiqua"/>
          <w:i/>
          <w:sz w:val="20"/>
        </w:rPr>
        <w:t>Modulated Light</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P</w:t>
      </w:r>
      <w:r w:rsidRPr="007F536A">
        <w:rPr>
          <w:rFonts w:ascii="Book Antiqua" w:hAnsi="Book Antiqua"/>
          <w:sz w:val="20"/>
        </w:rPr>
        <w:t xml:space="preserve"> = </w:t>
      </w:r>
      <w:r w:rsidRPr="007F536A">
        <w:rPr>
          <w:rFonts w:ascii="Book Antiqua" w:hAnsi="Book Antiqua"/>
          <w:i/>
          <w:sz w:val="20"/>
        </w:rPr>
        <w:t>Polygonal Mirror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R</w:t>
      </w:r>
      <w:r w:rsidRPr="007F536A">
        <w:rPr>
          <w:rFonts w:ascii="Book Antiqua" w:hAnsi="Book Antiqua"/>
          <w:sz w:val="20"/>
        </w:rPr>
        <w:t xml:space="preserve"> = </w:t>
      </w:r>
      <w:r w:rsidRPr="007F536A">
        <w:rPr>
          <w:rFonts w:ascii="Book Antiqua" w:hAnsi="Book Antiqua"/>
          <w:i/>
          <w:sz w:val="20"/>
        </w:rPr>
        <w:t>Rotating Mirror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RD</w:t>
      </w:r>
      <w:r w:rsidRPr="007F536A">
        <w:rPr>
          <w:rFonts w:ascii="Book Antiqua" w:hAnsi="Book Antiqua"/>
          <w:sz w:val="20"/>
        </w:rPr>
        <w:t xml:space="preserve"> = </w:t>
      </w:r>
      <w:r w:rsidRPr="007F536A">
        <w:rPr>
          <w:rFonts w:ascii="Book Antiqua" w:hAnsi="Book Antiqua"/>
          <w:i/>
          <w:sz w:val="20"/>
        </w:rPr>
        <w:t>Radar</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RI</w:t>
      </w:r>
      <w:r w:rsidRPr="007F536A">
        <w:rPr>
          <w:rFonts w:ascii="Book Antiqua" w:hAnsi="Book Antiqua"/>
          <w:sz w:val="20"/>
        </w:rPr>
        <w:t xml:space="preserve"> = </w:t>
      </w:r>
      <w:r w:rsidRPr="007F536A">
        <w:rPr>
          <w:rFonts w:ascii="Book Antiqua" w:hAnsi="Book Antiqua"/>
          <w:i/>
          <w:sz w:val="20"/>
        </w:rPr>
        <w:t>Radio Interferometer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S</w:t>
      </w:r>
      <w:r w:rsidRPr="007F536A">
        <w:rPr>
          <w:rFonts w:ascii="Book Antiqua" w:hAnsi="Book Antiqua"/>
          <w:sz w:val="20"/>
        </w:rPr>
        <w:t xml:space="preserve"> = </w:t>
      </w:r>
      <w:r w:rsidRPr="007F536A">
        <w:rPr>
          <w:rFonts w:ascii="Book Antiqua" w:hAnsi="Book Antiqua"/>
          <w:i/>
          <w:sz w:val="20"/>
        </w:rPr>
        <w:t>Spectral Lines</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T</w:t>
      </w:r>
      <w:r w:rsidRPr="007F536A">
        <w:rPr>
          <w:rFonts w:ascii="Book Antiqua" w:hAnsi="Book Antiqua"/>
          <w:sz w:val="20"/>
        </w:rPr>
        <w:t xml:space="preserve"> = </w:t>
      </w:r>
      <w:r w:rsidRPr="007F536A">
        <w:rPr>
          <w:rFonts w:ascii="Book Antiqua" w:hAnsi="Book Antiqua"/>
          <w:i/>
          <w:sz w:val="20"/>
        </w:rPr>
        <w:t>Toothed Wheel</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TL</w:t>
      </w:r>
      <w:r w:rsidRPr="007F536A">
        <w:rPr>
          <w:rFonts w:ascii="Book Antiqua" w:hAnsi="Book Antiqua"/>
          <w:sz w:val="20"/>
        </w:rPr>
        <w:t xml:space="preserve"> = </w:t>
      </w:r>
      <w:r w:rsidRPr="007F536A">
        <w:rPr>
          <w:rFonts w:ascii="Book Antiqua" w:hAnsi="Book Antiqua"/>
          <w:i/>
          <w:sz w:val="20"/>
        </w:rPr>
        <w:t>Tellurometer</w:t>
      </w:r>
    </w:p>
    <w:p w:rsidR="00976B9A" w:rsidRDefault="00976B9A" w:rsidP="0085056E">
      <w:pPr>
        <w:pStyle w:val="NoSpacing"/>
        <w:ind w:left="4320"/>
        <w:jc w:val="both"/>
        <w:rPr>
          <w:rFonts w:ascii="Book Antiqua" w:hAnsi="Book Antiqua"/>
          <w:sz w:val="20"/>
        </w:rPr>
      </w:pPr>
      <w:r w:rsidRPr="007F536A">
        <w:rPr>
          <w:rFonts w:ascii="Book Antiqua" w:hAnsi="Book Antiqua"/>
          <w:b/>
          <w:sz w:val="20"/>
        </w:rPr>
        <w:t>W</w:t>
      </w:r>
      <w:r w:rsidRPr="007F536A">
        <w:rPr>
          <w:rFonts w:ascii="Book Antiqua" w:hAnsi="Book Antiqua"/>
          <w:sz w:val="20"/>
        </w:rPr>
        <w:t xml:space="preserve"> = </w:t>
      </w:r>
      <w:r w:rsidRPr="007F536A">
        <w:rPr>
          <w:rFonts w:ascii="Book Antiqua" w:hAnsi="Book Antiqua"/>
          <w:i/>
          <w:sz w:val="20"/>
        </w:rPr>
        <w:t>Waves on Wires</w:t>
      </w:r>
      <w:r w:rsidRPr="007F536A">
        <w:rPr>
          <w:rFonts w:ascii="Book Antiqua" w:hAnsi="Book Antiqua"/>
          <w:sz w:val="20"/>
        </w:rPr>
        <w:t>.</w:t>
      </w:r>
    </w:p>
    <w:p w:rsidR="005572DA" w:rsidRDefault="005572DA" w:rsidP="00976B9A">
      <w:pPr>
        <w:pStyle w:val="NoSpacing"/>
        <w:jc w:val="both"/>
        <w:rPr>
          <w:rFonts w:ascii="Book Antiqua" w:hAnsi="Book Antiqua"/>
          <w:sz w:val="20"/>
        </w:rPr>
      </w:pPr>
    </w:p>
    <w:p w:rsidR="005572DA" w:rsidRPr="007F536A" w:rsidRDefault="005572DA" w:rsidP="00976B9A">
      <w:pPr>
        <w:pStyle w:val="NoSpacing"/>
        <w:jc w:val="both"/>
        <w:rPr>
          <w:rFonts w:ascii="Book Antiqua" w:hAnsi="Book Antiqua"/>
          <w:sz w:val="20"/>
        </w:rPr>
      </w:pPr>
    </w:p>
    <w:p w:rsidR="00821A88" w:rsidRPr="00873247" w:rsidRDefault="00821A88" w:rsidP="005572DA">
      <w:pPr>
        <w:jc w:val="center"/>
        <w:rPr>
          <w:rFonts w:ascii="Book Antiqua" w:hAnsi="Book Antiqua"/>
          <w:b/>
          <w:i/>
          <w:sz w:val="18"/>
          <w:szCs w:val="18"/>
        </w:rPr>
      </w:pPr>
      <w:r w:rsidRPr="00873247">
        <w:rPr>
          <w:rFonts w:ascii="Book Antiqua" w:hAnsi="Book Antiqua"/>
          <w:b/>
          <w:sz w:val="18"/>
          <w:szCs w:val="18"/>
        </w:rPr>
        <w:lastRenderedPageBreak/>
        <w:t>Table 17:</w:t>
      </w:r>
      <w:r w:rsidRPr="00873247">
        <w:rPr>
          <w:rFonts w:ascii="Book Antiqua" w:hAnsi="Book Antiqua"/>
          <w:b/>
          <w:i/>
          <w:sz w:val="18"/>
          <w:szCs w:val="18"/>
        </w:rPr>
        <w:t xml:space="preserve"> Best Light-Speed Data (aberration results A corrected for systematic error. Table 7 has aberration results uncorrected).</w:t>
      </w:r>
    </w:p>
    <w:p w:rsidR="00821A88" w:rsidRPr="007F536A" w:rsidRDefault="00821A88" w:rsidP="00821A88">
      <w:pPr>
        <w:rPr>
          <w:rFonts w:ascii="Book Antiqua" w:hAnsi="Book Antiqua"/>
          <w:b/>
        </w:rPr>
      </w:pPr>
    </w:p>
    <w:tbl>
      <w:tblPr>
        <w:tblStyle w:val="TableGrid"/>
        <w:tblW w:w="0" w:type="auto"/>
        <w:jc w:val="center"/>
        <w:tblLayout w:type="fixed"/>
        <w:tblLook w:val="04A0"/>
      </w:tblPr>
      <w:tblGrid>
        <w:gridCol w:w="766"/>
        <w:gridCol w:w="2582"/>
        <w:gridCol w:w="2160"/>
        <w:gridCol w:w="630"/>
        <w:gridCol w:w="720"/>
      </w:tblGrid>
      <w:tr w:rsidR="00821A88" w:rsidRPr="007F536A" w:rsidTr="005572DA">
        <w:trPr>
          <w:trHeight w:val="224"/>
          <w:jc w:val="center"/>
        </w:trPr>
        <w:tc>
          <w:tcPr>
            <w:tcW w:w="766" w:type="dxa"/>
          </w:tcPr>
          <w:p w:rsidR="00821A88" w:rsidRPr="005572DA" w:rsidRDefault="00821A88" w:rsidP="00400B4E">
            <w:pPr>
              <w:rPr>
                <w:rFonts w:ascii="Book Antiqua" w:hAnsi="Book Antiqua"/>
                <w:b/>
                <w:i/>
              </w:rPr>
            </w:pPr>
            <w:r w:rsidRPr="005572DA">
              <w:rPr>
                <w:rFonts w:ascii="Book Antiqua" w:hAnsi="Book Antiqua"/>
                <w:b/>
                <w:i/>
              </w:rPr>
              <w:t>Date</w:t>
            </w:r>
          </w:p>
        </w:tc>
        <w:tc>
          <w:tcPr>
            <w:tcW w:w="2582" w:type="dxa"/>
          </w:tcPr>
          <w:p w:rsidR="00821A88" w:rsidRPr="005572DA" w:rsidRDefault="00821A88" w:rsidP="00400B4E">
            <w:pPr>
              <w:rPr>
                <w:rFonts w:ascii="Book Antiqua" w:hAnsi="Book Antiqua"/>
                <w:b/>
                <w:i/>
              </w:rPr>
            </w:pPr>
            <w:r w:rsidRPr="005572DA">
              <w:rPr>
                <w:rFonts w:ascii="Book Antiqua" w:hAnsi="Book Antiqua"/>
                <w:b/>
                <w:i/>
              </w:rPr>
              <w:t>Authority</w:t>
            </w:r>
          </w:p>
        </w:tc>
        <w:tc>
          <w:tcPr>
            <w:tcW w:w="2160" w:type="dxa"/>
          </w:tcPr>
          <w:p w:rsidR="00821A88" w:rsidRPr="005572DA" w:rsidRDefault="00821A88" w:rsidP="00400B4E">
            <w:pPr>
              <w:rPr>
                <w:rFonts w:ascii="Book Antiqua" w:hAnsi="Book Antiqua"/>
                <w:b/>
                <w:i/>
              </w:rPr>
            </w:pPr>
            <w:r w:rsidRPr="005572DA">
              <w:rPr>
                <w:rFonts w:ascii="Book Antiqua" w:hAnsi="Book Antiqua"/>
                <w:b/>
                <w:i/>
              </w:rPr>
              <w:t>c km/s</w:t>
            </w:r>
          </w:p>
        </w:tc>
        <w:tc>
          <w:tcPr>
            <w:tcW w:w="630" w:type="dxa"/>
          </w:tcPr>
          <w:p w:rsidR="00821A88" w:rsidRPr="005572DA" w:rsidRDefault="00821A88" w:rsidP="00400B4E">
            <w:pPr>
              <w:rPr>
                <w:rFonts w:ascii="Book Antiqua" w:hAnsi="Book Antiqua"/>
                <w:b/>
                <w:i/>
              </w:rPr>
            </w:pPr>
            <w:r w:rsidRPr="005572DA">
              <w:rPr>
                <w:rFonts w:ascii="Book Antiqua" w:hAnsi="Book Antiqua"/>
                <w:b/>
                <w:i/>
              </w:rPr>
              <w:t>T</w:t>
            </w:r>
          </w:p>
        </w:tc>
        <w:tc>
          <w:tcPr>
            <w:tcW w:w="720" w:type="dxa"/>
          </w:tcPr>
          <w:p w:rsidR="00821A88" w:rsidRPr="005572DA" w:rsidRDefault="00821A88" w:rsidP="00400B4E">
            <w:pPr>
              <w:rPr>
                <w:rFonts w:ascii="Book Antiqua" w:hAnsi="Book Antiqua"/>
                <w:b/>
                <w:i/>
              </w:rPr>
            </w:pPr>
            <w:r w:rsidRPr="005572DA">
              <w:rPr>
                <w:rFonts w:ascii="Book Antiqua" w:hAnsi="Book Antiqua"/>
                <w:b/>
                <w:i/>
              </w:rPr>
              <w:t>M</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(γ Draconis data)</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304,303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mean (Kew)</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303,668 </w:t>
            </w:r>
            <m:oMath>
              <m:r>
                <w:rPr>
                  <w:rFonts w:ascii="Cambria Math" w:hAnsi="Book Antiqua"/>
                  <w:sz w:val="18"/>
                  <w:szCs w:val="18"/>
                </w:rPr>
                <m:t xml:space="preserve"> </m:t>
              </m:r>
            </m:oMath>
            <w:r w:rsidRPr="005572DA">
              <w:rPr>
                <w:rFonts w:ascii="Book Antiqua" w:hAnsi="Book Antiqua"/>
                <w:sz w:val="18"/>
                <w:szCs w:val="18"/>
              </w:rPr>
              <w:t xml:space="preserve">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A </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(α Cassiopeiae)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301,438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1738.0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Delambre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303,320  ± </w:t>
            </w:r>
            <m:oMath>
              <m:r>
                <w:rPr>
                  <w:rFonts w:ascii="Cambria Math" w:hAnsi="Book Antiqua"/>
                  <w:sz w:val="18"/>
                  <w:szCs w:val="18"/>
                </w:rPr>
                <m:t xml:space="preserve"> 65</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(Mean of all Obs)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300,893  ± 75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Auwers (γ Draconis)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301,658 ± 110 </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1759.0 </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Martin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303,440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1770.0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Price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304,060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1771.0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Recommended value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302,220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1783.0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Lindenau</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300,703 </w:t>
            </w:r>
            <m:oMath>
              <m:r>
                <w:rPr>
                  <w:rFonts w:ascii="Cambria Math" w:hAnsi="Book Antiqua"/>
                  <w:sz w:val="18"/>
                  <w:szCs w:val="18"/>
                </w:rPr>
                <m:t>±</m:t>
              </m:r>
            </m:oMath>
            <w:r w:rsidRPr="005572DA">
              <w:rPr>
                <w:rFonts w:ascii="Book Antiqua" w:eastAsiaTheme="minorEastAsia" w:hAnsi="Book Antiqua"/>
                <w:sz w:val="18"/>
                <w:szCs w:val="18"/>
              </w:rPr>
              <w:t xml:space="preserve"> 155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Struve (definitive)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300,773 </w:t>
            </w:r>
            <m:oMath>
              <m:r>
                <w:rPr>
                  <w:rFonts w:ascii="Cambria Math" w:hAnsi="Book Antiqua"/>
                  <w:sz w:val="18"/>
                  <w:szCs w:val="18"/>
                </w:rPr>
                <m:t>±</m:t>
              </m:r>
            </m:oMath>
            <w:r w:rsidRPr="005572DA">
              <w:rPr>
                <w:rFonts w:ascii="Book Antiqua" w:eastAsiaTheme="minorEastAsia" w:hAnsi="Book Antiqua"/>
                <w:sz w:val="18"/>
                <w:szCs w:val="18"/>
              </w:rPr>
              <w:t xml:space="preserve"> 155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Folke (best 5 stars)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300,583 </w:t>
            </w:r>
            <m:oMath>
              <m:r>
                <w:rPr>
                  <w:rFonts w:ascii="Cambria Math" w:hAnsi="Book Antiqua"/>
                  <w:sz w:val="18"/>
                  <w:szCs w:val="18"/>
                </w:rPr>
                <m:t>±</m:t>
              </m:r>
              <m:r>
                <w:rPr>
                  <w:rFonts w:ascii="Cambria Math" w:hAnsi="Book Antiqua"/>
                  <w:sz w:val="18"/>
                  <w:szCs w:val="18"/>
                </w:rPr>
                <m:t xml:space="preserve"> 115</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Vaschilina-Struve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300,173 </w:t>
            </w:r>
            <m:oMath>
              <m:r>
                <w:rPr>
                  <w:rFonts w:ascii="Cambria Math" w:hAnsi="Book Antiqua"/>
                  <w:sz w:val="18"/>
                  <w:szCs w:val="18"/>
                </w:rPr>
                <m:t>±</m:t>
              </m:r>
              <m:r>
                <w:rPr>
                  <w:rFonts w:ascii="Cambria Math" w:hAnsi="Book Antiqua"/>
                  <w:sz w:val="18"/>
                  <w:szCs w:val="18"/>
                </w:rPr>
                <m:t xml:space="preserve"> 90</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1843.0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Lindhagen-Schweizer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1853.0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Struve (total update)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300,513 ± 250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1858.0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Nyren-Peters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300,043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1861.0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Glazenapp</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300,050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1864.5</w:t>
            </w:r>
          </w:p>
        </w:tc>
        <w:tc>
          <w:tcPr>
            <w:tcW w:w="2582"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Newcomb: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300,113 </w:t>
            </w:r>
            <w:r w:rsidRPr="005572DA">
              <w:rPr>
                <w:rFonts w:ascii="Book Antiqua" w:hAnsi="Book Antiqua"/>
                <w:sz w:val="18"/>
                <w:szCs w:val="18"/>
                <w:u w:val="single"/>
              </w:rPr>
              <w:t>+</w:t>
            </w:r>
            <w:r w:rsidRPr="005572DA">
              <w:rPr>
                <w:rFonts w:ascii="Book Antiqua" w:hAnsi="Book Antiqua"/>
                <w:sz w:val="18"/>
                <w:szCs w:val="18"/>
              </w:rPr>
              <w:t xml:space="preserve">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1868.0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Gylden–Nyren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300,483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1870.0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 – Wagner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300,223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299,823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1874.8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Cornu/Helmert</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299,990 ± 200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1874.8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Cornu/Dorsey</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299,900 ± 200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1877.0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Sampson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300,011 ± 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1877.0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Harvard</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299,921 ± 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299,910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299,723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1882.7</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Newcomb</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299,860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1882.8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 treated average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299,850 ± 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1884.0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Nyren </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300,083 </w:t>
            </w:r>
            <w:r w:rsidRPr="005572DA">
              <w:rPr>
                <w:rFonts w:ascii="Book Antiqua" w:hAnsi="Book Antiqua"/>
                <w:sz w:val="18"/>
                <w:szCs w:val="18"/>
                <w:u w:val="single"/>
              </w:rPr>
              <w:t>+</w:t>
            </w:r>
            <w:r w:rsidRPr="005572DA">
              <w:rPr>
                <w:rFonts w:ascii="Book Antiqua" w:hAnsi="Book Antiqua"/>
                <w:sz w:val="18"/>
                <w:szCs w:val="18"/>
              </w:rPr>
              <w:t xml:space="preserve"> 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Kustner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300,113 ± 260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Marcuse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300,113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300,703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Comstock</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300,803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Becker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Preston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300,993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Batterman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Marcuse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Chandler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1892.5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Becker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300,333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Davidson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300,263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1894.5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300,673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Rhys-Jacobi-Davis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Paris Conference value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300,413 </w:t>
            </w:r>
            <w:r w:rsidRPr="005572DA">
              <w:rPr>
                <w:rFonts w:ascii="Book Antiqua" w:hAnsi="Book Antiqua"/>
                <w:sz w:val="18"/>
                <w:szCs w:val="18"/>
                <w:u w:val="single"/>
              </w:rPr>
              <w:t>+</w:t>
            </w:r>
            <w:r w:rsidRPr="005572DA">
              <w:rPr>
                <w:rFonts w:ascii="Book Antiqua" w:hAnsi="Book Antiqua"/>
                <w:sz w:val="18"/>
                <w:szCs w:val="18"/>
              </w:rPr>
              <w:t xml:space="preserve">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Newcomb-Pulkovo</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300,073 </w:t>
            </w:r>
            <w:r w:rsidRPr="005572DA">
              <w:rPr>
                <w:rFonts w:ascii="Book Antiqua" w:hAnsi="Book Antiqua"/>
                <w:sz w:val="18"/>
                <w:szCs w:val="18"/>
                <w:u w:val="single"/>
              </w:rPr>
              <w:t>+</w:t>
            </w:r>
            <w:r w:rsidRPr="005572DA">
              <w:rPr>
                <w:rFonts w:ascii="Book Antiqua" w:hAnsi="Book Antiqua"/>
                <w:sz w:val="18"/>
                <w:szCs w:val="18"/>
              </w:rPr>
              <w:t xml:space="preserve">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Grachev-Kowalski</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300,393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Grachev (mean)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299,983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lastRenderedPageBreak/>
              <w:t>1900.4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299,900 ± 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299,723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1902.4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 (1902 analysis)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299,860 ± 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1902.4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Perrotin/Prim (final)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299,901 ± 84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1904.5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Ogburn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300,493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300,323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Bonsdorf</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299,953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Rosa/Dorsey</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299,803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15</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E</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Bonsdorf et.al.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299,893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299,913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Bayswater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Orlov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300,093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299,603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Semenov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299,703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299,653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Zemtsov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299,973 </w:t>
            </w:r>
            <w:r w:rsidRPr="005572DA">
              <w:rPr>
                <w:rFonts w:ascii="Book Antiqua" w:hAnsi="Book Antiqua"/>
                <w:sz w:val="18"/>
                <w:szCs w:val="18"/>
                <w:u w:val="single"/>
              </w:rPr>
              <w:t>+</w:t>
            </w:r>
            <w:r w:rsidRPr="005572DA">
              <w:rPr>
                <w:rFonts w:ascii="Book Antiqua" w:hAnsi="Book Antiqua"/>
                <w:sz w:val="18"/>
                <w:szCs w:val="18"/>
              </w:rPr>
              <w:t xml:space="preserve">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Semenov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1910.0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299,953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1914.0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Numerov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299,883 </w:t>
            </w:r>
            <w:r w:rsidRPr="005572DA">
              <w:rPr>
                <w:rFonts w:ascii="Book Antiqua" w:hAnsi="Book Antiqua"/>
                <w:sz w:val="18"/>
                <w:szCs w:val="18"/>
                <w:u w:val="single"/>
              </w:rPr>
              <w:t>+</w:t>
            </w:r>
            <w:r w:rsidRPr="005572DA">
              <w:rPr>
                <w:rFonts w:ascii="Book Antiqua" w:hAnsi="Book Antiqua"/>
                <w:sz w:val="18"/>
                <w:szCs w:val="18"/>
              </w:rPr>
              <w:t xml:space="preserve">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Tsimmerman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299,763 </w:t>
            </w:r>
            <w:r w:rsidRPr="005572DA">
              <w:rPr>
                <w:rFonts w:ascii="Book Antiqua" w:hAnsi="Book Antiqua"/>
                <w:sz w:val="18"/>
                <w:szCs w:val="18"/>
                <w:u w:val="single"/>
              </w:rPr>
              <w:t>+</w:t>
            </w:r>
            <w:r w:rsidRPr="005572DA">
              <w:rPr>
                <w:rFonts w:ascii="Book Antiqua" w:hAnsi="Book Antiqua"/>
                <w:sz w:val="18"/>
                <w:szCs w:val="18"/>
              </w:rPr>
              <w:t xml:space="preserve"> 75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1922.0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Kulikov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Mercier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299,795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16</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W</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1923.5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1924.6</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299,802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299,798 ± 15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Berg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299,913 </w:t>
            </w:r>
            <w:r w:rsidRPr="005572DA">
              <w:rPr>
                <w:rFonts w:ascii="Book Antiqua" w:hAnsi="Book Antiqua"/>
                <w:sz w:val="18"/>
                <w:szCs w:val="18"/>
                <w:u w:val="single"/>
              </w:rPr>
              <w:t>+</w:t>
            </w:r>
            <w:r w:rsidRPr="005572DA">
              <w:rPr>
                <w:rFonts w:ascii="Book Antiqua" w:hAnsi="Book Antiqua"/>
                <w:sz w:val="18"/>
                <w:szCs w:val="18"/>
              </w:rPr>
              <w:t xml:space="preserve">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300,090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Mittelstaedt</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299,786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1932.5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Pease/Pearson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299,774 ±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Sollenberger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300,420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Romanskaya</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299,813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1935.5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Rabe (gravitational)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299,920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1936.8</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Anderson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299,771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1937.0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Huttel</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299,771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1940.0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Anderson</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299,776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Gordon-Smith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299,798.0 </w:t>
            </w:r>
            <w:r w:rsidRPr="005572DA">
              <w:rPr>
                <w:rFonts w:ascii="Book Antiqua" w:hAnsi="Book Antiqua"/>
                <w:sz w:val="18"/>
                <w:szCs w:val="18"/>
                <w:u w:val="single"/>
              </w:rPr>
              <w:t>+</w:t>
            </w:r>
            <w:r w:rsidRPr="005572DA">
              <w:rPr>
                <w:rFonts w:ascii="Book Antiqua" w:hAnsi="Book Antiqua"/>
                <w:sz w:val="18"/>
                <w:szCs w:val="18"/>
              </w:rPr>
              <w:t xml:space="preserve"> 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Gordon-Smith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299,792.0 </w:t>
            </w:r>
            <w:r w:rsidRPr="005572DA">
              <w:rPr>
                <w:rFonts w:ascii="Book Antiqua" w:hAnsi="Book Antiqua"/>
                <w:sz w:val="18"/>
                <w:szCs w:val="18"/>
                <w:u w:val="single"/>
              </w:rPr>
              <w:t>+</w:t>
            </w:r>
            <w:r w:rsidRPr="005572DA">
              <w:rPr>
                <w:rFonts w:ascii="Book Antiqua" w:hAnsi="Book Antiqua"/>
                <w:sz w:val="18"/>
                <w:szCs w:val="18"/>
              </w:rPr>
              <w:t xml:space="preserve"> 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Aslakson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2.4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RD</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299,796.0 </w:t>
            </w:r>
            <w:r w:rsidRPr="005572DA">
              <w:rPr>
                <w:rFonts w:ascii="Book Antiqua" w:hAnsi="Book Antiqua"/>
                <w:sz w:val="18"/>
                <w:szCs w:val="18"/>
                <w:u w:val="single"/>
              </w:rPr>
              <w:t>+</w:t>
            </w:r>
            <w:r w:rsidRPr="005572DA">
              <w:rPr>
                <w:rFonts w:ascii="Book Antiqua" w:hAnsi="Book Antiqua"/>
                <w:sz w:val="18"/>
                <w:szCs w:val="18"/>
              </w:rPr>
              <w:t xml:space="preserve"> 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 </w:t>
            </w:r>
            <w:r w:rsidRPr="005572DA">
              <w:rPr>
                <w:rFonts w:ascii="Book Antiqua" w:hAnsi="Book Antiqua"/>
                <w:sz w:val="18"/>
                <w:szCs w:val="18"/>
                <w:u w:val="single"/>
              </w:rPr>
              <w:t>+</w:t>
            </w:r>
            <w:r w:rsidRPr="005572DA">
              <w:rPr>
                <w:rFonts w:ascii="Book Antiqua" w:hAnsi="Book Antiqua"/>
                <w:sz w:val="18"/>
                <w:szCs w:val="18"/>
              </w:rPr>
              <w:t xml:space="preserve"> 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Hansen and Bol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299,794.3 </w:t>
            </w:r>
            <w:r w:rsidRPr="005572DA">
              <w:rPr>
                <w:rFonts w:ascii="Book Antiqua" w:hAnsi="Book Antiqua"/>
                <w:sz w:val="18"/>
                <w:szCs w:val="18"/>
                <w:u w:val="single"/>
              </w:rPr>
              <w:t>+</w:t>
            </w:r>
            <w:r w:rsidRPr="005572DA">
              <w:rPr>
                <w:rFonts w:ascii="Book Antiqua" w:hAnsi="Book Antiqua"/>
                <w:sz w:val="18"/>
                <w:szCs w:val="18"/>
              </w:rPr>
              <w:t xml:space="preserve"> 1.2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299,793.1 </w:t>
            </w:r>
            <w:r w:rsidRPr="005572DA">
              <w:rPr>
                <w:rFonts w:ascii="Book Antiqua" w:hAnsi="Book Antiqua"/>
                <w:sz w:val="18"/>
                <w:szCs w:val="18"/>
                <w:u w:val="single"/>
              </w:rPr>
              <w:t>+</w:t>
            </w:r>
            <w:r w:rsidRPr="005572DA">
              <w:rPr>
                <w:rFonts w:ascii="Book Antiqua" w:hAnsi="Book Antiqua"/>
                <w:sz w:val="18"/>
                <w:szCs w:val="18"/>
              </w:rPr>
              <w:t xml:space="preserve"> 0.26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299,793.1 </w:t>
            </w:r>
            <w:r w:rsidRPr="005572DA">
              <w:rPr>
                <w:rFonts w:ascii="Book Antiqua" w:hAnsi="Book Antiqua"/>
                <w:sz w:val="18"/>
                <w:szCs w:val="18"/>
                <w:u w:val="single"/>
              </w:rPr>
              <w:t>+</w:t>
            </w:r>
            <w:r w:rsidRPr="005572DA">
              <w:rPr>
                <w:rFonts w:ascii="Book Antiqua" w:hAnsi="Book Antiqua"/>
                <w:sz w:val="18"/>
                <w:szCs w:val="18"/>
              </w:rPr>
              <w:t xml:space="preserve"> 0.4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Aslakson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299,794.2 </w:t>
            </w:r>
            <w:r w:rsidRPr="005572DA">
              <w:rPr>
                <w:rFonts w:ascii="Book Antiqua" w:hAnsi="Book Antiqua"/>
                <w:sz w:val="18"/>
                <w:szCs w:val="18"/>
                <w:u w:val="single"/>
              </w:rPr>
              <w:t>+</w:t>
            </w:r>
            <w:r w:rsidRPr="005572DA">
              <w:rPr>
                <w:rFonts w:ascii="Book Antiqua" w:hAnsi="Book Antiqua"/>
                <w:sz w:val="18"/>
                <w:szCs w:val="18"/>
              </w:rPr>
              <w:t xml:space="preserve"> 1.4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RD</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0.7</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(av. date)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299,792.85 </w:t>
            </w:r>
            <w:r w:rsidRPr="005572DA">
              <w:rPr>
                <w:rFonts w:ascii="Book Antiqua" w:hAnsi="Book Antiqua"/>
                <w:sz w:val="18"/>
                <w:szCs w:val="18"/>
                <w:u w:val="single"/>
              </w:rPr>
              <w:t>+</w:t>
            </w:r>
            <w:r w:rsidRPr="005572DA">
              <w:rPr>
                <w:rFonts w:ascii="Book Antiqua" w:hAnsi="Book Antiqua"/>
                <w:sz w:val="18"/>
                <w:szCs w:val="18"/>
              </w:rPr>
              <w:t xml:space="preserve"> 0.16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299,792.75 </w:t>
            </w:r>
            <w:r w:rsidRPr="005572DA">
              <w:rPr>
                <w:rFonts w:ascii="Book Antiqua" w:hAnsi="Book Antiqua"/>
                <w:sz w:val="18"/>
                <w:szCs w:val="18"/>
                <w:u w:val="single"/>
              </w:rPr>
              <w:t>+</w:t>
            </w:r>
            <w:r w:rsidRPr="005572DA">
              <w:rPr>
                <w:rFonts w:ascii="Book Antiqua" w:hAnsi="Book Antiqua"/>
                <w:sz w:val="18"/>
                <w:szCs w:val="18"/>
              </w:rPr>
              <w:t xml:space="preserve"> 0.3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lastRenderedPageBreak/>
              <w:t>1954.0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Florman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299,795.1 </w:t>
            </w:r>
            <w:r w:rsidRPr="005572DA">
              <w:rPr>
                <w:rFonts w:ascii="Book Antiqua" w:hAnsi="Book Antiqua"/>
                <w:sz w:val="18"/>
                <w:szCs w:val="18"/>
                <w:u w:val="single"/>
              </w:rPr>
              <w:t>+</w:t>
            </w:r>
            <w:r w:rsidRPr="005572DA">
              <w:rPr>
                <w:rFonts w:ascii="Book Antiqua" w:hAnsi="Book Antiqua"/>
                <w:sz w:val="18"/>
                <w:szCs w:val="18"/>
              </w:rPr>
              <w:t xml:space="preserve"> 3.1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1955.0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Scholdstrom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0.4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1955.0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Plyler, Blaine, Connor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299,792.0 </w:t>
            </w:r>
            <w:r w:rsidRPr="005572DA">
              <w:rPr>
                <w:rFonts w:ascii="Book Antiqua" w:hAnsi="Book Antiqua"/>
                <w:sz w:val="18"/>
                <w:szCs w:val="18"/>
                <w:u w:val="single"/>
              </w:rPr>
              <w:t>+</w:t>
            </w:r>
            <w:r w:rsidRPr="005572DA">
              <w:rPr>
                <w:rFonts w:ascii="Book Antiqua" w:hAnsi="Book Antiqua"/>
                <w:sz w:val="18"/>
                <w:szCs w:val="18"/>
              </w:rPr>
              <w:t xml:space="preserve"> 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Wadley</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299,792.9 </w:t>
            </w:r>
            <w:r w:rsidRPr="005572DA">
              <w:rPr>
                <w:rFonts w:ascii="Book Antiqua" w:hAnsi="Book Antiqua"/>
                <w:sz w:val="18"/>
                <w:szCs w:val="18"/>
                <w:u w:val="single"/>
              </w:rPr>
              <w:t>+</w:t>
            </w:r>
            <w:r w:rsidRPr="005572DA">
              <w:rPr>
                <w:rFonts w:ascii="Book Antiqua" w:hAnsi="Book Antiqua"/>
                <w:sz w:val="18"/>
                <w:szCs w:val="18"/>
              </w:rPr>
              <w:t xml:space="preserve"> 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1956.0   </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Wadley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299,792.7 </w:t>
            </w:r>
            <w:r w:rsidRPr="005572DA">
              <w:rPr>
                <w:rFonts w:ascii="Book Antiqua" w:hAnsi="Book Antiqua"/>
                <w:sz w:val="18"/>
                <w:szCs w:val="18"/>
                <w:u w:val="single"/>
              </w:rPr>
              <w:t>+</w:t>
            </w:r>
            <w:r w:rsidRPr="005572DA">
              <w:rPr>
                <w:rFonts w:ascii="Book Antiqua" w:hAnsi="Book Antiqua"/>
                <w:sz w:val="18"/>
                <w:szCs w:val="18"/>
              </w:rPr>
              <w:t xml:space="preserve"> 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Rank Bennett Bennett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299,791.9 </w:t>
            </w:r>
            <w:r w:rsidRPr="005572DA">
              <w:rPr>
                <w:rFonts w:ascii="Book Antiqua" w:hAnsi="Book Antiqua"/>
                <w:sz w:val="18"/>
                <w:szCs w:val="18"/>
                <w:u w:val="single"/>
              </w:rPr>
              <w:t>+</w:t>
            </w:r>
            <w:r w:rsidRPr="005572DA">
              <w:rPr>
                <w:rFonts w:ascii="Book Antiqua" w:hAnsi="Book Antiqua"/>
                <w:sz w:val="18"/>
                <w:szCs w:val="18"/>
              </w:rPr>
              <w:t xml:space="preserve"> 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Edge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Edge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299,792.2 </w:t>
            </w:r>
            <w:r w:rsidRPr="005572DA">
              <w:rPr>
                <w:rFonts w:ascii="Book Antiqua" w:hAnsi="Book Antiqua"/>
                <w:sz w:val="18"/>
                <w:szCs w:val="18"/>
                <w:u w:val="single"/>
              </w:rPr>
              <w:t>+</w:t>
            </w:r>
            <w:r w:rsidRPr="005572DA">
              <w:rPr>
                <w:rFonts w:ascii="Book Antiqua" w:hAnsi="Book Antiqua"/>
                <w:sz w:val="18"/>
                <w:szCs w:val="18"/>
              </w:rPr>
              <w:t xml:space="preserve"> 0.13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Wadley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1.2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1958.0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 </w:t>
            </w:r>
            <w:r w:rsidRPr="005572DA">
              <w:rPr>
                <w:rFonts w:ascii="Book Antiqua" w:hAnsi="Book Antiqua"/>
                <w:sz w:val="18"/>
                <w:szCs w:val="18"/>
                <w:u w:val="single"/>
              </w:rPr>
              <w:t>+</w:t>
            </w:r>
            <w:r w:rsidRPr="005572DA">
              <w:rPr>
                <w:rFonts w:ascii="Book Antiqua" w:hAnsi="Book Antiqua"/>
                <w:sz w:val="18"/>
                <w:szCs w:val="18"/>
              </w:rPr>
              <w:t xml:space="preserve"> 0.1 </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Kolibayev (av. date)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0.06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Karolus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299,792.44 </w:t>
            </w:r>
            <w:r w:rsidRPr="005572DA">
              <w:rPr>
                <w:rFonts w:ascii="Book Antiqua" w:hAnsi="Book Antiqua"/>
                <w:sz w:val="18"/>
                <w:szCs w:val="18"/>
                <w:u w:val="single"/>
              </w:rPr>
              <w:t>+</w:t>
            </w:r>
            <w:r w:rsidRPr="005572DA">
              <w:rPr>
                <w:rFonts w:ascii="Book Antiqua" w:hAnsi="Book Antiqua"/>
                <w:sz w:val="18"/>
                <w:szCs w:val="18"/>
              </w:rPr>
              <w:t xml:space="preserve"> 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Simkin et al.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299,792.56 </w:t>
            </w:r>
            <w:r w:rsidRPr="005572DA">
              <w:rPr>
                <w:rFonts w:ascii="Book Antiqua" w:hAnsi="Book Antiqua"/>
                <w:sz w:val="18"/>
                <w:szCs w:val="18"/>
                <w:u w:val="single"/>
              </w:rPr>
              <w:t>+</w:t>
            </w:r>
            <w:r w:rsidRPr="005572DA">
              <w:rPr>
                <w:rFonts w:ascii="Book Antiqua" w:hAnsi="Book Antiqua"/>
                <w:sz w:val="18"/>
                <w:szCs w:val="18"/>
              </w:rPr>
              <w:t xml:space="preserve"> 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MI</w:t>
            </w:r>
          </w:p>
        </w:tc>
      </w:tr>
      <w:tr w:rsidR="00821A88" w:rsidRPr="007F536A" w:rsidTr="005572DA">
        <w:trPr>
          <w:trHeight w:val="296"/>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Grosse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299,792.50 </w:t>
            </w:r>
            <w:r w:rsidRPr="005572DA">
              <w:rPr>
                <w:rFonts w:ascii="Book Antiqua" w:hAnsi="Book Antiqua"/>
                <w:sz w:val="18"/>
                <w:szCs w:val="18"/>
                <w:u w:val="single"/>
              </w:rPr>
              <w:t>+</w:t>
            </w:r>
            <w:r w:rsidRPr="005572DA">
              <w:rPr>
                <w:rFonts w:ascii="Book Antiqua" w:hAnsi="Book Antiqua"/>
                <w:sz w:val="18"/>
                <w:szCs w:val="18"/>
              </w:rPr>
              <w:t xml:space="preserve"> 0.05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1972.0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Bay/Luther/White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299,792.462 </w:t>
            </w:r>
            <w:r w:rsidRPr="005572DA">
              <w:rPr>
                <w:rFonts w:ascii="Book Antiqua" w:hAnsi="Book Antiqua"/>
                <w:sz w:val="18"/>
                <w:szCs w:val="18"/>
                <w:u w:val="single"/>
              </w:rPr>
              <w:t>+</w:t>
            </w:r>
            <w:r w:rsidRPr="005572DA">
              <w:rPr>
                <w:rFonts w:ascii="Book Antiqua" w:hAnsi="Book Antiqua"/>
                <w:sz w:val="18"/>
                <w:szCs w:val="18"/>
              </w:rPr>
              <w:t xml:space="preserve"> 0.018</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1972.0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NRC/NBS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299,792.460 </w:t>
            </w:r>
            <w:r w:rsidRPr="005572DA">
              <w:rPr>
                <w:rFonts w:ascii="Book Antiqua" w:hAnsi="Book Antiqua"/>
                <w:sz w:val="18"/>
                <w:szCs w:val="18"/>
                <w:u w:val="single"/>
              </w:rPr>
              <w:t>+</w:t>
            </w:r>
            <w:r w:rsidRPr="005572DA">
              <w:rPr>
                <w:rFonts w:ascii="Book Antiqua" w:hAnsi="Book Antiqua"/>
                <w:sz w:val="18"/>
                <w:szCs w:val="18"/>
              </w:rPr>
              <w:t xml:space="preserve"> 0.006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Evenson et al.</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299,792.4574 </w:t>
            </w:r>
            <w:r w:rsidRPr="005572DA">
              <w:rPr>
                <w:rFonts w:ascii="Book Antiqua" w:hAnsi="Book Antiqua"/>
                <w:sz w:val="18"/>
                <w:szCs w:val="18"/>
                <w:u w:val="single"/>
              </w:rPr>
              <w:t>+</w:t>
            </w:r>
            <w:r w:rsidRPr="005572DA">
              <w:rPr>
                <w:rFonts w:ascii="Book Antiqua" w:hAnsi="Book Antiqua"/>
                <w:sz w:val="18"/>
                <w:szCs w:val="18"/>
              </w:rPr>
              <w:t xml:space="preserve"> 0.0011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NRC/NBS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 </w:t>
            </w:r>
            <w:r w:rsidRPr="005572DA">
              <w:rPr>
                <w:rFonts w:ascii="Book Antiqua" w:hAnsi="Book Antiqua"/>
                <w:sz w:val="18"/>
                <w:szCs w:val="18"/>
                <w:u w:val="single"/>
              </w:rPr>
              <w:t>+</w:t>
            </w:r>
            <w:r w:rsidRPr="005572DA">
              <w:rPr>
                <w:rFonts w:ascii="Book Antiqua" w:hAnsi="Book Antiqua"/>
                <w:sz w:val="18"/>
                <w:szCs w:val="18"/>
              </w:rPr>
              <w:t xml:space="preserve"> 0.002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Blaney et al.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299,792.4590 </w:t>
            </w:r>
            <w:r w:rsidRPr="005572DA">
              <w:rPr>
                <w:rFonts w:ascii="Book Antiqua" w:hAnsi="Book Antiqua"/>
                <w:sz w:val="18"/>
                <w:szCs w:val="18"/>
                <w:u w:val="single"/>
              </w:rPr>
              <w:t>+</w:t>
            </w:r>
            <w:r w:rsidRPr="005572DA">
              <w:rPr>
                <w:rFonts w:ascii="Book Antiqua" w:hAnsi="Book Antiqua"/>
                <w:sz w:val="18"/>
                <w:szCs w:val="18"/>
              </w:rPr>
              <w:t xml:space="preserve"> 0.0008</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1978.0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Woods Shotton Rowley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299,792.4588 </w:t>
            </w:r>
            <w:r w:rsidRPr="005572DA">
              <w:rPr>
                <w:rFonts w:ascii="Book Antiqua" w:hAnsi="Book Antiqua"/>
                <w:sz w:val="18"/>
                <w:szCs w:val="18"/>
                <w:u w:val="single"/>
              </w:rPr>
              <w:t>+</w:t>
            </w:r>
            <w:r w:rsidRPr="005572DA">
              <w:rPr>
                <w:rFonts w:ascii="Book Antiqua" w:hAnsi="Book Antiqua"/>
                <w:sz w:val="18"/>
                <w:szCs w:val="18"/>
              </w:rPr>
              <w:t xml:space="preserve"> 0.0002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Baird/Smith/Whitford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299,792.4581 </w:t>
            </w:r>
            <w:r w:rsidRPr="005572DA">
              <w:rPr>
                <w:rFonts w:ascii="Book Antiqua" w:hAnsi="Book Antiqua"/>
                <w:sz w:val="18"/>
                <w:szCs w:val="18"/>
                <w:u w:val="single"/>
              </w:rPr>
              <w:t>+</w:t>
            </w:r>
            <w:r w:rsidRPr="005572DA">
              <w:rPr>
                <w:rFonts w:ascii="Book Antiqua" w:hAnsi="Book Antiqua"/>
                <w:sz w:val="18"/>
                <w:szCs w:val="18"/>
              </w:rPr>
              <w:t xml:space="preserve"> 0.0019</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trHeight w:val="343"/>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1983.0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NBS (US)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299,792.4586 </w:t>
            </w:r>
            <w:r w:rsidRPr="005572DA">
              <w:rPr>
                <w:rFonts w:ascii="Book Antiqua" w:hAnsi="Book Antiqua"/>
                <w:sz w:val="18"/>
                <w:szCs w:val="18"/>
                <w:u w:val="single"/>
              </w:rPr>
              <w:t>+</w:t>
            </w:r>
            <w:r w:rsidRPr="005572DA">
              <w:rPr>
                <w:rFonts w:ascii="Book Antiqua" w:hAnsi="Book Antiqua"/>
                <w:sz w:val="18"/>
                <w:szCs w:val="18"/>
              </w:rPr>
              <w:t xml:space="preserve"> 0.0003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 comparison between Figures 34 and 35 show that there is little difference in the form of the trend in the graph, whether the aberration data are corrected or left unchanged. The decline in the speed of light with time is still in evidence, and a minimum or a flat point occurs after 1960 in both cases. Thus the data indicate that the strength of the ZPE over a period of 300 years </w:t>
      </w:r>
      <w:r w:rsidR="00976B9A">
        <w:rPr>
          <w:rFonts w:ascii="Book Antiqua" w:hAnsi="Book Antiqua"/>
          <w:sz w:val="20"/>
        </w:rPr>
        <w:t>was</w:t>
      </w:r>
      <w:r w:rsidRPr="007F536A">
        <w:rPr>
          <w:rFonts w:ascii="Book Antiqua" w:hAnsi="Book Antiqua"/>
          <w:sz w:val="20"/>
        </w:rPr>
        <w:t xml:space="preserve"> increasing.</w:t>
      </w:r>
    </w:p>
    <w:p w:rsidR="00547494" w:rsidRPr="007F536A" w:rsidRDefault="00547494"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p>
    <w:p w:rsidR="00821A88" w:rsidRPr="007F536A" w:rsidRDefault="00821A88" w:rsidP="00821A88">
      <w:pPr>
        <w:pStyle w:val="NoSpacing"/>
        <w:rPr>
          <w:rStyle w:val="Strong"/>
          <w:rFonts w:ascii="Book Antiqua" w:hAnsi="Book Antiqua"/>
          <w:i/>
          <w:sz w:val="20"/>
        </w:rPr>
      </w:pPr>
      <w:r w:rsidRPr="007F536A">
        <w:rPr>
          <w:rStyle w:val="Strong"/>
          <w:rFonts w:ascii="Book Antiqua" w:hAnsi="Book Antiqua"/>
          <w:sz w:val="20"/>
        </w:rPr>
        <w:t xml:space="preserve">References – </w:t>
      </w:r>
      <w:r w:rsidRPr="007F536A">
        <w:rPr>
          <w:rStyle w:val="Strong"/>
          <w:rFonts w:ascii="Book Antiqua" w:hAnsi="Book Antiqua"/>
          <w:i/>
          <w:sz w:val="20"/>
        </w:rPr>
        <w:t>All URL’s retrieved 9/13/12</w:t>
      </w:r>
    </w:p>
    <w:p w:rsidR="00821A88" w:rsidRPr="007F536A" w:rsidRDefault="00821A88" w:rsidP="00821A88">
      <w:pPr>
        <w:pStyle w:val="NoSpacing"/>
        <w:rPr>
          <w:rStyle w:val="Strong"/>
          <w:rFonts w:ascii="Book Antiqua" w:hAnsi="Book Antiqua"/>
          <w:i/>
          <w:sz w:val="16"/>
          <w:szCs w:val="16"/>
        </w:rPr>
      </w:pPr>
    </w:p>
    <w:p w:rsidR="00821A88" w:rsidRPr="007F536A" w:rsidRDefault="00821A88" w:rsidP="00821A88">
      <w:pPr>
        <w:pStyle w:val="NoSpacing"/>
        <w:rPr>
          <w:rFonts w:ascii="Book Antiqua" w:hAnsi="Book Antiqua"/>
          <w:sz w:val="16"/>
          <w:szCs w:val="16"/>
        </w:rPr>
      </w:pPr>
      <w:bookmarkStart w:id="137" w:name="_edn1"/>
      <w:r w:rsidRPr="007F536A">
        <w:rPr>
          <w:rFonts w:ascii="Book Antiqua" w:hAnsi="Book Antiqua"/>
          <w:sz w:val="16"/>
          <w:szCs w:val="16"/>
        </w:rPr>
        <w:t xml:space="preserve">[1] </w:t>
      </w:r>
      <w:r w:rsidRPr="007F536A">
        <w:rPr>
          <w:rFonts w:ascii="Book Antiqua" w:hAnsi="Book Antiqua"/>
          <w:i/>
          <w:sz w:val="16"/>
          <w:szCs w:val="16"/>
        </w:rPr>
        <w:t>The Works of Aristotle translated into English,</w:t>
      </w:r>
      <w:r w:rsidRPr="007F536A">
        <w:rPr>
          <w:rFonts w:ascii="Book Antiqua" w:hAnsi="Book Antiqua"/>
          <w:sz w:val="16"/>
          <w:szCs w:val="16"/>
        </w:rPr>
        <w:t xml:space="preserve"> W.D. Ross, Ed.; Vol. III; De Anima, p. 418b and De Sensu, pp. 446a-447b, (Oxford Press, 1931).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 George Sarton,</w:t>
      </w:r>
      <w:r w:rsidRPr="007F536A">
        <w:rPr>
          <w:rFonts w:ascii="Book Antiqua" w:hAnsi="Book Antiqua"/>
          <w:b/>
          <w:sz w:val="16"/>
          <w:szCs w:val="16"/>
        </w:rPr>
        <w:t xml:space="preserve"> </w:t>
      </w:r>
      <w:r w:rsidRPr="007F536A">
        <w:rPr>
          <w:rFonts w:ascii="Book Antiqua" w:hAnsi="Book Antiqua"/>
          <w:i/>
          <w:sz w:val="16"/>
          <w:szCs w:val="16"/>
        </w:rPr>
        <w:t>Introduction to the History of Science Vol. I</w:t>
      </w:r>
      <w:r w:rsidRPr="007F536A">
        <w:rPr>
          <w:rFonts w:ascii="Book Antiqua" w:hAnsi="Book Antiqua"/>
          <w:sz w:val="16"/>
          <w:szCs w:val="16"/>
        </w:rPr>
        <w:t>; pp. 709-12, (Baltimore,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 </w:t>
      </w:r>
      <w:r w:rsidRPr="007F536A">
        <w:rPr>
          <w:rFonts w:ascii="Book Antiqua" w:hAnsi="Book Antiqua"/>
          <w:i/>
          <w:sz w:val="16"/>
          <w:szCs w:val="16"/>
        </w:rPr>
        <w:t>Philosophical Works of Francis Bacon</w:t>
      </w:r>
      <w:r w:rsidRPr="007F536A">
        <w:rPr>
          <w:rFonts w:ascii="Book Antiqua" w:hAnsi="Book Antiqua"/>
          <w:sz w:val="16"/>
          <w:szCs w:val="16"/>
        </w:rPr>
        <w:t>, p. 363, J.M. Robertson, Ed. (London, 1905).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[4] Johann Kepler, </w:t>
      </w:r>
      <w:r w:rsidRPr="007F536A">
        <w:rPr>
          <w:rFonts w:ascii="Book Antiqua" w:hAnsi="Book Antiqua"/>
          <w:i/>
          <w:sz w:val="16"/>
          <w:szCs w:val="16"/>
        </w:rPr>
        <w:t>Ad Vitellionem paralipomena astronomise pars optica traditur</w:t>
      </w:r>
      <w:r w:rsidRPr="007F536A">
        <w:rPr>
          <w:rFonts w:ascii="Book Antiqua" w:hAnsi="Book Antiqua"/>
          <w:b/>
          <w:sz w:val="16"/>
          <w:szCs w:val="16"/>
        </w:rPr>
        <w:t xml:space="preserve"> </w:t>
      </w:r>
      <w:r w:rsidRPr="007F536A">
        <w:rPr>
          <w:rFonts w:ascii="Book Antiqua" w:hAnsi="Book Antiqua"/>
          <w:sz w:val="16"/>
          <w:szCs w:val="16"/>
        </w:rPr>
        <w:t>(Frankfurt, 1804).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[5] </w:t>
      </w:r>
      <w:r w:rsidRPr="007F536A">
        <w:rPr>
          <w:rFonts w:ascii="Book Antiqua" w:hAnsi="Book Antiqua"/>
          <w:i/>
          <w:sz w:val="16"/>
          <w:szCs w:val="16"/>
        </w:rPr>
        <w:t>Essays of Natural Experiments made in the Academie del Cimento</w:t>
      </w:r>
      <w:r w:rsidRPr="007F536A">
        <w:rPr>
          <w:rFonts w:ascii="Book Antiqua" w:hAnsi="Book Antiqua"/>
          <w:sz w:val="16"/>
          <w:szCs w:val="16"/>
        </w:rPr>
        <w:t>, p.157, translated by Richard Waler,( London, 1684).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[6] Robert Grant, </w:t>
      </w:r>
      <w:r w:rsidRPr="007F536A">
        <w:rPr>
          <w:rStyle w:val="Emphasis"/>
          <w:rFonts w:ascii="Book Antiqua" w:hAnsi="Book Antiqua"/>
          <w:sz w:val="16"/>
          <w:szCs w:val="16"/>
        </w:rPr>
        <w:t>History of Physical Astronomy</w:t>
      </w:r>
      <w:r w:rsidRPr="007F536A">
        <w:rPr>
          <w:rFonts w:ascii="Book Antiqua" w:hAnsi="Book Antiqua"/>
          <w:sz w:val="16"/>
          <w:szCs w:val="16"/>
        </w:rPr>
        <w:t xml:space="preserve">, (London, 1852).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w:t>
      </w:r>
      <w:r w:rsidRPr="007F536A">
        <w:rPr>
          <w:rStyle w:val="Emphasis"/>
          <w:rFonts w:ascii="Book Antiqua" w:hAnsi="Book Antiqua"/>
          <w:sz w:val="16"/>
          <w:szCs w:val="16"/>
        </w:rPr>
        <w:t xml:space="preserve"> Oeuvres completes de Christiaan Huygens</w:t>
      </w:r>
      <w:r w:rsidRPr="007F536A">
        <w:rPr>
          <w:rFonts w:ascii="Book Antiqua" w:hAnsi="Book Antiqua"/>
          <w:sz w:val="16"/>
          <w:szCs w:val="16"/>
        </w:rPr>
        <w:t>, vol. II, chapt. VII, Letter 370, Published by the Societe Hollendaise des Sciences, the Hague, 1888-1937.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 S. Goudsmit, R. Claiborne, eds., </w:t>
      </w:r>
      <w:r w:rsidRPr="007F536A">
        <w:rPr>
          <w:rStyle w:val="Emphasis"/>
          <w:rFonts w:ascii="Book Antiqua" w:hAnsi="Book Antiqua"/>
          <w:sz w:val="16"/>
          <w:szCs w:val="16"/>
        </w:rPr>
        <w:t>Time</w:t>
      </w:r>
      <w:r w:rsidRPr="007F536A">
        <w:rPr>
          <w:rFonts w:ascii="Book Antiqua" w:hAnsi="Book Antiqua"/>
          <w:sz w:val="16"/>
          <w:szCs w:val="16"/>
        </w:rPr>
        <w:t>, p. 96, Life Science Library,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[9] Christiaan Huygens, </w:t>
      </w:r>
      <w:r w:rsidRPr="007F536A">
        <w:rPr>
          <w:rFonts w:ascii="Book Antiqua" w:hAnsi="Book Antiqua"/>
          <w:i/>
          <w:sz w:val="16"/>
          <w:szCs w:val="16"/>
        </w:rPr>
        <w:t>Traite de la Lumiere...,</w:t>
      </w:r>
      <w:r w:rsidRPr="007F536A">
        <w:rPr>
          <w:rFonts w:ascii="Book Antiqua" w:hAnsi="Book Antiqua"/>
          <w:sz w:val="16"/>
          <w:szCs w:val="16"/>
        </w:rPr>
        <w:t xml:space="preserve"> (Leyden; 1690), pp. 4-6, presented in Paris to the Academie Royale des Sciences in 1678.</w:t>
      </w:r>
    </w:p>
    <w:p w:rsidR="00821A88" w:rsidRPr="007F536A" w:rsidRDefault="00821A88" w:rsidP="00821A88">
      <w:pPr>
        <w:pStyle w:val="NoSpacing"/>
        <w:rPr>
          <w:rFonts w:ascii="Book Antiqua" w:hAnsi="Book Antiqua"/>
          <w:sz w:val="16"/>
          <w:szCs w:val="16"/>
        </w:rPr>
      </w:pPr>
      <w:bookmarkStart w:id="138" w:name="_edn4"/>
      <w:bookmarkEnd w:id="137"/>
      <w:r w:rsidRPr="007F536A">
        <w:rPr>
          <w:rFonts w:ascii="Book Antiqua" w:hAnsi="Book Antiqua"/>
          <w:sz w:val="16"/>
          <w:szCs w:val="16"/>
        </w:rPr>
        <w:t xml:space="preserve">[10] </w:t>
      </w:r>
      <w:bookmarkEnd w:id="138"/>
      <w:r w:rsidRPr="007F536A">
        <w:rPr>
          <w:rStyle w:val="Emphasis"/>
          <w:rFonts w:ascii="Book Antiqua" w:hAnsi="Book Antiqua"/>
          <w:sz w:val="16"/>
          <w:szCs w:val="16"/>
        </w:rPr>
        <w:t xml:space="preserve">Oeuvres completes de Christiaan Huygens, </w:t>
      </w:r>
      <w:r w:rsidRPr="007F536A">
        <w:rPr>
          <w:rFonts w:ascii="Book Antiqua" w:hAnsi="Book Antiqua"/>
          <w:sz w:val="16"/>
          <w:szCs w:val="16"/>
        </w:rPr>
        <w:t>op.cit. pp. 607-616.</w:t>
      </w:r>
    </w:p>
    <w:p w:rsidR="00821A88" w:rsidRPr="007F536A" w:rsidRDefault="00821A88" w:rsidP="00821A88">
      <w:pPr>
        <w:pStyle w:val="NoSpacing"/>
        <w:rPr>
          <w:rFonts w:ascii="Book Antiqua" w:hAnsi="Book Antiqua"/>
          <w:sz w:val="16"/>
          <w:szCs w:val="16"/>
        </w:rPr>
      </w:pPr>
      <w:bookmarkStart w:id="139" w:name="_edn5"/>
      <w:r w:rsidRPr="007F536A">
        <w:rPr>
          <w:rFonts w:ascii="Book Antiqua" w:hAnsi="Book Antiqua"/>
          <w:sz w:val="16"/>
          <w:szCs w:val="16"/>
        </w:rPr>
        <w:t xml:space="preserve">[11] </w:t>
      </w:r>
      <w:bookmarkEnd w:id="139"/>
      <w:r w:rsidRPr="007F536A">
        <w:rPr>
          <w:rFonts w:ascii="Book Antiqua" w:hAnsi="Book Antiqua"/>
          <w:sz w:val="16"/>
          <w:szCs w:val="16"/>
        </w:rPr>
        <w:t xml:space="preserve">G. D. Cassini, </w:t>
      </w:r>
      <w:r w:rsidRPr="007F536A">
        <w:rPr>
          <w:rStyle w:val="Emphasis"/>
          <w:rFonts w:ascii="Book Antiqua" w:hAnsi="Book Antiqua"/>
          <w:sz w:val="16"/>
          <w:szCs w:val="16"/>
        </w:rPr>
        <w:t>Ephemerides Bononienses Medicecrum Syderum Ex Hypotheses et Tabluis</w:t>
      </w:r>
      <w:r w:rsidRPr="007F536A">
        <w:rPr>
          <w:rFonts w:ascii="Book Antiqua" w:hAnsi="Book Antiqua"/>
          <w:sz w:val="16"/>
          <w:szCs w:val="16"/>
        </w:rPr>
        <w:t>, (Bologne, 1668).</w:t>
      </w:r>
    </w:p>
    <w:p w:rsidR="00821A88" w:rsidRPr="007F536A" w:rsidRDefault="00821A88" w:rsidP="00821A88">
      <w:pPr>
        <w:pStyle w:val="NoSpacing"/>
        <w:rPr>
          <w:rFonts w:ascii="Book Antiqua" w:hAnsi="Book Antiqua"/>
          <w:sz w:val="16"/>
          <w:szCs w:val="16"/>
        </w:rPr>
      </w:pPr>
      <w:bookmarkStart w:id="140" w:name="_edn6"/>
      <w:r w:rsidRPr="007F536A">
        <w:rPr>
          <w:rFonts w:ascii="Book Antiqua" w:hAnsi="Book Antiqua"/>
          <w:sz w:val="16"/>
          <w:szCs w:val="16"/>
        </w:rPr>
        <w:t xml:space="preserve">[12] </w:t>
      </w:r>
      <w:bookmarkEnd w:id="140"/>
      <w:r w:rsidRPr="007F536A">
        <w:rPr>
          <w:rFonts w:ascii="Book Antiqua" w:hAnsi="Book Antiqua"/>
          <w:sz w:val="16"/>
          <w:szCs w:val="16"/>
        </w:rPr>
        <w:t xml:space="preserve">J. Audouze, G. Israel, Eds., </w:t>
      </w:r>
      <w:r w:rsidRPr="007F536A">
        <w:rPr>
          <w:rStyle w:val="Emphasis"/>
          <w:rFonts w:ascii="Book Antiqua" w:hAnsi="Book Antiqua"/>
          <w:sz w:val="16"/>
          <w:szCs w:val="16"/>
        </w:rPr>
        <w:t>Cambridge Atlas of Astronomy</w:t>
      </w:r>
      <w:r w:rsidRPr="007F536A">
        <w:rPr>
          <w:rFonts w:ascii="Book Antiqua" w:hAnsi="Book Antiqua"/>
          <w:sz w:val="16"/>
          <w:szCs w:val="16"/>
        </w:rPr>
        <w:t>, p.422, (Cambridge University Press, 1985).</w:t>
      </w:r>
    </w:p>
    <w:p w:rsidR="00821A88" w:rsidRPr="007F536A" w:rsidRDefault="00821A88" w:rsidP="00821A88">
      <w:pPr>
        <w:pStyle w:val="NoSpacing"/>
        <w:rPr>
          <w:rFonts w:ascii="Book Antiqua" w:hAnsi="Book Antiqua"/>
          <w:sz w:val="16"/>
          <w:szCs w:val="16"/>
        </w:rPr>
      </w:pPr>
      <w:bookmarkStart w:id="141" w:name="_edn7"/>
      <w:r w:rsidRPr="007F536A">
        <w:rPr>
          <w:rFonts w:ascii="Book Antiqua" w:hAnsi="Book Antiqua"/>
          <w:sz w:val="16"/>
          <w:szCs w:val="16"/>
        </w:rPr>
        <w:t>[13</w:t>
      </w:r>
      <w:bookmarkEnd w:id="141"/>
      <w:r w:rsidRPr="007F536A">
        <w:rPr>
          <w:rFonts w:ascii="Book Antiqua" w:hAnsi="Book Antiqua"/>
          <w:sz w:val="16"/>
          <w:szCs w:val="16"/>
        </w:rPr>
        <w:t xml:space="preserve">] S. Goudsmit, R. Claiborne, eds., </w:t>
      </w:r>
      <w:r w:rsidRPr="007F536A">
        <w:rPr>
          <w:rStyle w:val="Emphasis"/>
          <w:rFonts w:ascii="Book Antiqua" w:hAnsi="Book Antiqua"/>
          <w:b/>
          <w:sz w:val="16"/>
          <w:szCs w:val="16"/>
        </w:rPr>
        <w:t>Time</w:t>
      </w:r>
      <w:r w:rsidRPr="007F536A">
        <w:rPr>
          <w:rFonts w:ascii="Book Antiqua" w:hAnsi="Book Antiqua"/>
          <w:sz w:val="16"/>
          <w:szCs w:val="16"/>
        </w:rPr>
        <w:t>, p. 97, (Life Science Library, 1967).</w:t>
      </w:r>
    </w:p>
    <w:p w:rsidR="00821A88" w:rsidRPr="007F536A" w:rsidRDefault="00821A88" w:rsidP="00821A88">
      <w:pPr>
        <w:pStyle w:val="NoSpacing"/>
        <w:rPr>
          <w:rFonts w:ascii="Book Antiqua" w:hAnsi="Book Antiqua"/>
          <w:sz w:val="16"/>
          <w:szCs w:val="16"/>
        </w:rPr>
      </w:pPr>
      <w:bookmarkStart w:id="142" w:name="_edn8"/>
      <w:r w:rsidRPr="007F536A">
        <w:rPr>
          <w:rFonts w:ascii="Book Antiqua" w:hAnsi="Book Antiqua"/>
          <w:sz w:val="16"/>
          <w:szCs w:val="16"/>
        </w:rPr>
        <w:t xml:space="preserve">[14] </w:t>
      </w:r>
      <w:bookmarkEnd w:id="142"/>
      <w:r w:rsidRPr="007F536A">
        <w:rPr>
          <w:rFonts w:ascii="Book Antiqua" w:hAnsi="Book Antiqua"/>
          <w:sz w:val="16"/>
          <w:szCs w:val="16"/>
        </w:rPr>
        <w:t xml:space="preserve">McMillan and Kirszenberg, “A Modern Version of the Ole Roemer Experiment,” </w:t>
      </w:r>
      <w:r w:rsidRPr="007F536A">
        <w:rPr>
          <w:rFonts w:ascii="Book Antiqua" w:hAnsi="Book Antiqua"/>
          <w:i/>
          <w:sz w:val="16"/>
          <w:szCs w:val="16"/>
        </w:rPr>
        <w:t>Sky and Telescope,</w:t>
      </w:r>
      <w:r w:rsidRPr="007F536A">
        <w:rPr>
          <w:rFonts w:ascii="Book Antiqua" w:hAnsi="Book Antiqua"/>
          <w:sz w:val="16"/>
          <w:szCs w:val="16"/>
        </w:rPr>
        <w:t xml:space="preserve"> Vol </w:t>
      </w:r>
      <w:r w:rsidRPr="007F536A">
        <w:rPr>
          <w:rFonts w:ascii="Book Antiqua" w:hAnsi="Book Antiqua"/>
          <w:b/>
          <w:sz w:val="16"/>
          <w:szCs w:val="16"/>
        </w:rPr>
        <w:t>44</w:t>
      </w:r>
      <w:r w:rsidRPr="007F536A">
        <w:rPr>
          <w:rFonts w:ascii="Book Antiqua" w:hAnsi="Book Antiqua"/>
          <w:sz w:val="16"/>
          <w:szCs w:val="16"/>
        </w:rPr>
        <w:t>, p. 300, (1972).</w:t>
      </w:r>
    </w:p>
    <w:p w:rsidR="00821A88" w:rsidRPr="007F536A" w:rsidRDefault="00821A88" w:rsidP="00821A88">
      <w:pPr>
        <w:pStyle w:val="NoSpacing"/>
        <w:rPr>
          <w:rFonts w:ascii="Book Antiqua" w:hAnsi="Book Antiqua"/>
          <w:sz w:val="16"/>
          <w:szCs w:val="16"/>
        </w:rPr>
      </w:pPr>
      <w:bookmarkStart w:id="143" w:name="_edn9"/>
      <w:r w:rsidRPr="007F536A">
        <w:rPr>
          <w:rFonts w:ascii="Book Antiqua" w:hAnsi="Book Antiqua"/>
          <w:sz w:val="16"/>
          <w:szCs w:val="16"/>
        </w:rPr>
        <w:t xml:space="preserve">[15] </w:t>
      </w:r>
      <w:bookmarkEnd w:id="143"/>
      <w:r w:rsidRPr="007F536A">
        <w:rPr>
          <w:rFonts w:ascii="Book Antiqua" w:hAnsi="Book Antiqua"/>
          <w:sz w:val="16"/>
          <w:szCs w:val="16"/>
        </w:rPr>
        <w:t>I. B. Cohen, “Roemer and the First Determinaton of the Velocity of Light,”</w:t>
      </w:r>
      <w:r w:rsidRPr="007F536A">
        <w:rPr>
          <w:rFonts w:ascii="Book Antiqua" w:hAnsi="Book Antiqua"/>
          <w:i/>
          <w:sz w:val="16"/>
          <w:szCs w:val="16"/>
        </w:rPr>
        <w:t xml:space="preserve"> Isis</w:t>
      </w:r>
      <w:r w:rsidRPr="007F536A">
        <w:rPr>
          <w:rFonts w:ascii="Book Antiqua" w:hAnsi="Book Antiqua"/>
          <w:sz w:val="16"/>
          <w:szCs w:val="16"/>
        </w:rPr>
        <w:t xml:space="preserve">, Vol. </w:t>
      </w:r>
      <w:r w:rsidRPr="007F536A">
        <w:rPr>
          <w:rFonts w:ascii="Book Antiqua" w:hAnsi="Book Antiqua"/>
          <w:b/>
          <w:sz w:val="16"/>
          <w:szCs w:val="16"/>
        </w:rPr>
        <w:t>31</w:t>
      </w:r>
      <w:r w:rsidRPr="007F536A">
        <w:rPr>
          <w:rFonts w:ascii="Book Antiqua" w:hAnsi="Book Antiqua"/>
          <w:sz w:val="16"/>
          <w:szCs w:val="16"/>
        </w:rPr>
        <w:t>, p. 351, (1939).</w:t>
      </w:r>
    </w:p>
    <w:p w:rsidR="00821A88" w:rsidRPr="007F536A" w:rsidRDefault="00821A88" w:rsidP="00821A88">
      <w:pPr>
        <w:pStyle w:val="NoSpacing"/>
        <w:rPr>
          <w:rFonts w:ascii="Book Antiqua" w:hAnsi="Book Antiqua"/>
          <w:sz w:val="16"/>
          <w:szCs w:val="16"/>
        </w:rPr>
      </w:pPr>
      <w:bookmarkStart w:id="144" w:name="_edn10"/>
      <w:r w:rsidRPr="007F536A">
        <w:rPr>
          <w:rFonts w:ascii="Book Antiqua" w:hAnsi="Book Antiqua"/>
          <w:sz w:val="16"/>
          <w:szCs w:val="16"/>
        </w:rPr>
        <w:t xml:space="preserve">[16] </w:t>
      </w:r>
      <w:bookmarkEnd w:id="144"/>
      <w:r w:rsidRPr="007F536A">
        <w:rPr>
          <w:rFonts w:ascii="Book Antiqua" w:hAnsi="Book Antiqua"/>
          <w:sz w:val="16"/>
          <w:szCs w:val="16"/>
        </w:rPr>
        <w:t xml:space="preserve">C. Boyer, </w:t>
      </w:r>
      <w:r w:rsidRPr="007F536A">
        <w:rPr>
          <w:rStyle w:val="Emphasis"/>
          <w:rFonts w:ascii="Book Antiqua" w:hAnsi="Book Antiqua"/>
          <w:sz w:val="16"/>
          <w:szCs w:val="16"/>
        </w:rPr>
        <w:t>Isis</w:t>
      </w:r>
      <w:r w:rsidRPr="007F536A">
        <w:rPr>
          <w:rFonts w:ascii="Book Antiqua" w:hAnsi="Book Antiqua"/>
          <w:sz w:val="16"/>
          <w:szCs w:val="16"/>
        </w:rPr>
        <w:t>, Vol.</w:t>
      </w:r>
      <w:r w:rsidRPr="007F536A">
        <w:rPr>
          <w:rFonts w:ascii="Book Antiqua" w:hAnsi="Book Antiqua"/>
          <w:b/>
          <w:sz w:val="16"/>
          <w:szCs w:val="16"/>
        </w:rPr>
        <w:t xml:space="preserve"> 33</w:t>
      </w:r>
      <w:r w:rsidRPr="007F536A">
        <w:rPr>
          <w:rFonts w:ascii="Book Antiqua" w:hAnsi="Book Antiqua"/>
          <w:sz w:val="16"/>
          <w:szCs w:val="16"/>
        </w:rPr>
        <w:t>, p.28, (1941).</w:t>
      </w:r>
    </w:p>
    <w:p w:rsidR="00821A88" w:rsidRPr="007F536A" w:rsidRDefault="00821A88" w:rsidP="00821A88">
      <w:pPr>
        <w:pStyle w:val="NoSpacing"/>
        <w:rPr>
          <w:rFonts w:ascii="Book Antiqua" w:hAnsi="Book Antiqua"/>
          <w:sz w:val="16"/>
          <w:szCs w:val="16"/>
        </w:rPr>
      </w:pPr>
      <w:bookmarkStart w:id="145" w:name="_edn11"/>
      <w:r w:rsidRPr="007F536A">
        <w:rPr>
          <w:rFonts w:ascii="Book Antiqua" w:hAnsi="Book Antiqua"/>
          <w:sz w:val="16"/>
          <w:szCs w:val="16"/>
        </w:rPr>
        <w:t xml:space="preserve">[17] </w:t>
      </w:r>
      <w:bookmarkEnd w:id="145"/>
      <w:r w:rsidRPr="007F536A">
        <w:rPr>
          <w:rFonts w:ascii="Book Antiqua" w:hAnsi="Book Antiqua"/>
          <w:sz w:val="16"/>
          <w:szCs w:val="16"/>
        </w:rPr>
        <w:t>I. B. Cohen, op.cit., p. 353.</w:t>
      </w:r>
    </w:p>
    <w:p w:rsidR="00821A88" w:rsidRPr="007F536A" w:rsidRDefault="00821A88" w:rsidP="00821A88">
      <w:pPr>
        <w:pStyle w:val="NoSpacing"/>
        <w:rPr>
          <w:rFonts w:ascii="Book Antiqua" w:hAnsi="Book Antiqua"/>
          <w:sz w:val="16"/>
          <w:szCs w:val="16"/>
        </w:rPr>
      </w:pPr>
      <w:bookmarkStart w:id="146" w:name="_edn12"/>
      <w:r w:rsidRPr="007F536A">
        <w:rPr>
          <w:rFonts w:ascii="Book Antiqua" w:hAnsi="Book Antiqua"/>
          <w:sz w:val="16"/>
          <w:szCs w:val="16"/>
        </w:rPr>
        <w:t xml:space="preserve">[18] </w:t>
      </w:r>
      <w:bookmarkEnd w:id="146"/>
      <w:r w:rsidRPr="007F536A">
        <w:rPr>
          <w:rStyle w:val="Emphasis"/>
          <w:rFonts w:ascii="Book Antiqua" w:hAnsi="Book Antiqua"/>
          <w:sz w:val="16"/>
          <w:szCs w:val="16"/>
        </w:rPr>
        <w:t>Journal des Scavans</w:t>
      </w:r>
      <w:r w:rsidRPr="007F536A">
        <w:rPr>
          <w:rFonts w:ascii="Book Antiqua" w:hAnsi="Book Antiqua"/>
          <w:sz w:val="16"/>
          <w:szCs w:val="16"/>
        </w:rPr>
        <w:t xml:space="preserve">, December 7, 1676; also, </w:t>
      </w:r>
      <w:r w:rsidRPr="007F536A">
        <w:rPr>
          <w:rStyle w:val="Emphasis"/>
          <w:rFonts w:ascii="Book Antiqua" w:hAnsi="Book Antiqua"/>
          <w:sz w:val="16"/>
          <w:szCs w:val="16"/>
        </w:rPr>
        <w:t>Philosophical Transactions</w:t>
      </w:r>
      <w:r w:rsidRPr="007F536A">
        <w:rPr>
          <w:rFonts w:ascii="Book Antiqua" w:hAnsi="Book Antiqua"/>
          <w:sz w:val="16"/>
          <w:szCs w:val="16"/>
        </w:rPr>
        <w:t>, Vol. XII, No. 136, pp. 893-894, (June 25, 1677).</w:t>
      </w:r>
    </w:p>
    <w:p w:rsidR="00821A88" w:rsidRPr="007F536A" w:rsidRDefault="00821A88" w:rsidP="00821A88">
      <w:pPr>
        <w:pStyle w:val="NoSpacing"/>
        <w:rPr>
          <w:rFonts w:ascii="Book Antiqua" w:hAnsi="Book Antiqua"/>
          <w:sz w:val="16"/>
          <w:szCs w:val="16"/>
        </w:rPr>
      </w:pPr>
      <w:bookmarkStart w:id="147" w:name="_edn16"/>
      <w:bookmarkStart w:id="148" w:name="_edn13"/>
      <w:r w:rsidRPr="007F536A">
        <w:rPr>
          <w:rFonts w:ascii="Book Antiqua" w:hAnsi="Book Antiqua"/>
          <w:sz w:val="16"/>
          <w:szCs w:val="16"/>
        </w:rPr>
        <w:t xml:space="preserve">[19] </w:t>
      </w:r>
      <w:bookmarkEnd w:id="147"/>
      <w:r w:rsidRPr="007F536A">
        <w:rPr>
          <w:rFonts w:ascii="Book Antiqua" w:hAnsi="Book Antiqua"/>
          <w:sz w:val="16"/>
          <w:szCs w:val="16"/>
        </w:rPr>
        <w:t xml:space="preserve">I. Newton, </w:t>
      </w:r>
      <w:r w:rsidRPr="007F536A">
        <w:rPr>
          <w:rStyle w:val="Emphasis"/>
          <w:rFonts w:ascii="Book Antiqua" w:hAnsi="Book Antiqua"/>
          <w:sz w:val="16"/>
          <w:szCs w:val="16"/>
        </w:rPr>
        <w:t>Principia Mathematica</w:t>
      </w:r>
      <w:r w:rsidRPr="007F536A">
        <w:rPr>
          <w:rFonts w:ascii="Book Antiqua" w:hAnsi="Book Antiqua"/>
          <w:sz w:val="16"/>
          <w:szCs w:val="16"/>
        </w:rPr>
        <w:t>, London, 1687, authorized by Pepys, July 5, 1688, Scholium to Proposition XCVI, Theorem L.</w:t>
      </w:r>
    </w:p>
    <w:p w:rsidR="00821A88" w:rsidRPr="007F536A" w:rsidRDefault="00821A88" w:rsidP="00821A88">
      <w:pPr>
        <w:pStyle w:val="NoSpacing"/>
        <w:rPr>
          <w:rFonts w:ascii="Book Antiqua" w:hAnsi="Book Antiqua"/>
          <w:sz w:val="16"/>
          <w:szCs w:val="16"/>
        </w:rPr>
      </w:pPr>
      <w:bookmarkStart w:id="149" w:name="_edn17"/>
      <w:r w:rsidRPr="007F536A">
        <w:rPr>
          <w:rFonts w:ascii="Book Antiqua" w:hAnsi="Book Antiqua"/>
          <w:sz w:val="16"/>
          <w:szCs w:val="16"/>
        </w:rPr>
        <w:t xml:space="preserve">[20] </w:t>
      </w:r>
      <w:bookmarkEnd w:id="149"/>
      <w:r w:rsidRPr="007F536A">
        <w:rPr>
          <w:rFonts w:ascii="Book Antiqua" w:hAnsi="Book Antiqua"/>
          <w:sz w:val="16"/>
          <w:szCs w:val="16"/>
        </w:rPr>
        <w:t xml:space="preserve">I. Newton, </w:t>
      </w:r>
      <w:r w:rsidRPr="007F536A">
        <w:rPr>
          <w:rStyle w:val="Emphasis"/>
          <w:rFonts w:ascii="Book Antiqua" w:hAnsi="Book Antiqua"/>
          <w:sz w:val="16"/>
          <w:szCs w:val="16"/>
        </w:rPr>
        <w:t>Philosophiae Naturalis Principia Mathematica</w:t>
      </w:r>
      <w:r w:rsidRPr="007F536A">
        <w:rPr>
          <w:rFonts w:ascii="Book Antiqua" w:hAnsi="Book Antiqua"/>
          <w:sz w:val="16"/>
          <w:szCs w:val="16"/>
        </w:rPr>
        <w:t>, (Cambridge, 1713).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 </w:t>
      </w:r>
      <w:bookmarkEnd w:id="148"/>
      <w:r w:rsidRPr="007F536A">
        <w:rPr>
          <w:rFonts w:ascii="Book Antiqua" w:hAnsi="Book Antiqua"/>
          <w:sz w:val="16"/>
          <w:szCs w:val="16"/>
        </w:rPr>
        <w:t xml:space="preserve">G. D. Cassini, </w:t>
      </w:r>
      <w:r w:rsidRPr="007F536A">
        <w:rPr>
          <w:rStyle w:val="Emphasis"/>
          <w:rFonts w:ascii="Book Antiqua" w:hAnsi="Book Antiqua"/>
          <w:sz w:val="16"/>
          <w:szCs w:val="16"/>
        </w:rPr>
        <w:t>Divers ouvrages d’astronimie</w:t>
      </w:r>
      <w:r w:rsidRPr="007F536A">
        <w:rPr>
          <w:rFonts w:ascii="Book Antiqua" w:hAnsi="Book Antiqua"/>
          <w:sz w:val="16"/>
          <w:szCs w:val="16"/>
        </w:rPr>
        <w:t xml:space="preserve">, p.475, (Amsterdam, 1736). </w:t>
      </w:r>
    </w:p>
    <w:p w:rsidR="00821A88" w:rsidRPr="007F536A" w:rsidRDefault="00821A88" w:rsidP="00821A88">
      <w:pPr>
        <w:pStyle w:val="NoSpacing"/>
        <w:rPr>
          <w:rFonts w:ascii="Book Antiqua" w:hAnsi="Book Antiqua"/>
          <w:sz w:val="16"/>
          <w:szCs w:val="16"/>
        </w:rPr>
      </w:pPr>
      <w:bookmarkStart w:id="150" w:name="_edn14"/>
      <w:r w:rsidRPr="007F536A">
        <w:rPr>
          <w:rFonts w:ascii="Book Antiqua" w:hAnsi="Book Antiqua"/>
          <w:sz w:val="16"/>
          <w:szCs w:val="16"/>
        </w:rPr>
        <w:t xml:space="preserve">[22] </w:t>
      </w:r>
      <w:bookmarkEnd w:id="150"/>
      <w:r w:rsidRPr="007F536A">
        <w:rPr>
          <w:rStyle w:val="Emphasis"/>
          <w:rFonts w:ascii="Book Antiqua" w:hAnsi="Book Antiqua"/>
          <w:sz w:val="16"/>
          <w:szCs w:val="16"/>
        </w:rPr>
        <w:t>Philosophical Transactions</w:t>
      </w:r>
      <w:r w:rsidRPr="007F536A">
        <w:rPr>
          <w:rFonts w:ascii="Book Antiqua" w:hAnsi="Book Antiqua"/>
          <w:sz w:val="16"/>
          <w:szCs w:val="16"/>
        </w:rPr>
        <w:t>., vol XVIII, No. 214, pp. 237-256, (Nov-Dec 1694).</w:t>
      </w:r>
    </w:p>
    <w:p w:rsidR="00821A88" w:rsidRPr="007F536A" w:rsidRDefault="00821A88" w:rsidP="00821A88">
      <w:pPr>
        <w:pStyle w:val="NoSpacing"/>
        <w:rPr>
          <w:rFonts w:ascii="Book Antiqua" w:hAnsi="Book Antiqua"/>
          <w:sz w:val="16"/>
          <w:szCs w:val="16"/>
        </w:rPr>
      </w:pPr>
      <w:bookmarkStart w:id="151" w:name="_edn15"/>
      <w:r w:rsidRPr="007F536A">
        <w:rPr>
          <w:rFonts w:ascii="Book Antiqua" w:hAnsi="Book Antiqua"/>
          <w:sz w:val="16"/>
          <w:szCs w:val="16"/>
        </w:rPr>
        <w:t xml:space="preserve">[23] </w:t>
      </w:r>
      <w:bookmarkEnd w:id="151"/>
      <w:r w:rsidRPr="007F536A">
        <w:rPr>
          <w:rFonts w:ascii="Book Antiqua" w:hAnsi="Book Antiqua"/>
          <w:sz w:val="16"/>
          <w:szCs w:val="16"/>
        </w:rPr>
        <w:t>I. Newton, ‘</w:t>
      </w:r>
      <w:r w:rsidRPr="007F536A">
        <w:rPr>
          <w:rFonts w:ascii="Book Antiqua" w:hAnsi="Book Antiqua"/>
          <w:i/>
          <w:sz w:val="16"/>
          <w:szCs w:val="16"/>
        </w:rPr>
        <w:t>Opticks’</w:t>
      </w:r>
      <w:r w:rsidRPr="007F536A">
        <w:rPr>
          <w:rFonts w:ascii="Book Antiqua" w:hAnsi="Book Antiqua"/>
          <w:sz w:val="16"/>
          <w:szCs w:val="16"/>
        </w:rPr>
        <w:t xml:space="preserve">, </w:t>
      </w:r>
      <w:r w:rsidRPr="007F536A">
        <w:rPr>
          <w:rStyle w:val="Emphasis"/>
          <w:rFonts w:ascii="Book Antiqua" w:hAnsi="Book Antiqua"/>
          <w:sz w:val="16"/>
          <w:szCs w:val="16"/>
        </w:rPr>
        <w:t>The Second Book of Opticks</w:t>
      </w:r>
      <w:r w:rsidRPr="007F536A">
        <w:rPr>
          <w:rFonts w:ascii="Book Antiqua" w:hAnsi="Book Antiqua"/>
          <w:sz w:val="16"/>
          <w:szCs w:val="16"/>
        </w:rPr>
        <w:t>, Part III, Proposition XI.</w:t>
      </w:r>
    </w:p>
    <w:p w:rsidR="00821A88" w:rsidRPr="007F536A" w:rsidRDefault="00821A88" w:rsidP="00821A88">
      <w:pPr>
        <w:pStyle w:val="NoSpacing"/>
        <w:rPr>
          <w:rFonts w:ascii="Book Antiqua" w:hAnsi="Book Antiqua"/>
          <w:sz w:val="16"/>
          <w:szCs w:val="16"/>
        </w:rPr>
      </w:pPr>
      <w:bookmarkStart w:id="152" w:name="_edn18"/>
      <w:r w:rsidRPr="007F536A">
        <w:rPr>
          <w:rFonts w:ascii="Book Antiqua" w:hAnsi="Book Antiqua"/>
          <w:sz w:val="16"/>
          <w:szCs w:val="16"/>
        </w:rPr>
        <w:t xml:space="preserve">[24] </w:t>
      </w:r>
      <w:bookmarkEnd w:id="152"/>
      <w:r w:rsidRPr="007F536A">
        <w:rPr>
          <w:rFonts w:ascii="Book Antiqua" w:hAnsi="Book Antiqua"/>
          <w:sz w:val="16"/>
          <w:szCs w:val="16"/>
        </w:rPr>
        <w:t xml:space="preserve">I. Newton (translator unknown), </w:t>
      </w:r>
      <w:r w:rsidRPr="007F536A">
        <w:rPr>
          <w:rStyle w:val="Emphasis"/>
          <w:rFonts w:ascii="Book Antiqua" w:hAnsi="Book Antiqua"/>
          <w:sz w:val="16"/>
          <w:szCs w:val="16"/>
        </w:rPr>
        <w:t>Les Nouvelles de la Republique des Lettres</w:t>
      </w:r>
      <w:r w:rsidRPr="007F536A">
        <w:rPr>
          <w:rFonts w:ascii="Book Antiqua" w:hAnsi="Book Antiqua"/>
          <w:sz w:val="16"/>
          <w:szCs w:val="16"/>
        </w:rPr>
        <w:t>, (May 1706).</w:t>
      </w:r>
    </w:p>
    <w:p w:rsidR="00821A88" w:rsidRPr="007F536A" w:rsidRDefault="00821A88" w:rsidP="00821A88">
      <w:pPr>
        <w:pStyle w:val="NoSpacing"/>
        <w:rPr>
          <w:rFonts w:ascii="Book Antiqua" w:hAnsi="Book Antiqua"/>
          <w:sz w:val="16"/>
          <w:szCs w:val="16"/>
        </w:rPr>
      </w:pPr>
      <w:bookmarkStart w:id="153" w:name="_edn19"/>
      <w:r w:rsidRPr="007F536A">
        <w:rPr>
          <w:rFonts w:ascii="Book Antiqua" w:hAnsi="Book Antiqua"/>
          <w:sz w:val="16"/>
          <w:szCs w:val="16"/>
        </w:rPr>
        <w:t xml:space="preserve">[25] </w:t>
      </w:r>
      <w:bookmarkEnd w:id="153"/>
      <w:r w:rsidRPr="007F536A">
        <w:rPr>
          <w:rFonts w:ascii="Book Antiqua" w:hAnsi="Book Antiqua"/>
          <w:i/>
          <w:sz w:val="16"/>
          <w:szCs w:val="16"/>
        </w:rPr>
        <w:t>Encyclopaedia Britannica,</w:t>
      </w:r>
      <w:r w:rsidRPr="007F536A">
        <w:rPr>
          <w:rFonts w:ascii="Book Antiqua" w:hAnsi="Book Antiqua"/>
          <w:sz w:val="16"/>
          <w:szCs w:val="16"/>
        </w:rPr>
        <w:t xml:space="preserve"> 1771, Vol. 1, p. 457.</w:t>
      </w:r>
    </w:p>
    <w:p w:rsidR="00821A88" w:rsidRPr="007F536A" w:rsidRDefault="00821A88" w:rsidP="00821A88">
      <w:pPr>
        <w:pStyle w:val="NoSpacing"/>
        <w:rPr>
          <w:rFonts w:ascii="Book Antiqua" w:hAnsi="Book Antiqua"/>
          <w:sz w:val="16"/>
          <w:szCs w:val="16"/>
        </w:rPr>
      </w:pPr>
      <w:bookmarkStart w:id="154" w:name="_edn20"/>
      <w:r w:rsidRPr="007F536A">
        <w:rPr>
          <w:rFonts w:ascii="Book Antiqua" w:hAnsi="Book Antiqua"/>
          <w:sz w:val="16"/>
          <w:szCs w:val="16"/>
        </w:rPr>
        <w:lastRenderedPageBreak/>
        <w:t xml:space="preserve">[26] </w:t>
      </w:r>
      <w:bookmarkEnd w:id="154"/>
      <w:r w:rsidRPr="007F536A">
        <w:rPr>
          <w:rFonts w:ascii="Book Antiqua" w:hAnsi="Book Antiqua"/>
          <w:sz w:val="16"/>
          <w:szCs w:val="16"/>
        </w:rPr>
        <w:t xml:space="preserve">J. Bradley, </w:t>
      </w:r>
      <w:r w:rsidRPr="007F536A">
        <w:rPr>
          <w:rStyle w:val="Emphasis"/>
          <w:rFonts w:ascii="Book Antiqua" w:hAnsi="Book Antiqua"/>
          <w:sz w:val="16"/>
          <w:szCs w:val="16"/>
        </w:rPr>
        <w:t xml:space="preserve">Philosophical Transactions, </w:t>
      </w:r>
      <w:r w:rsidRPr="007F536A">
        <w:rPr>
          <w:rFonts w:ascii="Book Antiqua" w:hAnsi="Book Antiqua"/>
          <w:sz w:val="16"/>
          <w:szCs w:val="16"/>
        </w:rPr>
        <w:t>Vol. 35, No. 406, pp 653 and 655, (1729).</w:t>
      </w:r>
    </w:p>
    <w:p w:rsidR="00821A88" w:rsidRPr="007F536A" w:rsidRDefault="00821A88" w:rsidP="00821A88">
      <w:pPr>
        <w:pStyle w:val="NoSpacing"/>
        <w:rPr>
          <w:rFonts w:ascii="Book Antiqua" w:hAnsi="Book Antiqua"/>
          <w:sz w:val="16"/>
          <w:szCs w:val="16"/>
        </w:rPr>
      </w:pPr>
      <w:bookmarkStart w:id="155" w:name="_edn21"/>
      <w:r w:rsidRPr="007F536A">
        <w:rPr>
          <w:rFonts w:ascii="Book Antiqua" w:hAnsi="Book Antiqua"/>
          <w:sz w:val="16"/>
          <w:szCs w:val="16"/>
        </w:rPr>
        <w:t xml:space="preserve">[27] </w:t>
      </w:r>
      <w:bookmarkEnd w:id="155"/>
      <w:r w:rsidRPr="007F536A">
        <w:rPr>
          <w:rFonts w:ascii="Book Antiqua" w:hAnsi="Book Antiqua"/>
          <w:sz w:val="16"/>
          <w:szCs w:val="16"/>
        </w:rPr>
        <w:t xml:space="preserve">S. J. Goldstein, J. D. Trasco, T. J. OGburn III, </w:t>
      </w:r>
      <w:r w:rsidRPr="007F536A">
        <w:rPr>
          <w:rFonts w:ascii="Book Antiqua" w:hAnsi="Book Antiqua"/>
          <w:i/>
          <w:sz w:val="16"/>
          <w:szCs w:val="16"/>
        </w:rPr>
        <w:t xml:space="preserve">Astronomical Journal </w:t>
      </w:r>
      <w:r w:rsidRPr="007F536A">
        <w:rPr>
          <w:rFonts w:ascii="Book Antiqua" w:hAnsi="Book Antiqua"/>
          <w:sz w:val="16"/>
          <w:szCs w:val="16"/>
        </w:rPr>
        <w:t>, Vol.</w:t>
      </w:r>
      <w:r w:rsidRPr="007F536A">
        <w:rPr>
          <w:rFonts w:ascii="Book Antiqua" w:hAnsi="Book Antiqua"/>
          <w:b/>
          <w:sz w:val="16"/>
          <w:szCs w:val="16"/>
        </w:rPr>
        <w:t xml:space="preserve"> 78</w:t>
      </w:r>
      <w:r w:rsidRPr="007F536A">
        <w:rPr>
          <w:rFonts w:ascii="Book Antiqua" w:hAnsi="Book Antiqua"/>
          <w:sz w:val="16"/>
          <w:szCs w:val="16"/>
        </w:rPr>
        <w:t>:1, p. 122, (Feb. 1973).</w:t>
      </w:r>
    </w:p>
    <w:p w:rsidR="00821A88" w:rsidRPr="007F536A" w:rsidRDefault="00821A88" w:rsidP="00821A88">
      <w:pPr>
        <w:pStyle w:val="NoSpacing"/>
        <w:rPr>
          <w:rFonts w:ascii="Book Antiqua" w:hAnsi="Book Antiqua"/>
          <w:sz w:val="16"/>
          <w:szCs w:val="16"/>
        </w:rPr>
      </w:pPr>
      <w:bookmarkStart w:id="156" w:name="_edn22"/>
      <w:r w:rsidRPr="007F536A">
        <w:rPr>
          <w:rFonts w:ascii="Book Antiqua" w:hAnsi="Book Antiqua"/>
          <w:sz w:val="16"/>
          <w:szCs w:val="16"/>
        </w:rPr>
        <w:t xml:space="preserve">[28] </w:t>
      </w:r>
      <w:bookmarkEnd w:id="156"/>
      <w:r w:rsidRPr="007F536A">
        <w:rPr>
          <w:rFonts w:ascii="Book Antiqua" w:hAnsi="Book Antiqua"/>
          <w:sz w:val="16"/>
          <w:szCs w:val="16"/>
        </w:rPr>
        <w:t>Lew Mammel Jr., AT&amp;T Bell Labs, Naperville, Ill. USA, Dec. 2 and Dec. 7, 1983, News Groups: Net Astro. Message ID: &lt;795 ihuxr. UUCP&gt; and &lt;800 ihuxr. UUCP&gt; .</w:t>
      </w:r>
      <w:bookmarkStart w:id="157" w:name="_edn23"/>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[29] A. Bhardwaj and M. Michael in </w:t>
      </w:r>
      <w:r w:rsidRPr="007F536A">
        <w:rPr>
          <w:rFonts w:ascii="Book Antiqua" w:hAnsi="Book Antiqua"/>
          <w:i/>
          <w:sz w:val="16"/>
          <w:szCs w:val="16"/>
        </w:rPr>
        <w:t>Proceedings of the 36</w:t>
      </w:r>
      <w:r w:rsidRPr="007F536A">
        <w:rPr>
          <w:rFonts w:ascii="Book Antiqua" w:hAnsi="Book Antiqua"/>
          <w:i/>
          <w:sz w:val="16"/>
          <w:szCs w:val="16"/>
          <w:vertAlign w:val="superscript"/>
        </w:rPr>
        <w:t>th</w:t>
      </w:r>
      <w:r w:rsidRPr="007F536A">
        <w:rPr>
          <w:rFonts w:ascii="Book Antiqua" w:hAnsi="Book Antiqua"/>
          <w:i/>
          <w:sz w:val="16"/>
          <w:szCs w:val="16"/>
        </w:rPr>
        <w:t xml:space="preserve"> ESLAB Symposium “Earth-like Planets and Moons,”</w:t>
      </w:r>
      <w:r w:rsidRPr="007F536A">
        <w:rPr>
          <w:rFonts w:ascii="Book Antiqua" w:hAnsi="Book Antiqua"/>
          <w:sz w:val="16"/>
          <w:szCs w:val="16"/>
        </w:rPr>
        <w:t xml:space="preserve"> Ed. Bruce Battrick , ESTEC, The Netherlands, ESA SP-514, (June 3-7, 2002).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[30] </w:t>
      </w:r>
      <w:bookmarkEnd w:id="157"/>
      <w:r w:rsidRPr="007F536A">
        <w:rPr>
          <w:rFonts w:ascii="Book Antiqua" w:hAnsi="Book Antiqua"/>
          <w:sz w:val="16"/>
          <w:szCs w:val="16"/>
        </w:rPr>
        <w:t xml:space="preserve">J. B. J. DeLambre, </w:t>
      </w:r>
      <w:r w:rsidRPr="007F536A">
        <w:rPr>
          <w:rStyle w:val="Emphasis"/>
          <w:rFonts w:ascii="Book Antiqua" w:hAnsi="Book Antiqua"/>
          <w:sz w:val="16"/>
          <w:szCs w:val="16"/>
        </w:rPr>
        <w:t>Tables ecliptiques des satellites de Jupiter</w:t>
      </w:r>
      <w:r w:rsidRPr="007F536A">
        <w:rPr>
          <w:rFonts w:ascii="Book Antiqua" w:hAnsi="Book Antiqua"/>
          <w:sz w:val="16"/>
          <w:szCs w:val="16"/>
        </w:rPr>
        <w:t xml:space="preserve">, Paris, 1817; also in </w:t>
      </w:r>
      <w:r w:rsidRPr="007F536A">
        <w:rPr>
          <w:rStyle w:val="Emphasis"/>
          <w:rFonts w:ascii="Book Antiqua" w:hAnsi="Book Antiqua"/>
          <w:b/>
          <w:sz w:val="16"/>
          <w:szCs w:val="16"/>
        </w:rPr>
        <w:t>Histoire de l’astronomie moderne</w:t>
      </w:r>
      <w:r w:rsidRPr="007F536A">
        <w:rPr>
          <w:rFonts w:ascii="Book Antiqua" w:hAnsi="Book Antiqua"/>
          <w:sz w:val="16"/>
          <w:szCs w:val="16"/>
        </w:rPr>
        <w:t>, Vol. II, p. 653, (Paris, 1821),.</w:t>
      </w:r>
    </w:p>
    <w:p w:rsidR="00821A88" w:rsidRPr="007F536A" w:rsidRDefault="00821A88" w:rsidP="00821A88">
      <w:pPr>
        <w:pStyle w:val="NoSpacing"/>
        <w:rPr>
          <w:rFonts w:ascii="Book Antiqua" w:hAnsi="Book Antiqua"/>
          <w:sz w:val="16"/>
          <w:szCs w:val="16"/>
        </w:rPr>
      </w:pPr>
      <w:bookmarkStart w:id="158" w:name="_edn24"/>
      <w:r w:rsidRPr="007F536A">
        <w:rPr>
          <w:rFonts w:ascii="Book Antiqua" w:hAnsi="Book Antiqua"/>
          <w:sz w:val="16"/>
          <w:szCs w:val="16"/>
        </w:rPr>
        <w:t xml:space="preserve">[31] </w:t>
      </w:r>
      <w:bookmarkEnd w:id="158"/>
      <w:r w:rsidRPr="007F536A">
        <w:rPr>
          <w:rFonts w:ascii="Book Antiqua" w:hAnsi="Book Antiqua"/>
          <w:sz w:val="16"/>
          <w:szCs w:val="16"/>
        </w:rPr>
        <w:t xml:space="preserve">S. Newcomb, </w:t>
      </w:r>
      <w:r w:rsidRPr="007F536A">
        <w:rPr>
          <w:rStyle w:val="Emphasis"/>
          <w:rFonts w:ascii="Book Antiqua" w:hAnsi="Book Antiqua"/>
          <w:sz w:val="16"/>
          <w:szCs w:val="16"/>
        </w:rPr>
        <w:t>Nature</w:t>
      </w:r>
      <w:r w:rsidRPr="007F536A">
        <w:rPr>
          <w:rFonts w:ascii="Book Antiqua" w:hAnsi="Book Antiqua"/>
          <w:sz w:val="16"/>
          <w:szCs w:val="16"/>
        </w:rPr>
        <w:t xml:space="preserve">, p. 29, (May 13, 1886). Also C. Boyer, </w:t>
      </w:r>
      <w:r w:rsidRPr="007F536A">
        <w:rPr>
          <w:rStyle w:val="Emphasis"/>
          <w:rFonts w:ascii="Book Antiqua" w:hAnsi="Book Antiqua"/>
          <w:sz w:val="16"/>
          <w:szCs w:val="16"/>
        </w:rPr>
        <w:t>Isis</w:t>
      </w:r>
      <w:r w:rsidRPr="007F536A">
        <w:rPr>
          <w:rFonts w:ascii="Book Antiqua" w:hAnsi="Book Antiqua"/>
          <w:sz w:val="16"/>
          <w:szCs w:val="16"/>
        </w:rPr>
        <w:t xml:space="preserve">, </w:t>
      </w:r>
      <w:r w:rsidRPr="007F536A">
        <w:rPr>
          <w:rFonts w:ascii="Book Antiqua" w:hAnsi="Book Antiqua"/>
          <w:b/>
          <w:sz w:val="16"/>
          <w:szCs w:val="16"/>
        </w:rPr>
        <w:t>33</w:t>
      </w:r>
      <w:r w:rsidRPr="007F536A">
        <w:rPr>
          <w:rFonts w:ascii="Book Antiqua" w:hAnsi="Book Antiqua"/>
          <w:sz w:val="16"/>
          <w:szCs w:val="16"/>
        </w:rPr>
        <w:t>, p. 39, (1941).</w:t>
      </w:r>
    </w:p>
    <w:p w:rsidR="00821A88" w:rsidRPr="007F536A" w:rsidRDefault="00821A88" w:rsidP="00821A88">
      <w:pPr>
        <w:pStyle w:val="NoSpacing"/>
        <w:rPr>
          <w:rFonts w:ascii="Book Antiqua" w:hAnsi="Book Antiqua"/>
          <w:sz w:val="16"/>
          <w:szCs w:val="16"/>
        </w:rPr>
      </w:pPr>
      <w:bookmarkStart w:id="159" w:name="_edn25"/>
      <w:r w:rsidRPr="007F536A">
        <w:rPr>
          <w:rFonts w:ascii="Book Antiqua" w:hAnsi="Book Antiqua"/>
          <w:sz w:val="16"/>
          <w:szCs w:val="16"/>
        </w:rPr>
        <w:t xml:space="preserve">[32] </w:t>
      </w:r>
      <w:bookmarkEnd w:id="159"/>
      <w:r w:rsidRPr="007F536A">
        <w:rPr>
          <w:rFonts w:ascii="Book Antiqua" w:hAnsi="Book Antiqua"/>
          <w:sz w:val="16"/>
          <w:szCs w:val="16"/>
        </w:rPr>
        <w:t xml:space="preserve">S. P. Glazenap (Glasenapp), </w:t>
      </w:r>
      <w:r w:rsidRPr="007F536A">
        <w:rPr>
          <w:rFonts w:ascii="Book Antiqua" w:hAnsi="Book Antiqua"/>
          <w:i/>
          <w:sz w:val="16"/>
          <w:szCs w:val="16"/>
        </w:rPr>
        <w:t>Sravnenie nablyudenii sputnikav Yupitera</w:t>
      </w:r>
      <w:r w:rsidRPr="007F536A">
        <w:rPr>
          <w:rFonts w:ascii="Book Antiqua" w:hAnsi="Book Antiqua"/>
          <w:b/>
          <w:sz w:val="16"/>
          <w:szCs w:val="16"/>
        </w:rPr>
        <w:t xml:space="preserve"> </w:t>
      </w:r>
      <w:r w:rsidRPr="007F536A">
        <w:rPr>
          <w:rFonts w:ascii="Book Antiqua" w:hAnsi="Book Antiqua"/>
          <w:sz w:val="16"/>
          <w:szCs w:val="16"/>
        </w:rPr>
        <w:t>(A Comparative Study of the Observations of Eclipses of Jupiter’s Satellites), Sankt-Petersburg, 1874.</w:t>
      </w:r>
    </w:p>
    <w:p w:rsidR="00821A88" w:rsidRPr="007F536A" w:rsidRDefault="00821A88" w:rsidP="00821A88">
      <w:pPr>
        <w:pStyle w:val="NoSpacing"/>
        <w:rPr>
          <w:rFonts w:ascii="Book Antiqua" w:hAnsi="Book Antiqua"/>
          <w:sz w:val="16"/>
          <w:szCs w:val="16"/>
        </w:rPr>
      </w:pPr>
      <w:bookmarkStart w:id="160" w:name="_edn26"/>
      <w:r w:rsidRPr="007F536A">
        <w:rPr>
          <w:rFonts w:ascii="Book Antiqua" w:hAnsi="Book Antiqua"/>
          <w:sz w:val="16"/>
          <w:szCs w:val="16"/>
        </w:rPr>
        <w:t xml:space="preserve">[33] </w:t>
      </w:r>
      <w:bookmarkEnd w:id="160"/>
      <w:r w:rsidRPr="007F536A">
        <w:rPr>
          <w:rFonts w:ascii="Book Antiqua" w:hAnsi="Book Antiqua"/>
          <w:sz w:val="16"/>
          <w:szCs w:val="16"/>
        </w:rPr>
        <w:t xml:space="preserve">S. Goudsmit, R. Claiborne, eds., </w:t>
      </w:r>
      <w:r w:rsidRPr="007F536A">
        <w:rPr>
          <w:rStyle w:val="Emphasis"/>
          <w:rFonts w:ascii="Book Antiqua" w:hAnsi="Book Antiqua"/>
          <w:b/>
          <w:sz w:val="16"/>
          <w:szCs w:val="16"/>
        </w:rPr>
        <w:t>Time</w:t>
      </w:r>
      <w:r w:rsidRPr="007F536A">
        <w:rPr>
          <w:rFonts w:ascii="Book Antiqua" w:hAnsi="Book Antiqua"/>
          <w:sz w:val="16"/>
          <w:szCs w:val="16"/>
        </w:rPr>
        <w:t>, p. 193, Life Science Library, (1967).</w:t>
      </w:r>
    </w:p>
    <w:p w:rsidR="00821A88" w:rsidRPr="007F536A" w:rsidRDefault="00821A88" w:rsidP="00821A88">
      <w:pPr>
        <w:pStyle w:val="NoSpacing"/>
        <w:rPr>
          <w:rFonts w:ascii="Book Antiqua" w:hAnsi="Book Antiqua"/>
          <w:sz w:val="16"/>
          <w:szCs w:val="16"/>
        </w:rPr>
      </w:pPr>
      <w:bookmarkStart w:id="161" w:name="_edn27"/>
      <w:r w:rsidRPr="007F536A">
        <w:rPr>
          <w:rFonts w:ascii="Book Antiqua" w:hAnsi="Book Antiqua"/>
          <w:sz w:val="16"/>
          <w:szCs w:val="16"/>
        </w:rPr>
        <w:t xml:space="preserve">[34] </w:t>
      </w:r>
      <w:bookmarkEnd w:id="161"/>
      <w:r w:rsidRPr="007F536A">
        <w:rPr>
          <w:rFonts w:ascii="Book Antiqua" w:hAnsi="Book Antiqua"/>
          <w:sz w:val="16"/>
          <w:szCs w:val="16"/>
        </w:rPr>
        <w:t xml:space="preserve">Note: Newcomb in Ref. 31 quotes </w:t>
      </w:r>
      <w:r w:rsidRPr="007F536A">
        <w:rPr>
          <w:rFonts w:ascii="Book Antiqua" w:hAnsi="Book Antiqua"/>
          <w:i/>
          <w:sz w:val="16"/>
          <w:szCs w:val="16"/>
        </w:rPr>
        <w:t>“results between 496 s [seconds] and 501 s could be obtained”</w:t>
      </w:r>
      <w:r w:rsidRPr="007F536A">
        <w:rPr>
          <w:rFonts w:ascii="Book Antiqua" w:hAnsi="Book Antiqua"/>
          <w:sz w:val="16"/>
          <w:szCs w:val="16"/>
        </w:rPr>
        <w:t>. This gives a mean of 498.5 s and c = 300,096 km/s. K.A. Kulikov</w:t>
      </w:r>
      <w:r w:rsidRPr="007F536A">
        <w:rPr>
          <w:rFonts w:ascii="Book Antiqua" w:hAnsi="Book Antiqua"/>
          <w:b/>
          <w:i/>
          <w:sz w:val="16"/>
          <w:szCs w:val="16"/>
        </w:rPr>
        <w:t xml:space="preserve">, </w:t>
      </w:r>
      <w:r w:rsidRPr="007F536A">
        <w:rPr>
          <w:rStyle w:val="Emphasis"/>
          <w:rFonts w:ascii="Book Antiqua" w:hAnsi="Book Antiqua"/>
          <w:sz w:val="16"/>
          <w:szCs w:val="16"/>
        </w:rPr>
        <w:t>Fundamental Constants of Astronomy</w:t>
      </w:r>
      <w:r w:rsidRPr="007F536A">
        <w:rPr>
          <w:rStyle w:val="Emphasis"/>
          <w:rFonts w:ascii="Book Antiqua" w:hAnsi="Book Antiqua"/>
          <w:b/>
          <w:sz w:val="16"/>
          <w:szCs w:val="16"/>
        </w:rPr>
        <w:t>,</w:t>
      </w:r>
      <w:r w:rsidRPr="007F536A">
        <w:rPr>
          <w:rFonts w:ascii="Book Antiqua" w:hAnsi="Book Antiqua"/>
          <w:sz w:val="16"/>
          <w:szCs w:val="16"/>
        </w:rPr>
        <w:t xml:space="preserve"> (translated from Russian and published for NASA by the Israel Program for Scientific Translations, Jerusalem. Original dated Moscow, 1955 ), p. 58, quotes the weighted mean of 498.82 second. This gives a speed of light as 299,904 km/s.</w:t>
      </w:r>
    </w:p>
    <w:p w:rsidR="00821A88" w:rsidRPr="007F536A" w:rsidRDefault="00821A88" w:rsidP="00821A88">
      <w:pPr>
        <w:pStyle w:val="NoSpacing"/>
        <w:rPr>
          <w:rFonts w:ascii="Book Antiqua" w:hAnsi="Book Antiqua"/>
          <w:sz w:val="16"/>
          <w:szCs w:val="16"/>
        </w:rPr>
      </w:pPr>
      <w:bookmarkStart w:id="162" w:name="_edn28"/>
      <w:r w:rsidRPr="007F536A">
        <w:rPr>
          <w:rFonts w:ascii="Book Antiqua" w:hAnsi="Book Antiqua"/>
          <w:sz w:val="16"/>
          <w:szCs w:val="16"/>
        </w:rPr>
        <w:t xml:space="preserve">[35] </w:t>
      </w:r>
      <w:bookmarkEnd w:id="162"/>
      <w:r w:rsidRPr="007F536A">
        <w:rPr>
          <w:rFonts w:ascii="Book Antiqua" w:hAnsi="Book Antiqua"/>
          <w:sz w:val="16"/>
          <w:szCs w:val="16"/>
        </w:rPr>
        <w:t xml:space="preserve">E.T. Whittaker, </w:t>
      </w:r>
      <w:r w:rsidRPr="007F536A">
        <w:rPr>
          <w:rStyle w:val="Emphasis"/>
          <w:rFonts w:ascii="Book Antiqua" w:hAnsi="Book Antiqua"/>
          <w:sz w:val="16"/>
          <w:szCs w:val="16"/>
        </w:rPr>
        <w:t>A History of the Theories of Aether and Electricity…,</w:t>
      </w:r>
      <w:r w:rsidRPr="007F536A">
        <w:rPr>
          <w:rFonts w:ascii="Book Antiqua" w:hAnsi="Book Antiqua"/>
          <w:sz w:val="16"/>
          <w:szCs w:val="16"/>
        </w:rPr>
        <w:t xml:space="preserve"> p. 22, (Dublin, 1910). Also I. B. Cohen, ref. 15, p. 358.</w:t>
      </w:r>
    </w:p>
    <w:p w:rsidR="00821A88" w:rsidRPr="007F536A" w:rsidRDefault="00821A88" w:rsidP="00821A88">
      <w:pPr>
        <w:pStyle w:val="NoSpacing"/>
        <w:rPr>
          <w:rFonts w:ascii="Book Antiqua" w:hAnsi="Book Antiqua"/>
          <w:sz w:val="16"/>
          <w:szCs w:val="16"/>
        </w:rPr>
      </w:pPr>
      <w:bookmarkStart w:id="163" w:name="_edn29"/>
      <w:r w:rsidRPr="007F536A">
        <w:rPr>
          <w:rFonts w:ascii="Book Antiqua" w:hAnsi="Book Antiqua"/>
          <w:sz w:val="16"/>
          <w:szCs w:val="16"/>
        </w:rPr>
        <w:t xml:space="preserve">[36] </w:t>
      </w:r>
      <w:bookmarkEnd w:id="163"/>
      <w:r w:rsidRPr="007F536A">
        <w:rPr>
          <w:rFonts w:ascii="Book Antiqua" w:hAnsi="Book Antiqua"/>
          <w:sz w:val="16"/>
          <w:szCs w:val="16"/>
        </w:rPr>
        <w:t xml:space="preserve">C. Boyer, </w:t>
      </w:r>
      <w:r w:rsidRPr="007F536A">
        <w:rPr>
          <w:rFonts w:ascii="Book Antiqua" w:hAnsi="Book Antiqua"/>
          <w:i/>
          <w:sz w:val="16"/>
          <w:szCs w:val="16"/>
        </w:rPr>
        <w:t>Isis</w:t>
      </w:r>
      <w:r w:rsidRPr="007F536A">
        <w:rPr>
          <w:rFonts w:ascii="Book Antiqua" w:hAnsi="Book Antiqua"/>
          <w:sz w:val="16"/>
          <w:szCs w:val="16"/>
        </w:rPr>
        <w:t xml:space="preserve">, Vol. </w:t>
      </w:r>
      <w:r w:rsidRPr="007F536A">
        <w:rPr>
          <w:rFonts w:ascii="Book Antiqua" w:hAnsi="Book Antiqua"/>
          <w:b/>
          <w:sz w:val="16"/>
          <w:szCs w:val="16"/>
        </w:rPr>
        <w:t>33</w:t>
      </w:r>
      <w:r w:rsidRPr="007F536A">
        <w:rPr>
          <w:rFonts w:ascii="Book Antiqua" w:hAnsi="Book Antiqua"/>
          <w:sz w:val="16"/>
          <w:szCs w:val="16"/>
        </w:rPr>
        <w:t xml:space="preserve">, p. 37, (1941). </w:t>
      </w:r>
    </w:p>
    <w:p w:rsidR="00821A88" w:rsidRPr="007F536A" w:rsidRDefault="00821A88" w:rsidP="00821A88">
      <w:pPr>
        <w:pStyle w:val="NoSpacing"/>
        <w:rPr>
          <w:rFonts w:ascii="Book Antiqua" w:hAnsi="Book Antiqua"/>
          <w:sz w:val="16"/>
          <w:szCs w:val="16"/>
        </w:rPr>
      </w:pPr>
      <w:bookmarkStart w:id="164" w:name="_edn30"/>
      <w:r w:rsidRPr="007F536A">
        <w:rPr>
          <w:rFonts w:ascii="Book Antiqua" w:hAnsi="Book Antiqua"/>
          <w:sz w:val="16"/>
          <w:szCs w:val="16"/>
        </w:rPr>
        <w:t xml:space="preserve">[37] </w:t>
      </w:r>
      <w:bookmarkEnd w:id="164"/>
      <w:r w:rsidRPr="007F536A">
        <w:rPr>
          <w:rFonts w:ascii="Book Antiqua" w:hAnsi="Book Antiqua"/>
          <w:sz w:val="16"/>
          <w:szCs w:val="16"/>
        </w:rPr>
        <w:t>Ibid. p. 38.</w:t>
      </w:r>
    </w:p>
    <w:p w:rsidR="00821A88" w:rsidRPr="007F536A" w:rsidRDefault="00821A88" w:rsidP="00821A88">
      <w:pPr>
        <w:pStyle w:val="NoSpacing"/>
        <w:rPr>
          <w:rFonts w:ascii="Book Antiqua" w:hAnsi="Book Antiqua"/>
          <w:sz w:val="16"/>
          <w:szCs w:val="16"/>
        </w:rPr>
      </w:pPr>
      <w:bookmarkStart w:id="165" w:name="_edn31"/>
      <w:r w:rsidRPr="007F536A">
        <w:rPr>
          <w:rFonts w:ascii="Book Antiqua" w:hAnsi="Book Antiqua"/>
          <w:sz w:val="16"/>
          <w:szCs w:val="16"/>
        </w:rPr>
        <w:t xml:space="preserve">[38] </w:t>
      </w:r>
      <w:bookmarkEnd w:id="165"/>
      <w:r w:rsidRPr="007F536A">
        <w:rPr>
          <w:rFonts w:ascii="Book Antiqua" w:hAnsi="Book Antiqua"/>
          <w:sz w:val="16"/>
          <w:szCs w:val="16"/>
        </w:rPr>
        <w:t>Ibid.</w:t>
      </w:r>
    </w:p>
    <w:p w:rsidR="00821A88" w:rsidRPr="007F536A" w:rsidRDefault="00821A88" w:rsidP="00821A88">
      <w:pPr>
        <w:pStyle w:val="NoSpacing"/>
        <w:rPr>
          <w:rFonts w:ascii="Book Antiqua" w:hAnsi="Book Antiqua"/>
          <w:sz w:val="16"/>
          <w:szCs w:val="16"/>
        </w:rPr>
      </w:pPr>
      <w:bookmarkStart w:id="166" w:name="_edn32"/>
      <w:r w:rsidRPr="007F536A">
        <w:rPr>
          <w:rFonts w:ascii="Book Antiqua" w:hAnsi="Book Antiqua"/>
          <w:sz w:val="16"/>
          <w:szCs w:val="16"/>
        </w:rPr>
        <w:t xml:space="preserve">[39] </w:t>
      </w:r>
      <w:bookmarkEnd w:id="166"/>
      <w:r w:rsidRPr="007F536A">
        <w:rPr>
          <w:rFonts w:ascii="Book Antiqua" w:hAnsi="Book Antiqua"/>
          <w:sz w:val="16"/>
          <w:szCs w:val="16"/>
        </w:rPr>
        <w:t>Ibid.</w:t>
      </w:r>
    </w:p>
    <w:tbl>
      <w:tblPr>
        <w:tblW w:w="10500" w:type="dxa"/>
        <w:tblCellSpacing w:w="7" w:type="dxa"/>
        <w:tblCellMar>
          <w:top w:w="15" w:type="dxa"/>
          <w:left w:w="15" w:type="dxa"/>
          <w:bottom w:w="15" w:type="dxa"/>
          <w:right w:w="15" w:type="dxa"/>
        </w:tblCellMar>
        <w:tblLook w:val="04A0"/>
      </w:tblPr>
      <w:tblGrid>
        <w:gridCol w:w="10500"/>
      </w:tblGrid>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[40] G. Sarton, “Discovery of the Aberration of Light”, </w:t>
            </w:r>
            <w:r w:rsidRPr="007F536A">
              <w:rPr>
                <w:rStyle w:val="Emphasis"/>
                <w:rFonts w:ascii="Book Antiqua" w:hAnsi="Book Antiqua"/>
                <w:sz w:val="16"/>
                <w:szCs w:val="16"/>
              </w:rPr>
              <w:t>Isis</w:t>
            </w:r>
            <w:r w:rsidRPr="007F536A">
              <w:rPr>
                <w:rFonts w:ascii="Book Antiqua" w:hAnsi="Book Antiqua"/>
                <w:sz w:val="16"/>
                <w:szCs w:val="16"/>
              </w:rPr>
              <w:t xml:space="preserve">, Vol. </w:t>
            </w:r>
            <w:r w:rsidRPr="007F536A">
              <w:rPr>
                <w:rFonts w:ascii="Book Antiqua" w:hAnsi="Book Antiqua"/>
                <w:b/>
                <w:sz w:val="16"/>
                <w:szCs w:val="16"/>
              </w:rPr>
              <w:t>16</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p. 233, (1931).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[41] J. B. J. DeLambre, </w:t>
            </w:r>
            <w:r w:rsidRPr="007F536A">
              <w:rPr>
                <w:rFonts w:ascii="Book Antiqua" w:hAnsi="Book Antiqua"/>
                <w:i/>
                <w:sz w:val="16"/>
                <w:szCs w:val="16"/>
              </w:rPr>
              <w:t>Histoire de L’Astronmie Moderne, Vol. II,</w:t>
            </w:r>
            <w:r w:rsidRPr="007F536A">
              <w:rPr>
                <w:rFonts w:ascii="Book Antiqua" w:hAnsi="Book Antiqua"/>
                <w:sz w:val="16"/>
                <w:szCs w:val="16"/>
              </w:rPr>
              <w:t xml:space="preserve"> Paris, p. 616, 1821.</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[42]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pp 639-40. One mss copy is dated Jan. 1, 1729, though it was in the </w:t>
            </w:r>
            <w:r w:rsidRPr="007F536A">
              <w:rPr>
                <w:rStyle w:val="Emphasis"/>
                <w:rFonts w:ascii="Book Antiqua" w:hAnsi="Book Antiqua"/>
                <w:sz w:val="16"/>
                <w:szCs w:val="16"/>
              </w:rPr>
              <w:t>Phil. Trans</w:t>
            </w:r>
            <w:r w:rsidRPr="007F536A">
              <w:rPr>
                <w:rFonts w:ascii="Book Antiqua" w:hAnsi="Book Antiqua"/>
                <w:sz w:val="16"/>
                <w:szCs w:val="16"/>
              </w:rPr>
              <w:t>. For December 1728.</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[43] J. Audouze and G. Israel, editors, </w:t>
            </w:r>
            <w:r w:rsidRPr="007F536A">
              <w:rPr>
                <w:rStyle w:val="Emphasis"/>
                <w:rFonts w:ascii="Book Antiqua" w:hAnsi="Book Antiqua"/>
                <w:sz w:val="16"/>
                <w:szCs w:val="16"/>
              </w:rPr>
              <w:t>Cambridge Atlas of Astronomy</w:t>
            </w:r>
            <w:r w:rsidRPr="007F536A">
              <w:rPr>
                <w:rFonts w:ascii="Book Antiqua" w:hAnsi="Book Antiqua"/>
                <w:sz w:val="16"/>
                <w:szCs w:val="16"/>
              </w:rPr>
              <w:t xml:space="preserve">,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Cambridge University Press, p. 413, (Dec. 1985).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[44] The I.A.U. value in 1984 of K = 20”.496 ± 0.001. Now redefined as</w:t>
            </w:r>
            <w:r w:rsidR="00EB1629">
              <w:rPr>
                <w:rFonts w:ascii="Book Antiqua" w:hAnsi="Book Antiqua"/>
                <w:sz w:val="16"/>
                <w:szCs w:val="16"/>
              </w:rPr>
              <w:t xml:space="preserve"> </w:t>
            </w:r>
            <w:r w:rsidRPr="007F536A">
              <w:rPr>
                <w:rFonts w:ascii="Book Antiqua" w:hAnsi="Book Antiqua"/>
                <w:sz w:val="16"/>
                <w:szCs w:val="16"/>
              </w:rPr>
              <w:t xml:space="preserve"> 20”.49552. With </w:t>
            </w:r>
            <w:r w:rsidRPr="007F536A">
              <w:rPr>
                <w:rStyle w:val="Emphasis"/>
                <w:rFonts w:ascii="Book Antiqua" w:hAnsi="Book Antiqua"/>
                <w:sz w:val="16"/>
                <w:szCs w:val="16"/>
              </w:rPr>
              <w:t>c</w:t>
            </w:r>
            <w:r w:rsidRPr="007F536A">
              <w:rPr>
                <w:rFonts w:ascii="Book Antiqua" w:hAnsi="Book Antiqua"/>
                <w:sz w:val="16"/>
                <w:szCs w:val="16"/>
              </w:rPr>
              <w:t xml:space="preserve"> defined as 299792.458 km/s, this gives Kc = 6144402.</w:t>
            </w:r>
            <w:r w:rsidR="00EB1629">
              <w:rPr>
                <w:rFonts w:ascii="Book Antiqua" w:hAnsi="Book Antiqua"/>
                <w:sz w:val="16"/>
                <w:szCs w:val="16"/>
              </w:rPr>
              <w:t xml:space="preserve"> </w:t>
            </w:r>
            <w:r w:rsidRPr="007F536A">
              <w:rPr>
                <w:rFonts w:ascii="Book Antiqua" w:hAnsi="Book Antiqua"/>
                <w:sz w:val="16"/>
                <w:szCs w:val="16"/>
              </w:rPr>
              <w:t xml:space="preserve"> This value is adopted here to be conservative.</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[45]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w:t>
            </w:r>
            <w:r w:rsidR="00EB1629">
              <w:rPr>
                <w:rFonts w:ascii="Book Antiqua" w:hAnsi="Book Antiqua"/>
                <w:sz w:val="16"/>
                <w:szCs w:val="16"/>
              </w:rPr>
              <w:t xml:space="preserve"> </w:t>
            </w:r>
            <w:r w:rsidRPr="007F536A">
              <w:rPr>
                <w:rFonts w:ascii="Book Antiqua" w:hAnsi="Book Antiqua"/>
                <w:sz w:val="16"/>
                <w:szCs w:val="16"/>
              </w:rPr>
              <w:t>p.653.</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[46] Ibid.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[47]</w:t>
            </w:r>
            <w:bookmarkStart w:id="167" w:name="a1"/>
            <w:bookmarkEnd w:id="167"/>
            <w:r w:rsidRPr="007F536A">
              <w:rPr>
                <w:rFonts w:ascii="Book Antiqua" w:hAnsi="Book Antiqua"/>
                <w:sz w:val="16"/>
                <w:szCs w:val="16"/>
              </w:rPr>
              <w:t xml:space="preserve"> Ibid, pp. 653-655.</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[48</w:t>
            </w:r>
            <w:bookmarkStart w:id="168" w:name="anine"/>
            <w:bookmarkEnd w:id="168"/>
            <w:r w:rsidRPr="007F536A">
              <w:rPr>
                <w:rFonts w:ascii="Book Antiqua" w:hAnsi="Book Antiqua"/>
                <w:sz w:val="16"/>
                <w:szCs w:val="16"/>
              </w:rPr>
              <w:t xml:space="preserve">] K.A. Kulikov, </w:t>
            </w:r>
            <w:r w:rsidRPr="007F536A">
              <w:rPr>
                <w:rStyle w:val="Emphasis"/>
                <w:rFonts w:ascii="Book Antiqua" w:hAnsi="Book Antiqua"/>
                <w:sz w:val="16"/>
                <w:szCs w:val="16"/>
              </w:rPr>
              <w:t>Fundamental Constants of Astronomy</w:t>
            </w:r>
            <w:r w:rsidRPr="007F536A">
              <w:rPr>
                <w:rFonts w:ascii="Book Antiqua" w:hAnsi="Book Antiqua"/>
                <w:sz w:val="16"/>
                <w:szCs w:val="16"/>
              </w:rPr>
              <w:t>, (translated from</w:t>
            </w:r>
            <w:r w:rsidR="00EB1629">
              <w:rPr>
                <w:rFonts w:ascii="Book Antiqua" w:hAnsi="Book Antiqua"/>
                <w:sz w:val="16"/>
                <w:szCs w:val="16"/>
              </w:rPr>
              <w:t xml:space="preserve"> </w:t>
            </w:r>
            <w:r w:rsidRPr="007F536A">
              <w:rPr>
                <w:rFonts w:ascii="Book Antiqua" w:hAnsi="Book Antiqua"/>
                <w:sz w:val="16"/>
                <w:szCs w:val="16"/>
              </w:rPr>
              <w:t>the Russian for NASA by the Israel Program for Scientific Translations),</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original version Moscow, 1955, pp 81-83. Note: If the observations of 20,</w:t>
            </w:r>
            <w:r w:rsidR="00EB1629">
              <w:rPr>
                <w:rFonts w:ascii="Book Antiqua" w:hAnsi="Book Antiqua"/>
                <w:sz w:val="16"/>
                <w:szCs w:val="16"/>
              </w:rPr>
              <w:t xml:space="preserve"> </w:t>
            </w:r>
            <w:r w:rsidRPr="007F536A">
              <w:rPr>
                <w:rFonts w:ascii="Book Antiqua" w:hAnsi="Book Antiqua"/>
                <w:sz w:val="16"/>
                <w:szCs w:val="16"/>
              </w:rPr>
              <w:t>21, 23 February, 1754 are included, Bessel obtained K = 20”.797.</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[49] Ibid</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[50] Kulikov, reference [ 9 ], Table III, No. 15. Errors obtained from a </w:t>
            </w:r>
            <w:r w:rsidR="00EB1629">
              <w:rPr>
                <w:rFonts w:ascii="Book Antiqua" w:hAnsi="Book Antiqua"/>
                <w:sz w:val="16"/>
                <w:szCs w:val="16"/>
              </w:rPr>
              <w:t>c</w:t>
            </w:r>
            <w:r w:rsidRPr="007F536A">
              <w:rPr>
                <w:rFonts w:ascii="Book Antiqua" w:hAnsi="Book Antiqua"/>
                <w:sz w:val="16"/>
                <w:szCs w:val="16"/>
              </w:rPr>
              <w:t xml:space="preserve">omparison of weights.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[51] S. Newcomb, </w:t>
            </w:r>
            <w:r w:rsidRPr="007F536A">
              <w:rPr>
                <w:rFonts w:ascii="Book Antiqua" w:hAnsi="Book Antiqua"/>
                <w:i/>
                <w:sz w:val="16"/>
                <w:szCs w:val="16"/>
              </w:rPr>
              <w:t>Nature</w:t>
            </w:r>
            <w:r w:rsidRPr="007F536A">
              <w:rPr>
                <w:rFonts w:ascii="Book Antiqua" w:hAnsi="Book Antiqua"/>
                <w:sz w:val="16"/>
                <w:szCs w:val="16"/>
              </w:rPr>
              <w:t>, May 13, 1886, p. 30. Also Kulikov, op.cit., p. 83, and Table III, No. 35.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[52</w:t>
            </w:r>
            <w:bookmarkStart w:id="169" w:name="athirteen"/>
            <w:bookmarkEnd w:id="169"/>
            <w:r w:rsidRPr="007F536A">
              <w:rPr>
                <w:rFonts w:ascii="Book Antiqua" w:hAnsi="Book Antiqua"/>
                <w:sz w:val="16"/>
                <w:szCs w:val="16"/>
              </w:rPr>
              <w:t>] Kulikov, reference [ 9 ], p. 84 and Table III, no. 36.</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[53</w:t>
            </w:r>
            <w:bookmarkStart w:id="170" w:name="afourteen"/>
            <w:bookmarkEnd w:id="170"/>
            <w:r w:rsidRPr="007F536A">
              <w:rPr>
                <w:rFonts w:ascii="Book Antiqua" w:hAnsi="Book Antiqua"/>
                <w:sz w:val="16"/>
                <w:szCs w:val="16"/>
              </w:rPr>
              <w:t xml:space="preserve">] E.T. Whittaker, </w:t>
            </w:r>
            <w:r w:rsidRPr="007F536A">
              <w:rPr>
                <w:rStyle w:val="Emphasis"/>
                <w:rFonts w:ascii="Book Antiqua" w:hAnsi="Book Antiqua"/>
                <w:sz w:val="16"/>
                <w:szCs w:val="16"/>
              </w:rPr>
              <w:t>History of Theories of Aether and Electricity</w:t>
            </w:r>
            <w:r w:rsidRPr="007F536A">
              <w:rPr>
                <w:rFonts w:ascii="Book Antiqua" w:hAnsi="Book Antiqua"/>
                <w:sz w:val="16"/>
                <w:szCs w:val="16"/>
              </w:rPr>
              <w:t xml:space="preserve">, Vol. 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 95, Dublin 1910. also Kulikov, reference [ 9 ], p. 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[54</w:t>
            </w:r>
            <w:bookmarkStart w:id="171" w:name="afifteen"/>
            <w:bookmarkEnd w:id="171"/>
            <w:r w:rsidRPr="007F536A">
              <w:rPr>
                <w:rFonts w:ascii="Book Antiqua" w:hAnsi="Book Antiqua"/>
                <w:sz w:val="16"/>
                <w:szCs w:val="16"/>
              </w:rPr>
              <w:t>] S. Newcomb, op.cit. reference [12].</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[55] </w:t>
            </w:r>
            <w:bookmarkStart w:id="172" w:name="asixteen"/>
            <w:bookmarkEnd w:id="172"/>
            <w:r w:rsidRPr="007F536A">
              <w:rPr>
                <w:rFonts w:ascii="Book Antiqua" w:hAnsi="Book Antiqua"/>
                <w:sz w:val="16"/>
                <w:szCs w:val="16"/>
              </w:rPr>
              <w:t>Kulikov, op.cit., Table III, No. 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[56</w:t>
            </w:r>
            <w:bookmarkStart w:id="173" w:name="aseventeen"/>
            <w:bookmarkEnd w:id="173"/>
            <w:r w:rsidRPr="007F536A">
              <w:rPr>
                <w:rFonts w:ascii="Book Antiqua" w:hAnsi="Book Antiqua"/>
                <w:sz w:val="16"/>
                <w:szCs w:val="16"/>
              </w:rPr>
              <w:t xml:space="preserve">] Kulikov, op.cit., p. 85.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[57</w:t>
            </w:r>
            <w:bookmarkStart w:id="174" w:name="aeighteen"/>
            <w:bookmarkEnd w:id="174"/>
            <w:r w:rsidRPr="007F536A">
              <w:rPr>
                <w:rFonts w:ascii="Book Antiqua" w:hAnsi="Book Antiqua"/>
                <w:sz w:val="16"/>
                <w:szCs w:val="16"/>
              </w:rPr>
              <w:t>] S. Newcomb, op.cit.</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[58] Kulikov, op. cit, p.85.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[59] </w:t>
            </w:r>
            <w:bookmarkStart w:id="175" w:name="anineteen"/>
            <w:bookmarkEnd w:id="175"/>
            <w:r w:rsidRPr="007F536A">
              <w:rPr>
                <w:rFonts w:ascii="Book Antiqua" w:hAnsi="Book Antiqua"/>
                <w:sz w:val="16"/>
                <w:szCs w:val="16"/>
              </w:rPr>
              <w:t xml:space="preserve">Taken from Kulikov, op.cit., Table III, p. 191 – 195. Dated values only taken from Table and repeats from Table III Parts 1 and 2 that occur in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Part 3 are omitted. Also four values from Table 10 not listed in Table III have been included.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[60</w:t>
            </w:r>
            <w:bookmarkStart w:id="176" w:name="atwenty"/>
            <w:bookmarkEnd w:id="176"/>
            <w:r w:rsidRPr="007F536A">
              <w:rPr>
                <w:rFonts w:ascii="Book Antiqua" w:hAnsi="Book Antiqua"/>
                <w:sz w:val="16"/>
                <w:szCs w:val="16"/>
              </w:rPr>
              <w:t xml:space="preserve">] See Kulikov, op.cit., pp 88, 92, 93. These values of K are systematically high when compared with the USA results. Nevertheless, as a class,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they still exhibit the feature of </w:t>
            </w:r>
            <w:r w:rsidRPr="007F536A">
              <w:rPr>
                <w:rStyle w:val="Emphasis"/>
                <w:rFonts w:ascii="Book Antiqua" w:hAnsi="Book Antiqua"/>
                <w:sz w:val="16"/>
                <w:szCs w:val="16"/>
              </w:rPr>
              <w:t>c</w:t>
            </w:r>
            <w:r w:rsidRPr="007F536A">
              <w:rPr>
                <w:rFonts w:ascii="Book Antiqua" w:hAnsi="Book Antiqua"/>
                <w:sz w:val="16"/>
                <w:szCs w:val="16"/>
              </w:rPr>
              <w:t xml:space="preserve"> decay, though shifting the </w:t>
            </w:r>
            <w:r w:rsidRPr="007F536A">
              <w:rPr>
                <w:rStyle w:val="Emphasis"/>
                <w:rFonts w:ascii="Book Antiqua" w:hAnsi="Book Antiqua"/>
                <w:sz w:val="16"/>
                <w:szCs w:val="16"/>
              </w:rPr>
              <w:t>c</w:t>
            </w:r>
            <w:r w:rsidRPr="007F536A">
              <w:rPr>
                <w:rFonts w:ascii="Book Antiqua" w:hAnsi="Book Antiqua"/>
                <w:sz w:val="16"/>
                <w:szCs w:val="16"/>
              </w:rPr>
              <w:t xml:space="preserve"> values into a</w:t>
            </w:r>
            <w:r w:rsidR="00EB1629">
              <w:rPr>
                <w:rFonts w:ascii="Book Antiqua" w:hAnsi="Book Antiqua"/>
                <w:sz w:val="16"/>
                <w:szCs w:val="16"/>
              </w:rPr>
              <w:t xml:space="preserve"> </w:t>
            </w:r>
            <w:r w:rsidRPr="007F536A">
              <w:rPr>
                <w:rFonts w:ascii="Book Antiqua" w:hAnsi="Book Antiqua"/>
                <w:sz w:val="16"/>
                <w:szCs w:val="16"/>
              </w:rPr>
              <w:t>lower range of values.</w:t>
            </w:r>
          </w:p>
          <w:p w:rsidR="00821A88" w:rsidRPr="007F536A" w:rsidRDefault="00821A88" w:rsidP="00EB1629">
            <w:pPr>
              <w:pStyle w:val="NoSpacing"/>
              <w:rPr>
                <w:rFonts w:ascii="Book Antiqua" w:hAnsi="Book Antiqua"/>
                <w:sz w:val="16"/>
                <w:szCs w:val="16"/>
              </w:rPr>
            </w:pPr>
            <w:r w:rsidRPr="007F536A">
              <w:rPr>
                <w:rFonts w:ascii="Book Antiqua" w:hAnsi="Book Antiqua"/>
                <w:sz w:val="16"/>
                <w:szCs w:val="16"/>
              </w:rPr>
              <w:t>[61</w:t>
            </w:r>
            <w:bookmarkStart w:id="177" w:name="atwenty1"/>
            <w:bookmarkEnd w:id="177"/>
            <w:r w:rsidRPr="007F536A">
              <w:rPr>
                <w:rFonts w:ascii="Book Antiqua" w:hAnsi="Book Antiqua"/>
                <w:sz w:val="16"/>
                <w:szCs w:val="16"/>
              </w:rPr>
              <w:t xml:space="preserve">] S. Newcomb, </w:t>
            </w:r>
            <w:r w:rsidRPr="007F536A">
              <w:rPr>
                <w:rFonts w:ascii="Book Antiqua" w:hAnsi="Book Antiqua"/>
                <w:i/>
                <w:sz w:val="16"/>
                <w:szCs w:val="16"/>
              </w:rPr>
              <w:t>“The Elements of the Four Inner Planets and the Fundamental Constants of Astronomy</w:t>
            </w:r>
            <w:r w:rsidRPr="007F536A">
              <w:rPr>
                <w:rFonts w:ascii="Book Antiqua" w:hAnsi="Book Antiqua"/>
                <w:sz w:val="16"/>
                <w:szCs w:val="16"/>
              </w:rPr>
              <w:t xml:space="preserve">”, </w:t>
            </w:r>
            <w:r w:rsidRPr="007F536A">
              <w:rPr>
                <w:rStyle w:val="Emphasis"/>
                <w:rFonts w:ascii="Book Antiqua" w:hAnsi="Book Antiqua"/>
                <w:sz w:val="16"/>
                <w:szCs w:val="16"/>
              </w:rPr>
              <w:t>Supplement to the American</w:t>
            </w:r>
            <w:r w:rsidR="00EB1629">
              <w:rPr>
                <w:rStyle w:val="Emphasis"/>
                <w:rFonts w:ascii="Book Antiqua" w:hAnsi="Book Antiqua"/>
                <w:sz w:val="16"/>
                <w:szCs w:val="16"/>
              </w:rPr>
              <w:t xml:space="preserve"> </w:t>
            </w:r>
            <w:r w:rsidRPr="007F536A">
              <w:rPr>
                <w:rStyle w:val="Emphasis"/>
                <w:rFonts w:ascii="Book Antiqua" w:hAnsi="Book Antiqua"/>
                <w:sz w:val="16"/>
                <w:szCs w:val="16"/>
              </w:rPr>
              <w:t>Ephemeris and NauticalAlmanac for 1897</w:t>
            </w:r>
            <w:r w:rsidRPr="007F536A">
              <w:rPr>
                <w:rFonts w:ascii="Book Antiqua" w:hAnsi="Book Antiqua"/>
                <w:sz w:val="16"/>
                <w:szCs w:val="16"/>
              </w:rPr>
              <w:t>, Washington, 1895, p. 136.</w:t>
            </w:r>
            <w:r w:rsidR="00EB1629">
              <w:rPr>
                <w:rFonts w:ascii="Book Antiqua" w:hAnsi="Book Antiqua"/>
                <w:sz w:val="16"/>
                <w:szCs w:val="16"/>
              </w:rPr>
              <w:t xml:space="preserve"> The </w:t>
            </w:r>
            <w:r w:rsidRPr="007F536A">
              <w:rPr>
                <w:rFonts w:ascii="Book Antiqua" w:hAnsi="Book Antiqua"/>
                <w:sz w:val="16"/>
                <w:szCs w:val="16"/>
              </w:rPr>
              <w:t xml:space="preserve"> Aberration values quoted here </w:t>
            </w:r>
            <w:r w:rsidR="00EB1629">
              <w:rPr>
                <w:rFonts w:ascii="Book Antiqua" w:hAnsi="Book Antiqua"/>
                <w:sz w:val="16"/>
                <w:szCs w:val="16"/>
              </w:rPr>
              <w:t xml:space="preserve">also </w:t>
            </w:r>
            <w:r w:rsidRPr="007F536A">
              <w:rPr>
                <w:rFonts w:ascii="Book Antiqua" w:hAnsi="Book Antiqua"/>
                <w:sz w:val="16"/>
                <w:szCs w:val="16"/>
              </w:rPr>
              <w:t>appear in Kulikov’s Table.</w:t>
            </w:r>
          </w:p>
        </w:tc>
      </w:tr>
      <w:tr w:rsidR="00821A88" w:rsidRPr="007F536A" w:rsidTr="00400B4E">
        <w:trPr>
          <w:tblCellSpacing w:w="7" w:type="dxa"/>
        </w:trPr>
        <w:tc>
          <w:tcPr>
            <w:tcW w:w="0" w:type="auto"/>
            <w:vAlign w:val="center"/>
            <w:hideMark/>
          </w:tcPr>
          <w:p w:rsidR="00821A88" w:rsidRPr="007F536A" w:rsidRDefault="00821A88" w:rsidP="00400B4E">
            <w:pPr>
              <w:rPr>
                <w:rFonts w:ascii="Book Antiqua" w:hAnsi="Book Antiqua"/>
                <w:sz w:val="16"/>
                <w:szCs w:val="16"/>
              </w:rPr>
            </w:pPr>
          </w:p>
        </w:tc>
      </w:tr>
    </w:tbl>
    <w:p w:rsidR="00821A88" w:rsidRPr="007F536A" w:rsidRDefault="00821A88" w:rsidP="00821A88">
      <w:pPr>
        <w:pStyle w:val="NoSpacing"/>
        <w:rPr>
          <w:rFonts w:ascii="Book Antiqua" w:hAnsi="Book Antiqua"/>
          <w:sz w:val="16"/>
          <w:szCs w:val="16"/>
        </w:rPr>
      </w:pPr>
      <w:bookmarkStart w:id="178" w:name="aone"/>
      <w:bookmarkEnd w:id="178"/>
      <w:r w:rsidRPr="007F536A">
        <w:rPr>
          <w:rFonts w:ascii="Book Antiqua" w:hAnsi="Book Antiqua"/>
          <w:sz w:val="16"/>
          <w:szCs w:val="16"/>
        </w:rPr>
        <w:t xml:space="preserve">[62]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:90-92, 132 (1849); also E.R. Cohen et. al., </w:t>
      </w:r>
      <w:r w:rsidRPr="007F536A">
        <w:rPr>
          <w:rStyle w:val="Emphasis"/>
          <w:rFonts w:ascii="Book Antiqua" w:hAnsi="Book Antiqua"/>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 xml:space="preserve">27 </w:t>
      </w:r>
      <w:r w:rsidRPr="007F536A">
        <w:rPr>
          <w:rFonts w:ascii="Book Antiqua" w:hAnsi="Book Antiqua"/>
          <w:sz w:val="16"/>
          <w:szCs w:val="16"/>
        </w:rPr>
        <w:t xml:space="preserve">(4), p. 363, (1955). </w:t>
      </w:r>
    </w:p>
    <w:p w:rsidR="00821A88" w:rsidRPr="007F536A" w:rsidRDefault="00821A88" w:rsidP="00821A88">
      <w:pPr>
        <w:pStyle w:val="NoSpacing"/>
        <w:rPr>
          <w:rFonts w:ascii="Book Antiqua" w:hAnsi="Book Antiqua"/>
          <w:sz w:val="16"/>
          <w:szCs w:val="16"/>
        </w:rPr>
      </w:pPr>
      <w:bookmarkStart w:id="179" w:name="atwo"/>
      <w:bookmarkEnd w:id="179"/>
      <w:r w:rsidRPr="007F536A">
        <w:rPr>
          <w:rFonts w:ascii="Book Antiqua" w:hAnsi="Book Antiqua"/>
          <w:sz w:val="16"/>
          <w:szCs w:val="16"/>
        </w:rPr>
        <w:t xml:space="preserve">[63]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0" w:name="athree"/>
      <w:bookmarkEnd w:id="180"/>
      <w:r w:rsidRPr="007F536A">
        <w:rPr>
          <w:rFonts w:ascii="Book Antiqua" w:hAnsi="Book Antiqua"/>
          <w:sz w:val="16"/>
          <w:szCs w:val="16"/>
        </w:rPr>
        <w:t xml:space="preserve">[64 ] K. D. Froome and L. Essen, </w:t>
      </w:r>
      <w:r w:rsidRPr="007F536A">
        <w:rPr>
          <w:rStyle w:val="Emphasis"/>
          <w:rFonts w:ascii="Book Antiqua" w:hAnsi="Book Antiqua"/>
          <w:sz w:val="16"/>
          <w:szCs w:val="16"/>
        </w:rPr>
        <w:t>The Velocity of Light and Radio Waves</w:t>
      </w:r>
      <w:r w:rsidRPr="007F536A">
        <w:rPr>
          <w:rFonts w:ascii="Book Antiqua" w:hAnsi="Book Antiqua"/>
          <w:sz w:val="16"/>
          <w:szCs w:val="16"/>
        </w:rPr>
        <w:t xml:space="preserve">, Academic Press, London, p. 4, (1969). Also Martin and Connor, </w:t>
      </w:r>
      <w:r w:rsidRPr="007F536A">
        <w:rPr>
          <w:rStyle w:val="Emphasis"/>
          <w:rFonts w:ascii="Book Antiqua" w:hAnsi="Book Antiqua"/>
          <w:sz w:val="16"/>
          <w:szCs w:val="16"/>
        </w:rPr>
        <w:t>Basic Physics</w:t>
      </w:r>
      <w:r w:rsidRPr="007F536A">
        <w:rPr>
          <w:rFonts w:ascii="Book Antiqua" w:hAnsi="Book Antiqua"/>
          <w:sz w:val="16"/>
          <w:szCs w:val="16"/>
        </w:rPr>
        <w:t>, Vol. 3, p. 1377,  (Whitcomb and Tombs, Melbourne, 1958).</w:t>
      </w:r>
    </w:p>
    <w:p w:rsidR="00821A88" w:rsidRPr="007F536A" w:rsidRDefault="00821A88" w:rsidP="00821A88">
      <w:pPr>
        <w:pStyle w:val="NoSpacing"/>
        <w:rPr>
          <w:rFonts w:ascii="Book Antiqua" w:hAnsi="Book Antiqua"/>
          <w:sz w:val="16"/>
          <w:szCs w:val="16"/>
        </w:rPr>
      </w:pPr>
      <w:bookmarkStart w:id="181" w:name="afour"/>
      <w:bookmarkEnd w:id="181"/>
      <w:r w:rsidRPr="007F536A">
        <w:rPr>
          <w:rFonts w:ascii="Book Antiqua" w:hAnsi="Book Antiqua"/>
          <w:sz w:val="16"/>
          <w:szCs w:val="16"/>
        </w:rPr>
        <w:t xml:space="preserve">[65] Froome and Essen, op. cit., p. 4. Also Martin and Connor, op. cit., p. 1378. Also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xml:space="preserve">, Supp. x, Sept. 30, 1927 in quoting an article from </w:t>
      </w:r>
      <w:r w:rsidRPr="007F536A">
        <w:rPr>
          <w:rStyle w:val="Emphasis"/>
          <w:rFonts w:ascii="Book Antiqua" w:hAnsi="Book Antiqua"/>
          <w:sz w:val="16"/>
          <w:szCs w:val="16"/>
        </w:rPr>
        <w:t>L’Astronomie</w:t>
      </w:r>
      <w:r w:rsidRPr="007F536A">
        <w:rPr>
          <w:rFonts w:ascii="Book Antiqua" w:hAnsi="Book Antiqua"/>
          <w:sz w:val="16"/>
          <w:szCs w:val="16"/>
        </w:rPr>
        <w:t>, no exact reference given.</w:t>
      </w:r>
    </w:p>
    <w:p w:rsidR="00821A88" w:rsidRPr="007F536A" w:rsidRDefault="00821A88" w:rsidP="00821A88">
      <w:pPr>
        <w:pStyle w:val="NoSpacing"/>
        <w:rPr>
          <w:rFonts w:ascii="Book Antiqua" w:hAnsi="Book Antiqua"/>
          <w:sz w:val="16"/>
          <w:szCs w:val="16"/>
        </w:rPr>
      </w:pPr>
      <w:bookmarkStart w:id="182" w:name="afive"/>
      <w:bookmarkEnd w:id="182"/>
      <w:r w:rsidRPr="007F536A">
        <w:rPr>
          <w:rFonts w:ascii="Book Antiqua" w:hAnsi="Book Antiqua"/>
          <w:sz w:val="16"/>
          <w:szCs w:val="16"/>
        </w:rPr>
        <w:t xml:space="preserve">[66]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:90-92, 132 (1849); Also, Gheury de Bray,</w:t>
      </w:r>
      <w:r w:rsidRPr="007F536A">
        <w:rPr>
          <w:rFonts w:ascii="Book Antiqua" w:hAnsi="Book Antiqua"/>
          <w:i/>
          <w:sz w:val="16"/>
          <w:szCs w:val="16"/>
        </w:rPr>
        <w:t xml:space="preserve"> 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xml:space="preserve">, p. 603, (October 22, 1927). Also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3" w:name="asix"/>
      <w:bookmarkEnd w:id="183"/>
      <w:r w:rsidRPr="007F536A">
        <w:rPr>
          <w:rFonts w:ascii="Book Antiqua" w:hAnsi="Book Antiqua"/>
          <w:sz w:val="16"/>
          <w:szCs w:val="16"/>
        </w:rPr>
        <w:t xml:space="preserve">[67]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op. cit. Also Dorsey, op. cit. Note: W. Harkness, </w:t>
      </w:r>
      <w:r w:rsidRPr="007F536A">
        <w:rPr>
          <w:rFonts w:ascii="Book Antiqua" w:hAnsi="Book Antiqua"/>
          <w:i/>
          <w:sz w:val="16"/>
          <w:szCs w:val="16"/>
        </w:rPr>
        <w:t>“Washington Observations for 1885 Appendix III”</w:t>
      </w:r>
      <w:r w:rsidRPr="007F536A">
        <w:rPr>
          <w:rFonts w:ascii="Book Antiqua" w:hAnsi="Book Antiqua"/>
          <w:sz w:val="16"/>
          <w:szCs w:val="16"/>
        </w:rPr>
        <w:t xml:space="preserve"> p. 29 lists this value erroneously as an </w:t>
      </w:r>
      <w:r w:rsidRPr="007F536A">
        <w:rPr>
          <w:rStyle w:val="Emphasis"/>
          <w:rFonts w:ascii="Book Antiqua" w:hAnsi="Book Antiqua"/>
          <w:sz w:val="16"/>
          <w:szCs w:val="16"/>
        </w:rPr>
        <w:t>in vacuo</w:t>
      </w:r>
      <w:r w:rsidRPr="007F536A">
        <w:rPr>
          <w:rFonts w:ascii="Book Antiqua" w:hAnsi="Book Antiqua"/>
          <w:sz w:val="16"/>
          <w:szCs w:val="16"/>
        </w:rPr>
        <w:t xml:space="preserve"> result. </w:t>
      </w:r>
    </w:p>
    <w:p w:rsidR="00821A88" w:rsidRPr="007F536A" w:rsidRDefault="00821A88" w:rsidP="00821A88">
      <w:pPr>
        <w:pStyle w:val="NoSpacing"/>
        <w:rPr>
          <w:rFonts w:ascii="Book Antiqua" w:hAnsi="Book Antiqua"/>
          <w:sz w:val="16"/>
          <w:szCs w:val="16"/>
        </w:rPr>
      </w:pPr>
      <w:bookmarkStart w:id="184" w:name="aseven"/>
      <w:bookmarkEnd w:id="184"/>
      <w:r w:rsidRPr="007F536A">
        <w:rPr>
          <w:rFonts w:ascii="Book Antiqua" w:hAnsi="Book Antiqua"/>
          <w:sz w:val="16"/>
          <w:szCs w:val="16"/>
        </w:rPr>
        <w:t xml:space="preserve">[68] Anon,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Supp. x, Sept. 30, 1927. No exact reference quoted.</w:t>
      </w:r>
    </w:p>
    <w:p w:rsidR="00821A88" w:rsidRPr="007F536A" w:rsidRDefault="00821A88" w:rsidP="00821A88">
      <w:pPr>
        <w:pStyle w:val="NoSpacing"/>
        <w:rPr>
          <w:rFonts w:ascii="Book Antiqua" w:hAnsi="Book Antiqua"/>
          <w:sz w:val="16"/>
          <w:szCs w:val="16"/>
        </w:rPr>
      </w:pPr>
      <w:bookmarkStart w:id="185" w:name="aneight"/>
      <w:bookmarkEnd w:id="185"/>
      <w:r w:rsidRPr="007F536A">
        <w:rPr>
          <w:rFonts w:ascii="Book Antiqua" w:hAnsi="Book Antiqua"/>
          <w:sz w:val="16"/>
          <w:szCs w:val="16"/>
        </w:rPr>
        <w:t xml:space="preserve">[69] A. Cornu, </w:t>
      </w:r>
      <w:r w:rsidRPr="007F536A">
        <w:rPr>
          <w:rStyle w:val="Emphasis"/>
          <w:rFonts w:ascii="Book Antiqua" w:hAnsi="Book Antiqua"/>
          <w:sz w:val="16"/>
          <w:szCs w:val="16"/>
        </w:rPr>
        <w:t>Journal de L’Ecole Polytechnique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:133-180,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[70]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 298, footnote, (1876).</w:t>
      </w:r>
    </w:p>
    <w:p w:rsidR="00821A88" w:rsidRPr="007F536A" w:rsidRDefault="00821A88" w:rsidP="00821A88">
      <w:pPr>
        <w:pStyle w:val="NoSpacing"/>
        <w:rPr>
          <w:rFonts w:ascii="Book Antiqua" w:hAnsi="Book Antiqua"/>
          <w:sz w:val="16"/>
          <w:szCs w:val="16"/>
        </w:rPr>
      </w:pPr>
      <w:bookmarkStart w:id="186" w:name="aten"/>
      <w:bookmarkEnd w:id="186"/>
      <w:r w:rsidRPr="007F536A">
        <w:rPr>
          <w:rFonts w:ascii="Book Antiqua" w:hAnsi="Book Antiqua"/>
          <w:sz w:val="16"/>
          <w:szCs w:val="16"/>
        </w:rPr>
        <w:t xml:space="preserve">[71] M. E. J. Gheury de Bray, </w:t>
      </w:r>
      <w:r w:rsidRPr="007F536A">
        <w:rPr>
          <w:rFonts w:ascii="Book Antiqua" w:hAnsi="Book Antiqua"/>
          <w:i/>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603 Note (3), (October 22,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[72]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15,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[73] N. E. Dorsey, ibid. p. 16. Also Gheury de Bray, reference [10],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[74]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w:t>
      </w:r>
      <w:r w:rsidRPr="007F536A">
        <w:rPr>
          <w:rFonts w:ascii="Book Antiqua" w:hAnsi="Book Antiqua"/>
          <w:b/>
          <w:sz w:val="16"/>
          <w:szCs w:val="16"/>
        </w:rPr>
        <w:t>. 13</w:t>
      </w:r>
      <w:r w:rsidRPr="007F536A">
        <w:rPr>
          <w:rFonts w:ascii="Book Antiqua" w:hAnsi="Book Antiqua"/>
          <w:sz w:val="16"/>
          <w:szCs w:val="16"/>
        </w:rPr>
        <w:t xml:space="preserve">, p. A 298, footnote, (1876). Also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(1874), p. 1361. Also N. E. Dorsey, reference [11], pp 18, 19.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[75]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p. 1363,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[76</w:t>
      </w:r>
      <w:hyperlink r:id="rId130" w:anchor="fifteen" w:history="1"/>
      <w:r w:rsidRPr="007F536A">
        <w:rPr>
          <w:rFonts w:ascii="Book Antiqua" w:hAnsi="Book Antiqua"/>
          <w:sz w:val="16"/>
          <w:szCs w:val="16"/>
        </w:rPr>
        <w:t xml:space="preserve"> ]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xml:space="preserve">, p. A 293, , (1876). Also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New Series, Vol. XXXIV, Part 1, pp 34, 35, ( October, 1944) lists it as 300,340 km/s.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[77]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A266, (1876).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[78] F. R. Helmert, </w:t>
      </w:r>
      <w:r w:rsidRPr="007F536A">
        <w:rPr>
          <w:rStyle w:val="Emphasis"/>
          <w:rFonts w:ascii="Book Antiqua" w:hAnsi="Book Antiqua"/>
          <w:sz w:val="16"/>
          <w:szCs w:val="16"/>
        </w:rPr>
        <w:t>Astronomische Nachrichten</w:t>
      </w:r>
      <w:r w:rsidRPr="007F536A">
        <w:rPr>
          <w:rFonts w:ascii="Book Antiqua" w:hAnsi="Book Antiqua"/>
          <w:sz w:val="16"/>
          <w:szCs w:val="16"/>
        </w:rPr>
        <w:t>,</w:t>
      </w:r>
      <w:r w:rsidRPr="007F536A">
        <w:rPr>
          <w:rFonts w:ascii="Book Antiqua" w:hAnsi="Book Antiqua"/>
          <w:b/>
          <w:sz w:val="16"/>
          <w:szCs w:val="16"/>
        </w:rPr>
        <w:t xml:space="preserve"> 87</w:t>
      </w:r>
      <w:r w:rsidRPr="007F536A">
        <w:rPr>
          <w:rFonts w:ascii="Book Antiqua" w:hAnsi="Book Antiqua"/>
          <w:sz w:val="16"/>
          <w:szCs w:val="16"/>
        </w:rPr>
        <w:t xml:space="preserve"> (2072), pp. 123-124, (1876).</w:t>
      </w:r>
    </w:p>
    <w:p w:rsidR="00821A88" w:rsidRPr="007F536A" w:rsidRDefault="00821A88" w:rsidP="00821A88">
      <w:pPr>
        <w:pStyle w:val="NoSpacing"/>
        <w:rPr>
          <w:rFonts w:ascii="Book Antiqua" w:hAnsi="Book Antiqua"/>
          <w:sz w:val="16"/>
          <w:szCs w:val="16"/>
        </w:rPr>
      </w:pPr>
      <w:bookmarkStart w:id="187" w:name="aneighteen"/>
      <w:bookmarkEnd w:id="187"/>
      <w:r w:rsidRPr="007F536A">
        <w:rPr>
          <w:rFonts w:ascii="Book Antiqua" w:hAnsi="Book Antiqua"/>
          <w:sz w:val="16"/>
          <w:szCs w:val="16"/>
        </w:rPr>
        <w:t xml:space="preserve">[79]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pp. 17, 95, eqn. (103),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[80]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xml:space="preserve">, pp225-227. The probable error was estimated by Todd,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3rd series, Vol. </w:t>
      </w:r>
      <w:r w:rsidRPr="007F536A">
        <w:rPr>
          <w:rFonts w:ascii="Book Antiqua" w:hAnsi="Book Antiqua"/>
          <w:b/>
          <w:sz w:val="16"/>
          <w:szCs w:val="16"/>
        </w:rPr>
        <w:t>19</w:t>
      </w:r>
      <w:r w:rsidRPr="007F536A">
        <w:rPr>
          <w:rFonts w:ascii="Book Antiqua" w:hAnsi="Book Antiqua"/>
          <w:sz w:val="16"/>
          <w:szCs w:val="16"/>
        </w:rPr>
        <w:t>, p. 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[81] N. E. Dorsey, op.cit., p. 36.</w:t>
      </w:r>
    </w:p>
    <w:p w:rsidR="00821A88" w:rsidRPr="007F536A" w:rsidRDefault="00821A88" w:rsidP="00821A88">
      <w:pPr>
        <w:pStyle w:val="NoSpacing"/>
        <w:rPr>
          <w:rFonts w:ascii="Book Antiqua" w:hAnsi="Book Antiqua"/>
          <w:sz w:val="16"/>
          <w:szCs w:val="16"/>
        </w:rPr>
      </w:pPr>
      <w:bookmarkStart w:id="188" w:name="a21"/>
      <w:bookmarkEnd w:id="188"/>
      <w:r w:rsidRPr="007F536A">
        <w:rPr>
          <w:rFonts w:ascii="Book Antiqua" w:hAnsi="Book Antiqua"/>
          <w:sz w:val="16"/>
          <w:szCs w:val="16"/>
        </w:rPr>
        <w:t xml:space="preserve">[82]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(1891) p. 202.</w:t>
      </w:r>
    </w:p>
    <w:p w:rsidR="00821A88" w:rsidRPr="007F536A" w:rsidRDefault="00821A88" w:rsidP="00821A88">
      <w:pPr>
        <w:pStyle w:val="NoSpacing"/>
        <w:rPr>
          <w:rFonts w:ascii="Book Antiqua" w:hAnsi="Book Antiqua"/>
          <w:sz w:val="16"/>
          <w:szCs w:val="16"/>
        </w:rPr>
      </w:pPr>
      <w:bookmarkStart w:id="189" w:name="a22"/>
      <w:bookmarkEnd w:id="189"/>
      <w:r w:rsidRPr="007F536A">
        <w:rPr>
          <w:rFonts w:ascii="Book Antiqua" w:hAnsi="Book Antiqua"/>
          <w:sz w:val="16"/>
          <w:szCs w:val="16"/>
        </w:rPr>
        <w:t xml:space="preserve">[83] A. A. Michelson, </w:t>
      </w:r>
      <w:r w:rsidRPr="007F536A">
        <w:rPr>
          <w:rFonts w:ascii="Book Antiqua" w:hAnsi="Book Antiqua"/>
          <w:i/>
          <w:sz w:val="16"/>
          <w:szCs w:val="16"/>
        </w:rPr>
        <w:t>Decennial Publications of the University of Chicago</w:t>
      </w:r>
      <w:r w:rsidRPr="007F536A">
        <w:rPr>
          <w:rFonts w:ascii="Book Antiqua" w:hAnsi="Book Antiqua"/>
          <w:sz w:val="16"/>
          <w:szCs w:val="16"/>
        </w:rPr>
        <w:t xml:space="preserve">, Vol. </w:t>
      </w:r>
      <w:r w:rsidRPr="007F536A">
        <w:rPr>
          <w:rFonts w:ascii="Book Antiqua" w:hAnsi="Book Antiqua"/>
          <w:b/>
          <w:sz w:val="16"/>
          <w:szCs w:val="16"/>
        </w:rPr>
        <w:t>9</w:t>
      </w:r>
      <w:r w:rsidRPr="007F536A">
        <w:rPr>
          <w:rFonts w:ascii="Book Antiqua" w:hAnsi="Book Antiqua"/>
          <w:sz w:val="16"/>
          <w:szCs w:val="16"/>
        </w:rPr>
        <w:t xml:space="preserve">, (1902) p. 6. Also N. E. Dorsey, op.cit., pp 76-79.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[84] A. A. Michelson, </w:t>
      </w:r>
      <w:r w:rsidRPr="007F536A">
        <w:rPr>
          <w:rFonts w:ascii="Book Antiqua" w:hAnsi="Book Antiqua"/>
          <w:i/>
          <w:sz w:val="16"/>
          <w:szCs w:val="16"/>
        </w:rPr>
        <w:t>Phil. Mag</w:t>
      </w:r>
      <w:r w:rsidRPr="007F536A">
        <w:rPr>
          <w:rFonts w:ascii="Book Antiqua" w:hAnsi="Book Antiqua"/>
          <w:sz w:val="16"/>
          <w:szCs w:val="16"/>
        </w:rPr>
        <w:t>., 6th series, Vol. 3, p. 334, (1902).</w:t>
      </w:r>
    </w:p>
    <w:p w:rsidR="00821A88" w:rsidRPr="007F536A" w:rsidRDefault="00821A88" w:rsidP="00821A88">
      <w:pPr>
        <w:pStyle w:val="NoSpacing"/>
        <w:rPr>
          <w:rFonts w:ascii="Book Antiqua" w:hAnsi="Book Antiqua"/>
          <w:sz w:val="16"/>
          <w:szCs w:val="16"/>
        </w:rPr>
      </w:pPr>
      <w:bookmarkStart w:id="190" w:name="a23"/>
      <w:bookmarkEnd w:id="190"/>
      <w:r w:rsidRPr="007F536A">
        <w:rPr>
          <w:rFonts w:ascii="Book Antiqua" w:hAnsi="Book Antiqua"/>
          <w:sz w:val="16"/>
          <w:szCs w:val="16"/>
        </w:rPr>
        <w:t xml:space="preserve">[85]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Dec. 6, 1924, p. 831.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1" w:name="a24"/>
      <w:bookmarkEnd w:id="191"/>
      <w:r w:rsidRPr="007F536A">
        <w:rPr>
          <w:rFonts w:ascii="Book Antiqua" w:hAnsi="Book Antiqua"/>
          <w:sz w:val="16"/>
          <w:szCs w:val="16"/>
        </w:rPr>
        <w:t xml:space="preserve">[86]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p. 119, (1891).</w:t>
      </w:r>
    </w:p>
    <w:p w:rsidR="00821A88" w:rsidRPr="007F536A" w:rsidRDefault="00821A88" w:rsidP="00821A88">
      <w:pPr>
        <w:pStyle w:val="NoSpacing"/>
        <w:rPr>
          <w:rFonts w:ascii="Book Antiqua" w:hAnsi="Book Antiqua"/>
          <w:sz w:val="16"/>
          <w:szCs w:val="16"/>
        </w:rPr>
      </w:pPr>
      <w:bookmarkStart w:id="192" w:name="a25"/>
      <w:bookmarkEnd w:id="192"/>
      <w:r w:rsidRPr="007F536A">
        <w:rPr>
          <w:rFonts w:ascii="Book Antiqua" w:hAnsi="Book Antiqua"/>
          <w:sz w:val="16"/>
          <w:szCs w:val="16"/>
        </w:rPr>
        <w:t xml:space="preserve">[87]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p. 229.</w:t>
      </w:r>
    </w:p>
    <w:p w:rsidR="00821A88" w:rsidRPr="007F536A" w:rsidRDefault="00821A88" w:rsidP="00821A88">
      <w:pPr>
        <w:pStyle w:val="NoSpacing"/>
        <w:rPr>
          <w:rFonts w:ascii="Book Antiqua" w:hAnsi="Book Antiqua"/>
          <w:sz w:val="16"/>
          <w:szCs w:val="16"/>
        </w:rPr>
      </w:pPr>
      <w:bookmarkStart w:id="193" w:name="a26"/>
      <w:bookmarkEnd w:id="193"/>
      <w:r w:rsidRPr="007F536A">
        <w:rPr>
          <w:rFonts w:ascii="Book Antiqua" w:hAnsi="Book Antiqua"/>
          <w:sz w:val="16"/>
          <w:szCs w:val="16"/>
        </w:rPr>
        <w:t xml:space="preserve">[88] R. T. Birge, </w:t>
      </w:r>
      <w:r w:rsidRPr="007F536A">
        <w:rPr>
          <w:rFonts w:ascii="Book Antiqua" w:hAnsi="Book Antiqua"/>
          <w:i/>
          <w:sz w:val="16"/>
          <w:szCs w:val="16"/>
        </w:rPr>
        <w:t>Reports on Progress 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p.99, (1941).</w:t>
      </w:r>
    </w:p>
    <w:p w:rsidR="00821A88" w:rsidRPr="007F536A" w:rsidRDefault="00821A88" w:rsidP="00821A88">
      <w:pPr>
        <w:pStyle w:val="NoSpacing"/>
        <w:rPr>
          <w:rFonts w:ascii="Book Antiqua" w:hAnsi="Book Antiqua"/>
          <w:sz w:val="16"/>
          <w:szCs w:val="16"/>
        </w:rPr>
      </w:pPr>
      <w:bookmarkStart w:id="194" w:name="a27"/>
      <w:bookmarkEnd w:id="194"/>
      <w:r w:rsidRPr="007F536A">
        <w:rPr>
          <w:rFonts w:ascii="Book Antiqua" w:hAnsi="Book Antiqua"/>
          <w:sz w:val="16"/>
          <w:szCs w:val="16"/>
        </w:rPr>
        <w:t>[89] N. E. Dorsey, op.cit., p. 4.</w:t>
      </w:r>
    </w:p>
    <w:p w:rsidR="00821A88" w:rsidRPr="007F536A" w:rsidRDefault="00821A88" w:rsidP="00821A88">
      <w:pPr>
        <w:pStyle w:val="NoSpacing"/>
        <w:rPr>
          <w:rFonts w:ascii="Book Antiqua" w:hAnsi="Book Antiqua"/>
          <w:sz w:val="16"/>
          <w:szCs w:val="16"/>
        </w:rPr>
      </w:pPr>
      <w:bookmarkStart w:id="195" w:name="a28"/>
      <w:bookmarkEnd w:id="195"/>
      <w:r w:rsidRPr="007F536A">
        <w:rPr>
          <w:rFonts w:ascii="Book Antiqua" w:hAnsi="Book Antiqua"/>
          <w:sz w:val="16"/>
          <w:szCs w:val="16"/>
        </w:rPr>
        <w:t xml:space="preserve">[90] J. Young, G. Forbes, “Experimental determination of the velocity of white and coloured light,” </w:t>
      </w:r>
      <w:r w:rsidRPr="007F536A">
        <w:rPr>
          <w:rStyle w:val="Emphasis"/>
          <w:rFonts w:ascii="Book Antiqua" w:hAnsi="Book Antiqua"/>
          <w:sz w:val="16"/>
          <w:szCs w:val="16"/>
        </w:rPr>
        <w:t>Phil. Trans</w:t>
      </w:r>
      <w:r w:rsidRPr="007F536A">
        <w:rPr>
          <w:rFonts w:ascii="Book Antiqua" w:hAnsi="Book Antiqua"/>
          <w:sz w:val="16"/>
          <w:szCs w:val="16"/>
        </w:rPr>
        <w:t>., vol.</w:t>
      </w:r>
      <w:r w:rsidRPr="007F536A">
        <w:rPr>
          <w:rFonts w:ascii="Book Antiqua" w:hAnsi="Book Antiqua"/>
          <w:b/>
          <w:sz w:val="16"/>
          <w:szCs w:val="16"/>
        </w:rPr>
        <w:t xml:space="preserve"> 173:1</w:t>
      </w:r>
      <w:r w:rsidRPr="007F536A">
        <w:rPr>
          <w:rFonts w:ascii="Book Antiqua" w:hAnsi="Book Antiqua"/>
          <w:sz w:val="16"/>
          <w:szCs w:val="16"/>
        </w:rPr>
        <w:t>, p. 231-289, (1882) .</w:t>
      </w:r>
    </w:p>
    <w:p w:rsidR="00821A88" w:rsidRPr="007F536A" w:rsidRDefault="00821A88" w:rsidP="00821A88">
      <w:pPr>
        <w:pStyle w:val="NoSpacing"/>
        <w:rPr>
          <w:rFonts w:ascii="Book Antiqua" w:hAnsi="Book Antiqua"/>
          <w:sz w:val="16"/>
          <w:szCs w:val="16"/>
        </w:rPr>
      </w:pPr>
      <w:bookmarkStart w:id="196" w:name="a29"/>
      <w:bookmarkEnd w:id="196"/>
      <w:r w:rsidRPr="007F536A">
        <w:rPr>
          <w:rFonts w:ascii="Book Antiqua" w:hAnsi="Book Antiqua"/>
          <w:sz w:val="16"/>
          <w:szCs w:val="16"/>
        </w:rPr>
        <w:t xml:space="preserve">[91]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7" w:name="a30"/>
      <w:bookmarkEnd w:id="197"/>
      <w:r w:rsidRPr="007F536A">
        <w:rPr>
          <w:rFonts w:ascii="Book Antiqua" w:hAnsi="Book Antiqua"/>
          <w:sz w:val="16"/>
          <w:szCs w:val="16"/>
        </w:rPr>
        <w:t xml:space="preserve">[92]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pp A1-A98, (1908).</w:t>
      </w:r>
    </w:p>
    <w:p w:rsidR="00821A88" w:rsidRPr="007F536A" w:rsidRDefault="00821A88" w:rsidP="00821A88">
      <w:pPr>
        <w:pStyle w:val="NoSpacing"/>
        <w:rPr>
          <w:rFonts w:ascii="Book Antiqua" w:hAnsi="Book Antiqua"/>
          <w:sz w:val="16"/>
          <w:szCs w:val="16"/>
        </w:rPr>
      </w:pPr>
      <w:bookmarkStart w:id="198" w:name="a31"/>
      <w:bookmarkEnd w:id="198"/>
      <w:r w:rsidRPr="007F536A">
        <w:rPr>
          <w:rFonts w:ascii="Book Antiqua" w:hAnsi="Book Antiqua"/>
          <w:sz w:val="16"/>
          <w:szCs w:val="16"/>
        </w:rPr>
        <w:t>[93] Ibid. Tableau III, See also Dorsey, op.cit., pp 40-41.</w:t>
      </w:r>
    </w:p>
    <w:p w:rsidR="00821A88" w:rsidRPr="007F536A" w:rsidRDefault="00821A88" w:rsidP="00821A88">
      <w:pPr>
        <w:pStyle w:val="NoSpacing"/>
        <w:rPr>
          <w:rFonts w:ascii="Book Antiqua" w:hAnsi="Book Antiqua"/>
          <w:sz w:val="16"/>
          <w:szCs w:val="16"/>
        </w:rPr>
      </w:pPr>
      <w:bookmarkStart w:id="199" w:name="a32"/>
      <w:bookmarkEnd w:id="199"/>
      <w:r w:rsidRPr="007F536A">
        <w:rPr>
          <w:rFonts w:ascii="Book Antiqua" w:hAnsi="Book Antiqua"/>
          <w:sz w:val="16"/>
          <w:szCs w:val="16"/>
        </w:rPr>
        <w:t>[94] See Dorsey, op.cit., p. 37, for comparison of equipment.</w:t>
      </w:r>
    </w:p>
    <w:p w:rsidR="00821A88" w:rsidRPr="007F536A" w:rsidRDefault="00821A88" w:rsidP="00821A88">
      <w:pPr>
        <w:pStyle w:val="NoSpacing"/>
        <w:rPr>
          <w:rFonts w:ascii="Book Antiqua" w:hAnsi="Book Antiqua"/>
          <w:sz w:val="16"/>
          <w:szCs w:val="16"/>
        </w:rPr>
      </w:pPr>
      <w:bookmarkStart w:id="200" w:name="a33"/>
      <w:bookmarkEnd w:id="200"/>
      <w:r w:rsidRPr="007F536A">
        <w:rPr>
          <w:rFonts w:ascii="Book Antiqua" w:hAnsi="Book Antiqua"/>
          <w:sz w:val="16"/>
          <w:szCs w:val="16"/>
        </w:rPr>
        <w:t xml:space="preserve">[95]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131</w:t>
      </w:r>
      <w:r w:rsidRPr="007F536A">
        <w:rPr>
          <w:rFonts w:ascii="Book Antiqua" w:hAnsi="Book Antiqua"/>
          <w:sz w:val="16"/>
          <w:szCs w:val="16"/>
        </w:rPr>
        <w:t xml:space="preserve">, p. 731, (1900). </w:t>
      </w:r>
    </w:p>
    <w:p w:rsidR="00821A88" w:rsidRPr="007F536A" w:rsidRDefault="00821A88" w:rsidP="00821A88">
      <w:pPr>
        <w:pStyle w:val="NoSpacing"/>
        <w:rPr>
          <w:rFonts w:ascii="Book Antiqua" w:hAnsi="Book Antiqua"/>
          <w:sz w:val="16"/>
          <w:szCs w:val="16"/>
        </w:rPr>
      </w:pPr>
      <w:bookmarkStart w:id="201" w:name="a34"/>
      <w:bookmarkEnd w:id="201"/>
      <w:r w:rsidRPr="007F536A">
        <w:rPr>
          <w:rFonts w:ascii="Book Antiqua" w:hAnsi="Book Antiqua"/>
          <w:sz w:val="16"/>
          <w:szCs w:val="16"/>
        </w:rPr>
        <w:t xml:space="preserve">[96]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135</w:t>
      </w:r>
      <w:r w:rsidRPr="007F536A">
        <w:rPr>
          <w:rFonts w:ascii="Book Antiqua" w:hAnsi="Book Antiqua"/>
          <w:sz w:val="16"/>
          <w:szCs w:val="16"/>
        </w:rPr>
        <w:t>, p. 881, (1902).</w:t>
      </w:r>
    </w:p>
    <w:p w:rsidR="00821A88" w:rsidRPr="007F536A" w:rsidRDefault="00821A88" w:rsidP="00821A88">
      <w:pPr>
        <w:pStyle w:val="NoSpacing"/>
        <w:rPr>
          <w:rFonts w:ascii="Book Antiqua" w:hAnsi="Book Antiqua"/>
          <w:sz w:val="16"/>
          <w:szCs w:val="16"/>
        </w:rPr>
      </w:pPr>
      <w:bookmarkStart w:id="202" w:name="a35"/>
      <w:bookmarkEnd w:id="202"/>
      <w:r w:rsidRPr="007F536A">
        <w:rPr>
          <w:rFonts w:ascii="Book Antiqua" w:hAnsi="Book Antiqua"/>
          <w:sz w:val="16"/>
          <w:szCs w:val="16"/>
        </w:rPr>
        <w:t>[ 97] Ibid. p. 883.</w:t>
      </w:r>
    </w:p>
    <w:p w:rsidR="00821A88" w:rsidRPr="007F536A" w:rsidRDefault="00821A88" w:rsidP="00821A88">
      <w:pPr>
        <w:pStyle w:val="NoSpacing"/>
        <w:rPr>
          <w:rFonts w:ascii="Book Antiqua" w:hAnsi="Book Antiqua"/>
          <w:sz w:val="16"/>
          <w:szCs w:val="16"/>
        </w:rPr>
      </w:pPr>
      <w:bookmarkStart w:id="203" w:name="a36"/>
      <w:bookmarkEnd w:id="203"/>
      <w:r w:rsidRPr="007F536A">
        <w:rPr>
          <w:rFonts w:ascii="Book Antiqua" w:hAnsi="Book Antiqua"/>
          <w:sz w:val="16"/>
          <w:szCs w:val="16"/>
        </w:rPr>
        <w:t xml:space="preserve">[98] Dorsey, op.cit., p. 37.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1927, pp. 603-604.</w:t>
      </w:r>
    </w:p>
    <w:p w:rsidR="00821A88" w:rsidRPr="007F536A" w:rsidRDefault="00821A88" w:rsidP="00821A88">
      <w:pPr>
        <w:pStyle w:val="NoSpacing"/>
        <w:rPr>
          <w:rFonts w:ascii="Book Antiqua" w:hAnsi="Book Antiqua"/>
          <w:sz w:val="16"/>
          <w:szCs w:val="16"/>
        </w:rPr>
      </w:pPr>
      <w:bookmarkStart w:id="204" w:name="a37"/>
      <w:bookmarkEnd w:id="204"/>
      <w:r w:rsidRPr="007F536A">
        <w:rPr>
          <w:rFonts w:ascii="Book Antiqua" w:hAnsi="Book Antiqua"/>
          <w:sz w:val="16"/>
          <w:szCs w:val="16"/>
        </w:rPr>
        <w:t xml:space="preserve">[99]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 pp. A1-A98, (1908).</w:t>
      </w:r>
    </w:p>
    <w:p w:rsidR="00821A88" w:rsidRPr="007F536A" w:rsidRDefault="00821A88" w:rsidP="00821A88">
      <w:pPr>
        <w:pStyle w:val="NoSpacing"/>
        <w:rPr>
          <w:rFonts w:ascii="Book Antiqua" w:hAnsi="Book Antiqua"/>
          <w:sz w:val="16"/>
          <w:szCs w:val="16"/>
        </w:rPr>
      </w:pPr>
      <w:bookmarkStart w:id="205" w:name="a38"/>
      <w:bookmarkEnd w:id="205"/>
      <w:r w:rsidRPr="007F536A">
        <w:rPr>
          <w:rFonts w:ascii="Book Antiqua" w:hAnsi="Book Antiqua"/>
          <w:sz w:val="16"/>
          <w:szCs w:val="16"/>
        </w:rPr>
        <w:t xml:space="preserve">[100]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p. 831, (Dec. 6, 1924). See also M. E. J. Gheury de Bray, </w:t>
      </w:r>
      <w:r w:rsidRPr="007F536A">
        <w:rPr>
          <w:rStyle w:val="Emphasis"/>
          <w:rFonts w:ascii="Book Antiqua" w:hAnsi="Book Antiqua"/>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604, (Oct. 22, 1927) .</w:t>
      </w:r>
    </w:p>
    <w:p w:rsidR="00821A88" w:rsidRPr="007F536A" w:rsidRDefault="00821A88" w:rsidP="00821A88">
      <w:pPr>
        <w:pStyle w:val="NoSpacing"/>
        <w:rPr>
          <w:rFonts w:ascii="Book Antiqua" w:hAnsi="Book Antiqua"/>
          <w:sz w:val="16"/>
          <w:szCs w:val="16"/>
        </w:rPr>
      </w:pPr>
      <w:bookmarkStart w:id="206" w:name="a39"/>
      <w:bookmarkEnd w:id="206"/>
      <w:r w:rsidRPr="007F536A">
        <w:rPr>
          <w:rFonts w:ascii="Book Antiqua" w:hAnsi="Book Antiqua"/>
          <w:sz w:val="16"/>
          <w:szCs w:val="16"/>
        </w:rPr>
        <w:t xml:space="preserve">[101]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p. 603, (1927), quoting H. Fizeau,</w:t>
      </w:r>
      <w:r w:rsidRPr="007F536A">
        <w:rPr>
          <w:rFonts w:ascii="Book Antiqua" w:hAnsi="Book Antiqua"/>
          <w:i/>
          <w:sz w:val="16"/>
          <w:szCs w:val="16"/>
        </w:rPr>
        <w:t xml:space="preserve"> </w:t>
      </w:r>
      <w:r w:rsidRPr="007F536A">
        <w:rPr>
          <w:rStyle w:val="Emphasis"/>
          <w:rFonts w:ascii="Book Antiqua" w:hAnsi="Book Antiqua"/>
          <w:sz w:val="16"/>
          <w:szCs w:val="16"/>
        </w:rPr>
        <w:t>Comptus Rendus</w:t>
      </w:r>
      <w:r w:rsidRPr="007F536A">
        <w:rPr>
          <w:rFonts w:ascii="Book Antiqua" w:hAnsi="Book Antiqua"/>
          <w:b/>
          <w:i/>
          <w:sz w:val="16"/>
          <w:szCs w:val="16"/>
        </w:rPr>
        <w:t xml:space="preserve"> </w:t>
      </w:r>
      <w:r w:rsidRPr="007F536A">
        <w:rPr>
          <w:rFonts w:ascii="Book Antiqua" w:hAnsi="Book Antiqua"/>
          <w:b/>
          <w:sz w:val="16"/>
          <w:szCs w:val="16"/>
        </w:rPr>
        <w:t>29</w:t>
      </w:r>
      <w:r w:rsidRPr="007F536A">
        <w:rPr>
          <w:rFonts w:ascii="Book Antiqua" w:hAnsi="Book Antiqua"/>
          <w:sz w:val="16"/>
          <w:szCs w:val="16"/>
        </w:rPr>
        <w:t>:90 (1849).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[102] C. Wheatstone,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583 (1834).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[103] F. A. Jenkins and H. E. White, </w:t>
      </w:r>
      <w:r w:rsidRPr="007F536A">
        <w:rPr>
          <w:rStyle w:val="Emphasis"/>
          <w:rFonts w:ascii="Book Antiqua" w:hAnsi="Book Antiqua"/>
          <w:sz w:val="16"/>
          <w:szCs w:val="16"/>
        </w:rPr>
        <w:t>Fundamentals of Optics</w:t>
      </w:r>
      <w:r w:rsidRPr="007F536A">
        <w:rPr>
          <w:rFonts w:ascii="Book Antiqua" w:hAnsi="Book Antiqua"/>
          <w:i/>
          <w:sz w:val="16"/>
          <w:szCs w:val="16"/>
        </w:rPr>
        <w:t>,</w:t>
      </w:r>
      <w:r w:rsidRPr="007F536A">
        <w:rPr>
          <w:rFonts w:ascii="Book Antiqua" w:hAnsi="Book Antiqua"/>
          <w:sz w:val="16"/>
          <w:szCs w:val="16"/>
        </w:rPr>
        <w:t xml:space="preserve"> pp 387, 388, 554, McGraw-Hill,  New York, 3rd Edition,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[104] S. G. Starling &amp; A. J. Woodall, </w:t>
      </w:r>
      <w:r w:rsidRPr="007F536A">
        <w:rPr>
          <w:rStyle w:val="Emphasis"/>
          <w:rFonts w:ascii="Book Antiqua" w:hAnsi="Book Antiqua"/>
          <w:b/>
          <w:sz w:val="16"/>
          <w:szCs w:val="16"/>
        </w:rPr>
        <w:t>Physics</w:t>
      </w:r>
      <w:r w:rsidRPr="007F536A">
        <w:rPr>
          <w:rFonts w:ascii="Book Antiqua" w:hAnsi="Book Antiqua"/>
          <w:sz w:val="16"/>
          <w:szCs w:val="16"/>
        </w:rPr>
        <w:t>, p. 691, Longmans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[105] D. F. J. Arago,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7</w:t>
      </w:r>
      <w:r w:rsidRPr="007F536A">
        <w:rPr>
          <w:rFonts w:ascii="Book Antiqua" w:hAnsi="Book Antiqua"/>
          <w:sz w:val="16"/>
          <w:szCs w:val="16"/>
        </w:rPr>
        <w:t xml:space="preserve">:954 (1838) and </w:t>
      </w:r>
      <w:r w:rsidRPr="007F536A">
        <w:rPr>
          <w:rFonts w:ascii="Book Antiqua" w:hAnsi="Book Antiqua"/>
          <w:b/>
          <w:sz w:val="16"/>
          <w:szCs w:val="16"/>
        </w:rPr>
        <w:t>30</w:t>
      </w:r>
      <w:r w:rsidRPr="007F536A">
        <w:rPr>
          <w:rFonts w:ascii="Book Antiqua" w:hAnsi="Book Antiqua"/>
          <w:sz w:val="16"/>
          <w:szCs w:val="16"/>
        </w:rPr>
        <w:t>:489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Also  </w:t>
      </w:r>
      <w:r w:rsidRPr="007F536A">
        <w:rPr>
          <w:rStyle w:val="Emphasis"/>
          <w:rFonts w:ascii="Book Antiqua" w:hAnsi="Book Antiqua"/>
          <w:sz w:val="16"/>
          <w:szCs w:val="16"/>
        </w:rPr>
        <w:t>Pogg. Ann</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:28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[106] L. Foucault,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xml:space="preserve">:551-560 (1850), also </w:t>
      </w:r>
      <w:r w:rsidRPr="007F536A">
        <w:rPr>
          <w:rStyle w:val="Emphasis"/>
          <w:rFonts w:ascii="Book Antiqua" w:hAnsi="Book Antiqua"/>
          <w:sz w:val="16"/>
          <w:szCs w:val="16"/>
        </w:rPr>
        <w:t>Annales</w:t>
      </w:r>
      <w:r w:rsidR="00EB1629">
        <w:rPr>
          <w:rStyle w:val="Emphasis"/>
          <w:rFonts w:ascii="Book Antiqua" w:hAnsi="Book Antiqua"/>
          <w:sz w:val="16"/>
          <w:szCs w:val="16"/>
        </w:rPr>
        <w:t xml:space="preserve"> </w:t>
      </w:r>
      <w:r w:rsidRPr="007F536A">
        <w:rPr>
          <w:rStyle w:val="Emphasis"/>
          <w:rFonts w:ascii="Book Antiqua" w:hAnsi="Book Antiqua"/>
          <w:sz w:val="16"/>
          <w:szCs w:val="16"/>
        </w:rPr>
        <w:t>de Chmie et Physique</w:t>
      </w:r>
      <w:r w:rsidRPr="007F536A">
        <w:rPr>
          <w:rFonts w:ascii="Book Antiqua" w:hAnsi="Book Antiqua"/>
          <w:sz w:val="16"/>
          <w:szCs w:val="16"/>
        </w:rPr>
        <w:t xml:space="preserve">, Ser. 3, </w:t>
      </w:r>
      <w:r w:rsidRPr="007F536A">
        <w:rPr>
          <w:rFonts w:ascii="Book Antiqua" w:hAnsi="Book Antiqua"/>
          <w:b/>
          <w:sz w:val="16"/>
          <w:szCs w:val="16"/>
        </w:rPr>
        <w:t>41</w:t>
      </w:r>
      <w:r w:rsidRPr="007F536A">
        <w:rPr>
          <w:rFonts w:ascii="Book Antiqua" w:hAnsi="Book Antiqua"/>
          <w:sz w:val="16"/>
          <w:szCs w:val="16"/>
        </w:rPr>
        <w:t>:129-164 (1854).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[107]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Vol. XXXIV, Part 1, pp 1-108,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[108]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pp. 219-226, Paris (1878). Numerical data, drawings and detailed description of apparatus: pp 173-226, 517-518, 546-548.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[109] L. Foucault, Comptus Rendus, </w:t>
      </w:r>
      <w:r w:rsidRPr="007F536A">
        <w:rPr>
          <w:rFonts w:ascii="Book Antiqua" w:hAnsi="Book Antiqua"/>
          <w:b/>
          <w:sz w:val="16"/>
          <w:szCs w:val="16"/>
        </w:rPr>
        <w:t>55</w:t>
      </w:r>
      <w:r w:rsidRPr="007F536A">
        <w:rPr>
          <w:rFonts w:ascii="Book Antiqua" w:hAnsi="Book Antiqua"/>
          <w:sz w:val="16"/>
          <w:szCs w:val="16"/>
        </w:rPr>
        <w:t>:501-503, 792-798 (1862).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[110] A. A. Michelson, Studies in Optics, pp 120-138, Chicago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[111] Starling and Woodall, op. cit., p. 448.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[112]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 pp 792-796, (Paris,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[113]  See also Dorsey, op.cit., pp 13-14 for other details.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[114] M.E.J.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603, Oct 22,1927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[115] W. Harkness, </w:t>
      </w:r>
      <w:r w:rsidRPr="007F536A">
        <w:rPr>
          <w:rStyle w:val="Emphasis"/>
          <w:rFonts w:ascii="Book Antiqua" w:hAnsi="Book Antiqua"/>
          <w:sz w:val="16"/>
          <w:szCs w:val="16"/>
        </w:rPr>
        <w:t>Washington Observations for 1885</w:t>
      </w:r>
      <w:r w:rsidRPr="007F536A">
        <w:rPr>
          <w:rFonts w:ascii="Book Antiqua" w:hAnsi="Book Antiqua"/>
          <w:sz w:val="16"/>
          <w:szCs w:val="16"/>
        </w:rPr>
        <w:t>, App. III, p. 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[116] Bulletin of the Astronomical Society of South Australia, September 1967. Also full manuscript now available on the net at:</w:t>
      </w:r>
    </w:p>
    <w:p w:rsidR="00821A88" w:rsidRPr="007F536A" w:rsidRDefault="00241D2F" w:rsidP="00821A88">
      <w:pPr>
        <w:pStyle w:val="NoSpacing"/>
        <w:rPr>
          <w:rFonts w:ascii="Book Antiqua" w:hAnsi="Book Antiqua"/>
          <w:color w:val="FF0000"/>
          <w:sz w:val="16"/>
          <w:szCs w:val="16"/>
        </w:rPr>
      </w:pPr>
      <w:hyperlink r:id="rId131" w:history="1">
        <w:r w:rsidR="00821A88" w:rsidRPr="007F536A">
          <w:rPr>
            <w:rStyle w:val="Hyperlink"/>
            <w:rFonts w:ascii="Book Antiqua" w:hAnsi="Book Antiqua"/>
            <w:i/>
            <w:szCs w:val="16"/>
          </w:rPr>
          <w:t>http://www.setterfield.org/Dodwell_Manuscript_1.html</w:t>
        </w:r>
      </w:hyperlink>
      <w:r w:rsidR="00821A88" w:rsidRPr="007F536A">
        <w:rPr>
          <w:rFonts w:ascii="Book Antiqua" w:hAnsi="Book Antiqua"/>
          <w:sz w:val="16"/>
          <w:szCs w:val="16"/>
        </w:rPr>
        <w:t xml:space="preserve">. Also in preparation the book by G. F. Dodwell, </w:t>
      </w:r>
      <w:r w:rsidR="00821A88" w:rsidRPr="007F536A">
        <w:rPr>
          <w:rFonts w:ascii="Book Antiqua" w:hAnsi="Book Antiqua"/>
          <w:i/>
          <w:sz w:val="16"/>
          <w:szCs w:val="16"/>
        </w:rPr>
        <w:t>Our Tilted Earth</w:t>
      </w:r>
      <w:r w:rsidR="00821A88" w:rsidRPr="007F536A">
        <w:rPr>
          <w:rFonts w:ascii="Book Antiqua" w:hAnsi="Book Antiqua"/>
          <w:sz w:val="16"/>
          <w:szCs w:val="16"/>
        </w:rPr>
        <w:t>, ready for publication by Loma Linda University Press, Christmas 2012.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[117] S. Newcomb, Astronomical Papers for the American Ephemeris, Vol. 2, pp 107-230,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[118] N. E. Dorsey, op.cit.,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[119] Ibid. p. 53.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[120] S. Newcomb, op.cit., p. 192.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[121] Ibid. pp 168, 185.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[122] Ibid. Also see Dorsey, op.cit., p. 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[123] Dorsey op.cit. p. 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[124] S. Newcomb op.cit., pp 201-202; also M.E.J. Gheury de</w:t>
      </w:r>
      <w:r w:rsidR="00EB1629">
        <w:rPr>
          <w:rFonts w:ascii="Book Antiqua" w:hAnsi="Book Antiqua"/>
          <w:sz w:val="16"/>
          <w:szCs w:val="16"/>
        </w:rPr>
        <w:t xml:space="preserve"> </w:t>
      </w:r>
      <w:r w:rsidRPr="007F536A">
        <w:rPr>
          <w:rFonts w:ascii="Book Antiqua" w:hAnsi="Book Antiqua"/>
          <w:sz w:val="16"/>
          <w:szCs w:val="16"/>
        </w:rPr>
        <w:t>Bray, op.cit.,  p. 604.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[125] Jenkins and White, op.cit., pp 244-245.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[126] A.A. Michelson, </w:t>
      </w:r>
      <w:r w:rsidRPr="007F536A">
        <w:rPr>
          <w:rStyle w:val="Emphasis"/>
          <w:rFonts w:ascii="Book Antiqua" w:hAnsi="Book Antiqua"/>
          <w:sz w:val="16"/>
          <w:szCs w:val="16"/>
        </w:rPr>
        <w:t>Procedures of the American Association for the Advancement of Science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 xml:space="preserve">:71-77 (1878). Also </w:t>
      </w:r>
      <w:r w:rsidRPr="007F536A">
        <w:rPr>
          <w:rStyle w:val="Emphasis"/>
          <w:rFonts w:ascii="Book Antiqua" w:hAnsi="Book Antiqua"/>
          <w:sz w:val="16"/>
          <w:szCs w:val="16"/>
        </w:rPr>
        <w:t>American Journal of Science</w:t>
      </w:r>
      <w:r w:rsidRPr="007F536A">
        <w:rPr>
          <w:rFonts w:ascii="Book Antiqua" w:hAnsi="Book Antiqua"/>
          <w:sz w:val="16"/>
          <w:szCs w:val="16"/>
        </w:rPr>
        <w:t>,  Ser. 3, 15:394-395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[127] Dorsey, op. 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[128]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115-116,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[129] Ibid. p. 128.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[130] Ibid, comparison of pp 116, 124, 128, 132.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[131] Dorsey op.cit., p. 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[132]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141,144,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[133]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 244,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[134] Dorsey, op.cit. p. 63.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[135]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3, p. 119, footnote,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[136] D. P. Todd, </w:t>
      </w:r>
      <w:r w:rsidRPr="007F536A">
        <w:rPr>
          <w:rFonts w:ascii="Book Antiqua" w:hAnsi="Book Antiqua"/>
          <w:i/>
          <w:sz w:val="16"/>
          <w:szCs w:val="16"/>
        </w:rPr>
        <w:t>American Journal of Science</w:t>
      </w:r>
      <w:r w:rsidRPr="007F536A">
        <w:rPr>
          <w:rFonts w:ascii="Book Antiqua" w:hAnsi="Book Antiqua"/>
          <w:sz w:val="16"/>
          <w:szCs w:val="16"/>
        </w:rPr>
        <w:t>, series 3, 19:61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[ 137 ] A. A. Michelson, </w:t>
      </w:r>
      <w:r w:rsidRPr="007F536A">
        <w:rPr>
          <w:rStyle w:val="Emphasis"/>
          <w:rFonts w:ascii="Book Antiqua" w:hAnsi="Book Antiqua"/>
          <w:sz w:val="16"/>
          <w:szCs w:val="16"/>
        </w:rPr>
        <w:t xml:space="preserve">Procedures of the American Association for the Advancement of Science, </w:t>
      </w:r>
      <w:r w:rsidRPr="007F536A">
        <w:rPr>
          <w:rFonts w:ascii="Book Antiqua" w:hAnsi="Book Antiqua"/>
          <w:sz w:val="16"/>
          <w:szCs w:val="16"/>
        </w:rPr>
        <w:t>28:124-160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[138]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series 3, </w:t>
      </w:r>
      <w:r w:rsidRPr="007F536A">
        <w:rPr>
          <w:rFonts w:ascii="Book Antiqua" w:hAnsi="Book Antiqua"/>
          <w:b/>
          <w:sz w:val="16"/>
          <w:szCs w:val="16"/>
        </w:rPr>
        <w:t>18</w:t>
      </w:r>
      <w:r w:rsidRPr="007F536A">
        <w:rPr>
          <w:rFonts w:ascii="Book Antiqua" w:hAnsi="Book Antiqua"/>
          <w:sz w:val="16"/>
          <w:szCs w:val="16"/>
        </w:rPr>
        <w:t>:390-393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[139]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pp 231-258, (1891). See also Dorsey, op.cit., pp 64-66.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[140] A. Cornu, </w:t>
      </w:r>
      <w:r w:rsidRPr="007F536A">
        <w:rPr>
          <w:rStyle w:val="Emphasis"/>
          <w:rFonts w:ascii="Book Antiqua" w:hAnsi="Book Antiqua"/>
          <w:sz w:val="16"/>
          <w:szCs w:val="16"/>
        </w:rPr>
        <w:t>Rapp. Cong. Internat. De Physique (Paris)</w:t>
      </w:r>
      <w:r w:rsidRPr="007F536A">
        <w:rPr>
          <w:rFonts w:ascii="Book Antiqua" w:hAnsi="Book Antiqua"/>
          <w:sz w:val="16"/>
          <w:szCs w:val="16"/>
        </w:rPr>
        <w:t>, 2:225-246 (1900).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[141] A. A. Michelson, astrophysical Journal, 60:256-261 (1924), especially p. 259.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[142]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:107-230 (1891), especially Chapter VIII.</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[143] A. A. Michelson, </w:t>
      </w:r>
      <w:r w:rsidRPr="007F536A">
        <w:rPr>
          <w:rStyle w:val="Emphasis"/>
          <w:rFonts w:ascii="Book Antiqua" w:hAnsi="Book Antiqua"/>
          <w:sz w:val="16"/>
          <w:szCs w:val="16"/>
        </w:rPr>
        <w:t>Astrophysical Journal</w:t>
      </w:r>
      <w:r w:rsidRPr="007F536A">
        <w:rPr>
          <w:rFonts w:ascii="Book Antiqua" w:hAnsi="Book Antiqua"/>
          <w:sz w:val="16"/>
          <w:szCs w:val="16"/>
        </w:rPr>
        <w:t>, 65:1-22 (1927), quoting Major W. Bowie’s report, p. 14.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[144] Michelson called 144 feet 44 meters instead of 43.9 meters, and</w:t>
      </w:r>
      <w:r w:rsidR="00EB1629">
        <w:rPr>
          <w:rFonts w:ascii="Book Antiqua" w:hAnsi="Book Antiqua"/>
          <w:sz w:val="16"/>
          <w:szCs w:val="16"/>
        </w:rPr>
        <w:t xml:space="preserve"> </w:t>
      </w:r>
      <w:r w:rsidRPr="007F536A">
        <w:rPr>
          <w:rFonts w:ascii="Book Antiqua" w:hAnsi="Book Antiqua"/>
          <w:sz w:val="16"/>
          <w:szCs w:val="16"/>
        </w:rPr>
        <w:t xml:space="preserve"> Dorsey somehow gets 35,426.18 meters out of these figures, which does not compute. Gheury de Bray (see [13]), quotes survey distance only.</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[145] A. 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60</w:t>
      </w:r>
      <w:r w:rsidRPr="007F536A">
        <w:rPr>
          <w:rFonts w:ascii="Book Antiqua" w:hAnsi="Book Antiqua"/>
          <w:sz w:val="16"/>
          <w:szCs w:val="16"/>
        </w:rPr>
        <w:t xml:space="preserve">:256-261 (1924). Also </w:t>
      </w:r>
      <w:r w:rsidRPr="007F536A">
        <w:rPr>
          <w:rStyle w:val="Emphasis"/>
          <w:rFonts w:ascii="Book Antiqua" w:hAnsi="Book Antiqua"/>
          <w:sz w:val="16"/>
          <w:szCs w:val="16"/>
        </w:rPr>
        <w:t>Journal of the Franklin Institute</w:t>
      </w:r>
      <w:r w:rsidRPr="007F536A">
        <w:rPr>
          <w:rFonts w:ascii="Book Antiqua" w:hAnsi="Book Antiqua"/>
          <w:sz w:val="16"/>
          <w:szCs w:val="16"/>
        </w:rPr>
        <w:t>,</w:t>
      </w:r>
      <w:r w:rsidRPr="007F536A">
        <w:rPr>
          <w:rFonts w:ascii="Book Antiqua" w:hAnsi="Book Antiqua"/>
          <w:b/>
          <w:sz w:val="16"/>
          <w:szCs w:val="16"/>
        </w:rPr>
        <w:t xml:space="preserve"> 198</w:t>
      </w:r>
      <w:r w:rsidRPr="007F536A">
        <w:rPr>
          <w:rFonts w:ascii="Book Antiqua" w:hAnsi="Book Antiqua"/>
          <w:sz w:val="16"/>
          <w:szCs w:val="16"/>
        </w:rPr>
        <w:t xml:space="preserve">:627-628 (1924). Also </w:t>
      </w:r>
      <w:r w:rsidRPr="007F536A">
        <w:rPr>
          <w:rStyle w:val="Emphasis"/>
          <w:rFonts w:ascii="Book Antiqua" w:hAnsi="Book Antiqua"/>
          <w:sz w:val="16"/>
          <w:szCs w:val="16"/>
        </w:rPr>
        <w:t>Nature</w:t>
      </w:r>
      <w:r w:rsidRPr="007F536A">
        <w:rPr>
          <w:rFonts w:ascii="Book Antiqua" w:hAnsi="Book Antiqua"/>
          <w:sz w:val="16"/>
          <w:szCs w:val="16"/>
        </w:rPr>
        <w:t>,</w:t>
      </w:r>
      <w:r w:rsidRPr="007F536A">
        <w:rPr>
          <w:rFonts w:ascii="Book Antiqua" w:hAnsi="Book Antiqua"/>
          <w:b/>
          <w:sz w:val="16"/>
          <w:szCs w:val="16"/>
        </w:rPr>
        <w:t xml:space="preserve"> 114</w:t>
      </w:r>
      <w:r w:rsidRPr="007F536A">
        <w:rPr>
          <w:rFonts w:ascii="Book Antiqua" w:hAnsi="Book Antiqua"/>
          <w:sz w:val="16"/>
          <w:szCs w:val="16"/>
        </w:rPr>
        <w:t xml:space="preserve">:831 (1924). Also information from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:1-22 (1927). See also Dorsey, op.cit., pp 66-69.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[146] A.A.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[147] Dorsey, op.cit., P. 69 c.f. 70.</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[148] Description in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 xml:space="preserve">:1-22 (1927).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[ 149 ] R.T. Birge, </w:t>
      </w:r>
      <w:r w:rsidRPr="007F536A">
        <w:rPr>
          <w:rFonts w:ascii="Book Antiqua" w:hAnsi="Book Antiqua"/>
          <w:i/>
          <w:sz w:val="16"/>
          <w:szCs w:val="16"/>
        </w:rPr>
        <w:t>Reports on Progress in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 94,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[150] Jenkins and White, op. cit., p. 389; Gheury de Bray, ref. [13],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[151] Dorsey, op.cit.,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[152] Michelson, Pease, Pearson,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82</w:t>
      </w:r>
      <w:r w:rsidRPr="007F536A">
        <w:rPr>
          <w:rFonts w:ascii="Book Antiqua" w:hAnsi="Book Antiqua"/>
          <w:sz w:val="16"/>
          <w:szCs w:val="16"/>
        </w:rPr>
        <w:t>:26-61 (1935).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[153] R.T. Birge, op,cit., p. 95.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[154] E.R. Cohen, et. al., </w:t>
      </w:r>
      <w:r w:rsidRPr="007F536A">
        <w:rPr>
          <w:rStyle w:val="Emphasis"/>
          <w:rFonts w:ascii="Book Antiqua" w:hAnsi="Book Antiqua"/>
          <w:sz w:val="16"/>
          <w:szCs w:val="16"/>
        </w:rPr>
        <w:t>The Fundamental Constants of Physics</w:t>
      </w:r>
      <w:r w:rsidRPr="007F536A">
        <w:rPr>
          <w:rFonts w:ascii="Book Antiqua" w:hAnsi="Book Antiqua"/>
          <w:sz w:val="16"/>
          <w:szCs w:val="16"/>
        </w:rPr>
        <w:t>, (1957) p. 108.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[155] R.T. Birge, op. cit., p. 93.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[156] Dorsey, op. cit. p. 74.</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[157] M.E.J. Gheury de Bray, </w:t>
      </w:r>
      <w:r w:rsidRPr="007F536A">
        <w:rPr>
          <w:rFonts w:ascii="Book Antiqua" w:hAnsi="Book Antiqua"/>
          <w:i/>
          <w:sz w:val="16"/>
          <w:szCs w:val="16"/>
        </w:rPr>
        <w:t>Isis</w:t>
      </w:r>
      <w:r w:rsidRPr="007F536A">
        <w:rPr>
          <w:rFonts w:ascii="Book Antiqua" w:hAnsi="Book Antiqua"/>
          <w:sz w:val="16"/>
          <w:szCs w:val="16"/>
        </w:rPr>
        <w:t>, vol</w:t>
      </w:r>
      <w:r w:rsidRPr="007F536A">
        <w:rPr>
          <w:rFonts w:ascii="Book Antiqua" w:hAnsi="Book Antiqua"/>
          <w:b/>
          <w:sz w:val="16"/>
          <w:szCs w:val="16"/>
        </w:rPr>
        <w:t>. 25</w:t>
      </w:r>
      <w:r w:rsidRPr="007F536A">
        <w:rPr>
          <w:rFonts w:ascii="Book Antiqua" w:hAnsi="Book Antiqua"/>
          <w:sz w:val="16"/>
          <w:szCs w:val="16"/>
        </w:rPr>
        <w:t>, pp 437-448, esp. p. 442, (1936).</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[158] D. P. Todd, “Solar Parallax From the Velocity of light,” </w:t>
      </w:r>
      <w:r w:rsidRPr="007F536A">
        <w:rPr>
          <w:rFonts w:ascii="Book Antiqua" w:hAnsi="Book Antiqua"/>
          <w:i/>
          <w:sz w:val="16"/>
          <w:szCs w:val="16"/>
        </w:rPr>
        <w:t>American Journal of Science</w:t>
      </w:r>
      <w:r w:rsidRPr="007F536A">
        <w:rPr>
          <w:rFonts w:ascii="Book Antiqua" w:hAnsi="Book Antiqua"/>
          <w:sz w:val="16"/>
          <w:szCs w:val="16"/>
        </w:rPr>
        <w:t xml:space="preserve">, Series 3, Volume </w:t>
      </w:r>
      <w:r w:rsidRPr="007F536A">
        <w:rPr>
          <w:rFonts w:ascii="Book Antiqua" w:hAnsi="Book Antiqua"/>
          <w:b/>
          <w:sz w:val="16"/>
          <w:szCs w:val="16"/>
        </w:rPr>
        <w:t>19</w:t>
      </w:r>
      <w:r w:rsidRPr="007F536A">
        <w:rPr>
          <w:rFonts w:ascii="Book Antiqua" w:hAnsi="Book Antiqua"/>
          <w:sz w:val="16"/>
          <w:szCs w:val="16"/>
        </w:rPr>
        <w:t xml:space="preserve"> (1880), pp.59-64.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[159] R. T. Birge, “The General Physical Constants,” </w:t>
      </w:r>
      <w:r w:rsidRPr="007F536A">
        <w:rPr>
          <w:rFonts w:ascii="Book Antiqua" w:hAnsi="Book Antiqua"/>
          <w:i/>
          <w:sz w:val="16"/>
          <w:szCs w:val="16"/>
        </w:rPr>
        <w:t>Reports on Progress in Physics,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xml:space="preserve"> pp.90-101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[160] A. Karolus, O. Mittelstaedt, “Die Bestimmung der Lichtgeschwindigkeit unter Verwendung des elektrooptischen Kerr-Effektes,”</w:t>
      </w:r>
      <w:r w:rsidRPr="007F536A">
        <w:rPr>
          <w:rFonts w:ascii="Book Antiqua" w:hAnsi="Book Antiqua"/>
          <w:i/>
          <w:sz w:val="16"/>
          <w:szCs w:val="16"/>
        </w:rPr>
        <w:t>Physikalische Zeitschrift</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pp.698-702 (1928).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[161] O. Mittelstaedt, “Die Bestimmung der Lichtgeschwindigkeit unter Verwendung des elektrooptischen Kerreffektes,” </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series 5, pp.285-312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[162] O. Mittelstaedt, “Uber die Messung der Lichtgeschwindigkeit,” </w:t>
      </w:r>
      <w:r w:rsidRPr="007F536A">
        <w:rPr>
          <w:rFonts w:ascii="Book Antiqua" w:hAnsi="Book Antiqua"/>
          <w:i/>
          <w:sz w:val="16"/>
          <w:szCs w:val="16"/>
        </w:rPr>
        <w:t>Physikalische Zeitschrift</w:t>
      </w:r>
      <w:r w:rsidRPr="007F536A">
        <w:rPr>
          <w:rFonts w:ascii="Book Antiqua" w:hAnsi="Book Antiqua"/>
          <w:sz w:val="16"/>
          <w:szCs w:val="16"/>
        </w:rPr>
        <w:t>, 30, pp.165-167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[163] M. E. J. Gheury de Bray, “The Velocity of Light,” </w:t>
      </w:r>
      <w:r w:rsidRPr="007F536A">
        <w:rPr>
          <w:rFonts w:ascii="Book Antiqua" w:hAnsi="Book Antiqua"/>
          <w:i/>
          <w:sz w:val="16"/>
          <w:szCs w:val="16"/>
        </w:rPr>
        <w:t>Isis</w:t>
      </w:r>
      <w:r w:rsidRPr="007F536A">
        <w:rPr>
          <w:rFonts w:ascii="Book Antiqua" w:hAnsi="Book Antiqua"/>
          <w:sz w:val="16"/>
          <w:szCs w:val="16"/>
        </w:rPr>
        <w:t>, 25, pp.437-448 (1936).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[164] W. C. Anderson, “A Measurement of the Velocity of Light,” </w:t>
      </w:r>
      <w:r w:rsidRPr="007F536A">
        <w:rPr>
          <w:rFonts w:ascii="Book Antiqua" w:hAnsi="Book Antiqua"/>
          <w:i/>
          <w:sz w:val="16"/>
          <w:szCs w:val="16"/>
        </w:rPr>
        <w:t>Review of Scientific Instruments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pp.239-247, July 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[165] W. C. Anderson, “Final Measurements of the Velocity of Light,”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 pp. 187-197, March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[166] A. Huttel, “Ein Methode zur Bestimmung der Lichtgeschwindigkeit unter Anwendung des Kerreffektes und einer Photozelle als phasenabhangigen Gleichrichter,”</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37</w:t>
      </w:r>
      <w:r w:rsidRPr="007F536A">
        <w:rPr>
          <w:rFonts w:ascii="Book Antiqua" w:hAnsi="Book Antiqua"/>
          <w:sz w:val="16"/>
          <w:szCs w:val="16"/>
        </w:rPr>
        <w:t>, series 5, pp. 365-402 (1940).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[167] N. E. Dorsey, “The Velocity of Light</w:t>
      </w:r>
      <w:r w:rsidRPr="007F536A">
        <w:rPr>
          <w:rFonts w:ascii="Book Antiqua" w:hAnsi="Book Antiqua"/>
          <w:i/>
          <w:sz w:val="16"/>
          <w:szCs w:val="16"/>
        </w:rPr>
        <w:t>,” Transactions of the American Philosophical Society</w:t>
      </w:r>
      <w:r w:rsidRPr="007F536A">
        <w:rPr>
          <w:rFonts w:ascii="Book Antiqua" w:hAnsi="Book Antiqua"/>
          <w:sz w:val="16"/>
          <w:szCs w:val="16"/>
        </w:rPr>
        <w:t xml:space="preserve">, </w:t>
      </w:r>
      <w:r w:rsidRPr="007F536A">
        <w:rPr>
          <w:rFonts w:ascii="Book Antiqua" w:hAnsi="Book Antiqua"/>
          <w:b/>
          <w:sz w:val="16"/>
          <w:szCs w:val="16"/>
        </w:rPr>
        <w:t>34</w:t>
      </w:r>
      <w:r w:rsidRPr="007F536A">
        <w:rPr>
          <w:rFonts w:ascii="Book Antiqua" w:hAnsi="Book Antiqua"/>
          <w:sz w:val="16"/>
          <w:szCs w:val="16"/>
        </w:rPr>
        <w:t xml:space="preserve"> (Part 1), pp. 83-84, Oct.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[168] R. T. Birge, reference [1], p.97.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[169] K. D. Froome and L. Essen, </w:t>
      </w:r>
      <w:r w:rsidRPr="007F536A">
        <w:rPr>
          <w:rFonts w:ascii="Book Antiqua" w:hAnsi="Book Antiqua"/>
          <w:i/>
          <w:sz w:val="16"/>
          <w:szCs w:val="16"/>
        </w:rPr>
        <w:t>The Velocity of Light and Radio Waves</w:t>
      </w:r>
      <w:r w:rsidRPr="007F536A">
        <w:rPr>
          <w:rFonts w:ascii="Book Antiqua" w:hAnsi="Book Antiqua"/>
          <w:sz w:val="16"/>
          <w:szCs w:val="16"/>
        </w:rPr>
        <w:t>, data from pp. 136-137, Academic Press, London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[170] B. N. Taylor, W. H. Parker, D. N. Langenberg,”Determination of e/h Using Macroscopic Quantum Phase Coherence in Superconductors: Implications for Quantum Electrodynamics and the Fundamental Physical Constants,”</w:t>
      </w:r>
      <w:r w:rsidRPr="007F536A">
        <w:rPr>
          <w:rFonts w:ascii="Book Antiqua" w:hAnsi="Book Antiqua"/>
          <w:i/>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41</w:t>
      </w:r>
      <w:r w:rsidRPr="007F536A">
        <w:rPr>
          <w:rFonts w:ascii="Book Antiqua" w:hAnsi="Book Antiqua"/>
          <w:sz w:val="16"/>
          <w:szCs w:val="16"/>
        </w:rPr>
        <w:t>:3, pp. 375-496, July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[171] K. D. Froome and L. Essen, op. 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[172] J. F. Mulligan, D. F. McDonald, “Some Recent Determinations of the Velocity of Light II,”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25</w:t>
      </w:r>
      <w:r w:rsidRPr="007F536A">
        <w:rPr>
          <w:rFonts w:ascii="Book Antiqua" w:hAnsi="Book Antiqua"/>
          <w:sz w:val="16"/>
          <w:szCs w:val="16"/>
        </w:rPr>
        <w:t>, pp. 180-192, (1957). Also Froome and Essen, op. cit., reference [1</w:t>
      </w:r>
      <w:r w:rsidR="00BD6F2A">
        <w:rPr>
          <w:rFonts w:ascii="Book Antiqua" w:hAnsi="Book Antiqua"/>
          <w:sz w:val="16"/>
          <w:szCs w:val="16"/>
        </w:rPr>
        <w:t>69</w:t>
      </w:r>
      <w:r w:rsidRPr="007F536A">
        <w:rPr>
          <w:rFonts w:ascii="Book Antiqua" w:hAnsi="Book Antiqua"/>
          <w:sz w:val="16"/>
          <w:szCs w:val="16"/>
        </w:rPr>
        <w:t xml:space="preserve">], pp. 81-82.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[173] K. D. Froome and L. Essen, op. cit., reference [1</w:t>
      </w:r>
      <w:r w:rsidR="0084686D">
        <w:rPr>
          <w:rFonts w:ascii="Book Antiqua" w:hAnsi="Book Antiqua"/>
          <w:sz w:val="16"/>
          <w:szCs w:val="16"/>
        </w:rPr>
        <w:t>69</w:t>
      </w:r>
      <w:r w:rsidRPr="007F536A">
        <w:rPr>
          <w:rFonts w:ascii="Book Antiqua" w:hAnsi="Book Antiqua"/>
          <w:sz w:val="16"/>
          <w:szCs w:val="16"/>
        </w:rPr>
        <w:t>], pp. 84, 137.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[174] L. Essen, A. C. Gordon-Smith, “The velocity of propagation of electromagnetic waves derived from the resonant frequencies of a cylindrical cavity resonator,”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A194</w:t>
      </w:r>
      <w:r w:rsidRPr="007F536A">
        <w:rPr>
          <w:rFonts w:ascii="Book Antiqua" w:hAnsi="Book Antiqua"/>
          <w:sz w:val="16"/>
          <w:szCs w:val="16"/>
        </w:rPr>
        <w:t>, pp. 348-361, (1948).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[175] C. I. Aslakson, “Velocity of Electromagnetic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164</w:t>
      </w:r>
      <w:r w:rsidRPr="007F536A">
        <w:rPr>
          <w:rFonts w:ascii="Book Antiqua" w:hAnsi="Book Antiqua"/>
          <w:sz w:val="16"/>
          <w:szCs w:val="16"/>
        </w:rPr>
        <w:t xml:space="preserve">, pp. 711-712, Oct. 22, 1949. Also, C. I. Aslakson, “Can the Velocity of Propagation of Radio Waves be Measured by Shoran?”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pp. 475-487, August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[176] L. E. Bergstrand, “Velocity of Light and Measurement of Distances by High Frequency Light Signaling,”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163</w:t>
      </w:r>
      <w:r w:rsidRPr="007F536A">
        <w:rPr>
          <w:rFonts w:ascii="Book Antiqua" w:hAnsi="Book Antiqua"/>
          <w:sz w:val="16"/>
          <w:szCs w:val="16"/>
        </w:rPr>
        <w:t xml:space="preserve">, p. 338, Feb. 26, 1949. Also L. E. Bergstrand, “A preliminary determination of the velocity of light,” </w:t>
      </w:r>
      <w:r w:rsidRPr="007F536A">
        <w:rPr>
          <w:rFonts w:ascii="Book Antiqua" w:hAnsi="Book Antiqua"/>
          <w:i/>
          <w:sz w:val="16"/>
          <w:szCs w:val="16"/>
        </w:rPr>
        <w:t>Arkiv For Matematik Astronomi Och Fysik</w:t>
      </w:r>
      <w:r w:rsidRPr="007F536A">
        <w:rPr>
          <w:rFonts w:ascii="Book Antiqua" w:hAnsi="Book Antiqua"/>
          <w:sz w:val="16"/>
          <w:szCs w:val="16"/>
        </w:rPr>
        <w:t xml:space="preserve">, </w:t>
      </w:r>
      <w:r w:rsidRPr="007F536A">
        <w:rPr>
          <w:rFonts w:ascii="Book Antiqua" w:hAnsi="Book Antiqua"/>
          <w:b/>
          <w:sz w:val="16"/>
          <w:szCs w:val="16"/>
        </w:rPr>
        <w:t>A36</w:t>
      </w:r>
      <w:r w:rsidRPr="007F536A">
        <w:rPr>
          <w:rFonts w:ascii="Book Antiqua" w:hAnsi="Book Antiqua"/>
          <w:sz w:val="16"/>
          <w:szCs w:val="16"/>
        </w:rPr>
        <w:t>:20, pp. 1-11,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[177] L. Essen, “The velocity of propagation of electromagnetic waves derived from the resonant frequencies of a cylindrical cavity resonator,” Proceedings of the Royal Society (London), A204, pp. 260-277, (1950). Also L. Essen, “Velocity of Light and of Radio Waves,”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165</w:t>
      </w:r>
      <w:r w:rsidRPr="007F536A">
        <w:rPr>
          <w:rFonts w:ascii="Book Antiqua" w:hAnsi="Book Antiqua"/>
          <w:sz w:val="16"/>
          <w:szCs w:val="16"/>
        </w:rPr>
        <w:t xml:space="preserve">, pp.582-583, April 15, 1950. Also L. Essen, “Proposed New Value for the Velocity of Light,”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167</w:t>
      </w:r>
      <w:r w:rsidRPr="007F536A">
        <w:rPr>
          <w:rFonts w:ascii="Book Antiqua" w:hAnsi="Book Antiqua"/>
          <w:sz w:val="16"/>
          <w:szCs w:val="16"/>
        </w:rPr>
        <w:t>, pp. 258-259, Feb 17,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[178] K. Bol, “A Determination of the Speed of Light by the Resonant Cavity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80</w:t>
      </w:r>
      <w:r w:rsidRPr="007F536A">
        <w:rPr>
          <w:rFonts w:ascii="Book Antiqua" w:hAnsi="Book Antiqua"/>
          <w:sz w:val="16"/>
          <w:szCs w:val="16"/>
        </w:rPr>
        <w:t>, p.298, Oct. 15,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[179] L. E. Bergstrand,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165</w:t>
      </w:r>
      <w:r w:rsidRPr="007F536A">
        <w:rPr>
          <w:rFonts w:ascii="Book Antiqua" w:hAnsi="Book Antiqua"/>
          <w:sz w:val="16"/>
          <w:szCs w:val="16"/>
        </w:rPr>
        <w:t xml:space="preserve">, p. 405, Mar. 11, 1950. Also L. E. Bergstrand, “A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pp.119-150,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[180] L. E. Bergstrand, “A check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pp. 479-490,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[181] C. I. Aslakson, “A New Measurement of the Velocity of Radio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168</w:t>
      </w:r>
      <w:r w:rsidRPr="007F536A">
        <w:rPr>
          <w:rFonts w:ascii="Book Antiqua" w:hAnsi="Book Antiqua"/>
          <w:sz w:val="16"/>
          <w:szCs w:val="16"/>
        </w:rPr>
        <w:t xml:space="preserve">, pp. 505-506, Sept. 22, 1951. Also C. I. Aslakson, “Some Aspects of Electronic Surveying,” Proceedings of the American Society of Civil Engineers, 77, Separate No. 52, pp.1-17, (1951). Also C. I. Aslakson, “New Determinations of the Velocity of Radio Waves,”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32</w:t>
      </w:r>
      <w:r w:rsidRPr="007F536A">
        <w:rPr>
          <w:rFonts w:ascii="Book Antiqua" w:hAnsi="Book Antiqua"/>
          <w:sz w:val="16"/>
          <w:szCs w:val="16"/>
        </w:rPr>
        <w:t xml:space="preserve">, pp. 813-821, Dec. 1951.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[182] K. D. Froome, “Determination of the velocity of short electromagnetic waves by interferometry</w:t>
      </w:r>
      <w:r w:rsidRPr="007F536A">
        <w:rPr>
          <w:rFonts w:ascii="Book Antiqua" w:hAnsi="Book Antiqua"/>
          <w:i/>
          <w:sz w:val="16"/>
          <w:szCs w:val="16"/>
        </w:rPr>
        <w:t>,” Proceedings of the Royal Society (London)</w:t>
      </w:r>
      <w:r w:rsidRPr="007F536A">
        <w:rPr>
          <w:rFonts w:ascii="Book Antiqua" w:hAnsi="Book Antiqua"/>
          <w:sz w:val="16"/>
          <w:szCs w:val="16"/>
        </w:rPr>
        <w:t xml:space="preserve">, </w:t>
      </w:r>
      <w:r w:rsidRPr="007F536A">
        <w:rPr>
          <w:rFonts w:ascii="Book Antiqua" w:hAnsi="Book Antiqua"/>
          <w:b/>
          <w:sz w:val="16"/>
          <w:szCs w:val="16"/>
        </w:rPr>
        <w:t>A213</w:t>
      </w:r>
      <w:r w:rsidRPr="007F536A">
        <w:rPr>
          <w:rFonts w:ascii="Book Antiqua" w:hAnsi="Book Antiqua"/>
          <w:sz w:val="16"/>
          <w:szCs w:val="16"/>
        </w:rPr>
        <w:t xml:space="preserve">, pp. 123-141, (1952). Also K. D. Froome, “A New Determination of the Velocity of Electromagnetic Radiation by Microwave Interferometry,”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169</w:t>
      </w:r>
      <w:r w:rsidRPr="007F536A">
        <w:rPr>
          <w:rFonts w:ascii="Book Antiqua" w:hAnsi="Book Antiqua"/>
          <w:sz w:val="16"/>
          <w:szCs w:val="16"/>
        </w:rPr>
        <w:t>, pp. 107-108, Jan. 19, 1952.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[183] L. E. Bergstrand, “Modern Determination of the Velocity of Light,” </w:t>
      </w:r>
      <w:r w:rsidRPr="007F536A">
        <w:rPr>
          <w:rFonts w:ascii="Book Antiqua" w:hAnsi="Book Antiqua"/>
          <w:i/>
          <w:sz w:val="16"/>
          <w:szCs w:val="16"/>
        </w:rPr>
        <w:t>Annales Francaises de Chronometrie</w:t>
      </w:r>
      <w:r w:rsidRPr="007F536A">
        <w:rPr>
          <w:rFonts w:ascii="Book Antiqua" w:hAnsi="Book Antiqua"/>
          <w:sz w:val="16"/>
          <w:szCs w:val="16"/>
        </w:rPr>
        <w:t xml:space="preserve">, </w:t>
      </w:r>
      <w:r w:rsidRPr="007F536A">
        <w:rPr>
          <w:rFonts w:ascii="Book Antiqua" w:hAnsi="Book Antiqua"/>
          <w:b/>
          <w:sz w:val="16"/>
          <w:szCs w:val="16"/>
        </w:rPr>
        <w:t>11</w:t>
      </w:r>
      <w:r w:rsidRPr="007F536A">
        <w:rPr>
          <w:rFonts w:ascii="Book Antiqua" w:hAnsi="Book Antiqua"/>
          <w:sz w:val="16"/>
          <w:szCs w:val="16"/>
        </w:rPr>
        <w:t>, pp. 97-107,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[184] K. D. Froome, “Investigation of a new form of micro-wave interferometer for determining the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A223</w:t>
      </w:r>
      <w:r w:rsidRPr="007F536A">
        <w:rPr>
          <w:rFonts w:ascii="Book Antiqua" w:hAnsi="Book Antiqua"/>
          <w:sz w:val="16"/>
          <w:szCs w:val="16"/>
        </w:rPr>
        <w:t xml:space="preserve">, pp. 195-215, (1954). Also K. D. Froome, “The Refractive Indices of Water Vapour, Air, Oxygen, Nitrogen and Argon at 72 kMc/s,” </w:t>
      </w:r>
      <w:r w:rsidRPr="007F536A">
        <w:rPr>
          <w:rFonts w:ascii="Book Antiqua" w:hAnsi="Book Antiqua"/>
          <w:i/>
          <w:sz w:val="16"/>
          <w:szCs w:val="16"/>
        </w:rPr>
        <w:t>Proceedings of the Physical Society (London)</w:t>
      </w:r>
      <w:r w:rsidRPr="007F536A">
        <w:rPr>
          <w:rFonts w:ascii="Book Antiqua" w:hAnsi="Book Antiqua"/>
          <w:sz w:val="16"/>
          <w:szCs w:val="16"/>
        </w:rPr>
        <w:t xml:space="preserve">, </w:t>
      </w:r>
      <w:r w:rsidRPr="007F536A">
        <w:rPr>
          <w:rFonts w:ascii="Book Antiqua" w:hAnsi="Book Antiqua"/>
          <w:b/>
          <w:sz w:val="16"/>
          <w:szCs w:val="16"/>
        </w:rPr>
        <w:t>B68</w:t>
      </w:r>
      <w:r w:rsidRPr="007F536A">
        <w:rPr>
          <w:rFonts w:ascii="Book Antiqua" w:hAnsi="Book Antiqua"/>
          <w:sz w:val="16"/>
          <w:szCs w:val="16"/>
        </w:rPr>
        <w:t>, pp833-835,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[185] E. F. Florman, “A Measurement of the Velocity of Propagation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pp.335-345,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[186] R. Scholdstrom, </w:t>
      </w:r>
      <w:r w:rsidRPr="007F536A">
        <w:rPr>
          <w:rFonts w:ascii="Book Antiqua" w:hAnsi="Book Antiqua"/>
          <w:i/>
          <w:sz w:val="16"/>
          <w:szCs w:val="16"/>
        </w:rPr>
        <w:t>Determination of Light Velocity on the Oland Base Line, 1955</w:t>
      </w:r>
      <w:r w:rsidRPr="007F536A">
        <w:rPr>
          <w:rFonts w:ascii="Book Antiqua" w:hAnsi="Book Antiqua"/>
          <w:sz w:val="16"/>
          <w:szCs w:val="16"/>
        </w:rPr>
        <w:t>. Issued by the AGA Ltd., Stockholm,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[187] E. K. Plyler, L. R. Blaine and W. S. Connor, “Velocity of Light From the Molecular Constants of Carbon Monoxide,”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45</w:t>
      </w:r>
      <w:r w:rsidRPr="007F536A">
        <w:rPr>
          <w:rFonts w:ascii="Book Antiqua" w:hAnsi="Book Antiqua"/>
          <w:sz w:val="16"/>
          <w:szCs w:val="16"/>
        </w:rPr>
        <w:t>, pp.102-106, Feb. 1955.</w:t>
      </w:r>
    </w:p>
    <w:p w:rsidR="00821A88" w:rsidRPr="007F536A" w:rsidRDefault="00821A88" w:rsidP="00821A88">
      <w:pPr>
        <w:pStyle w:val="NoSpacing"/>
        <w:ind w:left="720" w:hanging="720"/>
        <w:rPr>
          <w:rFonts w:ascii="Book Antiqua" w:hAnsi="Book Antiqua"/>
          <w:sz w:val="16"/>
          <w:szCs w:val="16"/>
        </w:rPr>
      </w:pPr>
      <w:r w:rsidRPr="007F536A">
        <w:rPr>
          <w:rFonts w:ascii="Book Antiqua" w:hAnsi="Book Antiqua"/>
          <w:sz w:val="16"/>
          <w:szCs w:val="16"/>
        </w:rPr>
        <w:t xml:space="preserve">[188] T. L. Wadley, “The Tellurometer System of Distance Measurement,” </w:t>
      </w:r>
      <w:r w:rsidRPr="007F536A">
        <w:rPr>
          <w:rFonts w:ascii="Book Antiqua" w:hAnsi="Book Antiqua"/>
          <w:i/>
          <w:sz w:val="16"/>
          <w:szCs w:val="16"/>
        </w:rPr>
        <w:t>Empire Survey Review</w:t>
      </w:r>
      <w:r w:rsidRPr="007F536A">
        <w:rPr>
          <w:rFonts w:ascii="Book Antiqua" w:hAnsi="Book Antiqua"/>
          <w:sz w:val="16"/>
          <w:szCs w:val="16"/>
        </w:rPr>
        <w:t xml:space="preserve">, </w:t>
      </w:r>
      <w:r w:rsidRPr="007F536A">
        <w:rPr>
          <w:rFonts w:ascii="Book Antiqua" w:hAnsi="Book Antiqua"/>
          <w:b/>
          <w:sz w:val="16"/>
          <w:szCs w:val="16"/>
        </w:rPr>
        <w:t>14</w:t>
      </w:r>
      <w:r w:rsidRPr="007F536A">
        <w:rPr>
          <w:rFonts w:ascii="Book Antiqua" w:hAnsi="Book Antiqua"/>
          <w:sz w:val="16"/>
          <w:szCs w:val="16"/>
        </w:rPr>
        <w:t>, (1957-1958). No. 105, pp. 100-111, July 1957; No. 106, pp. 146-160, Oct. 1957; No. 107, pp. 227-230, Jan.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[189] D. H. Rank, H. E. Bennett, J. M. Bennett, “Improved Value of the Velocity of Light Derived From a Band Spectrum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xml:space="preserve">, p. 993, Nov. 15 1955. Also D. H. Rank, J. M. Bennett, H. E. Bennett, “Measurement of Interferometric Secondary Wavelength Standards in the Near Infrared,”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 pp. 477-484,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[190] R. C. A. Edge, “New Determinations of the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177</w:t>
      </w:r>
      <w:r w:rsidRPr="007F536A">
        <w:rPr>
          <w:rFonts w:ascii="Book Antiqua" w:hAnsi="Book Antiqua"/>
          <w:sz w:val="16"/>
          <w:szCs w:val="16"/>
        </w:rPr>
        <w:t>, pp. 618-619, Mar. 31,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[191] K. D. Froome, “A new determination of the free-space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A247</w:t>
      </w:r>
      <w:r w:rsidRPr="007F536A">
        <w:rPr>
          <w:rFonts w:ascii="Book Antiqua" w:hAnsi="Book Antiqua"/>
          <w:sz w:val="16"/>
          <w:szCs w:val="16"/>
        </w:rPr>
        <w:t>, pp. 109-122,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[192] V. A. Kolibayev, “Determination of the Velocity of Light From Measurements With (Pulsed) Light Rangefinders on Control Bases,” </w:t>
      </w:r>
      <w:r w:rsidRPr="007F536A">
        <w:rPr>
          <w:rFonts w:ascii="Book Antiqua" w:hAnsi="Book Antiqua"/>
          <w:i/>
          <w:sz w:val="16"/>
          <w:szCs w:val="16"/>
        </w:rPr>
        <w:t>Geodesy and Aerophotography</w:t>
      </w:r>
      <w:r w:rsidRPr="007F536A">
        <w:rPr>
          <w:rFonts w:ascii="Book Antiqua" w:hAnsi="Book Antiqua"/>
          <w:sz w:val="16"/>
          <w:szCs w:val="16"/>
        </w:rPr>
        <w:t>,</w:t>
      </w:r>
      <w:r w:rsidRPr="007F536A">
        <w:rPr>
          <w:rFonts w:ascii="Book Antiqua" w:hAnsi="Book Antiqua"/>
          <w:b/>
          <w:sz w:val="16"/>
          <w:szCs w:val="16"/>
        </w:rPr>
        <w:t xml:space="preserve"> 3</w:t>
      </w:r>
      <w:r w:rsidRPr="007F536A">
        <w:rPr>
          <w:rFonts w:ascii="Book Antiqua" w:hAnsi="Book Antiqua"/>
          <w:sz w:val="16"/>
          <w:szCs w:val="16"/>
        </w:rPr>
        <w:t>, pp. 228-230. Translated for the American Geophysical Union, 1965.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[193] A. Karolus in Fifth International Conference on Geodetic Measurement, 1965, </w:t>
      </w:r>
      <w:r w:rsidRPr="007F536A">
        <w:rPr>
          <w:rFonts w:ascii="Book Antiqua" w:hAnsi="Book Antiqua"/>
          <w:i/>
          <w:sz w:val="16"/>
          <w:szCs w:val="16"/>
        </w:rPr>
        <w:t>Deutsche Geodetische Kommission, Munich</w:t>
      </w:r>
      <w:r w:rsidRPr="007F536A">
        <w:rPr>
          <w:rFonts w:ascii="Book Antiqua" w:hAnsi="Book Antiqua"/>
          <w:sz w:val="16"/>
          <w:szCs w:val="16"/>
        </w:rPr>
        <w:t xml:space="preserve">, p.1, 1966.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[194] G. S. Simkin, I. V. Lukin, S. V. Sikora, V. E. Strelenskii, </w:t>
      </w:r>
      <w:r w:rsidRPr="007F536A">
        <w:rPr>
          <w:rFonts w:ascii="Book Antiqua" w:hAnsi="Book Antiqua"/>
          <w:i/>
          <w:sz w:val="16"/>
          <w:szCs w:val="16"/>
        </w:rPr>
        <w:t>Ismeritel’naya Tekhnika</w:t>
      </w:r>
      <w:r w:rsidRPr="007F536A">
        <w:rPr>
          <w:rFonts w:ascii="Book Antiqua" w:hAnsi="Book Antiqua"/>
          <w:sz w:val="16"/>
          <w:szCs w:val="16"/>
        </w:rPr>
        <w:t xml:space="preserve">, 8, p. 92 (1967). Translation: “New Measurements of the Electromagnetic Wave Propagation Speed (Speed of Light),” </w:t>
      </w:r>
      <w:r w:rsidRPr="007F536A">
        <w:rPr>
          <w:rFonts w:ascii="Book Antiqua" w:hAnsi="Book Antiqua"/>
          <w:i/>
          <w:sz w:val="16"/>
          <w:szCs w:val="16"/>
        </w:rPr>
        <w:t>Measures of Technology</w:t>
      </w:r>
      <w:r w:rsidRPr="007F536A">
        <w:rPr>
          <w:rFonts w:ascii="Book Antiqua" w:hAnsi="Book Antiqua"/>
          <w:sz w:val="16"/>
          <w:szCs w:val="16"/>
        </w:rPr>
        <w:t>, pp. 1018-1019,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[195] H. Grosse, “Geodimeter-2A-Messungen in Basisvergrosserungsnedtzen,” </w:t>
      </w:r>
      <w:r w:rsidRPr="007F536A">
        <w:rPr>
          <w:rFonts w:ascii="Book Antiqua" w:hAnsi="Book Antiqua"/>
          <w:i/>
          <w:sz w:val="16"/>
          <w:szCs w:val="16"/>
        </w:rPr>
        <w:t>Nachrichten Karten-und-Vermessungwesen</w:t>
      </w:r>
      <w:r w:rsidRPr="007F536A">
        <w:rPr>
          <w:rFonts w:ascii="Book Antiqua" w:hAnsi="Book Antiqua"/>
          <w:sz w:val="16"/>
          <w:szCs w:val="16"/>
        </w:rPr>
        <w:t xml:space="preserve">, </w:t>
      </w:r>
      <w:r w:rsidRPr="007F536A">
        <w:rPr>
          <w:rFonts w:ascii="Book Antiqua" w:hAnsi="Book Antiqua"/>
          <w:b/>
          <w:sz w:val="16"/>
          <w:szCs w:val="16"/>
        </w:rPr>
        <w:t>Ser. I, 35</w:t>
      </w:r>
      <w:r w:rsidRPr="007F536A">
        <w:rPr>
          <w:rFonts w:ascii="Book Antiqua" w:hAnsi="Book Antiqua"/>
          <w:sz w:val="16"/>
          <w:szCs w:val="16"/>
        </w:rPr>
        <w:t>, pp. 93-106,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[196] Z. Bay, G. G. Luther, J. A. White, “Measurement of an Optical Frequency and the Speed of Light,” </w:t>
      </w:r>
      <w:r w:rsidRPr="007F536A">
        <w:rPr>
          <w:rFonts w:ascii="Book Antiqua" w:hAnsi="Book Antiqua"/>
          <w:i/>
          <w:sz w:val="16"/>
          <w:szCs w:val="16"/>
        </w:rPr>
        <w:t>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pp. 189-192, July 17, 1972.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[197] J. F. Mulligan, “Some Recent Determinations of the Velocity of Light III, “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44</w:t>
      </w:r>
      <w:r w:rsidRPr="007F536A">
        <w:rPr>
          <w:rFonts w:ascii="Book Antiqua" w:hAnsi="Book Antiqua"/>
          <w:sz w:val="16"/>
          <w:szCs w:val="16"/>
        </w:rPr>
        <w:t>:10, pp. 960-969, Oct. 1976.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[198] K. M. Evenson, et al., “Speed of Light From Direct Frequency and Wavelength Measurements of the Methane-Stabilized Laser</w:t>
      </w:r>
      <w:r w:rsidRPr="007F536A">
        <w:rPr>
          <w:rFonts w:ascii="Book Antiqua" w:hAnsi="Book Antiqua"/>
          <w:i/>
          <w:sz w:val="16"/>
          <w:szCs w:val="16"/>
        </w:rPr>
        <w:t>,” 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 1346-1349, Nov. 6, 1972. Also, K. M. Evenson et al., “Accurate frequencies of molecular transitions used in laser stabilization,” </w:t>
      </w:r>
      <w:r w:rsidRPr="007F536A">
        <w:rPr>
          <w:rFonts w:ascii="Book Antiqua" w:hAnsi="Book Antiqua"/>
          <w:i/>
          <w:sz w:val="16"/>
          <w:szCs w:val="16"/>
        </w:rPr>
        <w:t>Applied Physics Letters</w:t>
      </w:r>
      <w:r w:rsidRPr="007F536A">
        <w:rPr>
          <w:rFonts w:ascii="Book Antiqua" w:hAnsi="Book Antiqua"/>
          <w:sz w:val="16"/>
          <w:szCs w:val="16"/>
        </w:rPr>
        <w:t xml:space="preserve">, </w:t>
      </w:r>
      <w:r w:rsidRPr="007F536A">
        <w:rPr>
          <w:rFonts w:ascii="Book Antiqua" w:hAnsi="Book Antiqua"/>
          <w:b/>
          <w:sz w:val="16"/>
          <w:szCs w:val="16"/>
        </w:rPr>
        <w:t>22</w:t>
      </w:r>
      <w:r w:rsidRPr="007F536A">
        <w:rPr>
          <w:rFonts w:ascii="Book Antiqua" w:hAnsi="Book Antiqua"/>
          <w:sz w:val="16"/>
          <w:szCs w:val="16"/>
        </w:rPr>
        <w:t>, pp.192-195, Feb. 15, 1973.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[199] T. G. Blaney et al., “Measurement of the speed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251</w:t>
      </w:r>
      <w:r w:rsidRPr="007F536A">
        <w:rPr>
          <w:rFonts w:ascii="Book Antiqua" w:hAnsi="Book Antiqua"/>
          <w:sz w:val="16"/>
          <w:szCs w:val="16"/>
        </w:rPr>
        <w:t>, p. 46, Sept. 6, 1974.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[200] P. T. Woods, K. C. Shotton, W. R. C. Rowley, “Frequency determination of visible laser light by interferometric comparison with upconverted </w:t>
      </w:r>
      <m:oMath>
        <m:r>
          <w:rPr>
            <w:rFonts w:ascii="Cambria Math" w:hAnsi="Cambria Math"/>
            <w:sz w:val="16"/>
            <w:szCs w:val="16"/>
          </w:rPr>
          <m:t>C</m:t>
        </m:r>
        <m:sSub>
          <m:sSubPr>
            <m:ctrlPr>
              <w:rPr>
                <w:rFonts w:ascii="Cambria Math" w:hAnsi="Cambria Math"/>
                <w:i/>
                <w:sz w:val="16"/>
                <w:szCs w:val="16"/>
              </w:rPr>
            </m:ctrlPr>
          </m:sSubPr>
          <m:e>
            <m:r>
              <w:rPr>
                <w:rFonts w:ascii="Cambria Math" w:hAnsi="Cambria Math"/>
                <w:sz w:val="16"/>
                <w:szCs w:val="16"/>
              </w:rPr>
              <m:t>O</m:t>
            </m:r>
          </m:e>
          <m:sub>
            <m:r>
              <w:rPr>
                <w:rFonts w:ascii="Cambria Math" w:hAnsi="Cambria Math"/>
                <w:sz w:val="16"/>
                <w:szCs w:val="16"/>
              </w:rPr>
              <m:t>2</m:t>
            </m:r>
          </m:sub>
        </m:sSub>
      </m:oMath>
      <w:r w:rsidRPr="007F536A">
        <w:rPr>
          <w:rFonts w:ascii="Book Antiqua" w:hAnsi="Book Antiqua"/>
          <w:sz w:val="16"/>
          <w:szCs w:val="16"/>
        </w:rPr>
        <w:t xml:space="preserve"> laser radiation,” </w:t>
      </w:r>
      <w:r w:rsidRPr="007F536A">
        <w:rPr>
          <w:rFonts w:ascii="Book Antiqua" w:hAnsi="Book Antiqua"/>
          <w:i/>
          <w:sz w:val="16"/>
          <w:szCs w:val="16"/>
        </w:rPr>
        <w:t>Applied Optics</w:t>
      </w:r>
      <w:r w:rsidRPr="007F536A">
        <w:rPr>
          <w:rFonts w:ascii="Book Antiqua" w:hAnsi="Book Antiqua"/>
          <w:sz w:val="16"/>
          <w:szCs w:val="16"/>
        </w:rPr>
        <w:t xml:space="preserve">, </w:t>
      </w:r>
      <w:r w:rsidRPr="007F536A">
        <w:rPr>
          <w:rFonts w:ascii="Book Antiqua" w:hAnsi="Book Antiqua"/>
          <w:b/>
          <w:sz w:val="16"/>
          <w:szCs w:val="16"/>
        </w:rPr>
        <w:t>17</w:t>
      </w:r>
      <w:r w:rsidRPr="007F536A">
        <w:rPr>
          <w:rFonts w:ascii="Book Antiqua" w:hAnsi="Book Antiqua"/>
          <w:sz w:val="16"/>
          <w:szCs w:val="16"/>
        </w:rPr>
        <w:t>:7, pp. 1048-1054, Apr 1, 1978.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[201] K. M. Baird, D. S. Smith, B. G. Whitford, “Confirmation of the Currently Accepted Value for the Speed of Light, </w:t>
      </w:r>
      <w:r w:rsidRPr="007F536A">
        <w:rPr>
          <w:rFonts w:ascii="Book Antiqua" w:hAnsi="Book Antiqua"/>
          <w:i/>
          <w:sz w:val="16"/>
          <w:szCs w:val="16"/>
        </w:rPr>
        <w:t>“ Optics Communications</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:3, pp. 367-368, Dec. 1979.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[202] T. Wilkie, “Time to Remeasure the Metre,” </w:t>
      </w:r>
      <w:r w:rsidRPr="007F536A">
        <w:rPr>
          <w:rFonts w:ascii="Book Antiqua" w:hAnsi="Book Antiqua"/>
          <w:i/>
          <w:sz w:val="16"/>
          <w:szCs w:val="16"/>
        </w:rPr>
        <w:t>New Scientist</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No. 1381, pp. 258-263, Oct. 27,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[203] K. D. Froome and L. Essen, op. cit., reference [1</w:t>
      </w:r>
      <w:r w:rsidR="00BD6F2A">
        <w:rPr>
          <w:rFonts w:ascii="Book Antiqua" w:hAnsi="Book Antiqua"/>
          <w:sz w:val="16"/>
          <w:szCs w:val="16"/>
        </w:rPr>
        <w:t>69</w:t>
      </w:r>
      <w:r w:rsidRPr="007F536A">
        <w:rPr>
          <w:rFonts w:ascii="Book Antiqua" w:hAnsi="Book Antiqua"/>
          <w:sz w:val="16"/>
          <w:szCs w:val="16"/>
        </w:rPr>
        <w:t>], p. 127.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[204] J. F. Mulligan, reference [</w:t>
      </w:r>
      <w:r w:rsidR="005D00F3">
        <w:rPr>
          <w:rFonts w:ascii="Book Antiqua" w:hAnsi="Book Antiqua"/>
          <w:sz w:val="16"/>
          <w:szCs w:val="16"/>
        </w:rPr>
        <w:t>197</w:t>
      </w:r>
      <w:r w:rsidRPr="007F536A">
        <w:rPr>
          <w:rFonts w:ascii="Book Antiqua" w:hAnsi="Book Antiqua"/>
          <w:sz w:val="16"/>
          <w:szCs w:val="16"/>
        </w:rPr>
        <w:t>], pp. 967-968.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[205] D. A. Jennings et al., “Direct frequency measurement of the </w:t>
      </w:r>
      <m:oMath>
        <m:sSub>
          <m:sSubPr>
            <m:ctrlPr>
              <w:rPr>
                <w:rFonts w:ascii="Cambria Math" w:hAnsi="Cambria Math"/>
                <w:i/>
                <w:sz w:val="16"/>
                <w:szCs w:val="16"/>
              </w:rPr>
            </m:ctrlPr>
          </m:sSubPr>
          <m:e>
            <m:r>
              <w:rPr>
                <w:rFonts w:ascii="Cambria Math" w:hAnsi="Cambria Math"/>
                <w:sz w:val="16"/>
                <w:szCs w:val="16"/>
              </w:rPr>
              <m:t>I</m:t>
            </m:r>
          </m:e>
          <m:sub>
            <m:r>
              <w:rPr>
                <w:rFonts w:ascii="Cambria Math" w:hAnsi="Cambria Math"/>
                <w:sz w:val="16"/>
                <w:szCs w:val="16"/>
              </w:rPr>
              <m:t>2</m:t>
            </m:r>
          </m:sub>
        </m:sSub>
      </m:oMath>
      <w:r w:rsidRPr="007F536A">
        <w:rPr>
          <w:rFonts w:ascii="Book Antiqua" w:hAnsi="Book Antiqua"/>
          <w:sz w:val="16"/>
          <w:szCs w:val="16"/>
        </w:rPr>
        <w:t xml:space="preserve">-stabilized He-Ne 473 THZ (633-nm) laser,”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136-138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[206] C. R. Pollock et al., “Direct frequency measurements of transitions at520 THz (576 nm) in iodine and 260 THz (1.15µm) n neon,”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13-135,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[207] NIST document section titled “Speed of Light From Direct Frequency and Wavelength Measurements,”  available at: </w:t>
      </w:r>
      <w:hyperlink r:id="rId132" w:history="1">
        <w:r w:rsidRPr="007F536A">
          <w:rPr>
            <w:rStyle w:val="Hyperlink"/>
            <w:rFonts w:ascii="Book Antiqua" w:hAnsi="Book Antiqua"/>
            <w:i/>
            <w:szCs w:val="16"/>
          </w:rPr>
          <w:t>http://nvlpubs.nist.gov/nistpubs/sp958-lide/191-193.pdf</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[208] G. R. Fowles,</w:t>
      </w:r>
      <w:r w:rsidRPr="007F536A">
        <w:rPr>
          <w:rFonts w:ascii="Book Antiqua" w:hAnsi="Book Antiqua"/>
          <w:b/>
          <w:sz w:val="16"/>
          <w:szCs w:val="16"/>
        </w:rPr>
        <w:t xml:space="preserve"> </w:t>
      </w:r>
      <w:r w:rsidRPr="007F536A">
        <w:rPr>
          <w:rFonts w:ascii="Book Antiqua" w:hAnsi="Book Antiqua"/>
          <w:i/>
          <w:sz w:val="16"/>
          <w:szCs w:val="16"/>
        </w:rPr>
        <w:t>Introduction to Modern Optics</w:t>
      </w:r>
      <w:r w:rsidRPr="007F536A">
        <w:rPr>
          <w:rFonts w:ascii="Book Antiqua" w:hAnsi="Book Antiqua"/>
          <w:sz w:val="16"/>
          <w:szCs w:val="16"/>
        </w:rPr>
        <w:t xml:space="preserve">, p. 6, Holt, Rinehart and Winston, New York, 1968.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[209] H. Abraham, “Les Mesures De La Vitesse v.” Also R. Blondlot and C. Gutton, “Sur La Determination De La Vitesse De Propagation Des Ondulations Electromagnetiques.” Both articles in </w:t>
      </w:r>
      <w:r w:rsidRPr="007F536A">
        <w:rPr>
          <w:rFonts w:ascii="Book Antiqua" w:hAnsi="Book Antiqua"/>
          <w:i/>
          <w:sz w:val="16"/>
          <w:szCs w:val="16"/>
        </w:rPr>
        <w:t>Congres International De Physique Paris</w:t>
      </w:r>
      <w:r w:rsidRPr="007F536A">
        <w:rPr>
          <w:rFonts w:ascii="Book Antiqua" w:hAnsi="Book Antiqua"/>
          <w:sz w:val="16"/>
          <w:szCs w:val="16"/>
        </w:rPr>
        <w:t xml:space="preserve">, </w:t>
      </w:r>
      <w:r w:rsidRPr="007F536A">
        <w:rPr>
          <w:rFonts w:ascii="Book Antiqua" w:hAnsi="Book Antiqua"/>
          <w:i/>
          <w:sz w:val="16"/>
          <w:szCs w:val="16"/>
        </w:rPr>
        <w:t>1900</w:t>
      </w:r>
      <w:r w:rsidRPr="007F536A">
        <w:rPr>
          <w:rFonts w:ascii="Book Antiqua" w:hAnsi="Book Antiqua"/>
          <w:sz w:val="16"/>
          <w:szCs w:val="16"/>
        </w:rPr>
        <w:t xml:space="preserve">, </w:t>
      </w:r>
      <w:r w:rsidRPr="007F536A">
        <w:rPr>
          <w:rFonts w:ascii="Book Antiqua" w:hAnsi="Book Antiqua"/>
          <w:b/>
          <w:sz w:val="16"/>
          <w:szCs w:val="16"/>
        </w:rPr>
        <w:t>Vol. 2</w:t>
      </w:r>
      <w:r w:rsidRPr="007F536A">
        <w:rPr>
          <w:rFonts w:ascii="Book Antiqua" w:hAnsi="Book Antiqua"/>
          <w:sz w:val="16"/>
          <w:szCs w:val="16"/>
        </w:rPr>
        <w:t xml:space="preserve">, pp. 247-267 and 268-283.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[210] Froome and Essen, op. cit., pp. 10, 45, 48.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[211] E. F. Florman, “A Measurement of the Velocity of Propogation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xml:space="preserve">, 335-345, (1955).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[212] Froome and Essen, op. cit., pp.8, 9, 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[213] R. Kohlrausch, W. Weber, </w:t>
      </w:r>
      <w:r w:rsidRPr="007F536A">
        <w:rPr>
          <w:rFonts w:ascii="Book Antiqua" w:hAnsi="Book Antiqua"/>
          <w:i/>
          <w:sz w:val="16"/>
          <w:szCs w:val="16"/>
        </w:rPr>
        <w:t>Elektrodyn. Maasb.</w:t>
      </w:r>
      <w:r w:rsidRPr="007F536A">
        <w:rPr>
          <w:rFonts w:ascii="Book Antiqua" w:hAnsi="Book Antiqua"/>
          <w:sz w:val="16"/>
          <w:szCs w:val="16"/>
        </w:rPr>
        <w:t xml:space="preserve">, </w:t>
      </w:r>
      <w:r w:rsidRPr="007F536A">
        <w:rPr>
          <w:rFonts w:ascii="Book Antiqua" w:hAnsi="Book Antiqua"/>
          <w:b/>
          <w:sz w:val="16"/>
          <w:szCs w:val="16"/>
        </w:rPr>
        <w:t>Bd III</w:t>
      </w:r>
      <w:r w:rsidRPr="007F536A">
        <w:rPr>
          <w:rFonts w:ascii="Book Antiqua" w:hAnsi="Book Antiqua"/>
          <w:sz w:val="16"/>
          <w:szCs w:val="16"/>
        </w:rPr>
        <w:t xml:space="preserve">. p.221, Leipzig, (1857). Also, R. Kohlrausch,  </w:t>
      </w:r>
      <w:r w:rsidRPr="007F536A">
        <w:rPr>
          <w:rFonts w:ascii="Book Antiqua" w:hAnsi="Book Antiqua"/>
          <w:i/>
          <w:sz w:val="16"/>
          <w:szCs w:val="16"/>
        </w:rPr>
        <w:t>Poggendorf's Annalen</w:t>
      </w:r>
      <w:r w:rsidRPr="007F536A">
        <w:rPr>
          <w:rFonts w:ascii="Book Antiqua" w:hAnsi="Book Antiqua"/>
          <w:sz w:val="16"/>
          <w:szCs w:val="16"/>
        </w:rPr>
        <w:t>, Vol</w:t>
      </w:r>
      <w:r w:rsidRPr="007F536A">
        <w:rPr>
          <w:rFonts w:ascii="Book Antiqua" w:hAnsi="Book Antiqua"/>
          <w:b/>
          <w:sz w:val="16"/>
          <w:szCs w:val="16"/>
        </w:rPr>
        <w:t>. XCIX</w:t>
      </w:r>
      <w:r w:rsidRPr="007F536A">
        <w:rPr>
          <w:rFonts w:ascii="Book Antiqua" w:hAnsi="Book Antiqua"/>
          <w:sz w:val="16"/>
          <w:szCs w:val="16"/>
        </w:rPr>
        <w:t xml:space="preserve">, p. 10, (1856), and </w:t>
      </w:r>
      <w:r w:rsidRPr="007F536A">
        <w:rPr>
          <w:rFonts w:ascii="Book Antiqua" w:hAnsi="Book Antiqua"/>
          <w:i/>
          <w:sz w:val="16"/>
          <w:szCs w:val="16"/>
        </w:rPr>
        <w:t>Poggendorf's Annalen</w:t>
      </w:r>
      <w:r w:rsidRPr="007F536A">
        <w:rPr>
          <w:rFonts w:ascii="Book Antiqua" w:hAnsi="Book Antiqua"/>
          <w:sz w:val="16"/>
          <w:szCs w:val="16"/>
        </w:rPr>
        <w:t xml:space="preserve">, Vol. </w:t>
      </w:r>
      <w:r w:rsidRPr="007F536A">
        <w:rPr>
          <w:rFonts w:ascii="Book Antiqua" w:hAnsi="Book Antiqua"/>
          <w:b/>
          <w:sz w:val="16"/>
          <w:szCs w:val="16"/>
        </w:rPr>
        <w:t>CLVII</w:t>
      </w:r>
      <w:r w:rsidRPr="007F536A">
        <w:rPr>
          <w:rFonts w:ascii="Book Antiqua" w:hAnsi="Book Antiqua"/>
          <w:sz w:val="16"/>
          <w:szCs w:val="16"/>
        </w:rPr>
        <w:t xml:space="preserve">, p.641, (1876).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[214] J. C. Maxwell, “On a method of making a direct comparison of electrostatic with electromagnetic force,” </w:t>
      </w:r>
      <w:r w:rsidRPr="007F536A">
        <w:rPr>
          <w:rFonts w:ascii="Book Antiqua" w:hAnsi="Book Antiqua"/>
          <w:i/>
          <w:sz w:val="16"/>
          <w:szCs w:val="16"/>
        </w:rPr>
        <w:t>Philosophical Transactions</w:t>
      </w:r>
      <w:r w:rsidRPr="007F536A">
        <w:rPr>
          <w:rFonts w:ascii="Book Antiqua" w:hAnsi="Book Antiqua"/>
          <w:sz w:val="16"/>
          <w:szCs w:val="16"/>
        </w:rPr>
        <w:t xml:space="preserve">, (1868). Also </w:t>
      </w:r>
      <w:r w:rsidRPr="007F536A">
        <w:rPr>
          <w:rFonts w:ascii="Book Antiqua" w:hAnsi="Book Antiqua"/>
          <w:i/>
          <w:sz w:val="16"/>
          <w:szCs w:val="16"/>
        </w:rPr>
        <w:t>British Association Report</w:t>
      </w:r>
      <w:r w:rsidRPr="007F536A">
        <w:rPr>
          <w:rFonts w:ascii="Book Antiqua" w:hAnsi="Book Antiqua"/>
          <w:sz w:val="16"/>
          <w:szCs w:val="16"/>
        </w:rPr>
        <w:t xml:space="preserve">,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[215] W. F. King, “Description of the Sir W. Thomson's experiments for the determination of c, the number of electrostatic units in the electro-magnetic unit,” </w:t>
      </w:r>
      <w:r w:rsidRPr="007F536A">
        <w:rPr>
          <w:rFonts w:ascii="Book Antiqua" w:hAnsi="Book Antiqua"/>
          <w:i/>
          <w:sz w:val="16"/>
          <w:szCs w:val="16"/>
        </w:rPr>
        <w:t>British Association Report</w:t>
      </w:r>
      <w:r w:rsidRPr="007F536A">
        <w:rPr>
          <w:rFonts w:ascii="Book Antiqua" w:hAnsi="Book Antiqua"/>
          <w:sz w:val="16"/>
          <w:szCs w:val="16"/>
        </w:rPr>
        <w:t xml:space="preserve">, p. 434,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[216] McKichan, “Determination of the number of electrostatic units in the electromagnetic unit,”</w:t>
      </w:r>
      <w:r w:rsidRPr="007F536A">
        <w:rPr>
          <w:rFonts w:ascii="Book Antiqua" w:hAnsi="Book Antiqua"/>
          <w:i/>
          <w:sz w:val="16"/>
          <w:szCs w:val="16"/>
        </w:rPr>
        <w:t xml:space="preserve"> Philosophical Magazine</w:t>
      </w:r>
      <w:r w:rsidRPr="007F536A">
        <w:rPr>
          <w:rFonts w:ascii="Book Antiqua" w:hAnsi="Book Antiqua"/>
          <w:sz w:val="16"/>
          <w:szCs w:val="16"/>
        </w:rPr>
        <w:t xml:space="preserve">, Vol. </w:t>
      </w:r>
      <w:r w:rsidRPr="007F536A">
        <w:rPr>
          <w:rFonts w:ascii="Book Antiqua" w:hAnsi="Book Antiqua"/>
          <w:b/>
          <w:sz w:val="16"/>
          <w:szCs w:val="16"/>
        </w:rPr>
        <w:t>XLVII</w:t>
      </w:r>
      <w:r w:rsidRPr="007F536A">
        <w:rPr>
          <w:rFonts w:ascii="Book Antiqua" w:hAnsi="Book Antiqua"/>
          <w:sz w:val="16"/>
          <w:szCs w:val="16"/>
        </w:rPr>
        <w:t xml:space="preserve">, p. 218. (1874).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[217] Rowland, Hall, and Fletcher, “On the ratio of the electrostatic to the electromagnetic unit of Electricity,” </w:t>
      </w:r>
      <w:r w:rsidRPr="007F536A">
        <w:rPr>
          <w:rFonts w:ascii="Book Antiqua" w:hAnsi="Book Antiqua"/>
          <w:i/>
          <w:sz w:val="16"/>
          <w:szCs w:val="16"/>
        </w:rPr>
        <w:t>Philosophical Magazine</w:t>
      </w:r>
      <w:r w:rsidRPr="007F536A">
        <w:rPr>
          <w:rFonts w:ascii="Book Antiqua" w:hAnsi="Book Antiqua"/>
          <w:sz w:val="16"/>
          <w:szCs w:val="16"/>
        </w:rPr>
        <w:t xml:space="preserve">, 5th. series, Vol. </w:t>
      </w:r>
      <w:r w:rsidRPr="007F536A">
        <w:rPr>
          <w:rFonts w:ascii="Book Antiqua" w:hAnsi="Book Antiqua"/>
          <w:b/>
          <w:sz w:val="16"/>
          <w:szCs w:val="16"/>
        </w:rPr>
        <w:t>XXVIII</w:t>
      </w:r>
      <w:r w:rsidRPr="007F536A">
        <w:rPr>
          <w:rFonts w:ascii="Book Antiqua" w:hAnsi="Book Antiqua"/>
          <w:sz w:val="16"/>
          <w:szCs w:val="16"/>
        </w:rPr>
        <w:t xml:space="preserve">, p. 304,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[218] Ayrton and Perry, “Determination of the ratio of the electromagnetic to the electrostatic unit of electric quantity,” </w:t>
      </w:r>
      <w:r w:rsidRPr="007F536A">
        <w:rPr>
          <w:rFonts w:ascii="Book Antiqua" w:hAnsi="Book Antiqua"/>
          <w:i/>
          <w:sz w:val="16"/>
          <w:szCs w:val="16"/>
        </w:rPr>
        <w:t>Philosophical Magazine</w:t>
      </w:r>
      <w:r w:rsidRPr="007F536A">
        <w:rPr>
          <w:rFonts w:ascii="Book Antiqua" w:hAnsi="Book Antiqua"/>
          <w:sz w:val="16"/>
          <w:szCs w:val="16"/>
        </w:rPr>
        <w:t>, 5th series, Vol.</w:t>
      </w:r>
      <w:r w:rsidRPr="007F536A">
        <w:rPr>
          <w:rFonts w:ascii="Book Antiqua" w:hAnsi="Book Antiqua"/>
          <w:b/>
          <w:sz w:val="16"/>
          <w:szCs w:val="16"/>
        </w:rPr>
        <w:t>VII</w:t>
      </w:r>
      <w:r w:rsidRPr="007F536A">
        <w:rPr>
          <w:rFonts w:ascii="Book Antiqua" w:hAnsi="Book Antiqua"/>
          <w:sz w:val="16"/>
          <w:szCs w:val="16"/>
        </w:rPr>
        <w:t xml:space="preserve">, p. 277,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[219] Hockin, “Note on the capacity of a certain condenser and on the value of c,” </w:t>
      </w:r>
      <w:r w:rsidRPr="007F536A">
        <w:rPr>
          <w:rFonts w:ascii="Book Antiqua" w:hAnsi="Book Antiqua"/>
          <w:i/>
          <w:sz w:val="16"/>
          <w:szCs w:val="16"/>
        </w:rPr>
        <w:t>British Association Report</w:t>
      </w:r>
      <w:r w:rsidRPr="007F536A">
        <w:rPr>
          <w:rFonts w:ascii="Book Antiqua" w:hAnsi="Book Antiqua"/>
          <w:sz w:val="16"/>
          <w:szCs w:val="16"/>
        </w:rPr>
        <w:t xml:space="preserve">, p. 285,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[220] R. Shida, “On the number of electrostatic units in the electromagnetic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431, (1880).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[221] Stoletov, “Sur une methode pour determiner le rapport des unites electromagnetiques et electrostatiques,” </w:t>
      </w:r>
      <w:r w:rsidRPr="007F536A">
        <w:rPr>
          <w:rFonts w:ascii="Book Antiqua" w:hAnsi="Book Antiqua"/>
          <w:i/>
          <w:sz w:val="16"/>
          <w:szCs w:val="16"/>
        </w:rPr>
        <w:t>Journal de Physique</w:t>
      </w:r>
      <w:r w:rsidRPr="007F536A">
        <w:rPr>
          <w:rFonts w:ascii="Book Antiqua" w:hAnsi="Book Antiqua"/>
          <w:sz w:val="16"/>
          <w:szCs w:val="16"/>
        </w:rPr>
        <w:t>, p. 468,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[222] Exner, “Bestimmung des Verhaltnisses...”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LXXXVI</w:t>
      </w:r>
      <w:r w:rsidRPr="007F536A">
        <w:rPr>
          <w:rFonts w:ascii="Book Antiqua" w:hAnsi="Book Antiqua"/>
          <w:sz w:val="16"/>
          <w:szCs w:val="16"/>
        </w:rPr>
        <w:t xml:space="preserve">, (1882), and also </w:t>
      </w:r>
      <w:r w:rsidRPr="007F536A">
        <w:rPr>
          <w:rFonts w:ascii="Book Antiqua" w:hAnsi="Book Antiqua"/>
          <w:i/>
          <w:sz w:val="16"/>
          <w:szCs w:val="16"/>
        </w:rPr>
        <w:t>Exner's Repertorium</w:t>
      </w:r>
      <w:r w:rsidRPr="007F536A">
        <w:rPr>
          <w:rFonts w:ascii="Book Antiqua" w:hAnsi="Book Antiqua"/>
          <w:sz w:val="16"/>
          <w:szCs w:val="16"/>
        </w:rPr>
        <w:t xml:space="preserve">, Vol. </w:t>
      </w:r>
      <w:r w:rsidRPr="007F536A">
        <w:rPr>
          <w:rFonts w:ascii="Book Antiqua" w:hAnsi="Book Antiqua"/>
          <w:b/>
          <w:sz w:val="16"/>
          <w:szCs w:val="16"/>
        </w:rPr>
        <w:t>XIX</w:t>
      </w:r>
      <w:r w:rsidRPr="007F536A">
        <w:rPr>
          <w:rFonts w:ascii="Book Antiqua" w:hAnsi="Book Antiqua"/>
          <w:sz w:val="16"/>
          <w:szCs w:val="16"/>
        </w:rPr>
        <w:t xml:space="preserve">, p. 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[223] Details from Froome and Essen, reference [64], p. 11.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[224] I. Klemencic,  “Untersuchungen etc.,”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LXXXIX</w:t>
      </w:r>
      <w:r w:rsidRPr="007F536A">
        <w:rPr>
          <w:rFonts w:ascii="Book Antiqua" w:hAnsi="Book Antiqua"/>
          <w:sz w:val="16"/>
          <w:szCs w:val="16"/>
        </w:rPr>
        <w:t xml:space="preserve">, (1884). Also,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xml:space="preserve">, p. 470,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[225] Colley, “Ueber einige neue Methoden zur Beobachtung electrischer Schwingungen und einige Anwendungen derselben,”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1,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[226] Himstedt, “Ueber eine Bestimmung der Grosse c</w:t>
      </w:r>
      <w:r w:rsidRPr="007F536A">
        <w:rPr>
          <w:rFonts w:ascii="Book Antiqua" w:hAnsi="Book Antiqua"/>
          <w:i/>
          <w:sz w:val="16"/>
          <w:szCs w:val="16"/>
        </w:rPr>
        <w:t>,” Wiedemann's Annalen</w:t>
      </w:r>
      <w:r w:rsidRPr="007F536A">
        <w:rPr>
          <w:rFonts w:ascii="Book Antiqua" w:hAnsi="Book Antiqua"/>
          <w:sz w:val="16"/>
          <w:szCs w:val="16"/>
        </w:rPr>
        <w:t xml:space="preserve">, Vol. </w:t>
      </w:r>
      <w:r w:rsidRPr="007F536A">
        <w:rPr>
          <w:rFonts w:ascii="Book Antiqua" w:hAnsi="Book Antiqua"/>
          <w:b/>
          <w:sz w:val="16"/>
          <w:szCs w:val="16"/>
        </w:rPr>
        <w:t>XXIX</w:t>
      </w:r>
      <w:r w:rsidRPr="007F536A">
        <w:rPr>
          <w:rFonts w:ascii="Book Antiqua" w:hAnsi="Book Antiqua"/>
          <w:sz w:val="16"/>
          <w:szCs w:val="16"/>
        </w:rPr>
        <w:t xml:space="preserve">, p. 560, (1887). Also, “Ueber eine neue Bestimmung der Grosse c,”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XXXIII</w:t>
      </w:r>
      <w:r w:rsidRPr="007F536A">
        <w:rPr>
          <w:rFonts w:ascii="Book Antiqua" w:hAnsi="Book Antiqua"/>
          <w:sz w:val="16"/>
          <w:szCs w:val="16"/>
        </w:rPr>
        <w:t xml:space="preserve">, p. 1, (1888). Again, “Ueber die Bestimmung der Capacitat eines Schutzringcondensators in absolutem electromagnet-ischem Masse,”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XXXV</w:t>
      </w:r>
      <w:r w:rsidRPr="007F536A">
        <w:rPr>
          <w:rFonts w:ascii="Book Antiqua" w:hAnsi="Book Antiqua"/>
          <w:sz w:val="16"/>
          <w:szCs w:val="16"/>
        </w:rPr>
        <w:t xml:space="preserve">, p. 126, (1888).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[227] Thomson, Ayrton and Perry, “Electrometric determination of c,” </w:t>
      </w:r>
      <w:r w:rsidRPr="007F536A">
        <w:rPr>
          <w:rFonts w:ascii="Book Antiqua" w:hAnsi="Book Antiqua"/>
          <w:i/>
          <w:sz w:val="16"/>
          <w:szCs w:val="16"/>
        </w:rPr>
        <w:t>Electrical Review</w:t>
      </w:r>
      <w:r w:rsidRPr="007F536A">
        <w:rPr>
          <w:rFonts w:ascii="Book Antiqua" w:hAnsi="Book Antiqua"/>
          <w:sz w:val="16"/>
          <w:szCs w:val="16"/>
        </w:rPr>
        <w:t xml:space="preserve">, Vol. </w:t>
      </w:r>
      <w:r w:rsidRPr="007F536A">
        <w:rPr>
          <w:rFonts w:ascii="Book Antiqua" w:hAnsi="Book Antiqua"/>
          <w:b/>
          <w:sz w:val="16"/>
          <w:szCs w:val="16"/>
        </w:rPr>
        <w:t>XXIII</w:t>
      </w:r>
      <w:r w:rsidRPr="007F536A">
        <w:rPr>
          <w:rFonts w:ascii="Book Antiqua" w:hAnsi="Book Antiqua"/>
          <w:sz w:val="16"/>
          <w:szCs w:val="16"/>
        </w:rPr>
        <w:t xml:space="preserve">, p. 337, (1888-1889).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[228] E.B. Rosa, “Determination of c, the ratio of the electromagnetic to the electrostatic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315,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[229] Thomson, J.J., and G.F.C. Searle, “A determination of the ratio of the electromagnetic unit of electricity to the electrostatic unit,” </w:t>
      </w:r>
      <w:r w:rsidRPr="007F536A">
        <w:rPr>
          <w:rFonts w:ascii="Book Antiqua" w:hAnsi="Book Antiqua"/>
          <w:i/>
          <w:sz w:val="16"/>
          <w:szCs w:val="16"/>
        </w:rPr>
        <w:t>Philosophical Transactions</w:t>
      </w:r>
      <w:r w:rsidRPr="007F536A">
        <w:rPr>
          <w:rFonts w:ascii="Book Antiqua" w:hAnsi="Book Antiqua"/>
          <w:sz w:val="16"/>
          <w:szCs w:val="16"/>
        </w:rPr>
        <w:t xml:space="preserve">, p.583, (1890).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[230] Pellat, “Determination du rapport entre l'unite electromagnetique et l'unite electrostatique d'electricite,” </w:t>
      </w:r>
      <w:r w:rsidRPr="007F536A">
        <w:rPr>
          <w:rFonts w:ascii="Book Antiqua" w:hAnsi="Book Antiqua"/>
          <w:i/>
          <w:sz w:val="16"/>
          <w:szCs w:val="16"/>
        </w:rPr>
        <w:t>Journal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389,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[231] H. Abraham, “ Sur une nouvelle determination du rapport c entre les unites electromagnetiques et electrostatiques,”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XXVII</w:t>
      </w:r>
      <w:r w:rsidRPr="007F536A">
        <w:rPr>
          <w:rFonts w:ascii="Book Antiqua" w:hAnsi="Book Antiqua"/>
          <w:sz w:val="16"/>
          <w:szCs w:val="16"/>
        </w:rPr>
        <w:t xml:space="preserve">, p. 433, (1892).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[232] Hurmuzescu, “Nouvelle determination du rapport c entre les unites electrostatiques et electromagnetiques,”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433,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[233] Perot and Fabry, “Electrometre absolu pour petites differences de potential”, </w:t>
      </w:r>
      <w:r w:rsidRPr="007F536A">
        <w:rPr>
          <w:rFonts w:ascii="Book Antiqua" w:hAnsi="Book Antiqua"/>
          <w:i/>
          <w:sz w:val="16"/>
          <w:szCs w:val="16"/>
        </w:rPr>
        <w:t>Annales de Chimie et de Physique</w:t>
      </w:r>
      <w:r w:rsidRPr="007F536A">
        <w:rPr>
          <w:rFonts w:ascii="Book Antiqua" w:hAnsi="Book Antiqua"/>
          <w:sz w:val="16"/>
          <w:szCs w:val="16"/>
        </w:rPr>
        <w:t>, Vol.</w:t>
      </w:r>
      <w:r w:rsidRPr="007F536A">
        <w:rPr>
          <w:rFonts w:ascii="Book Antiqua" w:hAnsi="Book Antiqua"/>
          <w:b/>
          <w:sz w:val="16"/>
          <w:szCs w:val="16"/>
        </w:rPr>
        <w:t xml:space="preserve"> XIII</w:t>
      </w:r>
      <w:r w:rsidRPr="007F536A">
        <w:rPr>
          <w:rFonts w:ascii="Book Antiqua" w:hAnsi="Book Antiqua"/>
          <w:sz w:val="16"/>
          <w:szCs w:val="16"/>
        </w:rPr>
        <w:t xml:space="preserve">, p. 404,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[234] A.G. Webster, “An experimental determination of the period of electrical oscillation,” </w:t>
      </w:r>
      <w:r w:rsidRPr="007F536A">
        <w:rPr>
          <w:rFonts w:ascii="Book Antiqua" w:hAnsi="Book Antiqua"/>
          <w:i/>
          <w:sz w:val="16"/>
          <w:szCs w:val="16"/>
        </w:rPr>
        <w:t>Physical Review</w:t>
      </w:r>
      <w:r w:rsidRPr="007F536A">
        <w:rPr>
          <w:rFonts w:ascii="Book Antiqua" w:hAnsi="Book Antiqua"/>
          <w:sz w:val="16"/>
          <w:szCs w:val="16"/>
        </w:rPr>
        <w:t xml:space="preserve">, Vol. </w:t>
      </w:r>
      <w:r w:rsidRPr="007F536A">
        <w:rPr>
          <w:rFonts w:ascii="Book Antiqua" w:hAnsi="Book Antiqua"/>
          <w:b/>
          <w:sz w:val="16"/>
          <w:szCs w:val="16"/>
        </w:rPr>
        <w:t>VI</w:t>
      </w:r>
      <w:r w:rsidRPr="007F536A">
        <w:rPr>
          <w:rFonts w:ascii="Book Antiqua" w:hAnsi="Book Antiqua"/>
          <w:sz w:val="16"/>
          <w:szCs w:val="16"/>
        </w:rPr>
        <w:t xml:space="preserve">, p.297,( 1898).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[235] Lodge and Glazebrook, “Discharge of an air condenser, with a determination of c,” </w:t>
      </w:r>
      <w:r w:rsidRPr="007F536A">
        <w:rPr>
          <w:rFonts w:ascii="Book Antiqua" w:hAnsi="Book Antiqua"/>
          <w:i/>
          <w:sz w:val="16"/>
          <w:szCs w:val="16"/>
        </w:rPr>
        <w:t>Stokes Commemoration</w:t>
      </w:r>
      <w:r w:rsidRPr="007F536A">
        <w:rPr>
          <w:rFonts w:ascii="Book Antiqua" w:hAnsi="Book Antiqua"/>
          <w:sz w:val="16"/>
          <w:szCs w:val="16"/>
        </w:rPr>
        <w:t xml:space="preserve">, p. 136, Cambridge (1899). Also, </w:t>
      </w:r>
      <w:r w:rsidRPr="007F536A">
        <w:rPr>
          <w:rFonts w:ascii="Book Antiqua" w:hAnsi="Book Antiqua"/>
          <w:i/>
          <w:sz w:val="16"/>
          <w:szCs w:val="16"/>
        </w:rPr>
        <w:t>Transactions of the Cambridge Philosophical Society</w:t>
      </w:r>
      <w:r w:rsidRPr="007F536A">
        <w:rPr>
          <w:rFonts w:ascii="Book Antiqua" w:hAnsi="Book Antiqua"/>
          <w:sz w:val="16"/>
          <w:szCs w:val="16"/>
        </w:rPr>
        <w:t>, Vol</w:t>
      </w:r>
      <w:r w:rsidRPr="007F536A">
        <w:rPr>
          <w:rFonts w:ascii="Book Antiqua" w:hAnsi="Book Antiqua"/>
          <w:b/>
          <w:sz w:val="16"/>
          <w:szCs w:val="16"/>
        </w:rPr>
        <w:t>. XVIII</w:t>
      </w:r>
      <w:r w:rsidRPr="007F536A">
        <w:rPr>
          <w:rFonts w:ascii="Book Antiqua" w:hAnsi="Book Antiqua"/>
          <w:sz w:val="16"/>
          <w:szCs w:val="16"/>
        </w:rPr>
        <w:t xml:space="preserve">.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[236] E.B. Rosa, N.E. Dorsey, </w:t>
      </w:r>
      <w:r w:rsidRPr="007F536A">
        <w:rPr>
          <w:rFonts w:ascii="Book Antiqua" w:hAnsi="Book Antiqua"/>
          <w:i/>
          <w:sz w:val="16"/>
          <w:szCs w:val="16"/>
        </w:rPr>
        <w:t>Bulletin of the U.S. Bureau of Standards</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 433, (1907).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[237]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p.628, (1891). Also</w:t>
      </w:r>
      <w:r w:rsidRPr="007F536A">
        <w:rPr>
          <w:rFonts w:ascii="Book Antiqua" w:hAnsi="Book Antiqua"/>
          <w:i/>
          <w:sz w:val="16"/>
          <w:szCs w:val="16"/>
        </w:rPr>
        <w:t>, Journal de Physique</w:t>
      </w:r>
      <w:r w:rsidRPr="007F536A">
        <w:rPr>
          <w:rFonts w:ascii="Book Antiqua" w:hAnsi="Book Antiqua"/>
          <w:sz w:val="16"/>
          <w:szCs w:val="16"/>
        </w:rPr>
        <w:t>, series 2, Vol.</w:t>
      </w:r>
      <w:r w:rsidRPr="007F536A">
        <w:rPr>
          <w:rFonts w:ascii="Book Antiqua" w:hAnsi="Book Antiqua"/>
          <w:b/>
          <w:sz w:val="16"/>
          <w:szCs w:val="16"/>
        </w:rPr>
        <w:t xml:space="preserve"> X</w:t>
      </w:r>
      <w:r w:rsidRPr="007F536A">
        <w:rPr>
          <w:rFonts w:ascii="Book Antiqua" w:hAnsi="Book Antiqua"/>
          <w:sz w:val="16"/>
          <w:szCs w:val="16"/>
        </w:rPr>
        <w:t xml:space="preserve">, p. 549, December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[238]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CXVII</w:t>
      </w:r>
      <w:r w:rsidRPr="007F536A">
        <w:rPr>
          <w:rFonts w:ascii="Book Antiqua" w:hAnsi="Book Antiqua"/>
          <w:sz w:val="16"/>
          <w:szCs w:val="16"/>
        </w:rPr>
        <w:t xml:space="preserve">, p. 543, (1895). Also, </w:t>
      </w:r>
      <w:r w:rsidRPr="007F536A">
        <w:rPr>
          <w:rFonts w:ascii="Book Antiqua" w:hAnsi="Book Antiqua"/>
          <w:i/>
          <w:sz w:val="16"/>
          <w:szCs w:val="16"/>
        </w:rPr>
        <w:t>Annales de Chimie et de Physique</w:t>
      </w:r>
      <w:r w:rsidRPr="007F536A">
        <w:rPr>
          <w:rFonts w:ascii="Book Antiqua" w:hAnsi="Book Antiqua"/>
          <w:sz w:val="16"/>
          <w:szCs w:val="16"/>
        </w:rPr>
        <w:t xml:space="preserve">, series 7, Vol. </w:t>
      </w:r>
      <w:r w:rsidRPr="007F536A">
        <w:rPr>
          <w:rFonts w:ascii="Book Antiqua" w:hAnsi="Book Antiqua"/>
          <w:b/>
          <w:sz w:val="16"/>
          <w:szCs w:val="16"/>
        </w:rPr>
        <w:t>VII</w:t>
      </w:r>
      <w:r w:rsidRPr="007F536A">
        <w:rPr>
          <w:rFonts w:ascii="Book Antiqua" w:hAnsi="Book Antiqua"/>
          <w:sz w:val="16"/>
          <w:szCs w:val="16"/>
        </w:rPr>
        <w:t xml:space="preserve">, April 1896.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[239] Trowbridge and Duane, </w:t>
      </w:r>
      <w:r w:rsidRPr="007F536A">
        <w:rPr>
          <w:rFonts w:ascii="Book Antiqua" w:hAnsi="Book Antiqua"/>
          <w:i/>
          <w:sz w:val="16"/>
          <w:szCs w:val="16"/>
        </w:rPr>
        <w:t>Philosophical Magazine</w:t>
      </w:r>
      <w:r w:rsidRPr="007F536A">
        <w:rPr>
          <w:rFonts w:ascii="Book Antiqua" w:hAnsi="Book Antiqua"/>
          <w:sz w:val="16"/>
          <w:szCs w:val="16"/>
        </w:rPr>
        <w:t xml:space="preserve">, series 5, Vol. </w:t>
      </w:r>
      <w:r w:rsidRPr="007F536A">
        <w:rPr>
          <w:rFonts w:ascii="Book Antiqua" w:hAnsi="Book Antiqua"/>
          <w:b/>
          <w:sz w:val="16"/>
          <w:szCs w:val="16"/>
        </w:rPr>
        <w:t>XL</w:t>
      </w:r>
      <w:r w:rsidRPr="007F536A">
        <w:rPr>
          <w:rFonts w:ascii="Book Antiqua" w:hAnsi="Book Antiqua"/>
          <w:sz w:val="16"/>
          <w:szCs w:val="16"/>
        </w:rPr>
        <w:t xml:space="preserve">, p.211, (1895).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[240] C.A. Saunders, </w:t>
      </w:r>
      <w:r w:rsidRPr="007F536A">
        <w:rPr>
          <w:rFonts w:ascii="Book Antiqua" w:hAnsi="Book Antiqua"/>
          <w:i/>
          <w:sz w:val="16"/>
          <w:szCs w:val="16"/>
        </w:rPr>
        <w:t>Physical Review</w:t>
      </w:r>
      <w:r w:rsidRPr="007F536A">
        <w:rPr>
          <w:rFonts w:ascii="Book Antiqua" w:hAnsi="Book Antiqua"/>
          <w:sz w:val="16"/>
          <w:szCs w:val="16"/>
        </w:rPr>
        <w:t>, Vol.</w:t>
      </w:r>
      <w:r w:rsidRPr="007F536A">
        <w:rPr>
          <w:rFonts w:ascii="Book Antiqua" w:hAnsi="Book Antiqua"/>
          <w:b/>
          <w:sz w:val="16"/>
          <w:szCs w:val="16"/>
        </w:rPr>
        <w:t xml:space="preserve"> IV</w:t>
      </w:r>
      <w:r w:rsidRPr="007F536A">
        <w:rPr>
          <w:rFonts w:ascii="Book Antiqua" w:hAnsi="Book Antiqua"/>
          <w:sz w:val="16"/>
          <w:szCs w:val="16"/>
        </w:rPr>
        <w:t xml:space="preserve">, p.81,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[241] MacLean, </w:t>
      </w:r>
      <w:r w:rsidRPr="007F536A">
        <w:rPr>
          <w:rFonts w:ascii="Book Antiqua" w:hAnsi="Book Antiqua"/>
          <w:i/>
          <w:sz w:val="16"/>
          <w:szCs w:val="16"/>
        </w:rPr>
        <w:t>Philospohical Magazine</w:t>
      </w:r>
      <w:r w:rsidRPr="007F536A">
        <w:rPr>
          <w:rFonts w:ascii="Book Antiqua" w:hAnsi="Book Antiqua"/>
          <w:sz w:val="16"/>
          <w:szCs w:val="16"/>
        </w:rPr>
        <w:t xml:space="preserve">, series 5. Vol. </w:t>
      </w:r>
      <w:r w:rsidRPr="007F536A">
        <w:rPr>
          <w:rFonts w:ascii="Book Antiqua" w:hAnsi="Book Antiqua"/>
          <w:b/>
          <w:sz w:val="16"/>
          <w:szCs w:val="16"/>
        </w:rPr>
        <w:t>XLVIII</w:t>
      </w:r>
      <w:r w:rsidRPr="007F536A">
        <w:rPr>
          <w:rFonts w:ascii="Book Antiqua" w:hAnsi="Book Antiqua"/>
          <w:sz w:val="16"/>
          <w:szCs w:val="16"/>
        </w:rPr>
        <w:t xml:space="preserve">, p.117, (1899).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[242] J. Mercier, </w:t>
      </w:r>
      <w:r w:rsidRPr="007F536A">
        <w:rPr>
          <w:rFonts w:ascii="Book Antiqua" w:hAnsi="Book Antiqua"/>
          <w:i/>
          <w:sz w:val="16"/>
          <w:szCs w:val="16"/>
        </w:rPr>
        <w:t>Ann. Phys.</w:t>
      </w:r>
      <w:r w:rsidRPr="007F536A">
        <w:rPr>
          <w:rFonts w:ascii="Book Antiqua" w:hAnsi="Book Antiqua"/>
          <w:sz w:val="16"/>
          <w:szCs w:val="16"/>
        </w:rPr>
        <w:t xml:space="preserve"> Series 9, Vol. </w:t>
      </w:r>
      <w:r w:rsidRPr="007F536A">
        <w:rPr>
          <w:rFonts w:ascii="Book Antiqua" w:hAnsi="Book Antiqua"/>
          <w:b/>
          <w:sz w:val="16"/>
          <w:szCs w:val="16"/>
        </w:rPr>
        <w:t>19</w:t>
      </w:r>
      <w:r w:rsidRPr="007F536A">
        <w:rPr>
          <w:rFonts w:ascii="Book Antiqua" w:hAnsi="Book Antiqua"/>
          <w:sz w:val="16"/>
          <w:szCs w:val="16"/>
        </w:rPr>
        <w:t>, p. 248, (1923), Vol</w:t>
      </w:r>
      <w:r w:rsidRPr="007F536A">
        <w:rPr>
          <w:rFonts w:ascii="Book Antiqua" w:hAnsi="Book Antiqua"/>
          <w:b/>
          <w:sz w:val="16"/>
          <w:szCs w:val="16"/>
        </w:rPr>
        <w:t>. 20</w:t>
      </w:r>
      <w:r w:rsidRPr="007F536A">
        <w:rPr>
          <w:rFonts w:ascii="Book Antiqua" w:hAnsi="Book Antiqua"/>
          <w:sz w:val="16"/>
          <w:szCs w:val="16"/>
        </w:rPr>
        <w:t xml:space="preserve">, p.5, (1923). Also, </w:t>
      </w:r>
      <w:r w:rsidRPr="007F536A">
        <w:rPr>
          <w:rFonts w:ascii="Book Antiqua" w:hAnsi="Book Antiqua"/>
          <w:i/>
          <w:sz w:val="16"/>
          <w:szCs w:val="16"/>
        </w:rPr>
        <w:t>J. Phys. Radium</w:t>
      </w:r>
      <w:r w:rsidRPr="007F536A">
        <w:rPr>
          <w:rFonts w:ascii="Book Antiqua" w:hAnsi="Book Antiqua"/>
          <w:sz w:val="16"/>
          <w:szCs w:val="16"/>
        </w:rPr>
        <w:t>, (6), Vol.</w:t>
      </w:r>
      <w:r w:rsidRPr="007F536A">
        <w:rPr>
          <w:rFonts w:ascii="Book Antiqua" w:hAnsi="Book Antiqua"/>
          <w:b/>
          <w:sz w:val="16"/>
          <w:szCs w:val="16"/>
        </w:rPr>
        <w:t>5</w:t>
      </w:r>
      <w:r w:rsidRPr="007F536A">
        <w:rPr>
          <w:rFonts w:ascii="Book Antiqua" w:hAnsi="Book Antiqua"/>
          <w:sz w:val="16"/>
          <w:szCs w:val="16"/>
        </w:rPr>
        <w:t xml:space="preserve">, p.168, (1924).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[243] A. Montgomery, L. Dolphin, </w:t>
      </w:r>
      <w:r w:rsidRPr="007F536A">
        <w:rPr>
          <w:rFonts w:ascii="Book Antiqua" w:hAnsi="Book Antiqua"/>
          <w:i/>
          <w:sz w:val="16"/>
          <w:szCs w:val="16"/>
        </w:rPr>
        <w:t>Galilean Electrodynamics</w:t>
      </w:r>
      <w:r w:rsidRPr="007F536A">
        <w:rPr>
          <w:rFonts w:ascii="Book Antiqua" w:hAnsi="Book Antiqua"/>
          <w:sz w:val="16"/>
          <w:szCs w:val="16"/>
        </w:rPr>
        <w:t xml:space="preserve"> </w:t>
      </w:r>
      <w:r w:rsidRPr="007F536A">
        <w:rPr>
          <w:rFonts w:ascii="Book Antiqua" w:hAnsi="Book Antiqua"/>
          <w:b/>
          <w:sz w:val="16"/>
          <w:szCs w:val="16"/>
        </w:rPr>
        <w:t>4</w:t>
      </w:r>
      <w:r w:rsidRPr="007F536A">
        <w:rPr>
          <w:rFonts w:ascii="Book Antiqua" w:hAnsi="Book Antiqua"/>
          <w:sz w:val="16"/>
          <w:szCs w:val="16"/>
        </w:rPr>
        <w:t>:5 (1993) 93.</w:t>
      </w:r>
    </w:p>
    <w:p w:rsidR="00821A88" w:rsidRPr="007F536A" w:rsidRDefault="00821A88" w:rsidP="00821A88">
      <w:pPr>
        <w:pStyle w:val="NoSpacing"/>
        <w:rPr>
          <w:rFonts w:ascii="Book Antiqua" w:hAnsi="Book Antiqua"/>
          <w:b/>
          <w:sz w:val="16"/>
          <w:szCs w:val="16"/>
        </w:rPr>
      </w:pPr>
    </w:p>
    <w:p w:rsidR="00036707" w:rsidRDefault="00036707" w:rsidP="00821A88">
      <w:pPr>
        <w:pStyle w:val="NoSpacing"/>
        <w:rPr>
          <w:rFonts w:ascii="Book Antiqua" w:hAnsi="Book Antiqua"/>
          <w:b/>
          <w:sz w:val="20"/>
        </w:rPr>
      </w:pPr>
    </w:p>
    <w:p w:rsidR="00036707" w:rsidRDefault="00036707" w:rsidP="00821A88">
      <w:pPr>
        <w:pStyle w:val="NoSpacing"/>
        <w:rPr>
          <w:rFonts w:ascii="Book Antiqua" w:hAnsi="Book Antiqua"/>
          <w:b/>
          <w:sz w:val="20"/>
        </w:rPr>
      </w:pPr>
    </w:p>
    <w:p w:rsidR="00821A88" w:rsidRPr="007F536A" w:rsidRDefault="00821A88" w:rsidP="00821A88">
      <w:pPr>
        <w:pStyle w:val="NoSpacing"/>
        <w:rPr>
          <w:rFonts w:ascii="Book Antiqua" w:hAnsi="Book Antiqua"/>
          <w:i/>
          <w:sz w:val="20"/>
        </w:rPr>
      </w:pPr>
      <w:r w:rsidRPr="007F536A">
        <w:rPr>
          <w:rFonts w:ascii="Book Antiqua" w:hAnsi="Book Antiqua"/>
          <w:b/>
          <w:sz w:val="20"/>
        </w:rPr>
        <w:t xml:space="preserve">Figure References – </w:t>
      </w:r>
      <w:r w:rsidRPr="007F536A">
        <w:rPr>
          <w:rFonts w:ascii="Book Antiqua" w:hAnsi="Book Antiqua"/>
          <w:i/>
          <w:sz w:val="20"/>
        </w:rPr>
        <w:t>All URL’s retrieved 9/13/12</w:t>
      </w:r>
    </w:p>
    <w:p w:rsidR="00821A88" w:rsidRPr="007F536A" w:rsidRDefault="00821A88" w:rsidP="00821A88">
      <w:pPr>
        <w:pStyle w:val="NoSpacing"/>
        <w:rPr>
          <w:rFonts w:ascii="Book Antiqua" w:hAnsi="Book Antiqua"/>
          <w:b/>
          <w:sz w:val="16"/>
          <w:szCs w:val="16"/>
        </w:rPr>
      </w:pP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 (Left) Ole Rømer 1644-1710. Painting by Jacob Coning about 1700; (right)Ole Rømer at work in his home observatory in Copenhagen. Both images from </w:t>
      </w:r>
      <w:hyperlink r:id="rId133" w:history="1">
        <w:r w:rsidRPr="007F536A">
          <w:rPr>
            <w:rStyle w:val="Hyperlink"/>
            <w:rFonts w:ascii="Book Antiqua" w:hAnsi="Book Antiqua"/>
            <w:i/>
            <w:szCs w:val="16"/>
          </w:rPr>
          <w:t>http://en.wikipedia.org/wiki/Ole_R%C3%B8mer</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2: Ole Roemer’s drawing of Io’s Jupiter Eclipse</w:t>
      </w:r>
      <w:r w:rsidR="0091679C">
        <w:rPr>
          <w:rFonts w:ascii="Book Antiqua" w:hAnsi="Book Antiqua"/>
          <w:sz w:val="16"/>
          <w:szCs w:val="16"/>
        </w:rPr>
        <w:t xml:space="preserve">: </w:t>
      </w:r>
      <w:hyperlink r:id="rId134" w:history="1">
        <w:r w:rsidRPr="007F536A">
          <w:rPr>
            <w:rStyle w:val="Hyperlink"/>
            <w:rFonts w:ascii="Book Antiqua" w:hAnsi="Book Antiqua"/>
            <w:i/>
            <w:szCs w:val="16"/>
          </w:rPr>
          <w:t>http://www.olympusmicro.com/primer/lightandcolor/speedoflight.html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3: Explanation of light travel time across earth’s orbit</w:t>
      </w:r>
      <w:r w:rsidR="0091679C">
        <w:rPr>
          <w:rFonts w:ascii="Book Antiqua" w:hAnsi="Book Antiqua"/>
          <w:sz w:val="16"/>
          <w:szCs w:val="16"/>
        </w:rPr>
        <w:t xml:space="preserve">: </w:t>
      </w:r>
      <w:hyperlink r:id="rId135" w:history="1">
        <w:r w:rsidRPr="007F536A">
          <w:rPr>
            <w:rStyle w:val="Hyperlink"/>
            <w:rFonts w:ascii="Book Antiqua" w:hAnsi="Book Antiqua"/>
            <w:i/>
            <w:szCs w:val="16"/>
          </w:rPr>
          <w:t>http://en.wikinoticia.com/culture-science/Science/67700-the-speed-of-light</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Figure 4:</w:t>
      </w:r>
      <w:r w:rsidRPr="007F536A">
        <w:rPr>
          <w:rFonts w:ascii="Book Antiqua" w:hAnsi="Book Antiqua"/>
          <w:i/>
          <w:sz w:val="16"/>
          <w:szCs w:val="16"/>
        </w:rPr>
        <w:t xml:space="preserve"> </w:t>
      </w:r>
      <w:r w:rsidRPr="007F536A">
        <w:rPr>
          <w:rFonts w:ascii="Book Antiqua" w:hAnsi="Book Antiqua"/>
          <w:sz w:val="16"/>
          <w:szCs w:val="16"/>
        </w:rPr>
        <w:t xml:space="preserve">Left – J. B. J. Delambre 1749-1822. </w:t>
      </w:r>
      <w:hyperlink r:id="rId136" w:history="1">
        <w:r w:rsidRPr="007F536A">
          <w:rPr>
            <w:rStyle w:val="Hyperlink"/>
            <w:rFonts w:ascii="Book Antiqua" w:hAnsi="Book Antiqua"/>
            <w:i/>
            <w:szCs w:val="16"/>
          </w:rPr>
          <w:t>http://en.wikipedia.org/wiki/Jean_Baptiste_Joseph_Delambre</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Right - S. P. Glazenapp 1848-1937.  </w:t>
      </w:r>
      <w:hyperlink r:id="rId137" w:history="1">
        <w:r w:rsidRPr="007F536A">
          <w:rPr>
            <w:rStyle w:val="Hyperlink"/>
            <w:rFonts w:ascii="Book Antiqua" w:hAnsi="Book Antiqua"/>
            <w:i/>
            <w:szCs w:val="16"/>
          </w:rPr>
          <w:t>http://www.astronet.ru:8105/db/msg/1170951/1880.html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7: Aberration angle of rain and starlight compared. </w:t>
      </w:r>
      <w:hyperlink r:id="rId138" w:history="1">
        <w:r w:rsidRPr="007F536A">
          <w:rPr>
            <w:rStyle w:val="Hyperlink"/>
            <w:rFonts w:ascii="Book Antiqua" w:hAnsi="Book Antiqua"/>
            <w:i/>
            <w:szCs w:val="16"/>
          </w:rPr>
          <w:t>http://christophercrockett.com/astrowow/aberration/</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8: Aberration</w:t>
      </w:r>
      <w:r w:rsidR="0091679C">
        <w:rPr>
          <w:rFonts w:ascii="Book Antiqua" w:hAnsi="Book Antiqua"/>
          <w:sz w:val="16"/>
          <w:szCs w:val="16"/>
        </w:rPr>
        <w:t xml:space="preserve"> of light due to orbital motion: </w:t>
      </w:r>
      <w:hyperlink r:id="rId139" w:history="1">
        <w:r w:rsidRPr="007F536A">
          <w:rPr>
            <w:rStyle w:val="Hyperlink"/>
            <w:rFonts w:ascii="Book Antiqua" w:hAnsi="Book Antiqua"/>
            <w:i/>
            <w:szCs w:val="16"/>
          </w:rPr>
          <w:t>http://mitu-bobs.blogspot.com/2011/02/ss-h1-james-bradley-astronomer-royal-in.html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9: James Bradley. </w:t>
      </w:r>
      <w:hyperlink r:id="rId140" w:history="1">
        <w:r w:rsidRPr="007F536A">
          <w:rPr>
            <w:rStyle w:val="Hyperlink"/>
            <w:rFonts w:ascii="Book Antiqua" w:hAnsi="Book Antiqua"/>
            <w:i/>
            <w:szCs w:val="16"/>
          </w:rPr>
          <w:t>http://micro.magnet.fsu.edu/optics/timeline/people/bradley.html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10: Bradley’s data on the aberration of gamma draconis. </w:t>
      </w:r>
      <w:hyperlink r:id="rId141" w:history="1">
        <w:r w:rsidRPr="007F536A">
          <w:rPr>
            <w:rStyle w:val="Hyperlink"/>
            <w:rFonts w:ascii="Book Antiqua" w:hAnsi="Book Antiqua"/>
            <w:i/>
            <w:szCs w:val="16"/>
          </w:rPr>
          <w:t>http://en.wikipedia.org/wiki/User:Brews_ohare</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Figure 11: Left - O. W. von Struve 1819-1905.</w:t>
      </w:r>
    </w:p>
    <w:p w:rsidR="00821A88" w:rsidRPr="007F536A" w:rsidRDefault="00241D2F" w:rsidP="00821A88">
      <w:pPr>
        <w:pStyle w:val="NoSpacing"/>
        <w:jc w:val="both"/>
        <w:rPr>
          <w:rFonts w:ascii="Book Antiqua" w:hAnsi="Book Antiqua"/>
          <w:i/>
          <w:sz w:val="16"/>
          <w:szCs w:val="16"/>
        </w:rPr>
      </w:pPr>
      <w:hyperlink r:id="rId142" w:history="1">
        <w:r w:rsidR="00821A88" w:rsidRPr="007F536A">
          <w:rPr>
            <w:rStyle w:val="Hyperlink"/>
            <w:rFonts w:ascii="Book Antiqua" w:hAnsi="Book Antiqua"/>
            <w:i/>
            <w:szCs w:val="16"/>
          </w:rPr>
          <w:t>http://www.redorbit.com/education/reference_library/notable_figures/astronomers/2582478/von_struve_otto_wilhelm/</w:t>
        </w:r>
      </w:hyperlink>
    </w:p>
    <w:p w:rsidR="00821A88" w:rsidRPr="007F536A" w:rsidRDefault="00821A88" w:rsidP="00821A88">
      <w:pPr>
        <w:rPr>
          <w:rFonts w:ascii="Book Antiqua" w:hAnsi="Book Antiqua"/>
          <w:bCs/>
          <w:i/>
          <w:iCs/>
          <w:sz w:val="16"/>
          <w:szCs w:val="16"/>
        </w:rPr>
      </w:pPr>
      <w:r w:rsidRPr="007F536A">
        <w:rPr>
          <w:rFonts w:ascii="Book Antiqua" w:hAnsi="Book Antiqua"/>
          <w:sz w:val="16"/>
          <w:szCs w:val="16"/>
        </w:rPr>
        <w:t xml:space="preserve">Figure 11: Right – Pulkovo Observatory. </w:t>
      </w:r>
      <w:hyperlink r:id="rId143" w:history="1">
        <w:r w:rsidRPr="007F536A">
          <w:rPr>
            <w:rStyle w:val="Hyperlink"/>
            <w:rFonts w:ascii="Book Antiqua" w:hAnsi="Book Antiqua"/>
            <w:bCs/>
            <w:i/>
            <w:iCs/>
            <w:szCs w:val="16"/>
          </w:rPr>
          <w:t>http://en.wikipedia.org/wiki/Pulkovo_Observatory</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11A: Repsold’s Transit Instrument at Pulkovo Observatory</w:t>
      </w:r>
    </w:p>
    <w:p w:rsidR="00821A88" w:rsidRPr="007F536A" w:rsidRDefault="00241D2F" w:rsidP="00821A88">
      <w:pPr>
        <w:pStyle w:val="NoSpacing"/>
        <w:jc w:val="both"/>
        <w:rPr>
          <w:rFonts w:ascii="Book Antiqua" w:hAnsi="Book Antiqua"/>
          <w:i/>
          <w:sz w:val="16"/>
          <w:szCs w:val="16"/>
        </w:rPr>
      </w:pPr>
      <w:hyperlink r:id="rId144" w:history="1">
        <w:r w:rsidR="00821A88" w:rsidRPr="007F536A">
          <w:rPr>
            <w:rStyle w:val="Hyperlink"/>
            <w:rFonts w:ascii="Book Antiqua" w:hAnsi="Book Antiqua"/>
            <w:i/>
            <w:szCs w:val="16"/>
          </w:rPr>
          <w:t>http://collectionsonline.nmsi.ac.uk/detail.php?t=objects&amp;type=ext&amp;f=&amp;s=&amp;record=801&amp;category1=SCM+-+Astronomy&amp;op-earliest_year=&amp;op-latest_year</w:t>
        </w:r>
      </w:hyperlink>
      <w:r w:rsidR="00821A88" w:rsidRPr="007F536A">
        <w:rPr>
          <w:rFonts w:ascii="Book Antiqua" w:hAnsi="Book Antiqua"/>
          <w:i/>
          <w:sz w:val="16"/>
          <w:szCs w:val="16"/>
        </w:rPr>
        <w:t>=</w:t>
      </w:r>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14: Armand Fizeau. </w:t>
      </w:r>
      <w:hyperlink r:id="rId145" w:history="1">
        <w:r w:rsidRPr="007F536A">
          <w:rPr>
            <w:rStyle w:val="Hyperlink"/>
            <w:rFonts w:ascii="Book Antiqua" w:hAnsi="Book Antiqua"/>
            <w:i/>
            <w:szCs w:val="16"/>
          </w:rPr>
          <w:t>http://dc270.4shared.com/doc/ZizRlyG8/preview.html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15: Fizeau’s toothed wheel method. </w:t>
      </w:r>
      <w:hyperlink r:id="rId146" w:history="1">
        <w:r w:rsidRPr="007F536A">
          <w:rPr>
            <w:rStyle w:val="Hyperlink"/>
            <w:rFonts w:ascii="Book Antiqua" w:hAnsi="Book Antiqua"/>
            <w:i/>
            <w:szCs w:val="16"/>
          </w:rPr>
          <w:t>http://www.setterfield.org/000docs/cx3.html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lastRenderedPageBreak/>
        <w:t xml:space="preserve">Figure 16: Marie Alfred Cornu. </w:t>
      </w:r>
      <w:hyperlink r:id="rId147" w:history="1">
        <w:r w:rsidRPr="007F536A">
          <w:rPr>
            <w:rStyle w:val="Hyperlink"/>
            <w:rFonts w:ascii="Book Antiqua" w:hAnsi="Book Antiqua"/>
            <w:i/>
            <w:szCs w:val="16"/>
          </w:rPr>
          <w:t>http://www.scientific-web.com/en/Physics/Biographies/MarieAlfredCornu01.html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17:</w:t>
      </w:r>
      <w:r w:rsidRPr="007F536A">
        <w:rPr>
          <w:rFonts w:ascii="Book Antiqua" w:hAnsi="Book Antiqua"/>
          <w:i/>
          <w:sz w:val="16"/>
          <w:szCs w:val="16"/>
        </w:rPr>
        <w:t xml:space="preserve"> </w:t>
      </w:r>
      <w:r w:rsidRPr="007F536A">
        <w:rPr>
          <w:rFonts w:ascii="Book Antiqua" w:hAnsi="Book Antiqua"/>
          <w:sz w:val="16"/>
          <w:szCs w:val="16"/>
        </w:rPr>
        <w:t xml:space="preserve">Left - James Young 1811-1883. </w:t>
      </w:r>
      <w:hyperlink r:id="rId148" w:history="1">
        <w:r w:rsidRPr="007F536A">
          <w:rPr>
            <w:rStyle w:val="Hyperlink"/>
            <w:rFonts w:ascii="Book Antiqua" w:hAnsi="Book Antiqua"/>
            <w:i/>
            <w:szCs w:val="16"/>
          </w:rPr>
          <w:t>http://en.wikipedia.org/wiki/James_Young_(Scottish_chemist)</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17: Right – George Forbes 1849-1936</w:t>
      </w:r>
      <w:r w:rsidRPr="007F536A">
        <w:rPr>
          <w:rFonts w:ascii="Book Antiqua" w:hAnsi="Book Antiqua"/>
          <w:i/>
          <w:sz w:val="16"/>
          <w:szCs w:val="16"/>
        </w:rPr>
        <w:t>.</w:t>
      </w:r>
    </w:p>
    <w:p w:rsidR="00821A88" w:rsidRPr="007F536A" w:rsidRDefault="00241D2F" w:rsidP="00821A88">
      <w:pPr>
        <w:pStyle w:val="NoSpacing"/>
        <w:rPr>
          <w:rFonts w:ascii="Book Antiqua" w:hAnsi="Book Antiqua"/>
          <w:i/>
          <w:sz w:val="16"/>
          <w:szCs w:val="16"/>
        </w:rPr>
      </w:pPr>
      <w:hyperlink r:id="rId149" w:history="1">
        <w:r w:rsidR="00821A88" w:rsidRPr="007F536A">
          <w:rPr>
            <w:rStyle w:val="Hyperlink"/>
            <w:rFonts w:ascii="Book Antiqua" w:hAnsi="Book Antiqua"/>
            <w:i/>
            <w:szCs w:val="16"/>
          </w:rPr>
          <w:t>http://www.theglasgowstory.com/image.php?inum=TGSS00023&amp;t=2&amp;urltp=search.php%3Fstart%3D180%26end%3D200%26what%3Duniversity%26where%3D%26who%3D%26period%3D0%26collection%3D0%26search%3D99</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18: Henri Joseph Anastase Perrotin. </w:t>
      </w:r>
      <w:hyperlink r:id="rId150" w:history="1">
        <w:r w:rsidRPr="007F536A">
          <w:rPr>
            <w:rStyle w:val="Hyperlink"/>
            <w:rFonts w:ascii="Book Antiqua" w:hAnsi="Book Antiqua"/>
            <w:i/>
            <w:szCs w:val="16"/>
          </w:rPr>
          <w:t>https://www.oca.eu/histoire-nice_en/perrotin.html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21: Jean-Bernard-Leon Foucault. </w:t>
      </w:r>
      <w:hyperlink r:id="rId151" w:history="1">
        <w:r w:rsidRPr="007F536A">
          <w:rPr>
            <w:rStyle w:val="Hyperlink"/>
            <w:rFonts w:ascii="Book Antiqua" w:hAnsi="Book Antiqua"/>
            <w:i/>
            <w:szCs w:val="16"/>
          </w:rPr>
          <w:t>http://micro.magnet.fsu.edu/optics/timeline/people/foucault.html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22: Foucault’s Rotating Mirror arrangement. </w:t>
      </w:r>
      <w:hyperlink r:id="rId152" w:history="1">
        <w:r w:rsidRPr="007F536A">
          <w:rPr>
            <w:rStyle w:val="Hyperlink"/>
            <w:rFonts w:ascii="Book Antiqua" w:hAnsi="Book Antiqua"/>
            <w:i/>
            <w:szCs w:val="16"/>
          </w:rPr>
          <w:t>http://www.daviddarling.info/encyclopedia/S/speedlight.html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23: Left – Simon Newcomb. </w:t>
      </w:r>
      <w:hyperlink r:id="rId153" w:history="1">
        <w:r w:rsidRPr="007F536A">
          <w:rPr>
            <w:rStyle w:val="Hyperlink"/>
            <w:rFonts w:ascii="Book Antiqua" w:hAnsi="Book Antiqua"/>
            <w:i/>
            <w:szCs w:val="16"/>
          </w:rPr>
          <w:t>http://www.physics.csbsju.edu/astro/newcomb/SNewcomb.html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23: Right – Albert A. Michelson. </w:t>
      </w:r>
      <w:hyperlink r:id="rId154" w:history="1">
        <w:r w:rsidRPr="007F536A">
          <w:rPr>
            <w:rStyle w:val="Hyperlink"/>
            <w:rFonts w:ascii="Book Antiqua" w:hAnsi="Book Antiqua"/>
            <w:i/>
            <w:szCs w:val="16"/>
          </w:rPr>
          <w:t>http://16inchtranscriptions.com/Michelson.html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24: Simplified sketch of the Michelson-Newcomb experiment. </w:t>
      </w:r>
      <w:hyperlink r:id="rId155" w:history="1">
        <w:r w:rsidRPr="007F536A">
          <w:rPr>
            <w:rStyle w:val="Hyperlink"/>
            <w:rFonts w:ascii="Book Antiqua" w:hAnsi="Book Antiqua"/>
            <w:i/>
            <w:szCs w:val="16"/>
          </w:rPr>
          <w:t>http://vigo.ime.unicamp.br/~fismat/newcomb.pdf</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25: Left – A. A. Michelson. </w:t>
      </w:r>
      <w:hyperlink r:id="rId156" w:history="1">
        <w:r w:rsidRPr="007F536A">
          <w:rPr>
            <w:rStyle w:val="Hyperlink"/>
            <w:rFonts w:ascii="Book Antiqua" w:hAnsi="Book Antiqua"/>
            <w:i/>
            <w:szCs w:val="16"/>
          </w:rPr>
          <w:t>http://www.staff.amu.edu.pl/~zbzw/ph/sci/aam.htm/</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25: Middle and Right – A. A. Michelson. </w:t>
      </w:r>
    </w:p>
    <w:p w:rsidR="00821A88" w:rsidRPr="007F536A" w:rsidRDefault="00241D2F" w:rsidP="00821A88">
      <w:pPr>
        <w:pStyle w:val="NoSpacing"/>
        <w:jc w:val="both"/>
        <w:rPr>
          <w:rFonts w:ascii="Book Antiqua" w:hAnsi="Book Antiqua"/>
          <w:i/>
          <w:sz w:val="16"/>
          <w:szCs w:val="16"/>
        </w:rPr>
      </w:pPr>
      <w:hyperlink r:id="rId157" w:history="1">
        <w:r w:rsidR="00821A88" w:rsidRPr="007F536A">
          <w:rPr>
            <w:rStyle w:val="Hyperlink"/>
            <w:rFonts w:ascii="Book Antiqua" w:hAnsi="Book Antiqua"/>
            <w:i/>
            <w:szCs w:val="16"/>
          </w:rPr>
          <w:t>http://www.studyhelpline.net/Biography/Albert-Abraham-Michelson-biography.aspx</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26: Michelson’s 8-Faced Rotating Mirror. </w:t>
      </w:r>
      <w:hyperlink r:id="rId158" w:history="1">
        <w:r w:rsidRPr="007F536A">
          <w:rPr>
            <w:rStyle w:val="Hyperlink"/>
            <w:rFonts w:ascii="Book Antiqua" w:hAnsi="Book Antiqua"/>
            <w:i/>
            <w:szCs w:val="16"/>
          </w:rPr>
          <w:t>http://www.setterfield.org/000docs/cx4.html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27: Michelson-Pease-Pearson experiment. </w:t>
      </w:r>
      <w:hyperlink r:id="rId159" w:history="1">
        <w:r w:rsidRPr="007F536A">
          <w:rPr>
            <w:rStyle w:val="Hyperlink"/>
            <w:rFonts w:ascii="Book Antiqua" w:hAnsi="Book Antiqua"/>
            <w:i/>
            <w:szCs w:val="16"/>
          </w:rPr>
          <w:t>http://oisc.net/Speed_of_Light.htm</w:t>
        </w:r>
      </w:hyperlink>
    </w:p>
    <w:p w:rsidR="00821A88" w:rsidRPr="007F536A" w:rsidRDefault="00821A88" w:rsidP="00821A88">
      <w:pPr>
        <w:rPr>
          <w:rFonts w:ascii="Book Antiqua" w:hAnsi="Book Antiqua"/>
          <w:sz w:val="16"/>
          <w:szCs w:val="16"/>
        </w:rPr>
      </w:pPr>
    </w:p>
    <w:p w:rsidR="00821A88" w:rsidRPr="0091679C" w:rsidRDefault="00821A88" w:rsidP="00821A88">
      <w:pPr>
        <w:pStyle w:val="NoSpacing"/>
        <w:jc w:val="center"/>
        <w:rPr>
          <w:rFonts w:ascii="Book Antiqua" w:hAnsi="Book Antiqua"/>
          <w:b/>
          <w:i/>
          <w:sz w:val="28"/>
          <w:szCs w:val="28"/>
        </w:rPr>
      </w:pPr>
      <w:r w:rsidRPr="0091679C">
        <w:rPr>
          <w:rFonts w:ascii="Book Antiqua" w:hAnsi="Book Antiqua"/>
          <w:b/>
          <w:i/>
          <w:sz w:val="28"/>
          <w:szCs w:val="28"/>
        </w:rPr>
        <w:t>*  *  *  *  *  *  *</w:t>
      </w:r>
    </w:p>
    <w:p w:rsidR="00036707" w:rsidRDefault="00036707">
      <w:pPr>
        <w:widowControl/>
        <w:spacing w:after="200" w:line="276" w:lineRule="auto"/>
        <w:rPr>
          <w:rFonts w:ascii="Book Antiqua" w:hAnsi="Book Antiqua"/>
        </w:rPr>
      </w:pPr>
      <w:r>
        <w:rPr>
          <w:rFonts w:ascii="Book Antiqua" w:hAnsi="Book Antiqua"/>
        </w:rPr>
        <w:br w:type="page"/>
      </w:r>
    </w:p>
    <w:p w:rsidR="00820B57" w:rsidRPr="00B9776F" w:rsidRDefault="00820B57" w:rsidP="00820B57">
      <w:pPr>
        <w:pStyle w:val="NoSpacing"/>
        <w:jc w:val="center"/>
        <w:rPr>
          <w:rFonts w:ascii="Book Antiqua" w:hAnsi="Book Antiqua"/>
          <w:b/>
          <w:bCs/>
          <w:iCs/>
          <w:color w:val="000000"/>
          <w:szCs w:val="24"/>
        </w:rPr>
      </w:pPr>
      <w:r w:rsidRPr="00B9776F">
        <w:rPr>
          <w:rFonts w:ascii="Book Antiqua" w:hAnsi="Book Antiqua"/>
          <w:b/>
          <w:szCs w:val="24"/>
        </w:rPr>
        <w:lastRenderedPageBreak/>
        <w:t xml:space="preserve">Chapter 4: </w:t>
      </w:r>
      <w:r w:rsidRPr="00FF3454">
        <w:rPr>
          <w:rFonts w:ascii="Book Antiqua" w:hAnsi="Book Antiqua"/>
          <w:b/>
          <w:i/>
          <w:szCs w:val="24"/>
        </w:rPr>
        <w:t>The ZPE &amp; Atomic Behavior.</w:t>
      </w:r>
      <w:r w:rsidRPr="00B9776F">
        <w:rPr>
          <w:rFonts w:ascii="Book Antiqua" w:hAnsi="Book Antiqua"/>
          <w:b/>
          <w:szCs w:val="24"/>
        </w:rPr>
        <w:t xml:space="preserve"> </w:t>
      </w:r>
      <w:r w:rsidRPr="00B9776F">
        <w:rPr>
          <w:rFonts w:ascii="Book Antiqua" w:hAnsi="Book Antiqua"/>
          <w:b/>
          <w:bCs/>
          <w:iCs/>
          <w:color w:val="000000"/>
          <w:szCs w:val="24"/>
        </w:rPr>
        <w:t xml:space="preserve"> </w:t>
      </w:r>
    </w:p>
    <w:p w:rsidR="00820B57" w:rsidRPr="00B9776F" w:rsidRDefault="00820B57" w:rsidP="00820B57">
      <w:pPr>
        <w:pStyle w:val="NoSpacing"/>
        <w:rPr>
          <w:rFonts w:ascii="Book Antiqua" w:hAnsi="Book Antiqua"/>
          <w:b/>
          <w:bCs/>
          <w:iCs/>
          <w:color w:val="000000"/>
          <w:sz w:val="20"/>
          <w:u w:val="single"/>
        </w:rPr>
      </w:pPr>
    </w:p>
    <w:p w:rsidR="00820B57" w:rsidRPr="00B9776F" w:rsidRDefault="00820B57" w:rsidP="00820B57">
      <w:pPr>
        <w:pStyle w:val="NoSpacing"/>
        <w:rPr>
          <w:rFonts w:ascii="Book Antiqua" w:hAnsi="Book Antiqua"/>
          <w:b/>
          <w:bCs/>
          <w:iCs/>
          <w:color w:val="000000"/>
          <w:sz w:val="20"/>
        </w:rPr>
      </w:pPr>
      <w:r w:rsidRPr="00B9776F">
        <w:rPr>
          <w:rFonts w:ascii="Book Antiqua" w:hAnsi="Book Antiqua"/>
          <w:b/>
          <w:sz w:val="20"/>
        </w:rPr>
        <w:t>1. Mass and the Zero Point Energy.</w:t>
      </w:r>
      <w:r w:rsidRPr="00B9776F">
        <w:rPr>
          <w:rFonts w:ascii="Book Antiqua" w:hAnsi="Book Antiqua"/>
          <w:b/>
          <w:bCs/>
          <w:iCs/>
          <w:color w:val="000000"/>
          <w:sz w:val="20"/>
        </w:rPr>
        <w:t xml:space="preserve"> </w:t>
      </w:r>
    </w:p>
    <w:p w:rsidR="00820B57" w:rsidRPr="00B9776F" w:rsidRDefault="00820B57" w:rsidP="00820B57">
      <w:pPr>
        <w:pStyle w:val="Heading2"/>
        <w:numPr>
          <w:ilvl w:val="1"/>
          <w:numId w:val="28"/>
        </w:numPr>
        <w:spacing w:before="80" w:after="80" w:line="240" w:lineRule="atLeast"/>
        <w:rPr>
          <w:rFonts w:ascii="Book Antiqua" w:hAnsi="Book Antiqua"/>
          <w:i w:val="0"/>
          <w:sz w:val="20"/>
        </w:rPr>
      </w:pPr>
      <w:r w:rsidRPr="00B9776F">
        <w:rPr>
          <w:rFonts w:ascii="Book Antiqua" w:hAnsi="Book Antiqua" w:cs="Times New Roman"/>
          <w:b w:val="0"/>
          <w:sz w:val="20"/>
        </w:rPr>
        <w:t>The ZPE Origin For Mass</w:t>
      </w:r>
      <w:r w:rsidRPr="00B9776F">
        <w:rPr>
          <w:rFonts w:ascii="Book Antiqua" w:hAnsi="Book Antiqua"/>
          <w:i w:val="0"/>
          <w:sz w:val="20"/>
        </w:rPr>
        <w:t>.</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18"/>
          <w:szCs w:val="18"/>
        </w:rPr>
        <w:tab/>
      </w:r>
      <w:r w:rsidRPr="00B9776F">
        <w:rPr>
          <w:rFonts w:ascii="Book Antiqua" w:hAnsi="Book Antiqua"/>
          <w:sz w:val="20"/>
        </w:rPr>
        <w:t xml:space="preserve">There are a number of problems associated </w:t>
      </w:r>
      <w:r w:rsidRPr="003A5CA8">
        <w:rPr>
          <w:rFonts w:ascii="Book Antiqua" w:hAnsi="Book Antiqua"/>
          <w:sz w:val="20"/>
        </w:rPr>
        <w:t xml:space="preserve">with </w:t>
      </w:r>
      <w:r w:rsidR="003A5CA8">
        <w:rPr>
          <w:rFonts w:ascii="Book Antiqua" w:hAnsi="Book Antiqua"/>
          <w:sz w:val="20"/>
        </w:rPr>
        <w:t xml:space="preserve">the </w:t>
      </w:r>
      <w:r w:rsidRPr="003A5CA8">
        <w:rPr>
          <w:rFonts w:ascii="Book Antiqua" w:hAnsi="Book Antiqua"/>
          <w:sz w:val="20"/>
        </w:rPr>
        <w:t>standard</w:t>
      </w:r>
      <w:r w:rsidRPr="00B9776F">
        <w:rPr>
          <w:rFonts w:ascii="Book Antiqua" w:hAnsi="Book Antiqua"/>
          <w:sz w:val="20"/>
        </w:rPr>
        <w:t xml:space="preserve"> models for atomic masses. Many modern theories envisage the sub-atomic particles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 There were several possible approaches.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Historically, the first line of enquiry that emerged was from Quantum Electrodynamics [QED], and our standard model of particle physics resulted from that. This has now developed to the stage where a “Higgs boson” has been postulated in order to give subatomic particles mass.   The energy from a cloud of Higgs bosons around each particle is supposed to impart mass to the particle on the basis of the equation E = mc</w:t>
      </w:r>
      <w:r w:rsidRPr="00B9776F">
        <w:rPr>
          <w:rFonts w:ascii="Book Antiqua" w:hAnsi="Book Antiqua"/>
          <w:sz w:val="20"/>
          <w:vertAlign w:val="superscript"/>
        </w:rPr>
        <w:t>2</w:t>
      </w:r>
      <w:r w:rsidRPr="00B9776F">
        <w:rPr>
          <w:rFonts w:ascii="Book Antiqua" w:hAnsi="Book Antiqua"/>
          <w:sz w:val="20"/>
        </w:rPr>
        <w:t>.</w:t>
      </w:r>
      <w:r w:rsidRPr="00B9776F">
        <w:rPr>
          <w:rFonts w:ascii="Book Antiqua" w:hAnsi="Book Antiqua"/>
          <w:sz w:val="20"/>
          <w:vertAlign w:val="superscript"/>
        </w:rPr>
        <w:t xml:space="preserve"> </w:t>
      </w:r>
      <w:r w:rsidRPr="00B9776F">
        <w:rPr>
          <w:rFonts w:ascii="Book Antiqua" w:hAnsi="Book Antiqua"/>
          <w:sz w:val="20"/>
        </w:rPr>
        <w:t xml:space="preserve">This, however, depends on how well these hypothesized Higgs bosons “stick” to the particle. But, as Wilczek, of the Massachusetts Institute of Technology, points out, nobody knows what governs the amount of “sticking”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Wilczek also notes that this mechanism </w:t>
      </w:r>
      <w:r w:rsidRPr="00B9776F">
        <w:rPr>
          <w:rFonts w:ascii="Book Antiqua" w:hAnsi="Book Antiqua"/>
          <w:i/>
          <w:sz w:val="20"/>
        </w:rPr>
        <w:t>“hardly explains”</w:t>
      </w:r>
      <w:r w:rsidRPr="00B9776F">
        <w:rPr>
          <w:rFonts w:ascii="Book Antiqua" w:hAnsi="Book Antiqua"/>
          <w:sz w:val="20"/>
        </w:rPr>
        <w:t xml:space="preserve"> the rest mass of ordinary matter like protons and neutrons, which are thought to be composed of “up” and “down” quarks held together by gluons. Since gluons have no rest mass and quarks very little, most of the mass of ordinary matter is meant to come from the “colour field”, which is the force that binds quarks and gluons together. Therefore, even when a proton is stationary, energy is said to be residing within it. Wilczek then says </w:t>
      </w:r>
      <w:r w:rsidRPr="00B9776F">
        <w:rPr>
          <w:rFonts w:ascii="Book Antiqua" w:hAnsi="Book Antiqua"/>
          <w:i/>
          <w:sz w:val="20"/>
        </w:rPr>
        <w:t xml:space="preserve">“Whether you call this an explanation of mass is a matter of taste, I guess. I would be inclined to say no, since it doesn’t simplify the description of mass, nor suggest testable new properties of mass.” </w:t>
      </w:r>
      <w:r w:rsidRPr="00B9776F">
        <w:rPr>
          <w:rFonts w:ascii="Book Antiqua" w:hAnsi="Book Antiqua"/>
          <w:sz w:val="20"/>
        </w:rPr>
        <w:t>[1]</w:t>
      </w:r>
      <w:r w:rsidRPr="00B9776F">
        <w:rPr>
          <w:rFonts w:ascii="Book Antiqua" w:hAnsi="Book Antiqua"/>
          <w:i/>
          <w:sz w:val="20"/>
        </w:rPr>
        <w:t xml:space="preserve"> </w:t>
      </w:r>
      <w:r w:rsidRPr="00B9776F">
        <w:rPr>
          <w:rFonts w:ascii="Book Antiqua" w:hAnsi="Book Antiqua"/>
          <w:sz w:val="20"/>
        </w:rPr>
        <w:t xml:space="preserve">As Bernard Haisch of the California Institute for Physics and Astrophysics states in the same article, </w:t>
      </w:r>
      <w:r w:rsidRPr="00B9776F">
        <w:rPr>
          <w:rFonts w:ascii="Book Antiqua" w:hAnsi="Book Antiqua"/>
          <w:i/>
          <w:sz w:val="20"/>
        </w:rPr>
        <w:t>“the Higgs mechanism does not explain why mass, or its energy equivalent, resists motion or reacts to gravity.”</w:t>
      </w:r>
      <w:r w:rsidRPr="00B9776F">
        <w:rPr>
          <w:rFonts w:ascii="Book Antiqua" w:hAnsi="Book Antiqua"/>
          <w:sz w:val="20"/>
        </w:rPr>
        <w:t xml:space="preserve">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and other problems are basically overcome in the second line of enquiry, which opened up after 1962, with the development of Stochastic Electrodynamics (SED physics). It is true that SED physics uses the same standard foundation as the QED approach: both are built on the concepts of quantum pioneers Planck, de Broglie and Schrödinger who accepted that these particles are indeed massless, point-like charges. Richard Feynman called these particles by the generic terms 'partons' and ‘electrons’ in order to avoid preconceived ideas about the structure of protons and neutrons. In May, 2011, </w:t>
      </w:r>
      <w:r w:rsidRPr="00B9776F">
        <w:rPr>
          <w:rFonts w:ascii="Book Antiqua" w:hAnsi="Book Antiqua"/>
          <w:i/>
          <w:sz w:val="20"/>
        </w:rPr>
        <w:t>New Scientist</w:t>
      </w:r>
      <w:r w:rsidRPr="00B9776F">
        <w:rPr>
          <w:rFonts w:ascii="Book Antiqua" w:hAnsi="Book Antiqua"/>
          <w:sz w:val="20"/>
        </w:rPr>
        <w:t xml:space="preserve"> </w:t>
      </w:r>
      <w:r w:rsidR="003A5CA8">
        <w:rPr>
          <w:rFonts w:ascii="Book Antiqua" w:hAnsi="Book Antiqua"/>
          <w:sz w:val="20"/>
        </w:rPr>
        <w:t>reported</w:t>
      </w:r>
      <w:r w:rsidRPr="00B9776F">
        <w:rPr>
          <w:rFonts w:ascii="Book Antiqua" w:hAnsi="Book Antiqua"/>
          <w:sz w:val="20"/>
        </w:rPr>
        <w:t xml:space="preserve"> that experiments have revealed the electron is indeed point-like, but spherical, to about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rPr>
        <w:t xml:space="preserve"> [2]. Again, the difference from the QED approach is that SED physics considers the ZPE itself as the agency that imparts mass to </w:t>
      </w:r>
      <w:r w:rsidRPr="006A0563">
        <w:rPr>
          <w:rFonts w:ascii="Book Antiqua" w:hAnsi="Book Antiqua"/>
          <w:sz w:val="20"/>
        </w:rPr>
        <w:t>the partons and electrons.  No</w:t>
      </w:r>
      <w:r w:rsidRPr="00B9776F">
        <w:rPr>
          <w:rFonts w:ascii="Book Antiqua" w:hAnsi="Book Antiqua"/>
          <w:sz w:val="20"/>
        </w:rPr>
        <w:t xml:space="preserve"> Higgs bosons are needed to impart mass to anything in this approach, even if the Higgs exists.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Haisch notes that the vacuum contains energy expressed as the randomly fluctuating electromagnetic fields of the ZPE. The electromagnetic waves of the ZPE impinge upon all charged, mass-less particles. This causes them to randomly jitter in a manner similar to what we see in the Brownian motion of a dust particle bombarded by molecules of air. Schrödinger referred to this “jitter motion” by its German equivalent word, </w:t>
      </w:r>
      <w:r w:rsidRPr="00B9776F">
        <w:rPr>
          <w:rFonts w:ascii="Book Antiqua" w:hAnsi="Book Antiqua"/>
          <w:i/>
          <w:iCs/>
          <w:sz w:val="20"/>
        </w:rPr>
        <w:t>Zitterbewegung</w:t>
      </w:r>
      <w:r w:rsidRPr="00B9776F">
        <w:rPr>
          <w:rFonts w:ascii="Book Antiqua" w:hAnsi="Book Antiqua"/>
          <w:sz w:val="20"/>
        </w:rPr>
        <w:t xml:space="preserve">.  Dirac pointed out that the </w:t>
      </w:r>
      <w:r w:rsidRPr="00B9776F">
        <w:rPr>
          <w:rFonts w:ascii="Book Antiqua" w:hAnsi="Book Antiqua"/>
          <w:i/>
          <w:iCs/>
          <w:sz w:val="20"/>
        </w:rPr>
        <w:t>Zitterbewegung</w:t>
      </w:r>
      <w:r w:rsidRPr="00B9776F">
        <w:rPr>
          <w:rFonts w:ascii="Book Antiqua" w:hAnsi="Book Antiqua"/>
          <w:iCs/>
          <w:sz w:val="20"/>
        </w:rPr>
        <w:t xml:space="preserve"> jitter </w:t>
      </w:r>
      <w:r w:rsidRPr="00B9776F">
        <w:rPr>
          <w:rFonts w:ascii="Book Antiqua" w:hAnsi="Book Antiqua"/>
          <w:sz w:val="20"/>
        </w:rPr>
        <w:t xml:space="preserve">occurs either at, or very close to, the speed of light. This conclusion has been </w:t>
      </w:r>
      <w:r w:rsidR="003A5CA8">
        <w:rPr>
          <w:rFonts w:ascii="Book Antiqua" w:hAnsi="Book Antiqua"/>
          <w:sz w:val="20"/>
        </w:rPr>
        <w:t>suported</w:t>
      </w:r>
      <w:r w:rsidRPr="00B9776F">
        <w:rPr>
          <w:rFonts w:ascii="Book Antiqua" w:hAnsi="Book Antiqua"/>
          <w:sz w:val="20"/>
        </w:rPr>
        <w:t xml:space="preserve"> by several studies and the term "ultra-relativistic" has been used to describe this jitter motion [3, 4]. The physical reality of the </w:t>
      </w:r>
      <w:r w:rsidRPr="00B9776F">
        <w:rPr>
          <w:rFonts w:ascii="Book Antiqua" w:hAnsi="Book Antiqua"/>
          <w:i/>
          <w:sz w:val="20"/>
        </w:rPr>
        <w:t>Zitterbewegung</w:t>
      </w:r>
      <w:r w:rsidRPr="00B9776F">
        <w:rPr>
          <w:rFonts w:ascii="Book Antiqua" w:hAnsi="Book Antiqua"/>
          <w:sz w:val="20"/>
        </w:rPr>
        <w:t xml:space="preserve"> was demonstrated experimentally in 2010 by Roos and his colleagues, using calcium ions; Gerritsma was the lead author of the report [5].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As de Broglie and Schrödinger had pointed out initially, the result is that </w:t>
      </w:r>
      <w:r w:rsidRPr="00B9776F">
        <w:rPr>
          <w:rFonts w:ascii="Book Antiqua" w:hAnsi="Book Antiqua"/>
          <w:i/>
          <w:sz w:val="20"/>
        </w:rPr>
        <w:t xml:space="preserve">“an electron is actually a point-like charge which jitters about randomly within a certain volume.” </w:t>
      </w:r>
      <w:r w:rsidRPr="00B9776F">
        <w:rPr>
          <w:rFonts w:ascii="Book Antiqua" w:hAnsi="Book Antiqua"/>
          <w:sz w:val="20"/>
        </w:rPr>
        <w:t xml:space="preserve">[1] This causes it to appear as a fuzzy sphere. In this way Haisch </w:t>
      </w:r>
      <w:r w:rsidRPr="00B9776F">
        <w:rPr>
          <w:rFonts w:ascii="Book Antiqua" w:hAnsi="Book Antiqua"/>
          <w:sz w:val="20"/>
        </w:rPr>
        <w:lastRenderedPageBreak/>
        <w:t xml:space="preserve">explains, </w:t>
      </w:r>
      <w:r w:rsidRPr="00B9776F">
        <w:rPr>
          <w:rFonts w:ascii="Book Antiqua" w:hAnsi="Book Antiqua"/>
          <w:i/>
          <w:sz w:val="20"/>
        </w:rPr>
        <w:t>“Random battering by the jittery vacuum smears out the electron.”</w:t>
      </w:r>
      <w:r w:rsidRPr="00B9776F">
        <w:rPr>
          <w:rFonts w:ascii="Book Antiqua" w:hAnsi="Book Antiqua"/>
          <w:sz w:val="20"/>
        </w:rPr>
        <w:t xml:space="preserve"> [1] Hal Puthoff then explains what happens according to SED physics: </w:t>
      </w:r>
      <w:r w:rsidRPr="00B9776F">
        <w:rPr>
          <w:rFonts w:ascii="Book Antiqua" w:hAnsi="Book Antiqua"/>
          <w:i/>
          <w:iCs/>
          <w:sz w:val="20"/>
        </w:rPr>
        <w:t xml:space="preserve">“In this view the particle mass </w:t>
      </w:r>
      <w:r w:rsidRPr="00B9776F">
        <w:rPr>
          <w:rFonts w:ascii="Book Antiqua" w:hAnsi="Book Antiqua"/>
          <w:b/>
          <w:i/>
          <w:sz w:val="20"/>
        </w:rPr>
        <w:t>m</w:t>
      </w:r>
      <w:r w:rsidRPr="00B9776F">
        <w:rPr>
          <w:rFonts w:ascii="Book Antiqua" w:hAnsi="Book Antiqua"/>
          <w:sz w:val="20"/>
        </w:rPr>
        <w:t xml:space="preserve"> </w:t>
      </w:r>
      <w:r w:rsidRPr="00B9776F">
        <w:rPr>
          <w:rFonts w:ascii="Book Antiqua" w:hAnsi="Book Antiqua"/>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B9776F">
        <w:rPr>
          <w:rFonts w:ascii="Book Antiqua" w:hAnsi="Book Antiqua"/>
          <w:sz w:val="20"/>
        </w:rPr>
        <w:t xml:space="preserve">[6] Calculations by Puthoff and others quantitatively support this view. As a result, it has been stated that, even if it is found to exist, </w:t>
      </w:r>
      <w:r w:rsidRPr="00B9776F">
        <w:rPr>
          <w:rFonts w:ascii="Book Antiqua" w:hAnsi="Book Antiqua"/>
          <w:i/>
          <w:sz w:val="20"/>
        </w:rPr>
        <w:t>“the Higgs might not be needed to explain rest mass at all. The inherent energy in a particle may be a result of its jittering motion [caused by the ZPE]. A massless particle may pick up energy from it [ZPE], hence acquiring what we think of as rest mass.”</w:t>
      </w:r>
      <w:r w:rsidRPr="00B9776F">
        <w:rPr>
          <w:rFonts w:ascii="Book Antiqua" w:hAnsi="Book Antiqua"/>
          <w:sz w:val="20"/>
        </w:rPr>
        <w:t xml:space="preserve"> [1] Their mathematical calculations support this SED view. So SED physics does not need the Higgs to produce mass. However, this does not deny its existence.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On the 4</w:t>
      </w:r>
      <w:r w:rsidRPr="00B9776F">
        <w:rPr>
          <w:rFonts w:ascii="Book Antiqua" w:hAnsi="Book Antiqua"/>
          <w:sz w:val="20"/>
          <w:vertAlign w:val="superscript"/>
        </w:rPr>
        <w:t>th</w:t>
      </w:r>
      <w:r w:rsidRPr="00B9776F">
        <w:rPr>
          <w:rFonts w:ascii="Book Antiqua" w:hAnsi="Book Antiqua"/>
          <w:sz w:val="20"/>
        </w:rPr>
        <w:t xml:space="preserve"> July, 2012, in a QED context, scientists using the Large Hadron Collider at CERN announced that a “Higgs-like particle” had been discovered. The signal excess, which indicated its existence, suggested that it had a mass of 125 Giga electron Volts (GeV). This is too heavy to be in accord with the simplest models of super-symmetry, yet it is too light for the calculations based on the standard model [7]. In addition, it appears to decay into pairs of photons about twice as often as the standard model predicts and decays into other particles (such as taus and W bosons) less often than predicted. In fact, there was no excess tau production beyond the expected background. This has elicited the comment that, </w:t>
      </w:r>
      <w:r w:rsidRPr="00B9776F">
        <w:rPr>
          <w:rFonts w:ascii="Book Antiqua" w:hAnsi="Book Antiqua"/>
          <w:i/>
          <w:sz w:val="20"/>
        </w:rPr>
        <w:t>“According to the standard model, the Higgs field is responsible for the mass of all the fermions and bosons. But taus are fermions - and if the Higgs is not decaying into taus, it is probably not giving them mass either.”</w:t>
      </w:r>
      <w:r w:rsidRPr="00B9776F">
        <w:rPr>
          <w:rFonts w:ascii="Book Antiqua" w:hAnsi="Book Antiqua"/>
          <w:sz w:val="20"/>
        </w:rPr>
        <w:t xml:space="preserve"> [“Beyond the Higgs,” </w:t>
      </w:r>
      <w:r w:rsidRPr="00B9776F">
        <w:rPr>
          <w:rFonts w:ascii="Book Antiqua" w:hAnsi="Book Antiqua"/>
          <w:i/>
          <w:sz w:val="20"/>
        </w:rPr>
        <w:t>New Scientist</w:t>
      </w:r>
      <w:r w:rsidRPr="00B9776F">
        <w:rPr>
          <w:rFonts w:ascii="Book Antiqua" w:hAnsi="Book Antiqua"/>
          <w:sz w:val="20"/>
        </w:rPr>
        <w:t xml:space="preserve"> 14 July, 2012, No.2873, pp. 6-9]. This is a severe blow to the idea that the Higgs is the mechanism which imparts mass. Finally, the spin of this Higgs-like particle </w:t>
      </w:r>
      <w:r w:rsidR="00F36FB2">
        <w:rPr>
          <w:rFonts w:ascii="Book Antiqua" w:hAnsi="Book Antiqua"/>
          <w:sz w:val="20"/>
        </w:rPr>
        <w:t>is important.</w:t>
      </w:r>
      <w:r w:rsidRPr="00B9776F">
        <w:rPr>
          <w:rFonts w:ascii="Book Antiqua" w:hAnsi="Book Antiqua"/>
          <w:sz w:val="20"/>
        </w:rPr>
        <w:t xml:space="preserve"> According to theory its spin should be zero</w:t>
      </w:r>
      <w:r w:rsidR="00AC494E">
        <w:rPr>
          <w:rFonts w:ascii="Book Antiqua" w:hAnsi="Book Antiqua"/>
          <w:sz w:val="20"/>
        </w:rPr>
        <w:t xml:space="preserve"> with a positive parity</w:t>
      </w:r>
      <w:r w:rsidRPr="00B9776F">
        <w:rPr>
          <w:rFonts w:ascii="Book Antiqua" w:hAnsi="Book Antiqua"/>
          <w:sz w:val="20"/>
        </w:rPr>
        <w:t xml:space="preserve">. </w:t>
      </w:r>
      <w:r w:rsidR="00395C9D">
        <w:rPr>
          <w:rFonts w:ascii="Book Antiqua" w:hAnsi="Book Antiqua"/>
          <w:sz w:val="20"/>
        </w:rPr>
        <w:t>A press release from CERN dated 14 March, 2013, states that the particle discovered does have a spin of zero</w:t>
      </w:r>
      <w:r w:rsidR="00AC494E">
        <w:rPr>
          <w:rFonts w:ascii="Book Antiqua" w:hAnsi="Book Antiqua"/>
          <w:sz w:val="20"/>
        </w:rPr>
        <w:t>, though a negative parity cannot yet be ruled out</w:t>
      </w:r>
      <w:r w:rsidR="00395C9D">
        <w:rPr>
          <w:rFonts w:ascii="Book Antiqua" w:hAnsi="Book Antiqua"/>
          <w:sz w:val="20"/>
        </w:rPr>
        <w:t xml:space="preserve"> [8].</w:t>
      </w:r>
      <w:r w:rsidR="00AC494E">
        <w:rPr>
          <w:rFonts w:ascii="Book Antiqua" w:hAnsi="Book Antiqua"/>
          <w:sz w:val="20"/>
        </w:rPr>
        <w:t xml:space="preserve"> </w:t>
      </w:r>
      <w:r w:rsidRPr="00B9776F">
        <w:rPr>
          <w:rFonts w:ascii="Book Antiqua" w:hAnsi="Book Antiqua"/>
          <w:sz w:val="20"/>
        </w:rPr>
        <w:t>All this uncertainty makes no difference to SED physics; the ZPE alone is needed for mass</w:t>
      </w:r>
      <w:r w:rsidR="00AC494E">
        <w:rPr>
          <w:rFonts w:ascii="Book Antiqua" w:hAnsi="Book Antiqua"/>
          <w:sz w:val="20"/>
        </w:rPr>
        <w:t xml:space="preserve"> whether or not th</w:t>
      </w:r>
      <w:r w:rsidR="007B0944">
        <w:rPr>
          <w:rFonts w:ascii="Book Antiqua" w:hAnsi="Book Antiqua"/>
          <w:sz w:val="20"/>
        </w:rPr>
        <w:t>e</w:t>
      </w:r>
      <w:r w:rsidR="00AC494E">
        <w:rPr>
          <w:rFonts w:ascii="Book Antiqua" w:hAnsi="Book Antiqua"/>
          <w:sz w:val="20"/>
        </w:rPr>
        <w:t xml:space="preserve"> Higgs exists.</w:t>
      </w:r>
      <w:r w:rsidR="00F36FB2">
        <w:rPr>
          <w:rFonts w:ascii="Book Antiqua" w:hAnsi="Book Antiqua"/>
          <w:sz w:val="20"/>
        </w:rPr>
        <w:t xml:space="preserve"> This is a far simpler option than the complex Higgs interaction.</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Indeed, the SED approach not only accounts for rest-mass, but also accounts for inertial mass. An electron accelerating through the vacuum’s electromagnetic fields will experience a pressure, a retarding force, proportional to the acceleration, from these ambient fields.  This was formalized in 1994 by Haisch, Rueda and Puthoff [9]. Furthermore, different resonant frequencies of various particles result in different masses because </w:t>
      </w:r>
      <w:r w:rsidRPr="00B9776F">
        <w:rPr>
          <w:rFonts w:ascii="Book Antiqua" w:hAnsi="Book Antiqua"/>
          <w:i/>
          <w:sz w:val="20"/>
        </w:rPr>
        <w:t xml:space="preserve">“Photons in the quantum vacuum with the same frequency as the jitter are much more likely to bounce off a particle. …Higher resonance frequencies … probably mean a greater mass, as there are more high frequency vacuum photons to bounce off.” </w:t>
      </w:r>
      <w:r w:rsidRPr="00B9776F">
        <w:rPr>
          <w:rFonts w:ascii="Book Antiqua" w:hAnsi="Book Antiqua"/>
          <w:sz w:val="20"/>
        </w:rPr>
        <w:t xml:space="preserve">[9]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i/>
          <w:sz w:val="20"/>
        </w:rPr>
      </w:pPr>
      <w:r w:rsidRPr="00B9776F">
        <w:rPr>
          <w:rFonts w:ascii="Book Antiqua" w:hAnsi="Book Antiqua"/>
          <w:sz w:val="20"/>
        </w:rPr>
        <w:tab/>
        <w:t xml:space="preserve">In a question and answer segment on the website run by Haisch and his colleagues at the California Institute for Physics &amp; Astrophysics, they elaborate that </w:t>
      </w:r>
      <w:r w:rsidRPr="00B9776F">
        <w:rPr>
          <w:rFonts w:ascii="Book Antiqua" w:hAnsi="Book Antiqua"/>
          <w:i/>
          <w:sz w:val="20"/>
        </w:rPr>
        <w:t xml:space="preserve">“the kinetic energy associated with the ZPF-driven Zitterbewegung is what provides the energy for the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relation. The real stuff is the energy, </w:t>
      </w:r>
      <m:oMath>
        <m:r>
          <w:rPr>
            <w:rFonts w:ascii="Cambria Math" w:hAnsi="Cambria Math"/>
            <w:sz w:val="20"/>
          </w:rPr>
          <m:t>E</m:t>
        </m:r>
      </m:oMath>
      <w:r w:rsidRPr="00B9776F">
        <w:rPr>
          <w:rFonts w:ascii="Book Antiqua" w:hAnsi="Book Antiqua"/>
          <w:i/>
          <w:sz w:val="20"/>
        </w:rPr>
        <w:t xml:space="preserve">, and as with inertial mass, it is only our (obstinate) habit of believing that matter must possess mass that leads to our insisting that there must exist a right hand side to this equation, namely </w:t>
      </w:r>
      <m:oMath>
        <m:sSup>
          <m:sSupPr>
            <m:ctrlPr>
              <w:rPr>
                <w:rFonts w:ascii="Cambria Math" w:hAnsi="Book Antiqua"/>
                <w:i/>
                <w:sz w:val="20"/>
              </w:rPr>
            </m:ctrlPr>
          </m:sSupPr>
          <m:e>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In reality (perhaps) there is no mass, just the energy, </w:t>
      </w:r>
      <m:oMath>
        <m:r>
          <w:rPr>
            <w:rFonts w:ascii="Cambria Math" w:hAnsi="Cambria Math"/>
            <w:sz w:val="20"/>
          </w:rPr>
          <m:t>E</m:t>
        </m:r>
      </m:oMath>
      <w:r w:rsidRPr="00B9776F">
        <w:rPr>
          <w:rFonts w:ascii="Book Antiqua" w:hAnsi="Book Antiqua"/>
          <w:i/>
          <w:sz w:val="20"/>
        </w:rPr>
        <w:t xml:space="preserve">, that the quantum vacuum gives in the form of </w:t>
      </w:r>
      <w:r w:rsidRPr="00B9776F">
        <w:rPr>
          <w:rFonts w:ascii="Book Antiqua" w:hAnsi="Book Antiqua"/>
          <w:sz w:val="20"/>
        </w:rPr>
        <w:t>Zitterbewegung</w:t>
      </w:r>
      <w:r w:rsidRPr="00B9776F">
        <w:rPr>
          <w:rFonts w:ascii="Book Antiqua" w:hAnsi="Book Antiqua"/>
          <w:i/>
          <w:sz w:val="20"/>
        </w:rPr>
        <w:t xml:space="preserve"> in the same way that there is no inertial mass, just the force that the quantum vacuum gives when an object accelerates.”</w:t>
      </w:r>
      <w:r w:rsidRPr="00B9776F">
        <w:rPr>
          <w:rFonts w:ascii="Book Antiqua" w:hAnsi="Book Antiqua"/>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 formulation of Haisch's team then goes on to show that a particle's oscillation in response to the ZPE gives the particle its rest mass. Experiments with subatomic particles have been done to determine their masses and energies using a variety of nuclear interactions. Experiments that were performed using these methods during the time that </w:t>
      </w:r>
      <m:oMath>
        <m:r>
          <w:rPr>
            <w:rFonts w:ascii="Cambria Math" w:hAnsi="Cambria Math"/>
            <w:sz w:val="20"/>
          </w:rPr>
          <m:t>c</m:t>
        </m:r>
      </m:oMath>
      <w:r w:rsidRPr="00B9776F">
        <w:rPr>
          <w:rFonts w:ascii="Book Antiqua" w:hAnsi="Book Antiqua"/>
          <w:sz w:val="20"/>
        </w:rPr>
        <w:t xml:space="preserve"> and </w:t>
      </w:r>
      <m:oMath>
        <m:r>
          <w:rPr>
            <w:rFonts w:ascii="Cambria Math" w:hAnsi="Cambria Math"/>
            <w:sz w:val="20"/>
          </w:rPr>
          <m:t>m</m:t>
        </m:r>
      </m:oMath>
      <w:r w:rsidRPr="00B9776F">
        <w:rPr>
          <w:rFonts w:ascii="Book Antiqua" w:hAnsi="Book Antiqua"/>
          <w:sz w:val="20"/>
        </w:rPr>
        <w:t xml:space="preserve"> were measured as varying significantly have shown that energy, </w:t>
      </w:r>
      <w:r w:rsidRPr="00B9776F">
        <w:rPr>
          <w:rFonts w:ascii="Book Antiqua" w:hAnsi="Book Antiqua"/>
          <w:i/>
          <w:sz w:val="20"/>
        </w:rPr>
        <w:t>E</w:t>
      </w:r>
      <w:r w:rsidRPr="00B9776F">
        <w:rPr>
          <w:rFonts w:ascii="Book Antiqua" w:hAnsi="Book Antiqua"/>
          <w:sz w:val="20"/>
        </w:rPr>
        <w:t>, was conserved in all cases. Therefore, in a situation where the ZPE is varying, these experimental results require that sub-atomic particle rest-masses obey the standard equation</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w:t>
      </w:r>
      <w:r w:rsidRPr="00B9776F">
        <w:rPr>
          <w:rFonts w:ascii="Book Antiqua" w:hAnsi="Book Antiqua"/>
          <w:sz w:val="20"/>
        </w:rPr>
        <w:t xml:space="preserve">in which </w:t>
      </w:r>
      <w:r w:rsidRPr="00B9776F">
        <w:rPr>
          <w:rFonts w:ascii="Book Antiqua" w:hAnsi="Book Antiqua"/>
          <w:i/>
          <w:sz w:val="20"/>
        </w:rPr>
        <w:t>E</w:t>
      </w:r>
      <w:r w:rsidRPr="00B9776F">
        <w:rPr>
          <w:rFonts w:ascii="Book Antiqua" w:hAnsi="Book Antiqua"/>
          <w:sz w:val="20"/>
        </w:rPr>
        <w:t xml:space="preserve"> is conserved [11]. For this to be the case it is required that atomic rest masses, </w:t>
      </w:r>
      <w:r w:rsidRPr="00B9776F">
        <w:rPr>
          <w:rFonts w:ascii="Book Antiqua" w:hAnsi="Book Antiqua"/>
          <w:i/>
          <w:sz w:val="20"/>
        </w:rPr>
        <w:t>m</w:t>
      </w:r>
      <w:r w:rsidRPr="00B9776F">
        <w:rPr>
          <w:rFonts w:ascii="Book Antiqua" w:hAnsi="Book Antiqua"/>
          <w:sz w:val="20"/>
        </w:rPr>
        <w:t>, which mass derives from the ZPE “jiggling,” generally behave such that</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1/</m:t>
            </m:r>
            <m:r>
              <w:rPr>
                <w:rFonts w:ascii="Cambria Math" w:hAnsi="Cambria Math"/>
                <w:sz w:val="20"/>
              </w:rPr>
              <m:t>c</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(1)</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the symbol </w:t>
      </w:r>
      <m:oMath>
        <m:r>
          <w:rPr>
            <w:rFonts w:ascii="Cambria Math" w:hAnsi="Book Antiqua"/>
            <w:sz w:val="20"/>
          </w:rPr>
          <m:t>(~</m:t>
        </m:r>
      </m:oMath>
      <w:r w:rsidRPr="00B9776F">
        <w:rPr>
          <w:rFonts w:ascii="Book Antiqua" w:hAnsi="Book Antiqua"/>
          <w:sz w:val="20"/>
        </w:rPr>
        <w:t xml:space="preserve"> ) again means "is proportional to." However, since equations (10) and (12) in Chapter 2 show that the speed of light is inversely proportional to </w:t>
      </w:r>
      <m:oMath>
        <m:r>
          <w:rPr>
            <w:rFonts w:ascii="Cambria Math" w:hAnsi="Cambria Math"/>
            <w:sz w:val="20"/>
          </w:rPr>
          <m:t>U</m:t>
        </m:r>
      </m:oMath>
      <w:r w:rsidRPr="00B9776F">
        <w:rPr>
          <w:rFonts w:ascii="Book Antiqua" w:hAnsi="Book Antiqua"/>
          <w:sz w:val="20"/>
        </w:rPr>
        <w:t>, the strength of the ZPE,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Cs/>
          <w:sz w:val="20"/>
        </w:rPr>
      </w:pPr>
      <m:oMath>
        <m:r>
          <w:rPr>
            <w:rFonts w:ascii="Cambria Math" w:hAnsi="Cambria Math"/>
            <w:sz w:val="20"/>
          </w:rPr>
          <m:t>m</m:t>
        </m:r>
        <m:r>
          <w:rPr>
            <w:rFonts w:ascii="Cambria Math" w:hAnsi="Book Antiqua"/>
            <w:sz w:val="20"/>
          </w:rPr>
          <m:t xml:space="preserve"> ~ 1/</m:t>
        </m:r>
        <m:sSup>
          <m:sSupPr>
            <m:ctrlPr>
              <w:rPr>
                <w:rFonts w:ascii="Cambria Math" w:hAnsi="Book Antiqua"/>
                <w:i/>
                <w:iCs/>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xml:space="preserve"> </m:t>
        </m:r>
      </m:oMath>
      <w:r w:rsidRPr="00B9776F">
        <w:rPr>
          <w:rFonts w:ascii="Book Antiqua" w:hAnsi="Book Antiqua"/>
          <w:iCs/>
          <w:sz w:val="20"/>
        </w:rPr>
        <w:t>.</w:t>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
          <w:iCs/>
          <w:sz w:val="20"/>
        </w:rPr>
        <w:t>(2)</w:t>
      </w:r>
    </w:p>
    <w:p w:rsidR="00820B57" w:rsidRPr="00B9776F" w:rsidRDefault="00820B57" w:rsidP="00820B57">
      <w:pPr>
        <w:pStyle w:val="NoSpacing"/>
        <w:jc w:val="both"/>
        <w:rPr>
          <w:rFonts w:ascii="Book Antiqua" w:hAnsi="Book Antiqua"/>
          <w:iCs/>
          <w:sz w:val="20"/>
        </w:rPr>
      </w:pPr>
    </w:p>
    <w:p w:rsidR="00820B57" w:rsidRPr="00B9776F" w:rsidRDefault="00820B57" w:rsidP="00820B57">
      <w:pPr>
        <w:pStyle w:val="NoSpacing"/>
        <w:jc w:val="both"/>
        <w:rPr>
          <w:rFonts w:ascii="Book Antiqua" w:hAnsi="Book Antiqua"/>
          <w:iCs/>
          <w:sz w:val="20"/>
        </w:rPr>
      </w:pPr>
      <w:r w:rsidRPr="00B9776F">
        <w:rPr>
          <w:rFonts w:ascii="Book Antiqua" w:hAnsi="Book Antiqua"/>
          <w:iCs/>
          <w:sz w:val="20"/>
        </w:rPr>
        <w:lastRenderedPageBreak/>
        <w:t xml:space="preserve">Let us call this mass, </w:t>
      </w:r>
      <m:oMath>
        <m:r>
          <w:rPr>
            <w:rFonts w:ascii="Cambria Math" w:hAnsi="Cambria Math"/>
            <w:sz w:val="20"/>
          </w:rPr>
          <m:t>m</m:t>
        </m:r>
      </m:oMath>
      <w:r w:rsidRPr="00B9776F">
        <w:rPr>
          <w:rFonts w:ascii="Book Antiqua" w:hAnsi="Book Antiqua"/>
          <w:iCs/>
          <w:sz w:val="20"/>
        </w:rPr>
        <w:t xml:space="preserve">, the </w:t>
      </w:r>
      <w:r w:rsidRPr="00B9776F">
        <w:rPr>
          <w:rFonts w:ascii="Book Antiqua" w:hAnsi="Book Antiqua"/>
          <w:i/>
          <w:iCs/>
          <w:sz w:val="20"/>
        </w:rPr>
        <w:t>“atomic mass”</w:t>
      </w:r>
      <w:r w:rsidRPr="00B9776F">
        <w:rPr>
          <w:rFonts w:ascii="Book Antiqua" w:hAnsi="Book Antiqua"/>
          <w:iCs/>
          <w:sz w:val="20"/>
        </w:rPr>
        <w:t xml:space="preserve"> or, as an alternative, the “</w:t>
      </w:r>
      <w:r w:rsidRPr="00B9776F">
        <w:rPr>
          <w:rFonts w:ascii="Book Antiqua" w:hAnsi="Book Antiqua"/>
          <w:i/>
          <w:iCs/>
          <w:sz w:val="20"/>
        </w:rPr>
        <w:t>ZPE mass</w:t>
      </w:r>
      <w:r w:rsidRPr="00B9776F">
        <w:rPr>
          <w:rFonts w:ascii="Book Antiqua" w:hAnsi="Book Antiqua"/>
          <w:iCs/>
          <w:sz w:val="20"/>
        </w:rPr>
        <w:t>”, since it arises from the action of the ZPE.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The ZPE Mass Governs All Atomic Interactions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color w:val="FF0000"/>
          <w:sz w:val="20"/>
        </w:rPr>
      </w:pPr>
      <w:r w:rsidRPr="00B9776F">
        <w:rPr>
          <w:rFonts w:ascii="Book Antiqua" w:hAnsi="Book Antiqua"/>
          <w:sz w:val="20"/>
        </w:rPr>
        <w:tab/>
        <w:t xml:space="preserve">This ZPE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is the final result of all the parton or electron interactions with the ZPE. Consequently, from a subatomic particle point of view, it is this all-encompassing </w:t>
      </w:r>
      <m:oMath>
        <m:r>
          <w:rPr>
            <w:rFonts w:ascii="Cambria Math" w:hAnsi="Cambria Math"/>
            <w:sz w:val="20"/>
          </w:rPr>
          <m:t>m</m:t>
        </m:r>
      </m:oMath>
      <w:r w:rsidRPr="00B9776F">
        <w:rPr>
          <w:rFonts w:ascii="Book Antiqua" w:hAnsi="Book Antiqua"/>
          <w:sz w:val="20"/>
        </w:rPr>
        <w:t xml:space="preserve"> which governs atomic interactions.  It is this </w:t>
      </w:r>
      <m:oMath>
        <m:r>
          <w:rPr>
            <w:rFonts w:ascii="Cambria Math" w:hAnsi="Cambria Math"/>
            <w:sz w:val="20"/>
          </w:rPr>
          <m:t>m</m:t>
        </m:r>
      </m:oMath>
      <w:r w:rsidRPr="00B9776F">
        <w:rPr>
          <w:rFonts w:ascii="Book Antiqua" w:hAnsi="Book Antiqua"/>
          <w:sz w:val="20"/>
        </w:rPr>
        <w:t xml:space="preserve"> which increases when ZPE strength increases, and it is this </w:t>
      </w:r>
      <m:oMath>
        <m:r>
          <w:rPr>
            <w:rFonts w:ascii="Cambria Math" w:hAnsi="Cambria Math"/>
            <w:sz w:val="20"/>
          </w:rPr>
          <m:t>m</m:t>
        </m:r>
      </m:oMath>
      <w:r w:rsidRPr="00B9776F">
        <w:rPr>
          <w:rFonts w:ascii="Book Antiqua" w:hAnsi="Book Antiqua"/>
          <w:sz w:val="20"/>
        </w:rPr>
        <w:t xml:space="preserve"> which increases when subatomic particle velocities become relativistic. It is also this </w:t>
      </w:r>
      <m:oMath>
        <m:r>
          <w:rPr>
            <w:rFonts w:ascii="Cambria Math" w:hAnsi="Cambria Math"/>
            <w:sz w:val="20"/>
          </w:rPr>
          <m:t>m</m:t>
        </m:r>
      </m:oMath>
      <w:r w:rsidRPr="00B9776F">
        <w:rPr>
          <w:rFonts w:ascii="Book Antiqua" w:hAnsi="Book Antiqua"/>
          <w:sz w:val="20"/>
        </w:rPr>
        <w:t xml:space="preserve"> which is measured in any particle accelerator by using electric and magnetic fields. For this reason we are also using the name "</w:t>
      </w:r>
      <w:r w:rsidRPr="00B9776F">
        <w:rPr>
          <w:rFonts w:ascii="Book Antiqua" w:hAnsi="Book Antiqua"/>
          <w:i/>
          <w:sz w:val="20"/>
        </w:rPr>
        <w:t>atomic mass</w:t>
      </w:r>
      <w:r w:rsidRPr="00B9776F">
        <w:rPr>
          <w:rFonts w:ascii="Book Antiqua" w:hAnsi="Book Antiqua"/>
          <w:sz w:val="20"/>
        </w:rPr>
        <w:t xml:space="preserve">" to describe it.  Interestingly, it is in the atomic frame of reference that we have experimentally verified that the equation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sz w:val="20"/>
        </w:rPr>
        <w:t xml:space="preserve"> holds in atomic reactions with energy being conserved. So for all ZPE strengths, this equation is upheld for </w:t>
      </w:r>
      <m:oMath>
        <m:r>
          <w:rPr>
            <w:rFonts w:ascii="Cambria Math" w:hAnsi="Cambria Math"/>
            <w:sz w:val="20"/>
          </w:rPr>
          <m:t>m</m:t>
        </m:r>
      </m:oMath>
      <w:r w:rsidRPr="00B9776F">
        <w:rPr>
          <w:rFonts w:ascii="Book Antiqua" w:hAnsi="Book Antiqua"/>
          <w:sz w:val="20"/>
        </w:rPr>
        <w:t xml:space="preserve"> and </w:t>
      </w:r>
      <m:oMath>
        <m:r>
          <w:rPr>
            <w:rFonts w:ascii="Cambria Math" w:hAnsi="Cambria Math"/>
            <w:sz w:val="20"/>
          </w:rPr>
          <m:t>c</m:t>
        </m:r>
      </m:oMath>
      <w:r w:rsidRPr="00B9776F">
        <w:rPr>
          <w:rFonts w:ascii="Book Antiqua" w:hAnsi="Book Antiqua"/>
          <w:sz w:val="20"/>
        </w:rPr>
        <w:t xml:space="preserve">. These results are also in complete accord with the analyses by Puthoff, Haisch, Rueda and other SED physicists. The formulations of Haisch’s team show the parton’s rest mass, </w:t>
      </w:r>
      <m:oMath>
        <m:r>
          <w:rPr>
            <w:rFonts w:ascii="Cambria Math" w:hAnsi="Cambria Math"/>
            <w:sz w:val="20"/>
          </w:rPr>
          <m:t>m</m:t>
        </m:r>
      </m:oMath>
      <w:r w:rsidRPr="00B9776F">
        <w:rPr>
          <w:rFonts w:ascii="Book Antiqua" w:hAnsi="Book Antiqua"/>
          <w:sz w:val="20"/>
        </w:rPr>
        <w:t>, of ZPE origin, is given by the equation [12,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m:t>
        </m:r>
        <m:r>
          <w:rPr>
            <w:rFonts w:ascii="Cambria Math" w:hAnsi="Book Antiqua"/>
            <w:sz w:val="20"/>
          </w:rPr>
          <m:t> </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m:t>
        </m:r>
        <m:r>
          <w:rPr>
            <w:rFonts w:ascii="Cambria Math" w:hAnsi="Book Antiqua"/>
            <w:sz w:val="20"/>
          </w:rPr>
          <m:t xml:space="preserve"> ~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 xml:space="preserve"> 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i/>
          <w:sz w:val="20"/>
        </w:rPr>
        <w:t>  .</w:t>
      </w:r>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sz w:val="20"/>
          </w:rPr>
          <m:t>ω</m:t>
        </m:r>
      </m:oMath>
      <w:r w:rsidRPr="00B9776F">
        <w:rPr>
          <w:rFonts w:ascii="Book Antiqua" w:hAnsi="Book Antiqua"/>
          <w:sz w:val="20"/>
        </w:rPr>
        <w:t xml:space="preserve"> is the </w:t>
      </w:r>
      <w:r w:rsidRPr="00B9776F">
        <w:rPr>
          <w:rStyle w:val="Emphasis"/>
          <w:rFonts w:ascii="Book Antiqua" w:hAnsi="Book Antiqua"/>
          <w:sz w:val="20"/>
        </w:rPr>
        <w:t xml:space="preserve">Zitterbewegung </w:t>
      </w:r>
      <w:r w:rsidRPr="00B9776F">
        <w:rPr>
          <w:rFonts w:ascii="Book Antiqua" w:hAnsi="Book Antiqua"/>
          <w:sz w:val="20"/>
        </w:rPr>
        <w:t xml:space="preserve">oscillation frequency of the particle, while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 xml:space="preserve">is the Abraham-Lorentz damping constant of the parton. The proportionalities in (3) hold because the terms </w:t>
      </w:r>
      <m:oMath>
        <m:sSup>
          <m:sSupPr>
            <m:ctrlPr>
              <w:rPr>
                <w:rFonts w:ascii="Cambria Math" w:hAnsi="Book Antiqua"/>
                <w:i/>
                <w:sz w:val="20"/>
              </w:rPr>
            </m:ctrlPr>
          </m:sSupPr>
          <m:e>
            <m:r>
              <w:rPr>
                <w:rFonts w:ascii="Cambria Math" w:hAnsi="Book Antiqua"/>
                <w:sz w:val="20"/>
              </w:rPr>
              <m:t>[</m:t>
            </m:r>
            <m:r>
              <w:rPr>
                <w:rFonts w:ascii="Cambria Math" w:hAnsi="Cambria Math"/>
                <w:sz w:val="20"/>
              </w:rPr>
              <m:t>Γ</m:t>
            </m:r>
            <m:r>
              <w:rPr>
                <w:rFonts w:ascii="Book Antiqua" w:hAnsi="Cambria Math"/>
                <w:sz w:val="20"/>
              </w:rPr>
              <m:t>h</m:t>
            </m:r>
            <m:r>
              <w:rPr>
                <w:rFonts w:ascii="Cambria Math" w:hAnsi="Cambria Math"/>
                <w:sz w:val="20"/>
              </w:rPr>
              <m:t>ω</m:t>
            </m:r>
          </m:e>
          <m:sup>
            <m:r>
              <w:rPr>
                <w:rFonts w:ascii="Cambria Math" w:hAnsi="Book Antiqua"/>
                <w:sz w:val="20"/>
              </w:rPr>
              <m:t>2</m:t>
            </m:r>
          </m:sup>
        </m:sSup>
      </m:oMath>
      <w:r w:rsidRPr="00B9776F">
        <w:rPr>
          <w:rFonts w:ascii="Book Antiqua" w:hAnsi="Book Antiqua"/>
          <w:sz w:val="20"/>
        </w:rPr>
        <w:t xml:space="preserve">] which make up the numerator of (3) can be shown to be constant in a changing ZPE scenario [11].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Experimentally, the recommended values of the electron rest-mass, </w:t>
      </w:r>
      <m:oMath>
        <m:r>
          <w:rPr>
            <w:rFonts w:ascii="Cambria Math" w:hAnsi="Cambria Math"/>
            <w:sz w:val="20"/>
          </w:rPr>
          <m:t>m</m:t>
        </m:r>
      </m:oMath>
      <w:r w:rsidRPr="00B9776F">
        <w:rPr>
          <w:rFonts w:ascii="Book Antiqua" w:hAnsi="Book Antiqua"/>
          <w:sz w:val="20"/>
        </w:rPr>
        <w:t xml:space="preserve">, support the contention that the ZPE strength increased until about 1970. The graph of these recommended values is given in Figure 1. A similar graph could be drawn of recommended rest-mass values, </w:t>
      </w:r>
      <m:oMath>
        <m:r>
          <w:rPr>
            <w:rFonts w:ascii="Cambria Math" w:hAnsi="Cambria Math"/>
            <w:sz w:val="20"/>
          </w:rPr>
          <m:t>m</m:t>
        </m:r>
      </m:oMath>
      <w:r w:rsidRPr="00B9776F">
        <w:rPr>
          <w:rFonts w:ascii="Book Antiqua" w:hAnsi="Book Antiqua"/>
          <w:sz w:val="20"/>
        </w:rPr>
        <w:t>, for the proton.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center"/>
        <w:rPr>
          <w:rFonts w:ascii="Book Antiqua" w:hAnsi="Book Antiqua"/>
          <w:sz w:val="20"/>
        </w:rPr>
      </w:pPr>
      <w:r w:rsidRPr="00B9776F">
        <w:rPr>
          <w:rFonts w:ascii="Book Antiqua" w:hAnsi="Book Antiqua"/>
          <w:noProof/>
          <w:sz w:val="20"/>
        </w:rPr>
        <w:drawing>
          <wp:inline distT="0" distB="0" distL="0" distR="0">
            <wp:extent cx="3288543" cy="3427079"/>
            <wp:effectExtent l="19050" t="0" r="7107" b="0"/>
            <wp:docPr id="168"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60" cstate="print">
                      <a:lum contrast="20000"/>
                    </a:blip>
                    <a:srcRect/>
                    <a:stretch>
                      <a:fillRect/>
                    </a:stretch>
                  </pic:blipFill>
                  <pic:spPr bwMode="auto">
                    <a:xfrm>
                      <a:off x="0" y="0"/>
                      <a:ext cx="3300177" cy="3439203"/>
                    </a:xfrm>
                    <a:prstGeom prst="rect">
                      <a:avLst/>
                    </a:prstGeom>
                    <a:noFill/>
                    <a:ln w="9525">
                      <a:noFill/>
                      <a:miter lim="800000"/>
                      <a:headEnd/>
                      <a:tailEnd/>
                    </a:ln>
                  </pic:spPr>
                </pic:pic>
              </a:graphicData>
            </a:graphic>
          </wp:inline>
        </w:drawing>
      </w:r>
    </w:p>
    <w:p w:rsidR="00820B57" w:rsidRPr="00B9776F" w:rsidRDefault="00820B57" w:rsidP="00820B57">
      <w:pPr>
        <w:pStyle w:val="NoSpacing"/>
        <w:jc w:val="both"/>
        <w:rPr>
          <w:rFonts w:ascii="Book Antiqua" w:hAnsi="Book Antiqua"/>
          <w:sz w:val="20"/>
        </w:rPr>
      </w:pPr>
    </w:p>
    <w:p w:rsidR="00820B57" w:rsidRPr="001808B5" w:rsidRDefault="00820B57" w:rsidP="00E74BCC">
      <w:pPr>
        <w:pStyle w:val="NoSpacing"/>
        <w:jc w:val="center"/>
        <w:rPr>
          <w:rFonts w:ascii="Book Antiqua" w:hAnsi="Book Antiqua"/>
          <w:b/>
          <w:i/>
          <w:sz w:val="18"/>
          <w:szCs w:val="18"/>
        </w:rPr>
      </w:pPr>
      <w:r w:rsidRPr="001808B5">
        <w:rPr>
          <w:rFonts w:ascii="Book Antiqua" w:hAnsi="Book Antiqua"/>
          <w:b/>
          <w:i/>
          <w:noProof/>
          <w:sz w:val="18"/>
          <w:szCs w:val="18"/>
        </w:rPr>
        <w:t>Figure 1:</w:t>
      </w:r>
      <w:r w:rsidRPr="001808B5">
        <w:rPr>
          <w:rFonts w:ascii="Book Antiqua" w:hAnsi="Book Antiqua"/>
          <w:i/>
          <w:noProof/>
          <w:sz w:val="18"/>
          <w:szCs w:val="18"/>
        </w:rPr>
        <w:t xml:space="preserve"> Recommended values of electron rest mass, </w:t>
      </w:r>
      <w:r w:rsidRPr="001808B5">
        <w:rPr>
          <w:rFonts w:ascii="Book Antiqua" w:hAnsi="Book Antiqua"/>
          <w:noProof/>
          <w:sz w:val="18"/>
          <w:szCs w:val="18"/>
        </w:rPr>
        <w:t>m</w:t>
      </w:r>
      <w:r w:rsidRPr="001808B5">
        <w:rPr>
          <w:rFonts w:ascii="Book Antiqua" w:hAnsi="Book Antiqua"/>
          <w:i/>
          <w:noProof/>
          <w:sz w:val="18"/>
          <w:szCs w:val="18"/>
        </w:rPr>
        <w:t>. [19-31</w:t>
      </w:r>
      <w:r w:rsidRPr="001808B5">
        <w:rPr>
          <w:rFonts w:ascii="Book Antiqua" w:hAnsi="Book Antiqua"/>
          <w:b/>
          <w:i/>
          <w:noProof/>
          <w:sz w:val="18"/>
          <w:szCs w:val="18"/>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lastRenderedPageBreak/>
        <w:t>An Intrinsic Mass For Sub-atomic Particles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It is at this juncture that the damping constant, </w:t>
      </w:r>
      <m:oMath>
        <m:r>
          <w:rPr>
            <w:rFonts w:ascii="Cambria Math" w:hAnsi="Cambria Math"/>
            <w:sz w:val="20"/>
          </w:rPr>
          <m:t>Γ</m:t>
        </m:r>
      </m:oMath>
      <w:r w:rsidRPr="00B9776F">
        <w:rPr>
          <w:rFonts w:ascii="Book Antiqua" w:hAnsi="Book Antiqua"/>
          <w:sz w:val="20"/>
        </w:rPr>
        <w:t xml:space="preserve">, must undergo examination. Haisch et al. point out that the damping constant is given by the expression [12, 13]: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Style w:val="Emphasis"/>
            <w:rFonts w:ascii="Cambria Math" w:hAnsi="Book Antiqua"/>
            <w:sz w:val="20"/>
          </w:rPr>
          <m:t xml:space="preserve"> </m:t>
        </m:r>
        <m:sSup>
          <m:sSupPr>
            <m:ctrlPr>
              <w:rPr>
                <w:rStyle w:val="Emphasis"/>
                <w:rFonts w:ascii="Cambria Math" w:hAnsi="Book Antiqua"/>
                <w:i w:val="0"/>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/(6</m:t>
        </m:r>
        <m:r>
          <w:rPr>
            <w:rFonts w:ascii="Cambria Math" w:hAnsi="Cambria Math"/>
            <w:sz w:val="20"/>
          </w:rPr>
          <m:t>πε</m:t>
        </m:r>
        <m:sSup>
          <m:sSupPr>
            <m:ctrlPr>
              <w:rPr>
                <w:rStyle w:val="Emphasis"/>
                <w:rFonts w:ascii="Cambria Math" w:hAnsi="Book Antiqua"/>
                <w:i w:val="0"/>
                <w:sz w:val="20"/>
              </w:rPr>
            </m:ctrlPr>
          </m:sSupPr>
          <m:e>
            <m:r>
              <w:rPr>
                <w:rStyle w:val="Emphasis"/>
                <w:rFonts w:ascii="Cambria Math" w:hAnsi="Cambria Math"/>
                <w:sz w:val="20"/>
              </w:rPr>
              <m:t>m</m:t>
            </m:r>
          </m:e>
          <m:sup>
            <m:r>
              <w:rPr>
                <w:rStyle w:val="Emphasis"/>
                <w:rFonts w:ascii="Book Antiqua" w:hAnsi="Cambria Math"/>
                <w:sz w:val="20"/>
              </w:rPr>
              <m:t>*</m:t>
            </m:r>
          </m:sup>
        </m:sSup>
        <m:sSup>
          <m:sSupPr>
            <m:ctrlPr>
              <w:rPr>
                <w:rStyle w:val="Emphasis"/>
                <w:rFonts w:ascii="Cambria Math" w:hAnsi="Book Antiqua"/>
                <w:i w:val="0"/>
                <w:sz w:val="20"/>
              </w:rPr>
            </m:ctrlPr>
          </m:sSupPr>
          <m:e>
            <m:r>
              <w:rPr>
                <w:rStyle w:val="Emphasis"/>
                <w:rFonts w:ascii="Cambria Math" w:hAnsi="Cambria Math"/>
                <w:sz w:val="20"/>
              </w:rPr>
              <m:t>c</m:t>
            </m:r>
          </m:e>
          <m:sup>
            <m:r>
              <w:rPr>
                <w:rStyle w:val="Emphasis"/>
                <w:rFonts w:ascii="Cambria Math" w:hAnsi="Book Antiqua"/>
                <w:sz w:val="20"/>
              </w:rPr>
              <m:t>3</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Style w:val="Emphasis"/>
            <w:rFonts w:ascii="Cambria Math" w:hAnsi="Cambria Math"/>
            <w:sz w:val="20"/>
          </w:rPr>
          <m:t>e</m:t>
        </m:r>
      </m:oMath>
      <w:r w:rsidRPr="00B9776F">
        <w:rPr>
          <w:rStyle w:val="Emphasis"/>
          <w:rFonts w:ascii="Book Antiqua" w:hAnsi="Book Antiqua"/>
          <w:sz w:val="20"/>
        </w:rPr>
        <w:t xml:space="preserve"> </w:t>
      </w:r>
      <w:r w:rsidRPr="00B9776F">
        <w:rPr>
          <w:rFonts w:ascii="Book Antiqua" w:hAnsi="Book Antiqua"/>
          <w:sz w:val="20"/>
        </w:rPr>
        <w:t>is the electronic charge,</w:t>
      </w:r>
      <m:oMath>
        <m:r>
          <w:rPr>
            <w:rFonts w:ascii="Cambria Math" w:hAnsi="Book Antiqua"/>
            <w:sz w:val="20"/>
          </w:rPr>
          <m:t xml:space="preserve"> </m:t>
        </m:r>
        <m:r>
          <w:rPr>
            <w:rFonts w:ascii="Cambria Math" w:hAnsi="Cambria Math"/>
            <w:sz w:val="20"/>
          </w:rPr>
          <m:t>ε</m:t>
        </m:r>
      </m:oMath>
      <w:r w:rsidRPr="00B9776F">
        <w:rPr>
          <w:rFonts w:ascii="Book Antiqua" w:hAnsi="Book Antiqua"/>
          <w:sz w:val="20"/>
        </w:rPr>
        <w:t xml:space="preserve"> is the electric permittivity of the vacuum, and </w:t>
      </w:r>
      <m:oMath>
        <m:r>
          <w:rPr>
            <w:rFonts w:ascii="Cambria Math" w:hAnsi="Cambria Math"/>
            <w:sz w:val="20"/>
          </w:rPr>
          <m:t>c</m:t>
        </m:r>
      </m:oMath>
      <w:r w:rsidRPr="00B9776F">
        <w:rPr>
          <w:rFonts w:ascii="Book Antiqua" w:hAnsi="Book Antiqua"/>
          <w:sz w:val="20"/>
        </w:rPr>
        <w:t xml:space="preserve"> is the speed of light. The quantity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Fonts w:ascii="Book Antiqua" w:hAnsi="Book Antiqua"/>
          <w:sz w:val="20"/>
        </w:rPr>
        <w:t xml:space="preserve"> in (4) has been shown to be constant throughout the cosmos, except in strong gravitational fields </w:t>
      </w:r>
      <w:hyperlink r:id="rId161" w:anchor="3b19" w:history="1">
        <w:r w:rsidRPr="00B9776F">
          <w:rPr>
            <w:rStyle w:val="Hyperlink"/>
            <w:rFonts w:ascii="Book Antiqua" w:hAnsi="Book Antiqua"/>
            <w:sz w:val="20"/>
          </w:rPr>
          <w:t>[14]</w:t>
        </w:r>
      </w:hyperlink>
      <w:r w:rsidRPr="00B9776F">
        <w:rPr>
          <w:rFonts w:ascii="Book Antiqua" w:hAnsi="Book Antiqua"/>
          <w:sz w:val="20"/>
        </w:rPr>
        <w:t xml:space="preserve">. This proviso is explained in more detail in Chapter 7.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(4), the quantity </w:t>
      </w:r>
      <m:oMath>
        <m:sSup>
          <m:sSupPr>
            <m:ctrlPr>
              <w:rPr>
                <w:rStyle w:val="Emphasis"/>
                <w:rFonts w:ascii="Cambria Math" w:hAnsi="Book Antiqua"/>
                <w:sz w:val="20"/>
              </w:rPr>
            </m:ctrlPr>
          </m:sSupPr>
          <m:e>
            <m:r>
              <w:rPr>
                <w:rStyle w:val="Emphasis"/>
                <w:rFonts w:ascii="Cambria Math" w:hAnsi="Cambria Math"/>
                <w:sz w:val="20"/>
              </w:rPr>
              <m:t>m</m:t>
            </m:r>
          </m:e>
          <m:sup>
            <m:r>
              <w:rPr>
                <w:rStyle w:val="Emphasis"/>
                <w:rFonts w:ascii="Book Antiqua" w:hAnsi="Cambria Math"/>
                <w:sz w:val="20"/>
              </w:rPr>
              <m:t>*</m:t>
            </m:r>
          </m:sup>
        </m:sSup>
      </m:oMath>
      <w:r w:rsidRPr="00B9776F">
        <w:rPr>
          <w:rStyle w:val="Emphasis"/>
          <w:rFonts w:ascii="Book Antiqua" w:hAnsi="Book Antiqua"/>
          <w:sz w:val="20"/>
        </w:rPr>
        <w:t xml:space="preserve"> </w:t>
      </w:r>
      <w:r w:rsidRPr="00B9776F">
        <w:rPr>
          <w:rFonts w:ascii="Book Antiqua" w:hAnsi="Book Antiqua"/>
          <w:sz w:val="20"/>
        </w:rPr>
        <w:t xml:space="preserve">is the intrinsic mass of the parton. It is this </w:t>
      </w:r>
      <w:r w:rsidR="000E7181">
        <w:rPr>
          <w:rFonts w:ascii="Book Antiqua" w:hAnsi="Book Antiqua"/>
          <w:sz w:val="20"/>
        </w:rPr>
        <w:t xml:space="preserve">intrinsic </w:t>
      </w:r>
      <w:r w:rsidRPr="00B9776F">
        <w:rPr>
          <w:rFonts w:ascii="Book Antiqua" w:hAnsi="Book Antiqua"/>
          <w:sz w:val="20"/>
        </w:rPr>
        <w:t xml:space="preserve">mass which is undergoing the jitter-motion that the damping constant, </w:t>
      </w:r>
      <m:oMath>
        <m:r>
          <w:rPr>
            <w:rFonts w:ascii="Cambria Math" w:hAnsi="Cambria Math"/>
            <w:sz w:val="20"/>
          </w:rPr>
          <m:t>Γ</m:t>
        </m:r>
      </m:oMath>
      <w:r w:rsidRPr="00B9776F">
        <w:rPr>
          <w:rFonts w:ascii="Book Antiqua" w:hAnsi="Book Antiqua"/>
          <w:sz w:val="20"/>
        </w:rPr>
        <w:t xml:space="preserve">, is related to. This atomic system is similar to that of a mechanical system with a mass attached to a spring which is undergoing oscillation. The magnitude of the mass and the damping constant of this mechanical system determine its behavior. In like manner, the magnitude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and the quantity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determine the behavior of the atomic system</w:t>
      </w:r>
      <w:r w:rsidR="00D43754">
        <w:rPr>
          <w:rFonts w:ascii="Book Antiqua" w:hAnsi="Book Antiqua"/>
          <w:sz w:val="20"/>
        </w:rPr>
        <w:t xml:space="preserve"> which results in the atomic mass being </w:t>
      </w:r>
      <m:oMath>
        <m:r>
          <w:rPr>
            <w:rFonts w:ascii="Cambria Math" w:hAnsi="Cambria Math"/>
            <w:sz w:val="20"/>
          </w:rPr>
          <m:t>m</m:t>
        </m:r>
      </m:oMath>
      <w:r w:rsidRPr="00B9776F">
        <w:rPr>
          <w:rFonts w:ascii="Book Antiqua" w:hAnsi="Book Antiqua"/>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This quantity,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has often been ignored in </w:t>
      </w:r>
      <w:r w:rsidR="003A5CA8">
        <w:rPr>
          <w:rFonts w:ascii="Book Antiqua" w:hAnsi="Book Antiqua"/>
          <w:sz w:val="20"/>
        </w:rPr>
        <w:t>most</w:t>
      </w:r>
      <w:r w:rsidRPr="00B9776F">
        <w:rPr>
          <w:rFonts w:ascii="Book Antiqua" w:hAnsi="Book Antiqua"/>
          <w:sz w:val="20"/>
        </w:rPr>
        <w:t xml:space="preserve"> discussions about partons and their behavior</w:t>
      </w:r>
      <w:r w:rsidR="00D43754">
        <w:rPr>
          <w:rFonts w:ascii="Book Antiqua" w:hAnsi="Book Antiqua"/>
          <w:sz w:val="20"/>
        </w:rPr>
        <w:t xml:space="preserve">, since </w:t>
      </w:r>
      <m:oMath>
        <m:r>
          <w:rPr>
            <w:rFonts w:ascii="Cambria Math" w:hAnsi="Cambria Math"/>
            <w:sz w:val="20"/>
          </w:rPr>
          <m:t>m</m:t>
        </m:r>
      </m:oMath>
      <w:r w:rsidR="00D43754">
        <w:rPr>
          <w:rFonts w:ascii="Book Antiqua" w:hAnsi="Book Antiqua"/>
          <w:sz w:val="20"/>
        </w:rPr>
        <w:t xml:space="preserve"> is usually the quantity under consideration</w:t>
      </w:r>
      <w:r w:rsidRPr="00B9776F">
        <w:rPr>
          <w:rFonts w:ascii="Book Antiqua" w:hAnsi="Book Antiqua"/>
          <w:sz w:val="20"/>
        </w:rPr>
        <w:t xml:space="preserve">. Nevertheless its presence is occasionally acknowledged, as did M.H. Mac Gregor in </w:t>
      </w:r>
      <w:r w:rsidRPr="00B9776F">
        <w:rPr>
          <w:rFonts w:ascii="Book Antiqua" w:hAnsi="Book Antiqua"/>
          <w:i/>
          <w:sz w:val="20"/>
        </w:rPr>
        <w:t>"The Enigmatic Electron"</w:t>
      </w:r>
      <w:r w:rsidRPr="00B9776F">
        <w:rPr>
          <w:rFonts w:ascii="Book Antiqua" w:hAnsi="Book Antiqua"/>
          <w:sz w:val="20"/>
        </w:rPr>
        <w:t xml:space="preserve"> [Kluwer, Dordrecht, 1992, p. 7], where he called it the "</w:t>
      </w:r>
      <w:r w:rsidRPr="00B9776F">
        <w:rPr>
          <w:rFonts w:ascii="Book Antiqua" w:hAnsi="Book Antiqua"/>
          <w:i/>
          <w:sz w:val="20"/>
        </w:rPr>
        <w:t>mechanical mass</w:t>
      </w:r>
      <w:r w:rsidRPr="00B9776F">
        <w:rPr>
          <w:rFonts w:ascii="Book Antiqua" w:hAnsi="Book Antiqua"/>
          <w:sz w:val="20"/>
        </w:rPr>
        <w:t>". [15] Others, like Haisch, have called it the "</w:t>
      </w:r>
      <w:r w:rsidRPr="00B9776F">
        <w:rPr>
          <w:rFonts w:ascii="Book Antiqua" w:hAnsi="Book Antiqua"/>
          <w:i/>
          <w:sz w:val="20"/>
        </w:rPr>
        <w:t>bare mass</w:t>
      </w:r>
      <w:r w:rsidRPr="00B9776F">
        <w:rPr>
          <w:rFonts w:ascii="Book Antiqua" w:hAnsi="Book Antiqua"/>
          <w:sz w:val="20"/>
        </w:rPr>
        <w:t xml:space="preserve">" of the parton [12]. However, it is preferable to call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the </w:t>
      </w:r>
      <w:r w:rsidRPr="00B9776F">
        <w:rPr>
          <w:rFonts w:ascii="Book Antiqua" w:hAnsi="Book Antiqua"/>
          <w:i/>
          <w:sz w:val="20"/>
        </w:rPr>
        <w:t>"intrinsic mass"</w:t>
      </w:r>
      <w:r w:rsidRPr="00B9776F">
        <w:rPr>
          <w:rFonts w:ascii="Book Antiqua" w:hAnsi="Book Antiqua"/>
          <w:sz w:val="20"/>
        </w:rPr>
        <w:t xml:space="preserve"> so that it is clear that this is something that partons and electrons innately possess as a result of their electric charge, irrespective of the ZPE. Further, it is this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that the ZPE acts upon to produce a variety of other effects, some of which have already been mentioned.</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avoids defining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r>
              <w:rPr>
                <w:rFonts w:ascii="Cambria Math" w:hAnsi="Book Antiqua"/>
                <w:sz w:val="20"/>
              </w:rPr>
              <m:t xml:space="preserve"> </m:t>
            </m:r>
          </m:sup>
        </m:sSup>
      </m:oMath>
      <w:r w:rsidRPr="00B9776F">
        <w:rPr>
          <w:rFonts w:ascii="Book Antiqua" w:hAnsi="Book Antiqua"/>
          <w:sz w:val="20"/>
        </w:rPr>
        <w:t>by stating that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and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 xml:space="preserve">are </w:t>
      </w:r>
      <w:r w:rsidRPr="00B9776F">
        <w:rPr>
          <w:rFonts w:ascii="Book Antiqua" w:hAnsi="Book Antiqua"/>
          <w:i/>
          <w:sz w:val="20"/>
        </w:rPr>
        <w:t>“entirely equivalent.”</w:t>
      </w:r>
      <w:r w:rsidRPr="00B9776F">
        <w:rPr>
          <w:rFonts w:ascii="Book Antiqua" w:hAnsi="Book Antiqua"/>
          <w:sz w:val="20"/>
        </w:rPr>
        <w:t xml:space="preserve"> [12] While the two terms are not equivalent, but are two separate things, Haisch is nonetheless able to correctly substitute the definition of </w:t>
      </w:r>
      <m:oMath>
        <m:r>
          <w:rPr>
            <w:rFonts w:ascii="Cambria Math" w:hAnsi="Cambria Math"/>
            <w:sz w:val="20"/>
          </w:rPr>
          <m:t>Γ</m:t>
        </m:r>
      </m:oMath>
      <w:r w:rsidRPr="00B9776F">
        <w:rPr>
          <w:rFonts w:ascii="Book Antiqua" w:hAnsi="Book Antiqua"/>
          <w:sz w:val="20"/>
        </w:rPr>
        <w:t xml:space="preserve"> from (4) into equation (3) which then gives the ZPE mass, </w:t>
      </w:r>
      <m:oMath>
        <m:r>
          <w:rPr>
            <w:rStyle w:val="Emphasis"/>
            <w:rFonts w:ascii="Cambria Math" w:hAnsi="Cambria Math"/>
            <w:sz w:val="20"/>
          </w:rPr>
          <m:t>m</m:t>
        </m:r>
      </m:oMath>
      <w:r w:rsidRPr="00B9776F">
        <w:rPr>
          <w:rFonts w:ascii="Book Antiqua" w:hAnsi="Book Antiqua"/>
          <w:sz w:val="20"/>
        </w:rPr>
        <w:t xml:space="preserve">, in terms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so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w:t>
      </w: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r>
          <w:rPr>
            <w:rFonts w:ascii="Cambria Math" w:hAnsi="Cambria Math"/>
            <w:sz w:val="20"/>
          </w:rPr>
          <m:t>ε</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oMath>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once again, </w:t>
      </w:r>
      <m:oMath>
        <m:r>
          <w:rPr>
            <w:rFonts w:ascii="Cambria Math" w:hAnsi="Cambria Math"/>
            <w:sz w:val="20"/>
          </w:rPr>
          <m:t>ω</m:t>
        </m:r>
      </m:oMath>
      <w:r w:rsidRPr="00B9776F">
        <w:rPr>
          <w:rFonts w:ascii="Book Antiqua" w:hAnsi="Book Antiqua"/>
          <w:sz w:val="20"/>
        </w:rPr>
        <w:t xml:space="preserve"> is the oscillation frequency of the particle involved. From (5) we note that there are thus two sources for mass in subatomic particles. One is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of the parton or electron. The other is the mass which comes from the interaction of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with the ZPE. This interaction results in a jitter which imparts a kinetic energy to the parton. This kinetic energy then appears as atomic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Unlike atomic mass,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due entirely to the charge which makes up the parton or electron. In other words,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is purely electromagnetic in origin. It is usual to employ the Classical Electron Radius formula to obtain this mass. However, the derivation of that formula involves an approximation [16]. A slightly more rigorous approach is to employ the formula for the</w:t>
      </w:r>
      <w:r w:rsidR="00E50A7C">
        <w:rPr>
          <w:rFonts w:ascii="Book Antiqua" w:hAnsi="Book Antiqua"/>
          <w:sz w:val="20"/>
        </w:rPr>
        <w:t xml:space="preserve"> e</w:t>
      </w:r>
      <w:r w:rsidRPr="00B9776F">
        <w:rPr>
          <w:rFonts w:ascii="Book Antiqua" w:hAnsi="Book Antiqua"/>
          <w:sz w:val="20"/>
        </w:rPr>
        <w:t>nergy</w:t>
      </w:r>
      <w:r w:rsidR="00D43754">
        <w:rPr>
          <w:rFonts w:ascii="Book Antiqua" w:hAnsi="Book Antiqua"/>
          <w:sz w:val="20"/>
        </w:rPr>
        <w:t xml:space="preserve">, </w:t>
      </w:r>
      <m:oMath>
        <m:r>
          <w:rPr>
            <w:rFonts w:ascii="Cambria Math" w:hAnsi="Cambria Math"/>
            <w:sz w:val="20"/>
          </w:rPr>
          <m:t>E</m:t>
        </m:r>
      </m:oMath>
      <w:r w:rsidR="00D43754">
        <w:rPr>
          <w:rFonts w:ascii="Book Antiqua" w:hAnsi="Book Antiqua"/>
          <w:sz w:val="20"/>
        </w:rPr>
        <w:t>,</w:t>
      </w:r>
      <w:r w:rsidRPr="00B9776F">
        <w:rPr>
          <w:rFonts w:ascii="Book Antiqua" w:hAnsi="Book Antiqua"/>
          <w:sz w:val="20"/>
        </w:rPr>
        <w:t xml:space="preserve"> of </w:t>
      </w:r>
      <w:r w:rsidR="00E50A7C">
        <w:rPr>
          <w:rFonts w:ascii="Book Antiqua" w:hAnsi="Book Antiqua"/>
          <w:sz w:val="20"/>
        </w:rPr>
        <w:t xml:space="preserve">the elecgtric chatge on </w:t>
      </w:r>
      <w:r w:rsidRPr="00B9776F">
        <w:rPr>
          <w:rFonts w:ascii="Book Antiqua" w:hAnsi="Book Antiqua"/>
          <w:sz w:val="20"/>
        </w:rPr>
        <w:t xml:space="preserve">a sphere of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with </w:t>
      </w:r>
      <w:r w:rsidR="00E50A7C">
        <w:rPr>
          <w:rFonts w:ascii="Book Antiqua" w:hAnsi="Book Antiqua"/>
          <w:sz w:val="20"/>
        </w:rPr>
        <w:t>the</w:t>
      </w:r>
      <w:r w:rsidRPr="00B9776F">
        <w:rPr>
          <w:rFonts w:ascii="Book Antiqua" w:hAnsi="Book Antiqua"/>
          <w:sz w:val="20"/>
        </w:rPr>
        <w:t xml:space="preserve"> </w:t>
      </w:r>
      <w:r w:rsidR="00E50A7C">
        <w:rPr>
          <w:rFonts w:ascii="Book Antiqua" w:hAnsi="Book Antiqua"/>
          <w:sz w:val="20"/>
        </w:rPr>
        <w:t xml:space="preserve">charge </w:t>
      </w:r>
      <w:r w:rsidRPr="00B9776F">
        <w:rPr>
          <w:rFonts w:ascii="Book Antiqua" w:hAnsi="Book Antiqua"/>
          <w:sz w:val="20"/>
        </w:rPr>
        <w:t xml:space="preserve">uniformly distributed on its surface. This is a good approximation to the model of an electron or parton since, as previously mentioned, it has been shown that the electron is point-like but spherical to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vertAlign w:val="superscript"/>
        </w:rPr>
        <w:t xml:space="preserve"> </w:t>
      </w:r>
      <w:r w:rsidRPr="00B9776F">
        <w:rPr>
          <w:rFonts w:ascii="Book Antiqua" w:hAnsi="Book Antiqua"/>
          <w:sz w:val="20"/>
        </w:rPr>
        <w:t>[2]. Therefore, th</w:t>
      </w:r>
      <w:r w:rsidR="00E50A7C">
        <w:rPr>
          <w:rFonts w:ascii="Book Antiqua" w:hAnsi="Book Antiqua"/>
          <w:sz w:val="20"/>
        </w:rPr>
        <w:t>is</w:t>
      </w:r>
      <w:r w:rsidRPr="00B9776F">
        <w:rPr>
          <w:rFonts w:ascii="Book Antiqua" w:hAnsi="Book Antiqua"/>
          <w:sz w:val="20"/>
        </w:rPr>
        <w:t xml:space="preserve"> energy of an electron or parton is given by the standard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f>
          <m:fPr>
            <m:type m:val="skw"/>
            <m:ctrlPr>
              <w:rPr>
                <w:rFonts w:ascii="Cambria Math" w:hAnsi="Book Antiqua"/>
                <w:i/>
                <w:sz w:val="20"/>
              </w:rPr>
            </m:ctrlPr>
          </m:fPr>
          <m:num>
            <m:r>
              <w:rPr>
                <w:rFonts w:ascii="Cambria Math" w:hAnsi="Book Antiqua"/>
                <w:sz w:val="20"/>
              </w:rPr>
              <m:t>1</m:t>
            </m:r>
          </m:num>
          <m:den>
            <m:r>
              <w:rPr>
                <w:rFonts w:ascii="Cambria Math" w:hAnsi="Book Antiqua"/>
                <w:sz w:val="20"/>
              </w:rPr>
              <m:t>2</m:t>
            </m:r>
          </m:den>
        </m:f>
        <m:r>
          <w:rPr>
            <w:rFonts w:ascii="Cambria Math" w:hAnsi="Book Antiqua"/>
            <w:sz w:val="20"/>
          </w:rPr>
          <m:t>)(1/4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(6),</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charged sphere. From there we note that, according to the mass/energy conversion formula,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p>
    <w:p w:rsidR="00D43754" w:rsidRDefault="00D43754"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If we take this energy to be a form of kinetic energy for the parton of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then (7) becomes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(1/2)</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 re-arranging, we get</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where</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 Since we have noted that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this means that</w:t>
      </w:r>
      <m:oMath>
        <m:sSup>
          <m:sSupPr>
            <m:ctrlPr>
              <w:rPr>
                <w:rFonts w:ascii="Cambria Math" w:hAnsi="Book Antiqua"/>
                <w:i/>
                <w:sz w:val="20"/>
              </w:rPr>
            </m:ctrlPr>
          </m:sSupPr>
          <m:e>
            <m:r>
              <w:rPr>
                <w:rFonts w:ascii="Cambria Math" w:hAnsi="Book Antiqua"/>
                <w:sz w:val="20"/>
              </w:rPr>
              <m:t xml:space="preserve">  </m:t>
            </m:r>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dependent on only two factors: the speed of light, </w:t>
      </w:r>
      <m:oMath>
        <m:r>
          <w:rPr>
            <w:rFonts w:ascii="Cambria Math" w:hAnsi="Cambria Math"/>
            <w:sz w:val="20"/>
          </w:rPr>
          <m:t>c</m:t>
        </m:r>
      </m:oMath>
      <w:r w:rsidRPr="00B9776F">
        <w:rPr>
          <w:rFonts w:ascii="Book Antiqua" w:hAnsi="Book Antiqua"/>
          <w:sz w:val="20"/>
        </w:rPr>
        <w:t>, and charge radius,</w:t>
      </w:r>
      <m:oMath>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.We can substitute today’s known values for all the quantities in (9). This, then, gives us the mass that currently results from the energy of the electric charge, which is the intrinsic mass,</w:t>
      </w:r>
      <m:oMath>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so that</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=(1/4</m:t>
        </m:r>
        <m:r>
          <w:rPr>
            <w:rFonts w:ascii="Cambria Math" w:hAnsi="Cambria Math"/>
            <w:sz w:val="20"/>
          </w:rPr>
          <m:t>π</m:t>
        </m:r>
        <m:r>
          <w:rPr>
            <w:rFonts w:ascii="Cambria Math" w:hAnsi="Book Antiqua"/>
            <w:sz w:val="20"/>
          </w:rPr>
          <m:t>)(2.898</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)[1/(8.982</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r>
          <w:rPr>
            <w:rFonts w:ascii="Cambria Math" w:hAnsi="Book Antiqua"/>
            <w:sz w:val="20"/>
          </w:rPr>
          <m:t>)][(1/(2.817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i/>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(10) is evaluated, then it tells us that</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  9.114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vertAlign w:val="superscript"/>
          </w:rPr>
          <m:t xml:space="preserve"> </m:t>
        </m:r>
        <m:r>
          <w:rPr>
            <w:rFonts w:ascii="Cambria Math" w:hAnsi="Cambria Math"/>
            <w:sz w:val="20"/>
          </w:rPr>
          <m:t>kg</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(11)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Evaluating Atomic Masses</w:t>
      </w:r>
    </w:p>
    <w:p w:rsidR="00820B57" w:rsidRPr="00B9776F" w:rsidRDefault="00820B57" w:rsidP="00820B57">
      <w:pPr>
        <w:pStyle w:val="ListParagraph"/>
        <w:ind w:left="360"/>
        <w:rPr>
          <w:rFonts w:ascii="Book Antiqua" w:hAnsi="Book Antiqua"/>
        </w:rPr>
      </w:pPr>
    </w:p>
    <w:p w:rsidR="00820B57" w:rsidRPr="00B9776F" w:rsidRDefault="00BF1E1C" w:rsidP="00820B57">
      <w:pPr>
        <w:pStyle w:val="NoSpacing"/>
        <w:ind w:firstLine="720"/>
        <w:jc w:val="both"/>
        <w:rPr>
          <w:rFonts w:ascii="Book Antiqua" w:hAnsi="Book Antiqua"/>
          <w:sz w:val="20"/>
        </w:rPr>
      </w:pPr>
      <w:r>
        <w:rPr>
          <w:rFonts w:ascii="Book Antiqua" w:hAnsi="Book Antiqua"/>
          <w:sz w:val="20"/>
        </w:rPr>
        <w:t>However, w</w:t>
      </w:r>
      <w:r w:rsidR="00820B57" w:rsidRPr="00B9776F">
        <w:rPr>
          <w:rFonts w:ascii="Book Antiqua" w:hAnsi="Book Antiqua"/>
          <w:sz w:val="20"/>
        </w:rPr>
        <w:t xml:space="preserve">hat is </w:t>
      </w:r>
      <w:r>
        <w:rPr>
          <w:rFonts w:ascii="Book Antiqua" w:hAnsi="Book Antiqua"/>
          <w:sz w:val="20"/>
        </w:rPr>
        <w:t xml:space="preserve">usually discussed </w:t>
      </w:r>
      <w:r w:rsidR="00820B57" w:rsidRPr="00B9776F">
        <w:rPr>
          <w:rFonts w:ascii="Book Antiqua" w:hAnsi="Book Antiqua"/>
          <w:sz w:val="20"/>
        </w:rPr>
        <w:t xml:space="preserve">is not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00820B57" w:rsidRPr="00B9776F">
        <w:rPr>
          <w:rFonts w:ascii="Book Antiqua" w:hAnsi="Book Antiqua"/>
          <w:sz w:val="20"/>
        </w:rPr>
        <w:t xml:space="preserve">the intrinsic mass, but rather the atomic mass, </w:t>
      </w:r>
      <m:oMath>
        <m:r>
          <w:rPr>
            <w:rFonts w:ascii="Cambria Math" w:hAnsi="Cambria Math"/>
            <w:sz w:val="20"/>
          </w:rPr>
          <m:t>m</m:t>
        </m:r>
      </m:oMath>
      <w:r w:rsidR="00820B57" w:rsidRPr="00B9776F">
        <w:rPr>
          <w:rFonts w:ascii="Book Antiqua" w:hAnsi="Book Antiqua"/>
          <w:i/>
          <w:sz w:val="20"/>
        </w:rPr>
        <w:t>.</w:t>
      </w:r>
      <w:r w:rsidR="00820B57" w:rsidRPr="00B9776F">
        <w:rPr>
          <w:rFonts w:ascii="Book Antiqua" w:hAnsi="Book Antiqua"/>
          <w:sz w:val="20"/>
        </w:rPr>
        <w:t xml:space="preserve">  It is this atomic mass that results from the jiggling </w:t>
      </w:r>
      <w:r>
        <w:rPr>
          <w:rFonts w:ascii="Book Antiqua" w:hAnsi="Book Antiqua"/>
          <w:sz w:val="20"/>
        </w:rPr>
        <w:t xml:space="preserve">of </w:t>
      </w: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oMath>
      <w:r>
        <w:rPr>
          <w:rFonts w:ascii="Book Antiqua" w:hAnsi="Book Antiqua"/>
          <w:sz w:val="20"/>
        </w:rPr>
        <w:t xml:space="preserve"> </w:t>
      </w:r>
      <w:r w:rsidR="00820B57" w:rsidRPr="00B9776F">
        <w:rPr>
          <w:rFonts w:ascii="Book Antiqua" w:hAnsi="Book Antiqua"/>
          <w:sz w:val="20"/>
        </w:rPr>
        <w:t>by the ZPE (the</w:t>
      </w:r>
      <w:r w:rsidR="00820B57" w:rsidRPr="00B9776F">
        <w:rPr>
          <w:rFonts w:ascii="Book Antiqua" w:hAnsi="Book Antiqua"/>
          <w:i/>
          <w:sz w:val="20"/>
        </w:rPr>
        <w:t xml:space="preserve"> Zitterbewegung</w:t>
      </w:r>
      <w:r w:rsidR="00820B57" w:rsidRPr="00B9776F">
        <w:rPr>
          <w:rFonts w:ascii="Book Antiqua" w:hAnsi="Book Antiqua"/>
          <w:sz w:val="20"/>
        </w:rPr>
        <w:t>). Therefore we have the experimental result that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formula for </w:t>
      </w:r>
      <m:oMath>
        <m:r>
          <w:rPr>
            <w:rFonts w:ascii="Cambria Math" w:hAnsi="Cambria Math"/>
            <w:sz w:val="20"/>
          </w:rPr>
          <m:t>m</m:t>
        </m:r>
      </m:oMath>
      <w:r w:rsidRPr="00B9776F">
        <w:rPr>
          <w:rFonts w:ascii="Book Antiqua" w:hAnsi="Book Antiqua"/>
          <w:sz w:val="20"/>
        </w:rPr>
        <w:t xml:space="preserve"> given by Haisch, Rueda and Puthoff in reference [9] and their equation (110)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ω</m:t>
        </m:r>
      </m:oMath>
      <w:r w:rsidRPr="00B9776F">
        <w:rPr>
          <w:rFonts w:ascii="Book Antiqua" w:hAnsi="Book Antiqua"/>
          <w:sz w:val="20"/>
        </w:rPr>
        <w:t xml:space="preserve"> is the oscillation frequency of the particle. Haisch et al. attach an Appendix A to reference [9] pointing out that their </w:t>
      </w:r>
      <m:oMath>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in the denominator of (13) might probably be only </w:t>
      </w:r>
      <m:oMath>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so (13) follows that factor of 2 correction. The formula for the damping constant </w:t>
      </w:r>
      <m:oMath>
        <m:r>
          <w:rPr>
            <w:rFonts w:ascii="Cambria Math" w:hAnsi="Cambria Math"/>
            <w:sz w:val="20"/>
          </w:rPr>
          <m:t>Γ</m:t>
        </m:r>
      </m:oMath>
      <w:r w:rsidRPr="00B9776F">
        <w:rPr>
          <w:rFonts w:ascii="Book Antiqua" w:hAnsi="Book Antiqua"/>
          <w:sz w:val="20"/>
        </w:rPr>
        <w:t xml:space="preserve"> is given in the same reference on p.685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Γ</m:t>
        </m:r>
        <m:r>
          <w:rPr>
            <w:rFonts w:ascii="Cambria Math" w:hAnsi="Book Antiqua"/>
            <w:sz w:val="20"/>
          </w:rPr>
          <m:t xml:space="preserve"> = (2/3)(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(14)</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terms making up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are in (9) above. When they are substituted in (14) it becomes possible to cancel terms. So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the damping constant,</w:t>
      </w:r>
      <w:r w:rsidRPr="00B9776F">
        <w:rPr>
          <w:rFonts w:ascii="Book Antiqua" w:hAnsi="Book Antiqua"/>
          <w:i/>
          <w:sz w:val="20"/>
        </w:rPr>
        <w:t xml:space="preserve"> </w:t>
      </w:r>
      <m:oMath>
        <m:r>
          <w:rPr>
            <w:rFonts w:ascii="Cambria Math" w:hAnsi="Cambria Math"/>
            <w:sz w:val="20"/>
          </w:rPr>
          <m:t>Γ</m:t>
        </m:r>
      </m:oMath>
      <w:r w:rsidRPr="00B9776F">
        <w:rPr>
          <w:rFonts w:ascii="Book Antiqua" w:hAnsi="Book Antiqua"/>
          <w:sz w:val="20"/>
        </w:rPr>
        <w:t>, is dependent on two factors. These factors are charge radius, in direct proportion, and, in inverse proportion, the speed of light. We can now substitute (15) in (13) to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)=(4/3)(1/</m:t>
        </m:r>
        <m:r>
          <w:rPr>
            <w:rFonts w:ascii="Cambria Math" w:hAnsi="Cambria Math"/>
            <w:sz w:val="20"/>
          </w:rPr>
          <m:t>π</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(16)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for a varying Zero Point Energy situation, atomic masses</w:t>
      </w:r>
      <w:r w:rsidR="00BF1E1C">
        <w:rPr>
          <w:rFonts w:ascii="Book Antiqua" w:hAnsi="Book Antiqua"/>
          <w:sz w:val="20"/>
        </w:rPr>
        <w:t xml:space="preserve">, </w:t>
      </w:r>
      <m:oMath>
        <m:r>
          <w:rPr>
            <w:rFonts w:ascii="Cambria Math" w:hAnsi="Cambria Math"/>
            <w:sz w:val="20"/>
          </w:rPr>
          <m:t>m</m:t>
        </m:r>
      </m:oMath>
      <w:r w:rsidR="00BF1E1C">
        <w:rPr>
          <w:rFonts w:ascii="Book Antiqua" w:hAnsi="Book Antiqua"/>
          <w:sz w:val="20"/>
        </w:rPr>
        <w:t>,</w:t>
      </w:r>
      <w:r w:rsidRPr="00B9776F">
        <w:rPr>
          <w:rFonts w:ascii="Book Antiqua" w:hAnsi="Book Antiqua"/>
          <w:sz w:val="20"/>
        </w:rPr>
        <w:t xml:space="preserve"> are dependent upon four things: the charge radius and Planck’s constant directly; inversely on the cube of the speed of light; and directly on the square of the oscillation frequency of the parton or electron.  For a situation where the ZPE is constant,  we substitute the following accepted values into (16), and get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 xml:space="preserve">Planck’s constant, </w:t>
      </w:r>
      <m:oMath>
        <m:r>
          <w:rPr>
            <w:rFonts w:ascii="Book Antiqua" w:hAnsi="Cambria Math"/>
            <w:sz w:val="20"/>
          </w:rPr>
          <m:t>h</m:t>
        </m:r>
        <m:r>
          <w:rPr>
            <w:rFonts w:ascii="Cambria Math" w:hAnsi="Book Antiqua"/>
            <w:sz w:val="20"/>
          </w:rPr>
          <m:t xml:space="preserve"> = 6.626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34</m:t>
            </m:r>
          </m:sup>
        </m:sSup>
        <m:r>
          <w:rPr>
            <w:rFonts w:ascii="Cambria Math" w:hAnsi="Book Antiqua"/>
            <w:sz w:val="20"/>
          </w:rPr>
          <m:t xml:space="preserve"> </m:t>
        </m:r>
        <m:r>
          <w:rPr>
            <w:rFonts w:ascii="Cambria Math" w:hAnsi="Cambria Math"/>
            <w:sz w:val="20"/>
          </w:rPr>
          <m:t>Joule</m:t>
        </m:r>
        <m:r>
          <w:rPr>
            <w:rFonts w:ascii="Book Antiqua" w:hAnsi="Book Antiqua"/>
            <w:sz w:val="20"/>
          </w:rPr>
          <m:t>-</m:t>
        </m:r>
        <m:r>
          <w:rPr>
            <w:rFonts w:ascii="Cambria Math" w:hAnsi="Cambria Math"/>
            <w:sz w:val="20"/>
          </w:rPr>
          <m:t>seconds</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The speed of light,</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 xml:space="preserve"> </m:t>
        </m:r>
        <m:r>
          <w:rPr>
            <w:rFonts w:ascii="Cambria Math" w:hAnsi="Cambria Math"/>
            <w:sz w:val="20"/>
          </w:rPr>
          <m:t>meters</m:t>
        </m:r>
        <m:r>
          <w:rPr>
            <w:rFonts w:ascii="Cambria Math" w:hAnsi="Book Antiqua"/>
            <w:sz w:val="20"/>
          </w:rPr>
          <m:t>/</m:t>
        </m:r>
        <m:r>
          <w:rPr>
            <w:rFonts w:ascii="Cambria Math" w:hAnsi="Cambria Math"/>
            <w:sz w:val="20"/>
          </w:rPr>
          <m:t>second</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 xml:space="preserve">The radius of the charge,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2.817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 xml:space="preserve"> </m:t>
        </m:r>
        <m:r>
          <w:rPr>
            <w:rFonts w:ascii="Cambria Math" w:hAnsi="Cambria Math"/>
            <w:sz w:val="20"/>
          </w:rPr>
          <m:t>meters</m:t>
        </m:r>
      </m:oMath>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=(4/3)(1/</m:t>
        </m:r>
        <m:r>
          <w:rPr>
            <w:rFonts w:ascii="Cambria Math" w:hAnsi="Cambria Math"/>
            <w:sz w:val="20"/>
          </w:rPr>
          <m:t>π</m:t>
        </m:r>
        <m:r>
          <w:rPr>
            <w:rFonts w:ascii="Cambria Math" w:hAnsi="Book Antiqua"/>
            <w:sz w:val="20"/>
          </w:rPr>
          <m:t>)(2.817</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15</m:t>
            </m:r>
          </m:sup>
        </m:sSup>
        <m:r>
          <w:rPr>
            <w:rFonts w:ascii="Cambria Math" w:hAnsi="Book Antiqua"/>
            <w:sz w:val="20"/>
          </w:rPr>
          <m:t>)( 6.626</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34</m:t>
            </m:r>
          </m:sup>
        </m:sSup>
        <m:r>
          <w:rPr>
            <w:rFonts w:ascii="Cambria Math" w:hAnsi="Book Antiqua"/>
            <w:sz w:val="20"/>
          </w:rPr>
          <m:t>)[1/(</m:t>
        </m:r>
        <m:sSup>
          <m:sSupPr>
            <m:ctrlPr>
              <w:rPr>
                <w:rFonts w:ascii="Cambria Math" w:hAnsi="Book Antiqua"/>
                <w:i/>
                <w:sz w:val="20"/>
              </w:rPr>
            </m:ctrlPr>
          </m:sSupPr>
          <m:e>
            <m:r>
              <w:rPr>
                <w:rFonts w:ascii="Cambria Math" w:hAnsi="Book Antiqua"/>
                <w:sz w:val="20"/>
              </w:rPr>
              <m:t>2.997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m:t>
            </m:r>
          </m:e>
          <m:sup>
            <m:r>
              <w:rPr>
                <w:rFonts w:ascii="Cambria Math" w:hAnsi="Book Antiqua"/>
                <w:sz w:val="20"/>
              </w:rPr>
              <m:t>3</m:t>
            </m:r>
          </m:sup>
        </m:sSup>
        <m:r>
          <w:rPr>
            <w:rFonts w:ascii="Cambria Math" w:hAnsi="Book Antiqua"/>
            <w:sz w:val="20"/>
          </w:rPr>
          <m:t>]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 xml:space="preserve">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Evaluating that, we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(2.942 </m:t>
        </m:r>
        <m:r>
          <w:rPr>
            <w:rFonts w:ascii="Cambria Math" w:hAnsi="Cambria Math"/>
            <w:sz w:val="20"/>
          </w:rPr>
          <m:t>x</m:t>
        </m:r>
        <m:r>
          <w:rPr>
            <w:rFonts w:ascii="Cambria Math" w:hAnsi="Book Antiqua"/>
            <w:sz w:val="20"/>
          </w:rPr>
          <m:t xml:space="preserve"> 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74</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in a situation where the ZPE is constant, equation (18) shows that atomic masses only differ because they have a different oscillation frequency. Since higher oscillation frequencies mean more ZPE waves are involved, then those partons with higher oscillation frequencies will have greater atomic masses, just as Haisch et al. point out in [9].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For the purposes of the discussion here, we note that angular frequency, </w:t>
      </w:r>
      <m:oMath>
        <m:r>
          <w:rPr>
            <w:rFonts w:ascii="Cambria Math" w:hAnsi="Cambria Math"/>
            <w:sz w:val="20"/>
          </w:rPr>
          <m:t>ω</m:t>
        </m:r>
      </m:oMath>
      <w:r w:rsidRPr="00B9776F">
        <w:rPr>
          <w:rFonts w:ascii="Book Antiqua" w:hAnsi="Book Antiqua"/>
          <w:sz w:val="20"/>
        </w:rPr>
        <w:t>, is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the frequency, </w:t>
      </w:r>
      <m:oMath>
        <m:r>
          <w:rPr>
            <w:rFonts w:ascii="Cambria Math" w:hAnsi="Cambria Math"/>
            <w:sz w:val="20"/>
          </w:rPr>
          <m:t>f</m:t>
        </m:r>
      </m:oMath>
      <w:r w:rsidRPr="00B9776F">
        <w:rPr>
          <w:rFonts w:ascii="Book Antiqua" w:hAnsi="Book Antiqua"/>
          <w:i/>
          <w:sz w:val="20"/>
        </w:rPr>
        <w:t>,</w:t>
      </w:r>
      <w:r w:rsidRPr="00B9776F">
        <w:rPr>
          <w:rFonts w:ascii="Book Antiqua" w:hAnsi="Book Antiqua"/>
          <w:sz w:val="20"/>
        </w:rPr>
        <w:t xml:space="preserve"> is the Compton frequency of the electron, since it is the electron mass, </w:t>
      </w:r>
      <m:oMath>
        <m:r>
          <w:rPr>
            <w:rFonts w:ascii="Cambria Math" w:hAnsi="Cambria Math"/>
            <w:sz w:val="20"/>
          </w:rPr>
          <m:t>m</m:t>
        </m:r>
      </m:oMath>
      <w:r w:rsidRPr="00B9776F">
        <w:rPr>
          <w:rFonts w:ascii="Book Antiqua" w:hAnsi="Book Antiqua"/>
          <w:sz w:val="20"/>
        </w:rPr>
        <w:t xml:space="preserve">, that we have specifically in mind. However, the Compton frequency comes from the Compton wavelength, which is a linear quantity. For the jitter imposed on the electron by the ZPE we need this in spherical terms, so we multiply by </w:t>
      </w:r>
      <m:oMath>
        <m:r>
          <w:rPr>
            <w:rFonts w:ascii="Cambria Math" w:hAnsi="Book Antiqua"/>
            <w:sz w:val="20"/>
          </w:rPr>
          <m:t>4</m:t>
        </m:r>
        <m:r>
          <w:rPr>
            <w:rFonts w:ascii="Cambria Math" w:hAnsi="Cambria Math"/>
            <w:sz w:val="20"/>
          </w:rPr>
          <m:t>π</m:t>
        </m:r>
      </m:oMath>
      <w:r w:rsidRPr="00B9776F">
        <w:rPr>
          <w:rFonts w:ascii="Book Antiqua" w:hAnsi="Book Antiqua"/>
          <w:sz w:val="20"/>
        </w:rPr>
        <w:t xml:space="preserve"> steradians. </w:t>
      </w:r>
      <w:r w:rsidR="003A5CA8">
        <w:rPr>
          <w:rFonts w:ascii="Book Antiqua" w:hAnsi="Book Antiqua"/>
          <w:sz w:val="20"/>
        </w:rPr>
        <w:t>We</w:t>
      </w:r>
      <w:r w:rsidRPr="00B9776F">
        <w:rPr>
          <w:rFonts w:ascii="Book Antiqua" w:hAnsi="Book Antiqua"/>
          <w:sz w:val="20"/>
        </w:rPr>
        <w:t xml:space="preserve"> can </w:t>
      </w:r>
      <w:r w:rsidR="003A5CA8">
        <w:rPr>
          <w:rFonts w:ascii="Book Antiqua" w:hAnsi="Book Antiqua"/>
          <w:sz w:val="20"/>
        </w:rPr>
        <w:t xml:space="preserve">then </w:t>
      </w:r>
      <w:r w:rsidRPr="00B9776F">
        <w:rPr>
          <w:rFonts w:ascii="Book Antiqua" w:hAnsi="Book Antiqua"/>
          <w:sz w:val="20"/>
        </w:rPr>
        <w:t xml:space="preserve">determine that the angular frequency of the electron’s jitter as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r>
          <w:rPr>
            <w:rFonts w:ascii="Cambria Math" w:hAnsi="Book Antiqua"/>
            <w:sz w:val="20"/>
          </w:rPr>
          <m:t>(4</m:t>
        </m:r>
        <m:r>
          <w:rPr>
            <w:rFonts w:ascii="Cambria Math" w:hAnsi="Cambria Math"/>
            <w:sz w:val="20"/>
          </w:rPr>
          <m:t>π</m:t>
        </m:r>
        <m:r>
          <w:rPr>
            <w:rFonts w:ascii="Cambria Math" w:hAnsi="Book Antiqua"/>
            <w:sz w:val="20"/>
          </w:rPr>
          <m:t>) = 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the Compton frequency, </w:t>
      </w:r>
      <m:oMath>
        <m:r>
          <w:rPr>
            <w:rFonts w:ascii="Cambria Math" w:hAnsi="Cambria Math"/>
            <w:sz w:val="20"/>
          </w:rPr>
          <m:t>f</m:t>
        </m:r>
      </m:oMath>
      <w:r w:rsidRPr="00B9776F">
        <w:rPr>
          <w:rFonts w:ascii="Book Antiqua" w:hAnsi="Book Antiqua"/>
          <w:sz w:val="20"/>
        </w:rPr>
        <w:t>, of the electron is equal to</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f</m:t>
        </m:r>
        <m:r>
          <w:rPr>
            <w:rFonts w:ascii="Cambria Math" w:hAnsi="Book Antiqua"/>
            <w:sz w:val="20"/>
          </w:rPr>
          <m:t xml:space="preserve"> = 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(21)</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w:t>
      </w:r>
    </w:p>
    <w:p w:rsidR="00820B57" w:rsidRPr="00B9776F" w:rsidRDefault="00820B57" w:rsidP="00820B57">
      <w:pPr>
        <w:pStyle w:val="NoSpacing"/>
        <w:jc w:val="both"/>
        <w:rPr>
          <w:rFonts w:ascii="Book Antiqua" w:hAnsi="Book Antiqua"/>
          <w:i/>
          <w:sz w:val="20"/>
        </w:rPr>
      </w:pPr>
    </w:p>
    <w:p w:rsidR="00820B57" w:rsidRPr="00B9776F" w:rsidRDefault="00241D2F"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00820B57" w:rsidRPr="00B9776F">
        <w:rPr>
          <w:rFonts w:ascii="Book Antiqua" w:hAnsi="Book Antiqua"/>
          <w:i/>
          <w:sz w:val="20"/>
        </w:rPr>
        <w:t>.</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sz w:val="20"/>
        </w:rPr>
        <w:tab/>
      </w:r>
      <w:r w:rsidR="00820B57" w:rsidRPr="00B9776F">
        <w:rPr>
          <w:rFonts w:ascii="Book Antiqua" w:hAnsi="Book Antiqua"/>
          <w:i/>
          <w:sz w:val="20"/>
        </w:rPr>
        <w:t>(23)</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(23) in (18)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m:oMath>
        <m:r>
          <w:rPr>
            <w:rFonts w:ascii="Cambria Math" w:hAnsi="Cambria Math"/>
            <w:sz w:val="20"/>
          </w:rPr>
          <m:t>m</m:t>
        </m:r>
        <m:r>
          <w:rPr>
            <w:rFonts w:ascii="Cambria Math" w:hAnsi="Book Antiqua"/>
            <w:sz w:val="20"/>
          </w:rPr>
          <m:t xml:space="preserve">= </m:t>
        </m:r>
        <m:d>
          <m:dPr>
            <m:ctrlPr>
              <w:rPr>
                <w:rFonts w:ascii="Cambria Math" w:hAnsi="Book Antiqua"/>
                <w:i/>
                <w:sz w:val="20"/>
              </w:rPr>
            </m:ctrlPr>
          </m:dPr>
          <m:e>
            <m:r>
              <w:rPr>
                <w:rFonts w:ascii="Cambria Math" w:hAnsi="Book Antiqua"/>
                <w:sz w:val="20"/>
              </w:rPr>
              <m:t xml:space="preserve">2.942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74</m:t>
                </m:r>
              </m:sup>
            </m:sSup>
          </m:e>
        </m:d>
        <m:d>
          <m:dPr>
            <m:ctrlPr>
              <w:rPr>
                <w:rFonts w:ascii="Cambria Math" w:hAnsi="Book Antiqua"/>
                <w:i/>
                <w:sz w:val="20"/>
              </w:rPr>
            </m:ctrlPr>
          </m:dPr>
          <m:e>
            <m:r>
              <w:rPr>
                <w:rFonts w:ascii="Cambria Math" w:hAnsi="Book Antiqua"/>
                <w:sz w:val="20"/>
              </w:rPr>
              <m:t xml:space="preserve">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e>
        </m:d>
        <m:r>
          <w:rPr>
            <w:rFonts w:ascii="Cambria Math" w:hAnsi="Book Antiqua"/>
            <w:sz w:val="20"/>
          </w:rPr>
          <m:t xml:space="preserve">= 2.798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30</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(24)</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 xml:space="preserve"> </w:t>
      </w:r>
      <w:r w:rsidRPr="00B9776F">
        <w:rPr>
          <w:rFonts w:ascii="Book Antiqua" w:hAnsi="Book Antiqua"/>
          <w:sz w:val="20"/>
        </w:rPr>
        <w:tab/>
        <w:t xml:space="preserve">However, we note from (12) that the atomic mass for electrons has been accurately determined as </w:t>
      </w: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10</m:t>
            </m:r>
          </m:e>
          <m:sup>
            <m:r>
              <w:rPr>
                <w:rFonts w:ascii="Cambria Math" w:hAnsi="Book Antiqua"/>
                <w:sz w:val="20"/>
              </w:rPr>
              <m:t>-</m:t>
            </m:r>
            <m:r>
              <w:rPr>
                <w:rFonts w:ascii="Cambria Math" w:hAnsi="Book Antiqua"/>
                <w:sz w:val="20"/>
              </w:rPr>
              <m:t>31</m:t>
            </m:r>
          </m:sup>
        </m:sSup>
      </m:oMath>
      <w:r w:rsidRPr="00B9776F">
        <w:rPr>
          <w:rFonts w:ascii="Book Antiqua" w:hAnsi="Book Antiqua"/>
          <w:sz w:val="20"/>
        </w:rPr>
        <w:t xml:space="preserve"> kg.  As a result, the value obtained from the Compton frequency is too large by a factor of about 3.07. This illustrates the difficulty in obtaining an accurate value for oscillation frequencies of partons generally. In the case of the electron it is usually assumed in SED physics that it oscillates at approximately the Compton frequency. If this is true, the treatment here in (22) that means </w:t>
      </w:r>
      <w:r w:rsidRPr="00B9776F">
        <w:rPr>
          <w:rFonts w:ascii="Book Antiqua" w:hAnsi="Book Antiqua"/>
          <w:i/>
          <w:sz w:val="20"/>
        </w:rPr>
        <w:t>ω</w:t>
      </w:r>
      <w:r w:rsidRPr="00B9776F">
        <w:rPr>
          <w:rFonts w:ascii="Book Antiqua" w:hAnsi="Book Antiqua"/>
          <w:sz w:val="20"/>
        </w:rPr>
        <w:t xml:space="preserve"> must be somewhere around </w:t>
      </w:r>
      <m:oMath>
        <m:r>
          <w:rPr>
            <w:rFonts w:ascii="Cambria Math" w:hAnsi="Book Antiqua"/>
            <w:sz w:val="20"/>
          </w:rPr>
          <m:t xml:space="preserve">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sz w:val="20"/>
        </w:rPr>
        <w:t xml:space="preserve"> oscillations per second. In order to get an exact value for the frequency of the electron oscillation, we substitute the known atomic mass of </w:t>
      </w: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in equation (18). This gives the value for the oscillation frequency of the electron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B9776F">
        <w:rPr>
          <w:rFonts w:ascii="Book Antiqua" w:hAnsi="Book Antiqua"/>
          <w:sz w:val="20"/>
        </w:rPr>
        <w:t>. So the approach here appears to be a good approximation.</w:t>
      </w:r>
    </w:p>
    <w:p w:rsidR="00FC304E" w:rsidRPr="00B9776F" w:rsidRDefault="00FC304E"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The Behavior of the Charge Radius</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equations (6), (7), (15) and (16) the quantity </w:t>
      </w:r>
      <w:r w:rsidRPr="00B9776F">
        <w:rPr>
          <w:rFonts w:ascii="Book Antiqua" w:hAnsi="Book Antiqua"/>
          <w:i/>
          <w:sz w:val="20"/>
        </w:rPr>
        <w:t>r</w:t>
      </w:r>
      <w:r w:rsidRPr="00B9776F">
        <w:rPr>
          <w:rFonts w:ascii="Book Antiqua" w:hAnsi="Book Antiqua"/>
          <w:i/>
          <w:sz w:val="20"/>
          <w:vertAlign w:val="subscript"/>
        </w:rPr>
        <w:t>0</w:t>
      </w:r>
      <w:r w:rsidRPr="00B9776F">
        <w:rPr>
          <w:rFonts w:ascii="Book Antiqua" w:hAnsi="Book Antiqua"/>
          <w:sz w:val="20"/>
        </w:rPr>
        <w:t xml:space="preserve">, the charge radius, is introduced. In equations (6) and (7)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shown to be inversely proportional to the charge radius as long as other factors are unchanged. It then means that variations of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between various partons of the same charge will occur due to differing charge radii,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Thus the smaller the radius of the parton, the greater will be the intrinsic mass, since the charge is concentrated on a smaller surface area and is thereby more intense.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Conversely, in the case of atomic mass, </w:t>
      </w:r>
      <m:oMath>
        <m:r>
          <w:rPr>
            <w:rFonts w:ascii="Cambria Math" w:hAnsi="Cambria Math"/>
            <w:sz w:val="20"/>
          </w:rPr>
          <m:t>m</m:t>
        </m:r>
      </m:oMath>
      <w:r w:rsidRPr="00B9776F">
        <w:rPr>
          <w:rFonts w:ascii="Book Antiqua" w:hAnsi="Book Antiqua"/>
          <w:sz w:val="20"/>
        </w:rPr>
        <w:t xml:space="preserve">, equations (15) and (16) show that, if other factors are unchanged, atomic masses are proportional to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Thus the larger the charge radius (which is intrinsic to the particle), the greater the atomic mass (which is the result of the ‘jiggling’). The reason for this can be found in the behavior of the damping constant,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(which moderates the effects of the jiggling). If other factors are unchanged, a larger charge radius results in a larger damping constant. This makes the oscillating system behave in a similar way to a mechanical system with a larger mass on a spring.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Another matter also claims our attention. We have noted in (2) and (3) that atomic masses are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This has been proven experimentally. However, equation (5) shows that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proportional to atomic mass, </w:t>
      </w:r>
      <m:oMath>
        <m:r>
          <w:rPr>
            <w:rFonts w:ascii="Cambria Math" w:hAnsi="Cambria Math"/>
            <w:sz w:val="20"/>
          </w:rPr>
          <m:t>m</m:t>
        </m:r>
      </m:oMath>
      <w:r w:rsidRPr="00B9776F">
        <w:rPr>
          <w:rFonts w:ascii="Book Antiqua" w:hAnsi="Book Antiqua"/>
          <w:sz w:val="20"/>
        </w:rPr>
        <w:t>. Therefore, we can write that</w:t>
      </w:r>
    </w:p>
    <w:p w:rsidR="00820B57" w:rsidRPr="00B9776F" w:rsidRDefault="00820B57" w:rsidP="00820B57">
      <w:pPr>
        <w:pStyle w:val="NoSpacing"/>
        <w:ind w:firstLine="720"/>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m:t>
        </m:r>
        <m:r>
          <w:rPr>
            <w:rFonts w:ascii="Cambria Math" w:hAnsi="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(25)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This allows us to work out the relationships between the speed of light, </w:t>
      </w:r>
      <m:oMath>
        <m:r>
          <w:rPr>
            <w:rFonts w:ascii="Cambria Math" w:hAnsi="Cambria Math"/>
            <w:sz w:val="20"/>
          </w:rPr>
          <m:t>c</m:t>
        </m:r>
      </m:oMath>
      <w:r w:rsidRPr="00B9776F">
        <w:rPr>
          <w:rFonts w:ascii="Book Antiqua" w:hAnsi="Book Antiqua"/>
          <w:sz w:val="20"/>
        </w:rPr>
        <w:t xml:space="preserve"> (and hence the ZPE strength, </w:t>
      </w:r>
      <m:oMath>
        <m:r>
          <w:rPr>
            <w:rFonts w:ascii="Cambria Math" w:hAnsi="Cambria Math"/>
            <w:sz w:val="20"/>
          </w:rPr>
          <m:t>U</m:t>
        </m:r>
      </m:oMath>
      <w:r w:rsidRPr="00B9776F">
        <w:rPr>
          <w:rFonts w:ascii="Book Antiqua" w:hAnsi="Book Antiqua"/>
          <w:sz w:val="20"/>
        </w:rPr>
        <w:t xml:space="preserve">), the oscillation frequency, </w:t>
      </w:r>
      <m:oMath>
        <m:r>
          <w:rPr>
            <w:rFonts w:ascii="Cambria Math" w:hAnsi="Cambria Math"/>
            <w:sz w:val="20"/>
          </w:rPr>
          <m:t>ω</m:t>
        </m:r>
      </m:oMath>
      <w:r w:rsidRPr="00B9776F">
        <w:rPr>
          <w:rFonts w:ascii="Book Antiqua" w:hAnsi="Book Antiqua"/>
          <w:sz w:val="20"/>
        </w:rPr>
        <w:t xml:space="preserve">, and the charge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From (3) we note that the terms </w:t>
      </w:r>
      <m:oMath>
        <m:r>
          <w:rPr>
            <w:rFonts w:ascii="Cambria Math" w:hAnsi="Book Antiqua"/>
            <w:sz w:val="20"/>
          </w:rPr>
          <m:t>[</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must be constant in a changing ZPE scenario. From (15) we have the key terms which make up the damping constant, </w:t>
      </w:r>
      <m:oMath>
        <m:r>
          <w:rPr>
            <w:rFonts w:ascii="Cambria Math" w:hAnsi="Cambria Math"/>
            <w:sz w:val="20"/>
          </w:rPr>
          <m:t>Γ</m:t>
        </m:r>
      </m:oMath>
      <w:r w:rsidRPr="00B9776F">
        <w:rPr>
          <w:rFonts w:ascii="Book Antiqua" w:hAnsi="Book Antiqua"/>
          <w:sz w:val="20"/>
        </w:rPr>
        <w:t>. Therefore we can write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Fonts w:ascii="Book Antiqua" w:hAnsi="Cambria Math"/>
            <w:sz w:val="20"/>
          </w:rPr>
          <m:t>h</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m:t>
        </m:r>
        <m:r>
          <w:rPr>
            <w:rFonts w:ascii="Cambria Math" w:hAnsi="Book Antiqua"/>
            <w:sz w:val="20"/>
          </w:rPr>
          <m:t>.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However, for this to be the case, it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(27)</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Chapter 2 it was established that </w:t>
      </w:r>
      <m:oMath>
        <m:r>
          <w:rPr>
            <w:rFonts w:ascii="Book Antiqua" w:hAnsi="Cambria Math"/>
            <w:sz w:val="20"/>
          </w:rPr>
          <m:t>h</m:t>
        </m:r>
        <m:r>
          <w:rPr>
            <w:rFonts w:ascii="Cambria Math" w:hAnsi="Cambria Math"/>
            <w:sz w:val="20"/>
          </w:rPr>
          <m:t>c</m:t>
        </m:r>
      </m:oMath>
      <w:r w:rsidRPr="00B9776F">
        <w:rPr>
          <w:rFonts w:ascii="Book Antiqua" w:hAnsi="Book Antiqua"/>
          <w:sz w:val="20"/>
        </w:rPr>
        <w:t xml:space="preserve"> is invariant. Therefore </w:t>
      </w:r>
      <m:oMath>
        <m:r>
          <w:rPr>
            <w:rFonts w:ascii="Book Antiqua" w:hAnsi="Cambria Math"/>
            <w:sz w:val="20"/>
          </w:rPr>
          <m:t>h</m:t>
        </m:r>
      </m:oMath>
      <w:r w:rsidRPr="00B9776F">
        <w:rPr>
          <w:rFonts w:ascii="Book Antiqua" w:hAnsi="Book Antiqua"/>
          <w:sz w:val="20"/>
        </w:rPr>
        <w:t xml:space="preserve"> has to be proportional to </w:t>
      </w:r>
      <m:oMath>
        <m:r>
          <w:rPr>
            <w:rFonts w:ascii="Cambria Math" w:hAnsi="Book Antiqua"/>
            <w:sz w:val="20"/>
          </w:rPr>
          <m:t>1/</m:t>
        </m:r>
        <m:r>
          <w:rPr>
            <w:rFonts w:ascii="Cambria Math" w:hAnsi="Cambria Math"/>
            <w:sz w:val="20"/>
          </w:rPr>
          <m:t>c</m:t>
        </m:r>
      </m:oMath>
      <w:r w:rsidRPr="00B9776F">
        <w:rPr>
          <w:rFonts w:ascii="Book Antiqua" w:hAnsi="Book Antiqua"/>
          <w:sz w:val="20"/>
        </w:rPr>
        <w:t>.  This gives the following proportionality: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Then, from (9) and (25) we can also deduce that</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00820B57" w:rsidRPr="00B9776F">
        <w:rPr>
          <w:rFonts w:ascii="Book Antiqua" w:hAnsi="Book Antiqua"/>
          <w:i/>
          <w:sz w:val="20"/>
        </w:rPr>
        <w:t xml:space="preserve"> .</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rPr>
        <w:t xml:space="preserve">    (29)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fixed value, (29)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Inevitably, this means that</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this result back into (28)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 (1/</m:t>
        </m:r>
        <m:sSup>
          <m:sSupPr>
            <m:ctrlPr>
              <w:rPr>
                <w:rFonts w:ascii="Cambria Math" w:hAnsi="Book Antiqua"/>
                <w:i/>
                <w:sz w:val="20"/>
              </w:rPr>
            </m:ctrlPr>
          </m:sSupPr>
          <m:e>
            <m:r>
              <w:rPr>
                <w:rFonts w:ascii="Cambria Math" w:hAnsi="Cambria Math"/>
                <w:sz w:val="20"/>
              </w:rPr>
              <m:t>c</m:t>
            </m:r>
          </m:e>
          <m:sup>
            <m:r>
              <w:rPr>
                <w:rFonts w:ascii="Cambria Math" w:hAnsi="Book Antiqua"/>
                <w:sz w:val="20"/>
              </w:rPr>
              <m:t>6</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Which leads to the conclusion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behavior of the oscillation frequency with changing ZPE strength is therefore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vertAlign w:val="superscript"/>
          </w:rPr>
          <m:t xml:space="preserve">  </m:t>
        </m:r>
        <m:r>
          <w:rPr>
            <w:rFonts w:ascii="Cambria Math" w:hAnsi="Book Antiqua"/>
            <w:sz w:val="20"/>
          </w:rPr>
          <m:t>~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(34)</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 behavior of charge radius with changing ZPE strength is given by</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 xml:space="preserve"> </w:t>
      </w:r>
      <w:r w:rsidR="00820B57" w:rsidRPr="00B9776F">
        <w:rPr>
          <w:rFonts w:ascii="Book Antiqua" w:hAnsi="Book Antiqua"/>
          <w:i/>
          <w:sz w:val="20"/>
        </w:rPr>
        <w:tab/>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(35)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The reasons for these relationships may be explained in the following way. Consider first the oscillation frequency, </w:t>
      </w:r>
      <w:r w:rsidRPr="00B9776F">
        <w:rPr>
          <w:rFonts w:ascii="Book Antiqua" w:hAnsi="Book Antiqua"/>
          <w:i/>
          <w:sz w:val="20"/>
        </w:rPr>
        <w:t>ω</w:t>
      </w:r>
      <w:r w:rsidRPr="00B9776F">
        <w:rPr>
          <w:rFonts w:ascii="Book Antiqua" w:hAnsi="Book Antiqua"/>
          <w:i/>
          <w:sz w:val="20"/>
          <w:vertAlign w:val="subscript"/>
        </w:rPr>
        <w:t>o</w:t>
      </w:r>
      <w:r w:rsidRPr="00B9776F">
        <w:rPr>
          <w:rFonts w:ascii="Book Antiqua" w:hAnsi="Book Antiqua"/>
          <w:sz w:val="20"/>
        </w:rPr>
        <w:t xml:space="preserve">. This is the resonant frequency of the parton’s intrinsic mass. This resonance arises because ZPE waves significantly smaller than the size of the intrinsic parton produce little translational movement of the parton </w:t>
      </w:r>
      <w:hyperlink r:id="rId162" w:anchor="3b72" w:history="1">
        <w:r w:rsidRPr="00B9776F">
          <w:rPr>
            <w:rStyle w:val="Hyperlink"/>
            <w:rFonts w:ascii="Book Antiqua" w:hAnsi="Book Antiqua"/>
            <w:sz w:val="20"/>
          </w:rPr>
          <w:t>[12]</w:t>
        </w:r>
      </w:hyperlink>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52537F" w:rsidRDefault="00820B57" w:rsidP="00820B57">
      <w:pPr>
        <w:pStyle w:val="NoSpacing"/>
        <w:jc w:val="both"/>
        <w:rPr>
          <w:rFonts w:ascii="Book Antiqua" w:hAnsi="Book Antiqua"/>
          <w:sz w:val="20"/>
        </w:rPr>
      </w:pPr>
      <w:r w:rsidRPr="00B9776F">
        <w:rPr>
          <w:rFonts w:ascii="Book Antiqua" w:hAnsi="Book Antiqua"/>
          <w:sz w:val="20"/>
        </w:rPr>
        <w:tab/>
        <w:t xml:space="preserve">Analysis indicates that, in a situation where the ZPE strength changes with time, this resonant frequency can be shown to be proportional to the cube of the speed of light, or inversely proportional to the cube of ZPE strength. This is because frequencies of electromagnetic radiation are generally proportional to the speed of light when changes in ZPE strength occur. </w:t>
      </w:r>
    </w:p>
    <w:p w:rsidR="0052537F" w:rsidRDefault="0052537F" w:rsidP="00820B57">
      <w:pPr>
        <w:pStyle w:val="NoSpacing"/>
        <w:jc w:val="both"/>
        <w:rPr>
          <w:rFonts w:ascii="Book Antiqua" w:hAnsi="Book Antiqua"/>
          <w:sz w:val="20"/>
        </w:rPr>
      </w:pPr>
    </w:p>
    <w:p w:rsidR="00820B57" w:rsidRPr="00B9776F" w:rsidRDefault="00820B57" w:rsidP="0052537F">
      <w:pPr>
        <w:pStyle w:val="NoSpacing"/>
        <w:ind w:firstLine="720"/>
        <w:jc w:val="both"/>
        <w:rPr>
          <w:rFonts w:ascii="Book Antiqua" w:hAnsi="Book Antiqua"/>
          <w:sz w:val="20"/>
        </w:rPr>
      </w:pPr>
      <w:r w:rsidRPr="00B9776F">
        <w:rPr>
          <w:rFonts w:ascii="Book Antiqua" w:hAnsi="Book Antiqua"/>
          <w:sz w:val="20"/>
        </w:rPr>
        <w:t>However, when considering ZPE radiation itself, the number of impacting ZPE waves causing parton oscillation has been experimentally determined to be proportional to the frequency of these ZPE waves cubed (as mentioned in Chapter 1). This means, for instance, if there w</w:t>
      </w:r>
      <w:r w:rsidR="00FC304E">
        <w:rPr>
          <w:rFonts w:ascii="Book Antiqua" w:hAnsi="Book Antiqua"/>
          <w:sz w:val="20"/>
        </w:rPr>
        <w:t xml:space="preserve">as only one ZPE </w:t>
      </w:r>
      <w:r w:rsidRPr="00B9776F">
        <w:rPr>
          <w:rFonts w:ascii="Book Antiqua" w:hAnsi="Book Antiqua"/>
          <w:sz w:val="20"/>
        </w:rPr>
        <w:t xml:space="preserve">wave of a given frequency, then if that frequency was doubled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B9776F">
        <w:rPr>
          <w:rFonts w:ascii="Book Antiqua" w:hAnsi="Book Antiqua"/>
          <w:sz w:val="20"/>
        </w:rPr>
        <w:t xml:space="preserve"> or 8 waves of that higher frequency. </w:t>
      </w:r>
      <w:r w:rsidR="00FC304E">
        <w:rPr>
          <w:rFonts w:ascii="Book Antiqua" w:hAnsi="Book Antiqua"/>
          <w:sz w:val="20"/>
        </w:rPr>
        <w:t xml:space="preserve">If that higher frequency was doubled, there would be 512 waves. </w:t>
      </w:r>
      <w:r w:rsidRPr="00B9776F">
        <w:rPr>
          <w:rFonts w:ascii="Book Antiqua" w:hAnsi="Book Antiqua"/>
          <w:sz w:val="20"/>
        </w:rPr>
        <w:t>Analysis then indicates that the oscillation frequenc</w:t>
      </w:r>
      <w:r w:rsidR="00FC304E">
        <w:rPr>
          <w:rFonts w:ascii="Book Antiqua" w:hAnsi="Book Antiqua"/>
          <w:sz w:val="20"/>
        </w:rPr>
        <w:t>ies</w:t>
      </w:r>
      <w:r w:rsidRPr="00B9776F">
        <w:rPr>
          <w:rFonts w:ascii="Book Antiqua" w:hAnsi="Book Antiqua"/>
          <w:sz w:val="20"/>
        </w:rPr>
        <w:t xml:space="preserve"> of partons caused by these ZPE waves go as shown in (34).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Next, let us consider the behavior of the charge radius, r</w:t>
      </w:r>
      <w:r w:rsidRPr="00B9776F">
        <w:rPr>
          <w:rFonts w:ascii="Book Antiqua" w:hAnsi="Book Antiqua"/>
          <w:sz w:val="20"/>
          <w:vertAlign w:val="subscript"/>
        </w:rPr>
        <w:t xml:space="preserve">0, </w:t>
      </w:r>
      <w:r w:rsidRPr="00B9776F">
        <w:rPr>
          <w:rFonts w:ascii="Book Antiqua" w:hAnsi="Book Antiqua"/>
          <w:sz w:val="20"/>
        </w:rPr>
        <w:t xml:space="preserve">of a parton or electron. Any changes in their charge radii are entirely due to the changing strength of the ZPE. As the ZPE increases, so, too, does the electron or parton’s charge radius as shown in (35).  The ZPE produces an inward pressure while an outward pressure is exerted by the presence of the charge itself. Although we do not yet know what causes the charge on any particle, what is apparent is that as the ZPE increases, so does the electronic charge, </w:t>
      </w:r>
      <m:oMath>
        <m:r>
          <w:rPr>
            <w:rFonts w:ascii="Cambria Math" w:hAnsi="Cambria Math"/>
            <w:sz w:val="20"/>
          </w:rPr>
          <m:t>e</m:t>
        </m:r>
      </m:oMath>
      <w:r w:rsidRPr="00B9776F">
        <w:rPr>
          <w:rFonts w:ascii="Book Antiqua" w:hAnsi="Book Antiqua"/>
          <w:sz w:val="20"/>
        </w:rPr>
        <w:t xml:space="preserve">.  (This occurs because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Style w:val="Emphasis"/>
          <w:rFonts w:ascii="Book Antiqua" w:hAnsi="Book Antiqua"/>
          <w:sz w:val="20"/>
        </w:rPr>
        <w:t xml:space="preserve"> </w:t>
      </w:r>
      <w:r w:rsidRPr="005D27C2">
        <w:rPr>
          <w:rStyle w:val="Emphasis"/>
          <w:rFonts w:ascii="Book Antiqua" w:hAnsi="Book Antiqua"/>
          <w:i w:val="0"/>
          <w:sz w:val="20"/>
        </w:rPr>
        <w:t>is constant, and</w:t>
      </w:r>
      <m:oMath>
        <m:r>
          <w:rPr>
            <w:rStyle w:val="Emphasis"/>
            <w:rFonts w:ascii="Cambria Math" w:hAnsi="Book Antiqua"/>
            <w:sz w:val="20"/>
          </w:rPr>
          <m:t xml:space="preserve"> </m:t>
        </m:r>
        <m:r>
          <w:rPr>
            <w:rStyle w:val="Emphasis"/>
            <w:rFonts w:ascii="Cambria Math" w:hAnsi="Cambria Math"/>
            <w:sz w:val="20"/>
          </w:rPr>
          <m:t>ε</m:t>
        </m:r>
      </m:oMath>
      <w:r w:rsidRPr="00B9776F">
        <w:rPr>
          <w:rStyle w:val="Emphasis"/>
          <w:rFonts w:ascii="Book Antiqua" w:hAnsi="Book Antiqua"/>
          <w:sz w:val="20"/>
        </w:rPr>
        <w:t xml:space="preserve"> </w:t>
      </w:r>
      <w:r w:rsidRPr="005D27C2">
        <w:rPr>
          <w:rStyle w:val="Emphasis"/>
          <w:rFonts w:ascii="Book Antiqua" w:hAnsi="Book Antiqua"/>
          <w:i w:val="0"/>
          <w:sz w:val="20"/>
        </w:rPr>
        <w:t>is proportional to ZPE strength as shown in Chapter 2</w:t>
      </w:r>
      <w:r w:rsidRPr="005D27C2">
        <w:rPr>
          <w:rFonts w:ascii="Book Antiqua" w:hAnsi="Book Antiqua"/>
          <w:i/>
          <w:sz w:val="20"/>
        </w:rPr>
        <w:t>.</w:t>
      </w:r>
      <w:r w:rsidRPr="00B9776F">
        <w:rPr>
          <w:rFonts w:ascii="Book Antiqua" w:hAnsi="Book Antiqua"/>
          <w:sz w:val="20"/>
        </w:rPr>
        <w:t>)  These opposing pressures result in the parton or electron sphere expanding until a balance is achieved and a stable radius for the sphere results.</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 investigation of this effect was undertaken by Timothy Boyer in 1968 and Hal Puthoff in May of 2007. In the latter paper, published by the </w:t>
      </w:r>
      <w:r w:rsidRPr="00B9776F">
        <w:rPr>
          <w:rFonts w:ascii="Book Antiqua" w:hAnsi="Book Antiqua"/>
          <w:i/>
          <w:sz w:val="20"/>
        </w:rPr>
        <w:t>International Journal of Theoretical Physics</w:t>
      </w:r>
      <w:r w:rsidRPr="00B9776F">
        <w:rPr>
          <w:rFonts w:ascii="Book Antiqua" w:hAnsi="Book Antiqua"/>
          <w:sz w:val="20"/>
        </w:rPr>
        <w:t xml:space="preserve">, </w:t>
      </w:r>
      <w:r w:rsidRPr="00B9776F">
        <w:rPr>
          <w:rFonts w:ascii="Book Antiqua" w:hAnsi="Book Antiqua"/>
          <w:b/>
          <w:sz w:val="20"/>
        </w:rPr>
        <w:t>46</w:t>
      </w:r>
      <w:r w:rsidRPr="00B9776F">
        <w:rPr>
          <w:rFonts w:ascii="Book Antiqua" w:hAnsi="Book Antiqua"/>
          <w:sz w:val="20"/>
        </w:rPr>
        <w:t xml:space="preserve"> (2007): 3005-3008, Puthoff discussed several possible models. The one which yielded results in accord with data was described in these terms. </w:t>
      </w:r>
      <w:r w:rsidRPr="00B9776F">
        <w:rPr>
          <w:rFonts w:ascii="Book Antiqua" w:hAnsi="Book Antiqua"/>
          <w:i/>
          <w:sz w:val="20"/>
        </w:rPr>
        <w:t>“…the charge density is taken to be sufficiently dense in a vanishing-radius shell so as to result in the total absence of interior vacuum fluctuation fields as a singularity is approached. “</w:t>
      </w:r>
      <w:r w:rsidRPr="00B9776F">
        <w:rPr>
          <w:rFonts w:ascii="Book Antiqua" w:hAnsi="Book Antiqua"/>
          <w:sz w:val="20"/>
        </w:rPr>
        <w:t xml:space="preserve"> [18] Puthoff also found that </w:t>
      </w:r>
      <w:r w:rsidRPr="00B9776F">
        <w:rPr>
          <w:rFonts w:ascii="Book Antiqua" w:hAnsi="Book Antiqua"/>
          <w:i/>
          <w:sz w:val="20"/>
        </w:rPr>
        <w:t xml:space="preserve">“the outwardly-directed coulomb pressure [was] balanced by the inwardly-directed vacuum radiation pressure.” </w:t>
      </w:r>
      <w:r w:rsidRPr="00B9776F">
        <w:rPr>
          <w:rFonts w:ascii="Book Antiqua" w:hAnsi="Book Antiqua"/>
          <w:sz w:val="20"/>
        </w:rPr>
        <w:t>[18] His equations show that the Coulomb energy component (</w:t>
      </w:r>
      <m:oMath>
        <m:r>
          <w:rPr>
            <w:rFonts w:ascii="Cambria Math" w:hAnsi="Cambria Math"/>
            <w:sz w:val="20"/>
          </w:rPr>
          <m:t>W</m:t>
        </m:r>
      </m:oMath>
      <w:r w:rsidRPr="00B9776F">
        <w:rPr>
          <w:rFonts w:ascii="Book Antiqua" w:hAnsi="Book Antiqua"/>
          <w:sz w:val="20"/>
        </w:rPr>
        <w:t>), is given by</w:t>
      </w:r>
    </w:p>
    <w:p w:rsidR="00820B57" w:rsidRPr="00B9776F" w:rsidRDefault="00820B57" w:rsidP="00820B57">
      <w:pPr>
        <w:pStyle w:val="NoSpacing"/>
        <w:ind w:firstLine="720"/>
        <w:jc w:val="both"/>
        <w:rPr>
          <w:rFonts w:ascii="Book Antiqua" w:hAnsi="Book Antiqua"/>
          <w:sz w:val="20"/>
        </w:rPr>
      </w:pPr>
    </w:p>
    <w:p w:rsidR="00820B57" w:rsidRPr="00B9776F" w:rsidRDefault="00241D2F" w:rsidP="00820B57">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(1/8</m:t>
        </m:r>
        <m:r>
          <w:rPr>
            <w:rFonts w:ascii="Cambria Math" w:hAnsi="Cambria Math"/>
            <w:sz w:val="20"/>
          </w:rPr>
          <m:t>π</m:t>
        </m:r>
        <m:r>
          <w:rPr>
            <w:rFonts w:ascii="Cambria Math" w:hAnsi="Book Antiqua"/>
            <w:sz w:val="20"/>
          </w:rPr>
          <m:t>)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 xml:space="preserve"> </w:t>
      </w:r>
      <w:r w:rsidR="00820B57" w:rsidRPr="00B9776F">
        <w:rPr>
          <w:rFonts w:ascii="Book Antiqua" w:hAnsi="Book Antiqua"/>
          <w:i/>
          <w:sz w:val="20"/>
        </w:rPr>
        <w:t>(36)</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 changing ZPE model, the quantity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oMath>
      <w:r w:rsidRPr="00B9776F">
        <w:rPr>
          <w:rFonts w:ascii="Book Antiqua" w:hAnsi="Book Antiqua"/>
          <w:sz w:val="20"/>
        </w:rPr>
        <w:t xml:space="preserve"> is constant. This means that the outwardly directed Coulomb energy is inversely proportional to the radius of the charged sphere or, in the case of partons and electrons, the charge radius. Therefore</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vertAlign w:val="subscript"/>
          </w:rPr>
          <m:t xml:space="preserve">  </m:t>
        </m:r>
        <m:r>
          <w:rPr>
            <w:rFonts w:ascii="Cambria Math" w:hAnsi="Book Antiqua"/>
            <w:sz w:val="20"/>
          </w:rPr>
          <m:t>~  (1/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contrast, the inwardly directed energy of the vacuum is given by Puthoff’s equation</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Book Antiqua"/>
            <w:sz w:val="20"/>
          </w:rPr>
          <m:t>∫</m:t>
        </m:r>
        <m:r>
          <w:rPr>
            <w:rFonts w:ascii="Cambria Math" w:hAnsi="Book Antiqua"/>
            <w:sz w:val="20"/>
          </w:rPr>
          <m:t xml:space="preserve"> [(</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3</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r>
          <w:rPr>
            <w:rFonts w:ascii="Cambria Math" w:hAnsi="Cambria Math"/>
            <w:sz w:val="20"/>
          </w:rPr>
          <m:t>dω</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Puthoff then goes on to calculate the result and shows that the outwardly directed Coulomb energy is balanced by the inwardly directed vacuum energy.  This leads to a stable radius for the electron of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However, in our case, we have a changing ZPE strength to consider. So (38) needs further investigation, as there are a number of terms dependent on the strength of the Zero Point Energy. We note that, in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Book Antiqua" w:hAnsi="Cambria Math"/>
            <w:sz w:val="20"/>
          </w:rPr>
          <m:t>h</m:t>
        </m:r>
        <m:r>
          <w:rPr>
            <w:rFonts w:ascii="Cambria Math" w:hAnsi="Book Antiqua"/>
            <w:sz w:val="20"/>
          </w:rPr>
          <m:t xml:space="preserve"> ~ </m:t>
        </m:r>
        <m:r>
          <w:rPr>
            <w:rFonts w:ascii="Cambria Math" w:hAnsi="Cambria Math"/>
            <w:sz w:val="20"/>
          </w:rPr>
          <m:t>U</m:t>
        </m:r>
        <m:r>
          <w:rPr>
            <w:rFonts w:ascii="Cambria Math" w:hAnsi="Book Antiqua"/>
            <w:sz w:val="20"/>
          </w:rPr>
          <m:t xml:space="preserve">; </m:t>
        </m:r>
        <m:r>
          <w:rPr>
            <w:rFonts w:ascii="Cambria Math" w:hAnsi="Cambria Math"/>
            <w:sz w:val="20"/>
          </w:rPr>
          <m:t>c</m:t>
        </m:r>
        <m:r>
          <w:rPr>
            <w:rFonts w:ascii="Cambria Math" w:hAnsi="Book Antiqua"/>
            <w:sz w:val="20"/>
          </w:rPr>
          <m:t xml:space="preserve"> ~ 1/</m:t>
        </m:r>
        <m:r>
          <w:rPr>
            <w:rFonts w:ascii="Cambria Math" w:hAnsi="Cambria Math"/>
            <w:sz w:val="20"/>
          </w:rPr>
          <m:t>U</m:t>
        </m:r>
        <m:r>
          <w:rPr>
            <w:rFonts w:ascii="Cambria Math" w:hAnsi="Book Antiqua"/>
            <w:sz w:val="20"/>
          </w:rPr>
          <m:t xml:space="preserve">; </m:t>
        </m:r>
        <m:r>
          <w:rPr>
            <w:rFonts w:ascii="Cambria Math" w:hAnsi="Cambria Math"/>
            <w:sz w:val="20"/>
          </w:rPr>
          <m:t>ω</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(39)</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last proportionality follows from equation (34) above. When these U-dependent proportionalities are substituted into (38), the following situation emerges.</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jc w:val="both"/>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m:t>
        </m:r>
        <m:r>
          <w:rPr>
            <w:rFonts w:ascii="Cambria Math" w:hAnsi="Cambria Math"/>
            <w:sz w:val="20"/>
          </w:rPr>
          <m:t>U</m:t>
        </m:r>
        <m:r>
          <w:rPr>
            <w:rFonts w:ascii="Cambria Math" w:hAnsi="Book Antiqua"/>
            <w:sz w:val="20"/>
          </w:rPr>
          <m:t>/</m:t>
        </m:r>
        <m:sSup>
          <m:sSupPr>
            <m:ctrlPr>
              <w:rPr>
                <w:rFonts w:ascii="Cambria Math" w:hAnsi="Book Antiqua"/>
                <w:i/>
                <w:sz w:val="20"/>
              </w:rPr>
            </m:ctrlPr>
          </m:sSupPr>
          <m:e>
            <m:r>
              <w:rPr>
                <w:rFonts w:ascii="Cambria Math" w:hAnsi="Cambria Math"/>
                <w:sz w:val="20"/>
              </w:rPr>
              <m:t>U</m:t>
            </m:r>
          </m:e>
          <m:sup>
            <m:r>
              <w:rPr>
                <w:rFonts w:ascii="Cambria Math" w:hAnsi="Book Antiqua"/>
                <w:sz w:val="20"/>
              </w:rPr>
              <m:t>9</m:t>
            </m:r>
          </m:sup>
        </m:sSup>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5</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5</m:t>
            </m:r>
          </m:sup>
        </m:sSup>
        <m:r>
          <w:rPr>
            <w:rFonts w:ascii="Cambria Math" w:hAnsi="Book Antiqua"/>
            <w:sz w:val="20"/>
          </w:rPr>
          <m:t xml:space="preserve"> </m:t>
        </m:r>
        <m:r>
          <w:rPr>
            <w:rFonts w:ascii="Cambria Math" w:hAnsi="Cambria Math"/>
            <w:sz w:val="20"/>
          </w:rPr>
          <m:t>dU</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(40) is integrated we get the result that</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4</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(41)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Because, as stated, the energies are balanced,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oMath>
      <w:r w:rsidRPr="00B9776F">
        <w:rPr>
          <w:rFonts w:ascii="Book Antiqua" w:hAnsi="Book Antiqua"/>
          <w:sz w:val="20"/>
        </w:rPr>
        <w:t xml:space="preserve">. Therefore equating (41) and (37) we obtain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Pr="00B9776F">
        <w:rPr>
          <w:rFonts w:ascii="Book Antiqua" w:hAnsi="Book Antiqua"/>
          <w:i/>
          <w:sz w:val="20"/>
        </w:rPr>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(42)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therefore</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(43)</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is exactly what we obtained from other considerations in equation (35).</w:t>
      </w:r>
    </w:p>
    <w:p w:rsidR="00820B57" w:rsidRPr="00B9776F" w:rsidRDefault="00820B57" w:rsidP="00820B57">
      <w:pPr>
        <w:pStyle w:val="NoSpacing"/>
        <w:jc w:val="both"/>
        <w:rPr>
          <w:rFonts w:ascii="Book Antiqua" w:hAnsi="Book Antiqua"/>
          <w:sz w:val="2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 The picture that emerges </w:t>
      </w:r>
      <w:r w:rsidR="003A5CA8">
        <w:rPr>
          <w:rFonts w:ascii="Book Antiqua" w:hAnsi="Book Antiqua"/>
          <w:color w:val="000000"/>
        </w:rPr>
        <w:t xml:space="preserve">is </w:t>
      </w:r>
      <w:r w:rsidRPr="00B9776F">
        <w:rPr>
          <w:rFonts w:ascii="Book Antiqua" w:hAnsi="Book Antiqua"/>
          <w:color w:val="000000"/>
        </w:rPr>
        <w:t xml:space="preserve">of a parton or electron </w:t>
      </w:r>
      <w:r w:rsidR="003A5CA8">
        <w:rPr>
          <w:rFonts w:ascii="Book Antiqua" w:hAnsi="Book Antiqua"/>
          <w:color w:val="000000"/>
        </w:rPr>
        <w:t>as a</w:t>
      </w:r>
      <w:r w:rsidRPr="00B9776F">
        <w:rPr>
          <w:rFonts w:ascii="Book Antiqua" w:hAnsi="Book Antiqua"/>
          <w:color w:val="000000"/>
        </w:rPr>
        <w:t xml:space="preserve"> massless sphere on the surface of which the electric charge is distributed uniformly. It is the presence of this charge that gives the mass-less sphere its intrinsic mass, </w:t>
      </w:r>
      <w:r w:rsidRPr="00B9776F">
        <w:rPr>
          <w:rFonts w:ascii="Book Antiqua" w:hAnsi="Book Antiqua"/>
          <w:i/>
          <w:iCs/>
          <w:color w:val="000000"/>
        </w:rPr>
        <w:t>m*.</w:t>
      </w:r>
      <w:r w:rsidRPr="00B9776F">
        <w:rPr>
          <w:rFonts w:ascii="Book Antiqua" w:hAnsi="Book Antiqua"/>
          <w:color w:val="000000"/>
        </w:rPr>
        <w:t xml:space="preserve"> In other words, this intrinsic mass,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is entirely electrctro-magnetic in origin. As the ZPE increases this intrinsic mass decreases because it is dependent upon the radius of the sphere holding the charge. When the sphere is smaller, the charge is more intense and so its intrinsic mass is greater. When the sphere is larger, the charge is more dispersed, the charge intensity is less, and so the intrinsic mass is lower. </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When the ZPE strength increases, the electric permittivity of the vacuum,</w:t>
      </w:r>
      <m:oMath>
        <m:r>
          <w:rPr>
            <w:rFonts w:ascii="Cambria Math" w:hAnsi="Book Antiqua"/>
            <w:color w:val="000000"/>
          </w:rPr>
          <m:t xml:space="preserve"> </m:t>
        </m:r>
        <m:r>
          <w:rPr>
            <w:rFonts w:ascii="Cambria Math" w:hAnsi="Cambria Math"/>
            <w:color w:val="000000"/>
          </w:rPr>
          <m:t>ε</m:t>
        </m:r>
      </m:oMath>
      <w:r w:rsidRPr="00B9776F">
        <w:rPr>
          <w:rFonts w:ascii="Book Antiqua" w:hAnsi="Book Antiqua"/>
          <w:color w:val="000000"/>
        </w:rPr>
        <w:t xml:space="preserve"> , increases. But the quantity </w:t>
      </w:r>
      <m:oMath>
        <m:r>
          <w:rPr>
            <w:rFonts w:ascii="Cambria Math" w:hAnsi="Book Antiqua"/>
          </w:rPr>
          <m:t>(</m:t>
        </m:r>
        <m:sSup>
          <m:sSupPr>
            <m:ctrlPr>
              <w:rPr>
                <w:rFonts w:ascii="Cambria Math" w:hAnsi="Book Antiqua"/>
                <w:i/>
              </w:rPr>
            </m:ctrlPr>
          </m:sSupPr>
          <m:e>
            <m:r>
              <w:rPr>
                <w:rFonts w:ascii="Cambria Math" w:hAnsi="Cambria Math"/>
              </w:rPr>
              <m:t>e</m:t>
            </m:r>
          </m:e>
          <m:sup>
            <m:r>
              <w:rPr>
                <w:rFonts w:ascii="Cambria Math" w:hAnsi="Book Antiqua"/>
              </w:rPr>
              <m:t>2</m:t>
            </m:r>
          </m:sup>
        </m:sSup>
        <m:r>
          <w:rPr>
            <w:rFonts w:ascii="Cambria Math" w:hAnsi="Book Antiqua"/>
          </w:rPr>
          <m:t>/</m:t>
        </m:r>
        <m:r>
          <w:rPr>
            <w:rFonts w:ascii="Cambria Math" w:hAnsi="Cambria Math"/>
          </w:rPr>
          <m:t>ε</m:t>
        </m:r>
        <m:r>
          <w:rPr>
            <w:rFonts w:ascii="Cambria Math" w:hAnsi="Book Antiqua"/>
          </w:rPr>
          <m:t>)</m:t>
        </m:r>
      </m:oMath>
      <w:r w:rsidRPr="00B9776F">
        <w:rPr>
          <w:rFonts w:ascii="Book Antiqua" w:hAnsi="Book Antiqua"/>
          <w:color w:val="000000"/>
        </w:rPr>
        <w:t xml:space="preserve"> remains constant for all ZPE strengths. This means that electronic charge, </w:t>
      </w:r>
      <m:oMath>
        <m:r>
          <w:rPr>
            <w:rFonts w:ascii="Cambria Math" w:hAnsi="Cambria Math"/>
            <w:color w:val="000000"/>
          </w:rPr>
          <m:t>e</m:t>
        </m:r>
      </m:oMath>
      <w:r w:rsidRPr="00B9776F">
        <w:rPr>
          <w:rFonts w:ascii="Book Antiqua" w:hAnsi="Book Antiqua"/>
          <w:color w:val="000000"/>
        </w:rPr>
        <w:t>, must increase as the ZPE strength increases. The presence of an inherently stronger charge on the sphere making up the parton or electron, tends to expand the sphere. So as the ZPE increases, the sphere gets larger and so the intrinsic mass gets smaller.</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 It is the oscillation or jiggling of this charged, massless sphere by the ZPE waves which imparts a kinetic energy to it that appears as mass in the atomic frame of reference, </w:t>
      </w:r>
      <w:r w:rsidRPr="00B9776F">
        <w:rPr>
          <w:rFonts w:ascii="Book Antiqua" w:hAnsi="Book Antiqua"/>
          <w:i/>
          <w:iCs/>
          <w:color w:val="000000"/>
        </w:rPr>
        <w:t>m</w:t>
      </w:r>
      <w:r w:rsidRPr="00B9776F">
        <w:rPr>
          <w:rFonts w:ascii="Book Antiqua" w:hAnsi="Book Antiqua"/>
          <w:color w:val="000000"/>
        </w:rPr>
        <w:t xml:space="preserve">. </w:t>
      </w:r>
      <w:r w:rsidR="003A5CA8">
        <w:rPr>
          <w:rFonts w:ascii="Book Antiqua" w:hAnsi="Book Antiqua"/>
          <w:color w:val="000000"/>
        </w:rPr>
        <w:t xml:space="preserve"> </w:t>
      </w:r>
      <w:r w:rsidRPr="00B9776F">
        <w:rPr>
          <w:rFonts w:ascii="Book Antiqua" w:hAnsi="Book Antiqua"/>
          <w:color w:val="000000"/>
        </w:rPr>
        <w:t xml:space="preserve">In atomic equations, </w:t>
      </w:r>
      <w:r w:rsidRPr="00B9776F">
        <w:rPr>
          <w:rFonts w:ascii="Book Antiqua" w:hAnsi="Book Antiqua"/>
          <w:i/>
          <w:iCs/>
          <w:color w:val="000000"/>
        </w:rPr>
        <w:t>m</w:t>
      </w:r>
      <w:r w:rsidRPr="00B9776F">
        <w:rPr>
          <w:rFonts w:ascii="Book Antiqua" w:hAnsi="Book Antiqua"/>
          <w:color w:val="000000"/>
        </w:rPr>
        <w:t xml:space="preserve"> is the primary quantity, not </w:t>
      </w:r>
      <w:r w:rsidRPr="00B9776F">
        <w:rPr>
          <w:rFonts w:ascii="Book Antiqua" w:hAnsi="Book Antiqua"/>
          <w:i/>
          <w:iCs/>
          <w:color w:val="000000"/>
        </w:rPr>
        <w:t>m*.</w:t>
      </w:r>
      <w:r w:rsidRPr="00B9776F">
        <w:rPr>
          <w:rFonts w:ascii="Book Antiqua" w:hAnsi="Book Antiqua"/>
          <w:color w:val="000000"/>
        </w:rPr>
        <w:t xml:space="preserve"> This is because </w:t>
      </w:r>
      <w:r w:rsidRPr="00B9776F">
        <w:rPr>
          <w:rFonts w:ascii="Book Antiqua" w:hAnsi="Book Antiqua"/>
          <w:i/>
          <w:iCs/>
          <w:color w:val="000000"/>
        </w:rPr>
        <w:t>m*</w:t>
      </w:r>
      <w:r w:rsidRPr="00B9776F">
        <w:rPr>
          <w:rFonts w:ascii="Book Antiqua" w:hAnsi="Book Antiqua"/>
          <w:color w:val="000000"/>
        </w:rPr>
        <w:t xml:space="preserve"> is lumped together with other terms to give the Lorentz damping constant, </w:t>
      </w:r>
      <m:oMath>
        <m:r>
          <w:rPr>
            <w:rFonts w:ascii="Cambria Math" w:hAnsi="Cambria Math"/>
            <w:color w:val="000000"/>
          </w:rPr>
          <m:t>Γ</m:t>
        </m:r>
      </m:oMath>
      <w:r w:rsidRPr="00B9776F">
        <w:rPr>
          <w:rFonts w:ascii="Book Antiqua" w:hAnsi="Book Antiqua"/>
          <w:color w:val="000000"/>
        </w:rPr>
        <w:t xml:space="preserve">. This damping constant simply defines the parameters of the system under oscillation </w:t>
      </w:r>
      <w:r w:rsidR="005D27C2">
        <w:rPr>
          <w:rFonts w:ascii="Book Antiqua" w:hAnsi="Book Antiqua"/>
          <w:color w:val="000000"/>
        </w:rPr>
        <w:t xml:space="preserve">just </w:t>
      </w:r>
      <w:r w:rsidRPr="00B9776F">
        <w:rPr>
          <w:rFonts w:ascii="Book Antiqua" w:hAnsi="Book Antiqua"/>
          <w:color w:val="000000"/>
        </w:rPr>
        <w:t xml:space="preserve">like the characteristics of an oscillating weight on a stiff spring. It has been demonstrated that it is this </w:t>
      </w:r>
      <m:oMath>
        <m:r>
          <w:rPr>
            <w:rFonts w:ascii="Cambria Math" w:hAnsi="Cambria Math"/>
            <w:color w:val="000000"/>
          </w:rPr>
          <m:t>m</m:t>
        </m:r>
      </m:oMath>
      <w:r w:rsidRPr="00B9776F">
        <w:rPr>
          <w:rFonts w:ascii="Book Antiqua" w:hAnsi="Book Antiqua"/>
          <w:color w:val="000000"/>
        </w:rPr>
        <w:t xml:space="preserve"> which is proportional to </w:t>
      </w:r>
      <m:oMath>
        <m:r>
          <w:rPr>
            <w:rFonts w:ascii="Cambria Math" w:hAnsi="Book Antiqua"/>
            <w:color w:val="000000"/>
          </w:rPr>
          <m:t>1/</m:t>
        </m:r>
        <m:sSup>
          <m:sSupPr>
            <m:ctrlPr>
              <w:rPr>
                <w:rFonts w:ascii="Cambria Math" w:hAnsi="Book Antiqua"/>
                <w:i/>
                <w:color w:val="000000"/>
              </w:rPr>
            </m:ctrlPr>
          </m:sSupPr>
          <m:e>
            <m:r>
              <w:rPr>
                <w:rFonts w:ascii="Cambria Math" w:hAnsi="Cambria Math"/>
                <w:color w:val="000000"/>
              </w:rPr>
              <m:t>c</m:t>
            </m:r>
          </m:e>
          <m:sup>
            <m:r>
              <w:rPr>
                <w:rFonts w:ascii="Cambria Math" w:hAnsi="Book Antiqua"/>
                <w:color w:val="000000"/>
              </w:rPr>
              <m:t>2</m:t>
            </m:r>
          </m:sup>
        </m:sSup>
      </m:oMath>
      <w:r w:rsidRPr="00B9776F">
        <w:rPr>
          <w:rFonts w:ascii="Book Antiqua" w:hAnsi="Book Antiqua"/>
          <w:color w:val="000000"/>
        </w:rPr>
        <w:t xml:space="preserve">. Eqs (11) and (12) show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and </w:t>
      </w:r>
      <m:oMath>
        <m:r>
          <w:rPr>
            <w:rFonts w:ascii="Cambria Math" w:hAnsi="Cambria Math"/>
            <w:color w:val="000000"/>
          </w:rPr>
          <m:t>m</m:t>
        </m:r>
      </m:oMath>
      <w:r w:rsidRPr="00B9776F">
        <w:rPr>
          <w:rFonts w:ascii="Book Antiqua" w:hAnsi="Book Antiqua"/>
          <w:color w:val="000000"/>
        </w:rPr>
        <w:t xml:space="preserve"> have </w:t>
      </w:r>
      <w:r w:rsidRPr="00B9776F">
        <w:rPr>
          <w:rFonts w:ascii="Book Antiqua" w:hAnsi="Book Antiqua"/>
          <w:color w:val="000000"/>
        </w:rPr>
        <w:lastRenderedPageBreak/>
        <w:t>about the same value.</w:t>
      </w:r>
    </w:p>
    <w:p w:rsidR="004161ED" w:rsidRDefault="004161ED" w:rsidP="001D1F40">
      <w:pPr>
        <w:shd w:val="clear" w:color="auto" w:fill="FFFFFF"/>
        <w:jc w:val="both"/>
        <w:rPr>
          <w:rFonts w:ascii="Book Antiqua" w:hAnsi="Book Antiqua"/>
          <w:color w:val="000000"/>
        </w:rPr>
      </w:pPr>
    </w:p>
    <w:p w:rsidR="001D1F40" w:rsidRPr="001D1F40" w:rsidRDefault="001D1F40" w:rsidP="001D1F40">
      <w:pPr>
        <w:pStyle w:val="ListParagraph"/>
        <w:numPr>
          <w:ilvl w:val="0"/>
          <w:numId w:val="20"/>
        </w:numPr>
        <w:shd w:val="clear" w:color="auto" w:fill="FFFFFF"/>
        <w:jc w:val="both"/>
        <w:rPr>
          <w:rFonts w:ascii="Book Antiqua" w:hAnsi="Book Antiqua"/>
          <w:b/>
          <w:color w:val="000000"/>
        </w:rPr>
      </w:pPr>
      <w:r w:rsidRPr="001D1F40">
        <w:rPr>
          <w:rFonts w:ascii="Book Antiqua" w:hAnsi="Book Antiqua"/>
          <w:b/>
          <w:color w:val="000000"/>
        </w:rPr>
        <w:t>The Newtonian Gravitational Constant, G.</w:t>
      </w:r>
    </w:p>
    <w:p w:rsidR="001D1F40" w:rsidRPr="001D1F40" w:rsidRDefault="001D1F40" w:rsidP="001D1F40">
      <w:pPr>
        <w:pStyle w:val="ListParagraph"/>
        <w:shd w:val="clear" w:color="auto" w:fill="FFFFFF"/>
        <w:ind w:left="360"/>
        <w:jc w:val="both"/>
        <w:rPr>
          <w:rFonts w:ascii="Book Antiqua" w:hAnsi="Book Antiqua"/>
          <w:b/>
          <w:color w:val="00000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2.1</w:t>
      </w:r>
      <w:r w:rsidR="00820B57" w:rsidRPr="00B9776F">
        <w:rPr>
          <w:rFonts w:ascii="Book Antiqua" w:hAnsi="Book Antiqua" w:cs="Times New Roman"/>
          <w:b w:val="0"/>
          <w:sz w:val="20"/>
          <w:szCs w:val="20"/>
        </w:rPr>
        <w:t xml:space="preserve"> Introducing the Gravitational Constant, G.</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Experimental data show that atomic masses, </w:t>
      </w:r>
      <m:oMath>
        <m:r>
          <w:rPr>
            <w:rFonts w:ascii="Cambria Math" w:hAnsi="Cambria Math"/>
            <w:sz w:val="20"/>
          </w:rPr>
          <m:t>m</m:t>
        </m:r>
      </m:oMath>
      <w:r w:rsidRPr="00B9776F">
        <w:rPr>
          <w:rFonts w:ascii="Book Antiqua" w:hAnsi="Book Antiqua"/>
          <w:sz w:val="20"/>
        </w:rPr>
        <w:t xml:space="preserve">, increase with increasing ZPE strength as shown by Figure 1 </w:t>
      </w:r>
      <w:r w:rsidR="003A5CA8">
        <w:rPr>
          <w:rFonts w:ascii="Book Antiqua" w:hAnsi="Book Antiqua"/>
          <w:sz w:val="20"/>
        </w:rPr>
        <w:t>near the beginning of this chapter</w:t>
      </w:r>
      <w:r w:rsidRPr="00B9776F">
        <w:rPr>
          <w:rFonts w:ascii="Book Antiqua" w:hAnsi="Book Antiqua"/>
          <w:sz w:val="20"/>
        </w:rPr>
        <w:t xml:space="preserve">. However, macroscopic masses measured in a gravitational field have been constant throughout the time when atomic masses were measured as varying. Thus the platinum-iridium standard kilogram bars, kept by the various Bureaux of Standards, have not changed their mass. This is, in part, because atomic (and subatomic) masses are measured differently from the way we measure larger masses.  Let us designate the constant gravitational mass as </w:t>
      </w:r>
      <m:oMath>
        <m:r>
          <w:rPr>
            <w:rFonts w:ascii="Cambria Math" w:hAnsi="Cambria Math"/>
            <w:sz w:val="20"/>
          </w:rPr>
          <m:t>M</m:t>
        </m:r>
      </m:oMath>
      <w:r w:rsidRPr="00B9776F">
        <w:rPr>
          <w:rFonts w:ascii="Book Antiqua" w:hAnsi="Book Antiqua"/>
          <w:sz w:val="20"/>
        </w:rPr>
        <w:t xml:space="preserve">. Thus while the data show that atomic masses, </w:t>
      </w:r>
      <m:oMath>
        <m:r>
          <w:rPr>
            <w:rFonts w:ascii="Cambria Math" w:hAnsi="Cambria Math"/>
            <w:sz w:val="20"/>
          </w:rPr>
          <m:t>m</m:t>
        </m:r>
      </m:oMath>
      <w:r w:rsidRPr="00B9776F">
        <w:rPr>
          <w:rFonts w:ascii="Book Antiqua" w:hAnsi="Book Antiqua"/>
          <w:sz w:val="20"/>
        </w:rPr>
        <w:t xml:space="preserve">, vary with ZPE strength, gravitational masses, </w:t>
      </w:r>
      <m:oMath>
        <m:r>
          <w:rPr>
            <w:rFonts w:ascii="Cambria Math" w:hAnsi="Cambria Math"/>
            <w:sz w:val="20"/>
          </w:rPr>
          <m:t>M</m:t>
        </m:r>
      </m:oMath>
      <w:r w:rsidRPr="00B9776F">
        <w:rPr>
          <w:rFonts w:ascii="Book Antiqua" w:hAnsi="Book Antiqua"/>
          <w:sz w:val="20"/>
        </w:rPr>
        <w:t>, do not.  That is the data. We need to examine why there is this difference.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In their February 1994 paper, Haisch, Rueda and Puthoff state that an atomic particle’s inertial mass</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i</m:t>
            </m:r>
          </m:sub>
        </m:sSub>
      </m:oMath>
      <w:r w:rsidRPr="00B9776F">
        <w:rPr>
          <w:rFonts w:ascii="Book Antiqua" w:hAnsi="Book Antiqua"/>
          <w:sz w:val="20"/>
        </w:rPr>
        <w:t xml:space="preserve"> (which is essentially the same as our atomic mass, </w:t>
      </w:r>
      <m:oMath>
        <m:r>
          <w:rPr>
            <w:rFonts w:ascii="Cambria Math" w:hAnsi="Cambria Math"/>
            <w:sz w:val="20"/>
          </w:rPr>
          <m:t>m</m:t>
        </m:r>
      </m:oMath>
      <w:r w:rsidRPr="00B9776F">
        <w:rPr>
          <w:rFonts w:ascii="Book Antiqua" w:hAnsi="Book Antiqua"/>
          <w:sz w:val="20"/>
        </w:rPr>
        <w:t xml:space="preserve">) is related to the bare mass </w:t>
      </w:r>
      <m:oMath>
        <m:sSub>
          <m:sSubPr>
            <m:ctrlPr>
              <w:rPr>
                <w:rFonts w:ascii="Cambria Math" w:hAnsi="Book Antiqua"/>
                <w:i/>
                <w:sz w:val="20"/>
              </w:rPr>
            </m:ctrlPr>
          </m:sSubPr>
          <m:e>
            <m:r>
              <w:rPr>
                <w:rFonts w:ascii="Cambria Math" w:hAnsi="Cambria Math"/>
                <w:sz w:val="20"/>
              </w:rPr>
              <m:t>m</m:t>
            </m:r>
          </m:e>
          <m:sub>
            <m:r>
              <w:rPr>
                <w:rFonts w:ascii="Cambria Math" w:hAnsi="Book Antiqua"/>
                <w:sz w:val="20"/>
              </w:rPr>
              <m:t>0</m:t>
            </m:r>
          </m:sub>
        </m:sSub>
      </m:oMath>
      <w:r w:rsidRPr="00B9776F">
        <w:rPr>
          <w:rFonts w:ascii="Book Antiqua" w:hAnsi="Book Antiqua"/>
          <w:sz w:val="20"/>
        </w:rPr>
        <w:t xml:space="preserve"> (which is the same as our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[9].  Their equation (111) is found on page 690 of their paper and is our equation (44) below: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their Appendix A, they note the discrepancy of a factor of 2 between gravitational and inertial mass in the above equation. To overcome the discrepancy (44) must be multiplied by 2, which results in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w:r w:rsidRPr="00B9776F">
        <w:rPr>
          <w:rFonts w:ascii="Book Antiqua" w:hAnsi="Book Antiqua"/>
          <w:i/>
          <w:sz w:val="20"/>
        </w:rPr>
        <w:t>α</w:t>
      </w:r>
      <w:r w:rsidRPr="00B9776F">
        <w:rPr>
          <w:rFonts w:ascii="Book Antiqua" w:hAnsi="Book Antiqua"/>
          <w:sz w:val="20"/>
        </w:rPr>
        <w:t xml:space="preserve"> is the fine structure constant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α</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(46)</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 xml:space="preserve">The quantity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r>
              <w:rPr>
                <w:rFonts w:ascii="Cambria Math" w:hAnsi="Book Antiqua"/>
                <w:sz w:val="20"/>
              </w:rPr>
              <m:t xml:space="preserve"> </m:t>
            </m:r>
          </m:sub>
        </m:sSub>
      </m:oMath>
      <w:r w:rsidRPr="00B9776F">
        <w:rPr>
          <w:rFonts w:ascii="Book Antiqua" w:hAnsi="Book Antiqua"/>
          <w:sz w:val="20"/>
        </w:rPr>
        <w:t>in (45)</w:t>
      </w:r>
      <w:r w:rsidRPr="00B9776F">
        <w:rPr>
          <w:rFonts w:ascii="Book Antiqua" w:hAnsi="Book Antiqua"/>
          <w:i/>
          <w:sz w:val="20"/>
          <w:vertAlign w:val="subscript"/>
        </w:rPr>
        <w:t xml:space="preserve"> </w:t>
      </w:r>
      <w:r w:rsidRPr="00B9776F">
        <w:rPr>
          <w:rFonts w:ascii="Book Antiqua" w:hAnsi="Book Antiqua"/>
          <w:sz w:val="20"/>
        </w:rPr>
        <w:t>is the Planck mass given by</w:t>
      </w:r>
    </w:p>
    <w:p w:rsidR="00C66C64" w:rsidRPr="00B9776F" w:rsidRDefault="00C66C64" w:rsidP="00820B57">
      <w:pPr>
        <w:pStyle w:val="NoSpacing"/>
        <w:jc w:val="both"/>
        <w:rPr>
          <w:rFonts w:ascii="Book Antiqua" w:hAnsi="Book Antiqua"/>
          <w:sz w:val="20"/>
        </w:rPr>
      </w:pPr>
    </w:p>
    <w:p w:rsidR="00820B57" w:rsidRPr="00B9776F" w:rsidRDefault="00241D2F" w:rsidP="00820B57">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r>
          <w:rPr>
            <w:rFonts w:ascii="Cambria Math" w:hAnsi="Book Antiqua"/>
            <w:sz w:val="20"/>
          </w:rPr>
          <m:t xml:space="preserve">  =  </m:t>
        </m:r>
        <m:r>
          <w:rPr>
            <w:rFonts w:ascii="Book Antiqua"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is the Planck frequency. As shown earlier, we must either use the Compton frequency as an approximation or, preferably, the electron oscillation frequency as derived above where it was determined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However, using the Planck frequency here has its advantages as it produces some mutually cancelling terms. Therefore we note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vertAlign w:val="subscript"/>
          </w:rPr>
          <m:t xml:space="preserve"> </m:t>
        </m:r>
        <m:r>
          <w:rPr>
            <w:rFonts w:ascii="Cambria Math" w:hAnsi="Book Antiqua"/>
            <w:sz w:val="20"/>
          </w:rPr>
          <m:t xml:space="preserve">/ </m:t>
        </m:r>
        <m:r>
          <w:rPr>
            <w:rFonts w:ascii="Cambria Math" w:hAnsi="Cambria Math"/>
            <w:sz w:val="20"/>
          </w:rPr>
          <m:t>k</m:t>
        </m:r>
      </m:oMath>
      <w:r w:rsidRPr="00B9776F">
        <w:rPr>
          <w:rFonts w:ascii="Book Antiqua" w:hAnsi="Book Antiqua"/>
          <w:sz w:val="20"/>
        </w:rPr>
        <w:t xml:space="preserve">. Substitution of the numerical values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oMath>
      <w:r w:rsidRPr="00B9776F">
        <w:rPr>
          <w:rFonts w:ascii="Book Antiqua" w:hAnsi="Book Antiqua"/>
          <w:sz w:val="20"/>
        </w:rPr>
        <w:t xml:space="preserve"> 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gives a value for the dimensionless conversion factor, k, as being</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k</m:t>
        </m:r>
        <m:r>
          <w:rPr>
            <w:rFonts w:ascii="Cambria Math" w:hAnsi="Book Antiqua"/>
            <w:sz w:val="20"/>
          </w:rPr>
          <m:t xml:space="preserve">  =  3.334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a result, we must substitute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m:t>
        </m:r>
        <m:r>
          <w:rPr>
            <w:rFonts w:ascii="Cambria Math" w:hAnsi="Cambria Math"/>
            <w:sz w:val="20"/>
          </w:rPr>
          <m:t>k</m:t>
        </m:r>
      </m:oMath>
      <w:r w:rsidRPr="00B9776F">
        <w:rPr>
          <w:rFonts w:ascii="Book Antiqua" w:hAnsi="Book Antiqua"/>
          <w:sz w:val="20"/>
        </w:rPr>
        <w:t xml:space="preserve"> instead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in order to get the correct results. Substitution of (46) and (47) back in (45)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m:t>
        </m:r>
        <m:sSup>
          <m:sSupPr>
            <m:ctrlPr>
              <w:rPr>
                <w:rFonts w:ascii="Cambria Math" w:hAnsi="Book Antiqua"/>
                <w:i/>
                <w:sz w:val="20"/>
              </w:rPr>
            </m:ctrlPr>
          </m:sSupPr>
          <m:e>
            <m:r>
              <w:rPr>
                <w:rFonts w:ascii="Cambria Math" w:hAnsi="Book Antiqua"/>
                <w:sz w:val="20"/>
              </w:rPr>
              <m:t>[</m:t>
            </m:r>
            <m:r>
              <w:rPr>
                <w:rFonts w:ascii="Cambria Math"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Cambria Math"/>
                <w:sz w:val="20"/>
              </w:rPr>
              <m:t>k</m:t>
            </m:r>
            <m:r>
              <w:rPr>
                <w:rFonts w:ascii="Cambria Math" w:hAnsi="Book Antiqua"/>
                <w:sz w:val="20"/>
              </w:rPr>
              <m:t>)]</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Book Antiqua"/>
            <w:sz w:val="20"/>
          </w:rPr>
          <m:t>=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(1/2</m:t>
        </m:r>
        <m:r>
          <w:rPr>
            <w:rFonts w:ascii="Book Antiqua" w:hAnsi="Cambria Math"/>
            <w:sz w:val="20"/>
          </w:rPr>
          <m:t>h</m:t>
        </m:r>
        <m:r>
          <w:rPr>
            <w:rFonts w:ascii="Cambria Math" w:hAnsi="Cambria Math"/>
            <w:sz w:val="20"/>
          </w:rPr>
          <m:t>c</m:t>
        </m:r>
        <m:r>
          <w:rPr>
            <w:rFonts w:ascii="Cambria Math" w:hAnsi="Book Antiqua"/>
            <w:sz w:val="20"/>
          </w:rPr>
          <m:t>)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vertAlign w:val="superscript"/>
          </w:rPr>
          <m:t>)</m:t>
        </m:r>
        <m:r>
          <w:rPr>
            <w:rFonts w:ascii="Cambria Math" w:hAnsi="Book Antiqua"/>
            <w:sz w:val="20"/>
          </w:rPr>
          <m:t xml:space="preserve">] / </m:t>
        </m:r>
        <m:r>
          <w:rPr>
            <w:rFonts w:ascii="Cambria Math" w:hAnsi="Cambria Math"/>
            <w:sz w:val="20"/>
          </w:rPr>
          <m:t>m</m:t>
        </m:r>
        <m:r>
          <w:rPr>
            <w:rFonts w:ascii="Book Antiqua" w:hAnsi="Cambria Math"/>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p>
    <w:p w:rsidR="00820B57" w:rsidRPr="00B9776F" w:rsidRDefault="00820B57" w:rsidP="00820B57">
      <w:pPr>
        <w:pStyle w:val="NoSpacing"/>
        <w:jc w:val="right"/>
        <w:rPr>
          <w:rFonts w:ascii="Book Antiqua" w:hAnsi="Book Antiqua"/>
          <w:i/>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 xml:space="preserve"> =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 (1/</m:t>
        </m:r>
        <m:r>
          <w:rPr>
            <w:rFonts w:ascii="Cambria Math" w:hAnsi="Cambria Math"/>
            <w:sz w:val="20"/>
          </w:rPr>
          <m:t>m</m:t>
        </m:r>
        <m:r>
          <w:rPr>
            <w:rFonts w:ascii="Book Antiqua" w:hAnsi="Cambria Math"/>
            <w:sz w:val="20"/>
          </w:rPr>
          <m:t>*</m:t>
        </m:r>
        <m:r>
          <w:rPr>
            <w:rFonts w:ascii="Cambria Math" w:hAnsi="Book Antiqua"/>
            <w:sz w:val="20"/>
          </w:rPr>
          <m:t>)</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 xml:space="preserve">We now substitute for the Planck frequency,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i/>
          <w:sz w:val="20"/>
          <w:vertAlign w:val="subscript"/>
        </w:rPr>
        <w:t xml:space="preserve"> </w:t>
      </w:r>
      <w:r w:rsidRPr="00B9776F">
        <w:rPr>
          <w:rFonts w:ascii="Book Antiqua" w:hAnsi="Book Antiqua"/>
          <w:sz w:val="20"/>
          <w:vertAlign w:val="subscript"/>
        </w:rPr>
        <w:t>,</w:t>
      </w:r>
      <w:r w:rsidRPr="00B9776F">
        <w:rPr>
          <w:rFonts w:ascii="Book Antiqua" w:hAnsi="Book Antiqua"/>
          <w:sz w:val="20"/>
        </w:rPr>
        <w:t xml:space="preserve"> noted above as:</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r>
              <w:rPr>
                <w:rFonts w:ascii="Book Antiqua" w:hAnsi="Cambria Math"/>
                <w:sz w:val="20"/>
              </w:rPr>
              <m:t>h</m:t>
            </m:r>
            <m:r>
              <w:rPr>
                <w:rFonts w:ascii="Cambria Math" w:hAnsi="Cambria Math"/>
                <w:sz w:val="20"/>
              </w:rPr>
              <m:t>G</m:t>
            </m:r>
            <m:r>
              <w:rPr>
                <w:rFonts w:ascii="Cambria Math" w:hAnsi="Book Antiqua"/>
                <w:sz w:val="20"/>
              </w:rPr>
              <m:t>)]</m:t>
            </m:r>
          </m:e>
          <m:sup>
            <m:r>
              <w:rPr>
                <w:rFonts w:ascii="Cambria Math" w:hAnsi="Book Antiqua"/>
                <w:sz w:val="20"/>
              </w:rPr>
              <m:t>1/2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(51)</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which means we can write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m:t>
        </m:r>
        <m:r>
          <w:rPr>
            <w:rFonts w:ascii="Book Antiqua" w:hAnsi="Cambria Math"/>
            <w:sz w:val="20"/>
          </w:rPr>
          <m:t>h</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terms are cancelled, the result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r>
          <w:rPr>
            <w:rFonts w:ascii="Cambria Math" w:hAnsi="Cambria Math"/>
            <w:sz w:val="20"/>
          </w:rPr>
          <m:t>π</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We can use this equation to find the numerical value of the atomic mass, </w:t>
      </w:r>
      <m:oMath>
        <m:r>
          <w:rPr>
            <w:rFonts w:ascii="Cambria Math" w:hAnsi="Cambria Math"/>
            <w:sz w:val="20"/>
          </w:rPr>
          <m:t>m</m:t>
        </m:r>
      </m:oMath>
      <w:r w:rsidRPr="00B9776F">
        <w:rPr>
          <w:rFonts w:ascii="Book Antiqua" w:hAnsi="Book Antiqua"/>
          <w:sz w:val="20"/>
        </w:rPr>
        <w:t xml:space="preserve">, if we insert the numerical value for </w:t>
      </w:r>
      <m:oMath>
        <m:r>
          <w:rPr>
            <w:rFonts w:ascii="Cambria Math" w:hAnsi="Cambria Math"/>
            <w:sz w:val="20"/>
          </w:rPr>
          <m:t>G</m:t>
        </m:r>
      </m:oMath>
      <w:r w:rsidRPr="00B9776F">
        <w:rPr>
          <w:rFonts w:ascii="Book Antiqua" w:hAnsi="Book Antiqua"/>
          <w:sz w:val="20"/>
        </w:rPr>
        <w:t>. When this is done, we find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9.107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(54)</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Alternatively, if we re-arrange the equation, we obtain the result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G</m:t>
        </m:r>
        <m:r>
          <w:rPr>
            <w:rFonts w:ascii="Cambria Math" w:hAnsi="Book Antiqua"/>
            <w:sz w:val="20"/>
          </w:rPr>
          <m:t xml:space="preserve"> = (2/3</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(55)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we have already established that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as is the relationship between the Planck frequency and the Compton frequency, this means </w:t>
      </w:r>
      <m:oMath>
        <m:r>
          <w:rPr>
            <w:rFonts w:ascii="Cambria Math" w:hAnsi="Cambria Math"/>
            <w:sz w:val="20"/>
          </w:rPr>
          <m:t>k</m:t>
        </m:r>
      </m:oMath>
      <w:r w:rsidRPr="00B9776F">
        <w:rPr>
          <w:rFonts w:ascii="Book Antiqua" w:hAnsi="Book Antiqua"/>
          <w:sz w:val="20"/>
        </w:rPr>
        <w:t xml:space="preserve"> is a constant. Therefore, for </w:t>
      </w:r>
      <m:oMath>
        <m:r>
          <w:rPr>
            <w:rFonts w:ascii="Cambria Math" w:hAnsi="Cambria Math"/>
            <w:sz w:val="20"/>
          </w:rPr>
          <m:t>G</m:t>
        </m:r>
        <m:r>
          <w:rPr>
            <w:rFonts w:ascii="Cambria Math" w:hAnsi="Book Antiqua"/>
            <w:sz w:val="20"/>
          </w:rPr>
          <m:t xml:space="preserve"> </m:t>
        </m:r>
      </m:oMath>
      <w:r w:rsidRPr="00B9776F">
        <w:rPr>
          <w:rFonts w:ascii="Book Antiqua" w:hAnsi="Book Antiqua"/>
          <w:sz w:val="20"/>
        </w:rPr>
        <w:t>to be a constant, as the data demands,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r>
          <w:rPr>
            <w:rFonts w:ascii="Cambria Math" w:hAnsi="Cambria Math"/>
            <w:sz w:val="20"/>
          </w:rPr>
          <m:t>constant</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M</m:t>
            </m:r>
          </m:e>
          <m:sup>
            <m:r>
              <w:rPr>
                <w:rFonts w:ascii="Cambria Math" w:hAnsi="Book Antiqua"/>
                <w:sz w:val="20"/>
              </w:rPr>
              <m:t>2</m:t>
            </m:r>
          </m:sup>
        </m:sSup>
      </m:oMath>
      <w:r w:rsidRPr="00B9776F">
        <w:rPr>
          <w:rFonts w:ascii="Book Antiqua" w:hAnsi="Book Antiqua"/>
          <w:i/>
          <w:sz w:val="20"/>
        </w:rPr>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 xml:space="preserve"> (56)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M</m:t>
        </m:r>
      </m:oMath>
      <w:r w:rsidRPr="00B9776F">
        <w:rPr>
          <w:rFonts w:ascii="Book Antiqua" w:hAnsi="Book Antiqua"/>
          <w:sz w:val="20"/>
        </w:rPr>
        <w:t xml:space="preserve"> is the mass measured gravitationally, </w:t>
      </w:r>
      <m:oMath>
        <m:r>
          <w:rPr>
            <w:rFonts w:ascii="Cambria Math" w:hAnsi="Cambria Math"/>
            <w:sz w:val="20"/>
          </w:rPr>
          <m:t>m</m:t>
        </m:r>
      </m:oMath>
      <w:r w:rsidRPr="00B9776F">
        <w:rPr>
          <w:rFonts w:ascii="Book Antiqua" w:hAnsi="Book Antiqua"/>
          <w:sz w:val="20"/>
        </w:rPr>
        <w:t xml:space="preserve"> is the atomic mass and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B9776F">
        <w:rPr>
          <w:rFonts w:ascii="Book Antiqua" w:hAnsi="Book Antiqua"/>
          <w:sz w:val="20"/>
        </w:rPr>
        <w:t xml:space="preserve">is the mass intrinsic to each particle. This situation can also be discerned from equation (25). Therefore, as </w:t>
      </w:r>
      <m:oMath>
        <m:r>
          <w:rPr>
            <w:rFonts w:ascii="Cambria Math" w:hAnsi="Cambria Math"/>
            <w:sz w:val="20"/>
          </w:rPr>
          <m:t>m</m:t>
        </m:r>
      </m:oMath>
      <w:r w:rsidRPr="00B9776F">
        <w:rPr>
          <w:rFonts w:ascii="Book Antiqua" w:hAnsi="Book Antiqua"/>
          <w:sz w:val="20"/>
        </w:rPr>
        <w:t xml:space="preserve"> increases with ZPE increase,</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decreases in inverse proportion such that their product remains constant. We can now confirm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c</m:t>
            </m:r>
          </m:e>
          <m:sup>
            <m:r>
              <w:rPr>
                <w:rFonts w:ascii="Cambria Math" w:hAnsi="Book Antiqua"/>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addition, since the product </w:t>
      </w:r>
      <m:oMath>
        <m:r>
          <w:rPr>
            <w:rFonts w:ascii="Cambria Math" w:hAnsi="Cambria Math" w:cs="Cambria Math"/>
            <w:sz w:val="20"/>
          </w:rPr>
          <m:t>m</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oMath>
      <w:r w:rsidRPr="00B9776F">
        <w:rPr>
          <w:rFonts w:ascii="Book Antiqua" w:hAnsi="Book Antiqua"/>
          <w:sz w:val="20"/>
        </w:rPr>
        <w:t xml:space="preserve">is equal to </w:t>
      </w:r>
      <m:oMath>
        <m:sSup>
          <m:sSupPr>
            <m:ctrlPr>
              <w:rPr>
                <w:rFonts w:ascii="Cambria Math" w:hAnsi="Book Antiqua"/>
                <w:i/>
                <w:sz w:val="20"/>
              </w:rPr>
            </m:ctrlPr>
          </m:sSupPr>
          <m:e>
            <m:r>
              <w:rPr>
                <w:rFonts w:ascii="Cambria Math" w:hAnsi="Cambria Math" w:cs="Cambria Math"/>
                <w:sz w:val="20"/>
              </w:rPr>
              <m:t>M</m:t>
            </m:r>
          </m:e>
          <m:sup>
            <m:r>
              <w:rPr>
                <w:rFonts w:ascii="Cambria Math" w:hAnsi="Book Antiqua"/>
                <w:sz w:val="20"/>
              </w:rPr>
              <m:t>2</m:t>
            </m:r>
          </m:sup>
        </m:sSup>
      </m:oMath>
      <w:r w:rsidRPr="00B9776F">
        <w:rPr>
          <w:rFonts w:ascii="Book Antiqua" w:hAnsi="Book Antiqua"/>
          <w:sz w:val="20"/>
        </w:rPr>
        <w:t xml:space="preserve"> where </w:t>
      </w:r>
      <m:oMath>
        <m:r>
          <w:rPr>
            <w:rFonts w:ascii="Cambria Math" w:hAnsi="Cambria Math" w:cs="Cambria Math"/>
            <w:sz w:val="20"/>
          </w:rPr>
          <m:t>M</m:t>
        </m:r>
      </m:oMath>
      <w:r w:rsidRPr="00B9776F">
        <w:rPr>
          <w:rFonts w:ascii="Book Antiqua" w:hAnsi="Book Antiqua"/>
          <w:sz w:val="20"/>
        </w:rPr>
        <w:t xml:space="preserve"> is the gravitational mass, as in (55) and (56), we can also say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Furthermore, since </w:t>
      </w:r>
      <m:oMath>
        <m:r>
          <w:rPr>
            <w:rFonts w:ascii="Cambria Math" w:hAnsi="Cambria Math" w:cs="Cambria Math"/>
            <w:sz w:val="20"/>
          </w:rPr>
          <m:t>G</m:t>
        </m:r>
      </m:oMath>
      <w:r w:rsidRPr="00B9776F">
        <w:rPr>
          <w:rFonts w:ascii="Book Antiqua" w:hAnsi="Book Antiqua"/>
          <w:sz w:val="20"/>
        </w:rPr>
        <w:t xml:space="preserve"> is also constant, in the gravitational case the result is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(59)</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If we substitute the values of the terms in (55) we obtain</w:t>
      </w:r>
    </w:p>
    <w:p w:rsidR="00D114A4" w:rsidRPr="00D114A4" w:rsidRDefault="00D114A4" w:rsidP="00820B57">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Pr>
          <w:rFonts w:ascii="Book Antiqua" w:hAnsi="Book Antiqua"/>
          <w:sz w:val="20"/>
        </w:rPr>
        <w:tab/>
      </w:r>
      <m:oMath>
        <m:r>
          <w:rPr>
            <w:rFonts w:ascii="Cambria Math" w:hAnsi="Cambria Math"/>
            <w:sz w:val="20"/>
          </w:rPr>
          <m:t>G</m:t>
        </m:r>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 xml:space="preserve">[1/(3.334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21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[1/</m:t>
        </m:r>
        <m:sSup>
          <m:sSupPr>
            <m:ctrlPr>
              <w:rPr>
                <w:rFonts w:ascii="Cambria Math" w:hAnsi="Book Antiqua"/>
                <w:sz w:val="20"/>
              </w:rPr>
            </m:ctrlPr>
          </m:sSupPr>
          <m:e>
            <m:r>
              <m:rPr>
                <m:sty m:val="p"/>
              </m:rPr>
              <w:rPr>
                <w:rFonts w:ascii="Cambria Math" w:hAnsi="Book Antiqua"/>
                <w:sz w:val="20"/>
              </w:rPr>
              <m:t xml:space="preserve">(9.109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sidRPr="00D114A4">
        <w:rPr>
          <w:rFonts w:ascii="Book Antiqua" w:hAnsi="Book Antiqua"/>
          <w:sz w:val="20"/>
        </w:rPr>
        <w:tab/>
      </w:r>
      <m:oMath>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 xml:space="preserve">)(9.001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44</m:t>
            </m:r>
          </m:sup>
        </m:sSup>
        <m:r>
          <m:rPr>
            <m:sty m:val="p"/>
          </m:rPr>
          <w:rPr>
            <w:rFonts w:ascii="Cambria Math" w:hAnsi="Book Antiqua"/>
            <w:sz w:val="20"/>
          </w:rPr>
          <m:t xml:space="preserve">)(1.205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60</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This means that</w:t>
      </w:r>
    </w:p>
    <w:p w:rsidR="00D114A4" w:rsidRPr="00D114A4" w:rsidRDefault="00D114A4" w:rsidP="00D114A4">
      <w:pPr>
        <w:pStyle w:val="NoSpacing"/>
        <w:ind w:firstLine="720"/>
        <w:jc w:val="both"/>
        <w:rPr>
          <w:rFonts w:ascii="Book Antiqua" w:hAnsi="Book Antiqua"/>
          <w:sz w:val="20"/>
        </w:rPr>
      </w:pPr>
    </w:p>
    <w:p w:rsidR="00D114A4" w:rsidRPr="00D114A4" w:rsidRDefault="00241D2F" w:rsidP="00D114A4">
      <w:pPr>
        <w:pStyle w:val="NoSpacing"/>
        <w:jc w:val="right"/>
        <w:rPr>
          <w:rFonts w:ascii="Book Antiqua" w:hAnsi="Book Antiqua"/>
          <w:sz w:val="20"/>
        </w:rPr>
      </w:pPr>
      <m:oMath>
        <m:sSup>
          <m:sSupPr>
            <m:ctrlPr>
              <w:rPr>
                <w:rFonts w:ascii="Cambria Math" w:hAnsi="Book Antiqua"/>
                <w:sz w:val="20"/>
              </w:rPr>
            </m:ctrlPr>
          </m:sSupPr>
          <m:e>
            <m:r>
              <w:rPr>
                <w:rFonts w:ascii="Cambria Math" w:hAnsi="Cambria Math"/>
                <w:sz w:val="20"/>
              </w:rPr>
              <m:t>G</m:t>
            </m:r>
            <m:r>
              <m:rPr>
                <m:sty m:val="p"/>
              </m:rPr>
              <w:rPr>
                <w:rFonts w:ascii="Cambria Math" w:hAnsi="Book Antiqua"/>
                <w:sz w:val="20"/>
              </w:rPr>
              <m:t xml:space="preserve"> = 6.670 </m:t>
            </m:r>
            <m:r>
              <w:rPr>
                <w:rFonts w:ascii="Cambria Math" w:hAnsi="Cambria Math"/>
                <w:sz w:val="20"/>
              </w:rPr>
              <m:t>x</m:t>
            </m:r>
            <m:r>
              <m:rPr>
                <m:sty m:val="p"/>
              </m:rPr>
              <w:rPr>
                <w:rFonts w:ascii="Cambria Math" w:hAnsi="Book Antiqua"/>
                <w:sz w:val="20"/>
              </w:rPr>
              <m:t xml:space="preserve"> 10</m:t>
            </m:r>
          </m:e>
          <m:sup>
            <m:r>
              <m:rPr>
                <m:sty m:val="p"/>
              </m:rPr>
              <w:rPr>
                <w:rFonts w:ascii="Cambria Math" w:hAnsi="Book Antiqua"/>
                <w:sz w:val="20"/>
              </w:rPr>
              <m:t>-</m:t>
            </m:r>
            <m:r>
              <m:rPr>
                <m:sty m:val="p"/>
              </m:rPr>
              <w:rPr>
                <w:rFonts w:ascii="Cambria Math" w:hAnsi="Book Antiqua"/>
                <w:sz w:val="20"/>
              </w:rPr>
              <m:t>11</m:t>
            </m:r>
          </m:sup>
        </m:sSup>
      </m:oMath>
      <w:r w:rsidR="00D114A4" w:rsidRPr="00D114A4">
        <w:rPr>
          <w:rFonts w:ascii="Book Antiqua" w:hAnsi="Book Antiqua"/>
          <w:sz w:val="20"/>
        </w:rPr>
        <w:t xml:space="preserve"> .</w:t>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t xml:space="preserve">(60) </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lastRenderedPageBreak/>
        <w:t>This value is in accord with the current experimental evidence.</w:t>
      </w:r>
    </w:p>
    <w:p w:rsidR="00D114A4" w:rsidRPr="00B9776F" w:rsidRDefault="00D114A4" w:rsidP="00820B57">
      <w:pPr>
        <w:pStyle w:val="NoSpacing"/>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Two matters now claim our attention. The first concerns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t>
      </w:r>
      <m:oMath>
        <m:r>
          <w:rPr>
            <w:rFonts w:ascii="Cambria Math" w:hAnsi="Cambria Math"/>
            <w:sz w:val="20"/>
          </w:rPr>
          <m:t>m</m:t>
        </m:r>
      </m:oMath>
      <w:r w:rsidRPr="00D114A4">
        <w:rPr>
          <w:rFonts w:ascii="Book Antiqua" w:hAnsi="Book Antiqua"/>
          <w:sz w:val="20"/>
        </w:rPr>
        <w:t xml:space="preserve"> and </w:t>
      </w:r>
      <m:oMath>
        <m:r>
          <w:rPr>
            <w:rFonts w:ascii="Cambria Math" w:hAnsi="Cambria Math"/>
            <w:sz w:val="20"/>
          </w:rPr>
          <m:t>M</m:t>
        </m:r>
      </m:oMath>
      <w:r w:rsidRPr="00D114A4">
        <w:rPr>
          <w:rFonts w:ascii="Book Antiqua" w:hAnsi="Book Antiqua"/>
          <w:sz w:val="20"/>
        </w:rPr>
        <w:t xml:space="preserve">, and the second, their values.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comes from the presence of the electric charge on the parton or electron. This mass is entirely due to charge and depends on the radius of the parton or electron as shown in (9) above. The atomic mass, </w:t>
      </w:r>
      <m:oMath>
        <m:r>
          <w:rPr>
            <w:rFonts w:ascii="Cambria Math" w:hAnsi="Cambria Math"/>
            <w:sz w:val="20"/>
          </w:rPr>
          <m:t>m</m:t>
        </m:r>
      </m:oMath>
      <w:r w:rsidRPr="00D114A4">
        <w:rPr>
          <w:rFonts w:ascii="Book Antiqua" w:hAnsi="Book Antiqua"/>
          <w:sz w:val="20"/>
        </w:rPr>
        <w:t xml:space="preserve">, depends on the strength of the ZPE and its jiggling of the parton. It is defined in (16) above. The gravitational mass </w:t>
      </w:r>
      <m:oMath>
        <m:r>
          <w:rPr>
            <w:rFonts w:ascii="Cambria Math" w:hAnsi="Cambria Math"/>
            <w:sz w:val="20"/>
          </w:rPr>
          <m:t>M</m:t>
        </m:r>
      </m:oMath>
      <w:r w:rsidRPr="00D114A4">
        <w:rPr>
          <w:rFonts w:ascii="Book Antiqua" w:hAnsi="Book Antiqua"/>
          <w:sz w:val="20"/>
        </w:rPr>
        <w:t xml:space="preserve"> is given by the square root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m). </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order to analyze the situation with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we note that (29) reveals that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are kilograms. This follows since it can be shown that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oMath>
      <w:r w:rsidRPr="00D114A4">
        <w:rPr>
          <w:rFonts w:ascii="Book Antiqua" w:hAnsi="Book Antiqua"/>
          <w:sz w:val="20"/>
        </w:rPr>
        <w:t xml:space="preserve"> has dimensions of [</w:t>
      </w:r>
      <m:oMath>
        <m:sSup>
          <m:sSupPr>
            <m:ctrlPr>
              <w:rPr>
                <w:rFonts w:ascii="Cambria Math" w:hAnsi="Book Antiqua"/>
                <w:sz w:val="20"/>
              </w:rPr>
            </m:ctrlPr>
          </m:sSupPr>
          <m:e>
            <m:r>
              <w:rPr>
                <w:rFonts w:ascii="Cambria Math" w:hAnsi="Cambria Math"/>
                <w:sz w:val="20"/>
              </w:rPr>
              <m:t>coulombs</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farads</m:t>
        </m:r>
        <m:r>
          <m:rPr>
            <m:sty m:val="p"/>
          </m:rPr>
          <w:rPr>
            <w:rFonts w:ascii="Cambria Math" w:hAnsi="Book Antiqua"/>
            <w:sz w:val="20"/>
          </w:rPr>
          <m:t>/</m:t>
        </m:r>
        <m:r>
          <w:rPr>
            <w:rFonts w:ascii="Cambria Math" w:hAnsi="Cambria Math"/>
            <w:sz w:val="20"/>
          </w:rPr>
          <m:t>meter</m:t>
        </m:r>
        <m:r>
          <m:rPr>
            <m:sty m:val="p"/>
          </m:rPr>
          <w:rPr>
            <w:rFonts w:ascii="Cambria Math" w:hAnsi="Book Antiqua"/>
            <w:sz w:val="20"/>
          </w:rPr>
          <m:t>)</m:t>
        </m:r>
      </m:oMath>
      <w:r w:rsidRPr="00D114A4">
        <w:rPr>
          <w:rFonts w:ascii="Book Antiqua" w:hAnsi="Book Antiqua"/>
          <w:sz w:val="20"/>
        </w:rPr>
        <w:t xml:space="preserve">] which by definition becomes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4</m:t>
            </m:r>
          </m:sup>
        </m:sSup>
        <m:r>
          <m:rPr>
            <m:sty m:val="p"/>
          </m:rPr>
          <w:rPr>
            <w:rFonts w:ascii="Cambria Math" w:hAnsi="Book Antiqua"/>
            <w:sz w:val="20"/>
          </w:rPr>
          <m:t>)/(</m:t>
        </m:r>
        <m:r>
          <w:rPr>
            <w:rFonts w:ascii="Cambria Math" w:hAnsi="Cambria Math"/>
            <w:sz w:val="20"/>
          </w:rPr>
          <m:t>kg</m:t>
        </m:r>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meters</m:t>
            </m:r>
          </m:e>
          <m:sup>
            <m:r>
              <m:rPr>
                <m:sty m:val="p"/>
              </m:rPr>
              <w:rPr>
                <w:rFonts w:ascii="Cambria Math" w:hAnsi="Book Antiqua"/>
                <w:sz w:val="20"/>
              </w:rPr>
              <m:t>3</m:t>
            </m:r>
          </m:sup>
        </m:sSup>
        <m:r>
          <m:rPr>
            <m:sty m:val="p"/>
          </m:rPr>
          <w:rPr>
            <w:rFonts w:ascii="Cambria Math" w:hAnsi="Book Antiqua"/>
            <w:sz w:val="20"/>
          </w:rPr>
          <m:t>)}]</m:t>
        </m:r>
      </m:oMath>
      <w:r w:rsidRPr="00D114A4">
        <w:rPr>
          <w:rFonts w:ascii="Book Antiqua" w:hAnsi="Book Antiqua"/>
          <w:sz w:val="20"/>
        </w:rPr>
        <w:t>. This then simplifies to</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oMath>
      <w:r w:rsidRPr="00D114A4">
        <w:rPr>
          <w:rFonts w:ascii="Book Antiqua" w:hAnsi="Book Antiqua"/>
          <w:sz w:val="20"/>
        </w:rPr>
        <w:t xml:space="preserve">. Therefore, substituting in (29), since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and</w:t>
      </w:r>
      <m:oMath>
        <m:r>
          <m:rPr>
            <m:sty m:val="p"/>
          </m:rPr>
          <w:rPr>
            <w:rFonts w:ascii="Cambria Math" w:hAnsi="Book Antiqua"/>
            <w:sz w:val="20"/>
          </w:rPr>
          <m:t xml:space="preserve"> </m:t>
        </m:r>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is in meters, the result is that </w:t>
      </w:r>
      <m:oMath>
        <m:r>
          <w:rPr>
            <w:rFonts w:ascii="Cambria Math" w:hAnsi="Cambria Math"/>
            <w:sz w:val="20"/>
          </w:rPr>
          <m:t>m</m:t>
        </m:r>
      </m:oMath>
      <w:r w:rsidRPr="00D114A4">
        <w:rPr>
          <w:rFonts w:ascii="Book Antiqua" w:hAnsi="Book Antiqua"/>
          <w:sz w:val="20"/>
        </w:rPr>
        <w:t xml:space="preserve"> is in kilograms.</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a similar way, the dimensions of </w:t>
      </w:r>
      <m:oMath>
        <m:r>
          <w:rPr>
            <w:rFonts w:ascii="Cambria Math" w:hAnsi="Cambria Math"/>
            <w:sz w:val="20"/>
          </w:rPr>
          <m:t>m</m:t>
        </m:r>
      </m:oMath>
      <w:r w:rsidRPr="00D114A4">
        <w:rPr>
          <w:rFonts w:ascii="Book Antiqua" w:hAnsi="Book Antiqua"/>
          <w:sz w:val="20"/>
        </w:rPr>
        <w:t xml:space="preserve"> are obtainable from (53). Let us begin by taking the terms from (29) that make up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substitute them in (53). When this is done, the following expression is obtained:</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right"/>
        <w:rPr>
          <w:rFonts w:ascii="Book Antiqua" w:hAnsi="Book Antiqua"/>
          <w:sz w:val="20"/>
        </w:rPr>
      </w:pPr>
      <m:oMath>
        <m:r>
          <w:rPr>
            <w:rFonts w:ascii="Cambria Math" w:hAnsi="Cambria Math"/>
            <w:sz w:val="20"/>
          </w:rPr>
          <m:t>m</m:t>
        </m:r>
        <m:r>
          <m:rPr>
            <m:sty m:val="p"/>
          </m:rPr>
          <w:rPr>
            <w:rFonts w:ascii="Cambria Math" w:hAnsi="Book Antiqua"/>
            <w:sz w:val="20"/>
          </w:rPr>
          <m:t xml:space="preserve">  =  [(2/3</m:t>
        </m:r>
        <m:r>
          <w:rPr>
            <w:rFonts w:ascii="Cambria Math" w:hAnsi="Cambria Math"/>
            <w:sz w:val="20"/>
          </w:rPr>
          <m:t>π</m:t>
        </m:r>
        <m:r>
          <m:rPr>
            <m:sty m:val="p"/>
          </m:rPr>
          <w:rPr>
            <w:rFonts w:ascii="Cambria Math" w:hAnsi="Book Antiqua"/>
            <w:sz w:val="20"/>
          </w:rPr>
          <m:t>) (</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)(1/</m:t>
        </m:r>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r>
          <m:rPr>
            <m:sty m:val="p"/>
          </m:rPr>
          <w:rPr>
            <w:rFonts w:ascii="Cambria Math" w:hAnsi="Book Antiqua"/>
            <w:sz w:val="20"/>
          </w:rPr>
          <m:t>)(1/</m:t>
        </m:r>
        <m:r>
          <w:rPr>
            <w:rFonts w:ascii="Cambria Math" w:hAnsi="Cambria Math"/>
            <w:sz w:val="20"/>
          </w:rPr>
          <m:t>G</m:t>
        </m:r>
        <m:r>
          <m:rPr>
            <m:sty m:val="p"/>
          </m:rPr>
          <w:rPr>
            <w:rFonts w:ascii="Cambria Math" w:hAnsi="Book Antiqua"/>
            <w:sz w:val="20"/>
          </w:rPr>
          <m:t>)][(4</m:t>
        </m:r>
        <m:r>
          <w:rPr>
            <w:rFonts w:ascii="Cambria Math" w:hAnsi="Cambria Math"/>
            <w:sz w:val="20"/>
          </w:rPr>
          <m:t>π</m:t>
        </m:r>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r>
          <m:rPr>
            <m:sty m:val="p"/>
          </m:rPr>
          <w:rPr>
            <w:rFonts w:ascii="Cambria Math" w:hAnsi="Book Antiqua"/>
            <w:sz w:val="20"/>
          </w:rPr>
          <m:t>)]</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p>
    <w:p w:rsidR="00D114A4" w:rsidRPr="00D114A4" w:rsidRDefault="00D114A4" w:rsidP="00D114A4">
      <w:pPr>
        <w:pStyle w:val="NoSpacing"/>
        <w:jc w:val="right"/>
        <w:rPr>
          <w:rFonts w:ascii="Book Antiqua" w:hAnsi="Book Antiqua"/>
          <w:sz w:val="20"/>
        </w:rPr>
      </w:pPr>
    </w:p>
    <w:p w:rsidR="00D114A4" w:rsidRPr="00D114A4" w:rsidRDefault="00D114A4" w:rsidP="00D114A4">
      <w:pPr>
        <w:pStyle w:val="NoSpacing"/>
        <w:jc w:val="right"/>
        <w:rPr>
          <w:rFonts w:ascii="Book Antiqua" w:hAnsi="Book Antiqua"/>
          <w:sz w:val="20"/>
        </w:rPr>
      </w:pPr>
      <m:oMath>
        <m:r>
          <m:rPr>
            <m:sty m:val="p"/>
          </m:rPr>
          <w:rPr>
            <w:rFonts w:ascii="Cambria Math" w:hAnsi="Book Antiqua"/>
            <w:sz w:val="20"/>
          </w:rPr>
          <m:t xml:space="preserve">= </m:t>
        </m:r>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8</m:t>
                </m:r>
              </m:num>
              <m:den>
                <m:r>
                  <m:rPr>
                    <m:sty m:val="p"/>
                  </m:rPr>
                  <w:rPr>
                    <w:rFonts w:ascii="Cambria Math" w:hAnsi="Book Antiqua"/>
                    <w:sz w:val="20"/>
                  </w:rPr>
                  <m:t>3</m:t>
                </m:r>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r>
                  <w:rPr>
                    <w:rFonts w:ascii="Cambria Math" w:hAnsi="Cambria Math"/>
                    <w:sz w:val="20"/>
                  </w:rPr>
                  <m:t>G</m:t>
                </m:r>
              </m:den>
            </m:f>
          </m:e>
        </m:d>
        <m:d>
          <m:dPr>
            <m:ctrlPr>
              <w:rPr>
                <w:rFonts w:ascii="Cambria Math" w:hAnsi="Book Antiqua"/>
                <w:sz w:val="20"/>
              </w:rPr>
            </m:ctrlPr>
          </m:dPr>
          <m:e>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e>
        </m:d>
        <m:r>
          <m:rPr>
            <m:sty m:val="p"/>
          </m:rPr>
          <w:rPr>
            <w:rFonts w:ascii="Cambria Math" w:hAnsi="Book Antiqua"/>
            <w:sz w:val="20"/>
          </w:rPr>
          <m:t xml:space="preserve">= 9.066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 xml:space="preserve">  </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t>(61)</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 xml:space="preserve">Analysis of (61) reveals that the dimensions of m are indeed kilograms. This follows since </w:t>
      </w:r>
      <m:oMath>
        <m:r>
          <w:rPr>
            <w:rFonts w:ascii="Cambria Math" w:hAnsi="Cambria Math"/>
            <w:sz w:val="20"/>
          </w:rPr>
          <m:t>G</m:t>
        </m:r>
      </m:oMath>
      <w:r w:rsidRPr="00D114A4">
        <w:rPr>
          <w:rFonts w:ascii="Book Antiqua" w:hAnsi="Book Antiqua"/>
          <w:sz w:val="20"/>
        </w:rPr>
        <w:t xml:space="preserve"> has the dimensions of    </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meters</m:t>
        </m:r>
        <m:r>
          <m:rPr>
            <m:sty m:val="p"/>
          </m:rPr>
          <w:rPr>
            <w:rFonts w:ascii="Cambria Math" w:hAnsi="Book Antiqua"/>
            <w:sz w:val="20"/>
          </w:rPr>
          <m:t>) (1/</m:t>
        </m:r>
        <m:r>
          <w:rPr>
            <w:rFonts w:ascii="Cambria Math" w:hAnsi="Cambria Math"/>
            <w:sz w:val="20"/>
          </w:rPr>
          <m:t>kilograms</m:t>
        </m:r>
        <m:r>
          <m:rPr>
            <m:sty m:val="p"/>
          </m:rPr>
          <w:rPr>
            <w:rFonts w:ascii="Cambria Math" w:hAnsi="Book Antiqua"/>
            <w:sz w:val="20"/>
          </w:rPr>
          <m:t>)</m:t>
        </m:r>
      </m:oMath>
      <w:r w:rsidRPr="00D114A4">
        <w:rPr>
          <w:rFonts w:ascii="Book Antiqua" w:hAnsi="Book Antiqua"/>
          <w:sz w:val="20"/>
        </w:rPr>
        <w:t xml:space="preserve">], while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xml:space="preserve">, and </w:t>
      </w:r>
      <m:oMath>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in meters. This leaves </w:t>
      </w:r>
      <m:oMath>
        <m:r>
          <w:rPr>
            <w:rFonts w:ascii="Cambria Math" w:hAnsi="Cambria Math"/>
            <w:sz w:val="20"/>
          </w:rPr>
          <m:t>m</m:t>
        </m:r>
      </m:oMath>
      <w:r w:rsidRPr="00D114A4">
        <w:rPr>
          <w:rFonts w:ascii="Book Antiqua" w:hAnsi="Book Antiqua"/>
          <w:sz w:val="20"/>
        </w:rPr>
        <w:t xml:space="preserve"> in kilograms.</w:t>
      </w:r>
    </w:p>
    <w:p w:rsidR="00D114A4" w:rsidRPr="00D114A4" w:rsidRDefault="00D114A4" w:rsidP="00D114A4">
      <w:pPr>
        <w:pStyle w:val="NoSpacing"/>
        <w:ind w:firstLine="720"/>
        <w:jc w:val="both"/>
        <w:rPr>
          <w:rFonts w:ascii="Book Antiqua" w:hAnsi="Book Antiqua"/>
          <w:sz w:val="20"/>
        </w:rPr>
      </w:pPr>
    </w:p>
    <w:p w:rsidR="00820B57" w:rsidRPr="00B9776F" w:rsidRDefault="00D114A4" w:rsidP="00820B57">
      <w:pPr>
        <w:pStyle w:val="NoSpacing"/>
        <w:ind w:firstLine="720"/>
        <w:jc w:val="both"/>
        <w:rPr>
          <w:rFonts w:ascii="Book Antiqua" w:hAnsi="Book Antiqua"/>
          <w:sz w:val="20"/>
        </w:rPr>
      </w:pPr>
      <w:r w:rsidRPr="00D114A4">
        <w:rPr>
          <w:rFonts w:ascii="Book Antiqua" w:hAnsi="Book Antiqua"/>
          <w:sz w:val="20"/>
        </w:rPr>
        <w:t xml:space="preserve">With both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atomic mass, </w:t>
      </w:r>
      <m:oMath>
        <m:r>
          <w:rPr>
            <w:rFonts w:ascii="Cambria Math" w:hAnsi="Cambria Math"/>
            <w:sz w:val="20"/>
          </w:rPr>
          <m:t>m</m:t>
        </m:r>
      </m:oMath>
      <w:r w:rsidRPr="00D114A4">
        <w:rPr>
          <w:rFonts w:ascii="Book Antiqua" w:hAnsi="Book Antiqua"/>
          <w:sz w:val="20"/>
        </w:rPr>
        <w:t xml:space="preserve">, having units of kilograms, their product in (56) assures us that the dimensions of gravitational mass, </w:t>
      </w:r>
      <m:oMath>
        <m:r>
          <w:rPr>
            <w:rFonts w:ascii="Cambria Math" w:hAnsi="Cambria Math"/>
            <w:sz w:val="20"/>
          </w:rPr>
          <m:t>M</m:t>
        </m:r>
      </m:oMath>
      <w:r w:rsidRPr="00D114A4">
        <w:rPr>
          <w:rFonts w:ascii="Book Antiqua" w:hAnsi="Book Antiqua"/>
          <w:sz w:val="20"/>
        </w:rPr>
        <w:t xml:space="preserve">, is also in kilograms and therefore has units of mass. The behavior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and </w:t>
      </w:r>
      <m:oMath>
        <m:r>
          <w:rPr>
            <w:rFonts w:ascii="Cambria Math" w:hAnsi="Cambria Math"/>
            <w:sz w:val="20"/>
          </w:rPr>
          <m:t>m</m:t>
        </m:r>
      </m:oMath>
      <w:r w:rsidRPr="00D114A4">
        <w:rPr>
          <w:rFonts w:ascii="Book Antiqua" w:hAnsi="Book Antiqua"/>
          <w:sz w:val="20"/>
        </w:rPr>
        <w:t xml:space="preserve"> is such that the intrinsic mass is proportional to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is the same as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U</m:t>
            </m:r>
            <m:r>
              <m:rPr>
                <m:sty m:val="p"/>
              </m:rPr>
              <w:rPr>
                <w:rFonts w:ascii="Cambria Math" w:hAnsi="Book Antiqua"/>
                <w:sz w:val="20"/>
              </w:rPr>
              <m:t xml:space="preserve"> </m:t>
            </m:r>
          </m:e>
          <m:sup>
            <m:r>
              <m:rPr>
                <m:sty m:val="p"/>
              </m:rPr>
              <w:rPr>
                <w:rFonts w:ascii="Cambria Math" w:hAnsi="Book Antiqua"/>
                <w:sz w:val="20"/>
              </w:rPr>
              <m:t>2</m:t>
            </m:r>
          </m:sup>
        </m:sSup>
      </m:oMath>
      <w:r w:rsidRPr="00D114A4">
        <w:rPr>
          <w:rFonts w:ascii="Book Antiqua" w:hAnsi="Book Antiqua"/>
          <w:sz w:val="20"/>
        </w:rPr>
        <w:t xml:space="preserve"> or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h</m:t>
            </m:r>
          </m:e>
          <m:sup>
            <m:r>
              <m:rPr>
                <m:sty m:val="p"/>
              </m:rPr>
              <w:rPr>
                <w:rFonts w:ascii="Cambria Math" w:hAnsi="Book Antiqua"/>
                <w:sz w:val="20"/>
              </w:rPr>
              <m:t>2</m:t>
            </m:r>
          </m:sup>
        </m:sSup>
      </m:oMath>
      <w:r w:rsidRPr="00D114A4">
        <w:rPr>
          <w:rFonts w:ascii="Book Antiqua" w:hAnsi="Book Antiqua"/>
          <w:sz w:val="20"/>
        </w:rPr>
        <w:t xml:space="preserve">. Therefore, as the ZPE strength increases,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will decrease, as shown by (25). In contra-distinction to intrinsic mass, atomic mass, </w:t>
      </w:r>
      <m:oMath>
        <m:r>
          <w:rPr>
            <w:rFonts w:ascii="Cambria Math" w:hAnsi="Cambria Math"/>
            <w:sz w:val="20"/>
          </w:rPr>
          <m:t>m</m:t>
        </m:r>
      </m:oMath>
      <w:r w:rsidRPr="00D114A4">
        <w:rPr>
          <w:rFonts w:ascii="Book Antiqua" w:hAnsi="Book Antiqua"/>
          <w:sz w:val="20"/>
        </w:rPr>
        <w:t xml:space="preserve">, is proportional to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allows energy to be conserved in atomic interactions as required by </w:t>
      </w:r>
      <m:oMath>
        <m:r>
          <w:rPr>
            <w:rFonts w:ascii="Cambria Math" w:hAnsi="Cambria Math"/>
            <w:sz w:val="20"/>
          </w:rPr>
          <m:t>E</m:t>
        </m:r>
        <m:r>
          <m:rPr>
            <m:sty m:val="p"/>
          </m:rPr>
          <w:rPr>
            <w:rFonts w:ascii="Cambria Math" w:hAnsi="Book Antiqua"/>
            <w:sz w:val="20"/>
          </w:rPr>
          <m:t xml:space="preserve"> = </m:t>
        </m:r>
        <m:r>
          <w:rPr>
            <w:rFonts w:ascii="Cambria Math" w:hAnsi="Cambria Math"/>
            <w:sz w:val="20"/>
          </w:rPr>
          <m:t>m</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w:t>
      </w:r>
      <w:r>
        <w:rPr>
          <w:rFonts w:ascii="Book Antiqua" w:hAnsi="Book Antiqua"/>
          <w:sz w:val="20"/>
        </w:rPr>
        <w:t xml:space="preserve"> </w:t>
      </w:r>
      <w:r w:rsidR="00820B57" w:rsidRPr="00B9776F">
        <w:rPr>
          <w:rFonts w:ascii="Book Antiqua" w:hAnsi="Book Antiqua"/>
          <w:sz w:val="20"/>
        </w:rPr>
        <w:t xml:space="preserve">Experimentally, this has proven to be true in the atomic realm. These results finally require that the gravitational mass, </w:t>
      </w:r>
      <w:r w:rsidR="00820B57" w:rsidRPr="00B9776F">
        <w:rPr>
          <w:rFonts w:ascii="Book Antiqua" w:hAnsi="Book Antiqua"/>
          <w:i/>
          <w:sz w:val="20"/>
        </w:rPr>
        <w:t>M</w:t>
      </w:r>
      <w:r w:rsidR="00820B57" w:rsidRPr="00B9776F">
        <w:rPr>
          <w:rFonts w:ascii="Book Antiqua" w:hAnsi="Book Antiqua"/>
          <w:sz w:val="20"/>
        </w:rPr>
        <w:t xml:space="preserve">, be constant as the ZPE strength changes. </w:t>
      </w:r>
    </w:p>
    <w:p w:rsidR="00820B57" w:rsidRPr="00B9776F" w:rsidRDefault="00820B57" w:rsidP="00820B57">
      <w:pPr>
        <w:pStyle w:val="NoSpacing"/>
        <w:ind w:firstLine="720"/>
        <w:jc w:val="both"/>
        <w:rPr>
          <w:rFonts w:ascii="Book Antiqua" w:hAnsi="Book Antiqua"/>
          <w:sz w:val="20"/>
        </w:rPr>
      </w:pP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 xml:space="preserve">Although the three masses are distinct from each other, their numerical values are approximately the same. This should be anticipated since, 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were once more standardized. Further developments required that the definitions be slightly revised again in 1979. These results are therefore in accord with experimental data and current standards.</w:t>
      </w:r>
      <w:r w:rsidR="00150686">
        <w:rPr>
          <w:rFonts w:ascii="Book Antiqua" w:hAnsi="Book Antiqua"/>
          <w:sz w:val="20"/>
        </w:rPr>
        <w:t xml:space="preserve"> </w:t>
      </w:r>
      <w:r w:rsidRPr="00B9776F">
        <w:rPr>
          <w:rFonts w:ascii="Book Antiqua" w:hAnsi="Book Antiqua"/>
          <w:sz w:val="20"/>
        </w:rPr>
        <w:t xml:space="preserve">When allowance is made for the uncertainty in the oscillation frequency for </w:t>
      </w:r>
      <m:oMath>
        <m:r>
          <w:rPr>
            <w:rFonts w:ascii="Cambria Math" w:hAnsi="Cambria Math" w:cs="Cambria Math"/>
            <w:sz w:val="20"/>
          </w:rPr>
          <m:t>m</m:t>
        </m:r>
      </m:oMath>
      <w:r w:rsidRPr="00B9776F">
        <w:rPr>
          <w:rFonts w:ascii="Book Antiqua" w:hAnsi="Book Antiqua"/>
          <w:sz w:val="20"/>
        </w:rPr>
        <w:t>, then the three masses are very close to the same value as a result of recent re-definitions. Thus the difference between the three masses is not great when the approach used here is adopted.</w:t>
      </w:r>
    </w:p>
    <w:p w:rsidR="00123FF5" w:rsidRDefault="00123FF5" w:rsidP="00820B57">
      <w:pPr>
        <w:pStyle w:val="NoSpacing"/>
        <w:ind w:firstLine="720"/>
        <w:jc w:val="both"/>
        <w:rPr>
          <w:rFonts w:ascii="Book Antiqua" w:hAnsi="Book Antiqua"/>
          <w:sz w:val="20"/>
        </w:rPr>
      </w:pPr>
    </w:p>
    <w:p w:rsidR="007F2BEC" w:rsidRPr="00B9776F" w:rsidRDefault="001D1F40" w:rsidP="007F2BEC">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2.2</w:t>
      </w:r>
      <w:r w:rsidR="007F2BEC" w:rsidRPr="00B9776F">
        <w:rPr>
          <w:rFonts w:ascii="Book Antiqua" w:hAnsi="Book Antiqua" w:cs="Times New Roman"/>
          <w:b w:val="0"/>
          <w:sz w:val="20"/>
          <w:szCs w:val="20"/>
        </w:rPr>
        <w:t xml:space="preserve">  </w:t>
      </w:r>
      <w:r w:rsidR="007F2BEC">
        <w:rPr>
          <w:rFonts w:ascii="Book Antiqua" w:hAnsi="Book Antiqua" w:cs="Times New Roman"/>
          <w:b w:val="0"/>
          <w:sz w:val="20"/>
          <w:szCs w:val="20"/>
        </w:rPr>
        <w:t>A Parallel Example From Electronics</w:t>
      </w:r>
    </w:p>
    <w:p w:rsidR="007F2BEC" w:rsidRDefault="007F2BEC" w:rsidP="00820B57">
      <w:pPr>
        <w:pStyle w:val="NoSpacing"/>
        <w:ind w:firstLine="720"/>
        <w:jc w:val="both"/>
        <w:rPr>
          <w:rFonts w:ascii="Book Antiqua" w:hAnsi="Book Antiqua"/>
          <w:sz w:val="20"/>
        </w:rPr>
      </w:pPr>
    </w:p>
    <w:p w:rsidR="00123FF5" w:rsidRDefault="00123FF5" w:rsidP="00820B57">
      <w:pPr>
        <w:pStyle w:val="NoSpacing"/>
        <w:ind w:firstLine="720"/>
        <w:jc w:val="both"/>
        <w:rPr>
          <w:rFonts w:ascii="Book Antiqua" w:hAnsi="Book Antiqua"/>
          <w:sz w:val="20"/>
        </w:rPr>
      </w:pPr>
      <w:r>
        <w:rPr>
          <w:rFonts w:ascii="Book Antiqua" w:hAnsi="Book Antiqua"/>
          <w:sz w:val="20"/>
        </w:rPr>
        <w:t xml:space="preserve">This relationship between masses has its counterpart in electronics. There, the mutual inductance, </w:t>
      </w:r>
      <m:oMath>
        <m:r>
          <w:rPr>
            <w:rFonts w:ascii="Cambria Math" w:hAnsi="Cambria Math"/>
            <w:sz w:val="20"/>
          </w:rPr>
          <m:t>L</m:t>
        </m:r>
      </m:oMath>
      <w:r>
        <w:rPr>
          <w:rFonts w:ascii="Book Antiqua" w:hAnsi="Book Antiqua"/>
          <w:sz w:val="20"/>
        </w:rPr>
        <w:t>, between two coils</w:t>
      </w:r>
      <w:r w:rsidR="004572C3">
        <w:rPr>
          <w:rFonts w:ascii="Book Antiqua" w:hAnsi="Book Antiqua"/>
          <w:sz w:val="20"/>
        </w:rPr>
        <w:t>,</w:t>
      </w:r>
      <w:r>
        <w:rPr>
          <w:rFonts w:ascii="Book Antiqua" w:hAnsi="Book Antiqua"/>
          <w:sz w:val="20"/>
        </w:rPr>
        <w:t xml:space="preserve"> whose inductances are </w:t>
      </w:r>
      <m:oMath>
        <m:r>
          <w:rPr>
            <w:rFonts w:ascii="Cambria Math" w:hAnsi="Cambria Math"/>
            <w:sz w:val="20"/>
          </w:rPr>
          <m:t>l</m:t>
        </m:r>
      </m:oMath>
      <w:r>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Pr>
          <w:rFonts w:ascii="Book Antiqua" w:hAnsi="Book Antiqua"/>
          <w:sz w:val="20"/>
        </w:rPr>
        <w:t xml:space="preserve"> respectively</w:t>
      </w:r>
      <w:r w:rsidR="004572C3">
        <w:rPr>
          <w:rFonts w:ascii="Book Antiqua" w:hAnsi="Book Antiqua"/>
          <w:sz w:val="20"/>
        </w:rPr>
        <w:t>,</w:t>
      </w:r>
      <w:r>
        <w:rPr>
          <w:rFonts w:ascii="Book Antiqua" w:hAnsi="Book Antiqua"/>
          <w:sz w:val="20"/>
        </w:rPr>
        <w:t xml:space="preserve"> has exactly the same</w:t>
      </w:r>
      <w:r w:rsidR="005F51F7">
        <w:rPr>
          <w:rFonts w:ascii="Book Antiqua" w:hAnsi="Book Antiqua"/>
          <w:sz w:val="20"/>
        </w:rPr>
        <w:t xml:space="preserve"> mathematical and physical </w:t>
      </w:r>
      <w:r>
        <w:rPr>
          <w:rFonts w:ascii="Book Antiqua" w:hAnsi="Book Antiqua"/>
          <w:sz w:val="20"/>
        </w:rPr>
        <w:t>form, namely</w:t>
      </w:r>
      <w:r w:rsidR="00FF10FD">
        <w:rPr>
          <w:rFonts w:ascii="Book Antiqua" w:hAnsi="Book Antiqua"/>
          <w:sz w:val="20"/>
        </w:rPr>
        <w:t>:</w:t>
      </w:r>
    </w:p>
    <w:p w:rsidR="00FF10FD" w:rsidRDefault="00FF10FD" w:rsidP="00820B57">
      <w:pPr>
        <w:pStyle w:val="NoSpacing"/>
        <w:ind w:firstLine="720"/>
        <w:jc w:val="both"/>
        <w:rPr>
          <w:rFonts w:ascii="Book Antiqua" w:hAnsi="Book Antiqua"/>
          <w:sz w:val="20"/>
        </w:rPr>
      </w:pPr>
    </w:p>
    <w:p w:rsidR="00FF10FD" w:rsidRDefault="003629F1" w:rsidP="00DC39B2">
      <w:pPr>
        <w:pStyle w:val="NoSpacing"/>
        <w:ind w:firstLine="720"/>
        <w:jc w:val="right"/>
        <w:rPr>
          <w:rFonts w:ascii="Book Antiqua" w:hAnsi="Book Antiqua"/>
          <w:sz w:val="20"/>
        </w:rPr>
      </w:pPr>
      <m:oMath>
        <m:r>
          <w:rPr>
            <w:rFonts w:ascii="Cambria Math" w:hAnsi="Cambria Math"/>
            <w:sz w:val="20"/>
          </w:rPr>
          <m:t>L=k √(</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r>
          <w:rPr>
            <w:rFonts w:ascii="Cambria Math" w:hAnsi="Cambria Math"/>
            <w:sz w:val="20"/>
          </w:rPr>
          <m:t>)</m:t>
        </m:r>
      </m:oMath>
      <w:r>
        <w:rPr>
          <w:rFonts w:ascii="Book Antiqua" w:hAnsi="Book Antiqua"/>
          <w:sz w:val="20"/>
        </w:rPr>
        <w:t xml:space="preserve">  </w:t>
      </w:r>
      <w:r w:rsidR="00FF10FD">
        <w:rPr>
          <w:rFonts w:ascii="Book Antiqua" w:hAnsi="Book Antiqua"/>
          <w:sz w:val="20"/>
        </w:rPr>
        <w:t xml:space="preserve">     </w:t>
      </w:r>
      <w:r w:rsidR="00FF10FD" w:rsidRPr="000C6232">
        <w:rPr>
          <w:rFonts w:ascii="Book Antiqua" w:hAnsi="Book Antiqua"/>
          <w:i/>
          <w:sz w:val="20"/>
        </w:rPr>
        <w:t>or alternately</w:t>
      </w:r>
      <w:r w:rsidR="00FF10FD">
        <w:rPr>
          <w:rFonts w:ascii="Book Antiqua" w:hAnsi="Book Antiqua"/>
          <w:sz w:val="20"/>
        </w:rPr>
        <w:t xml:space="preserve">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r>
          <w:rPr>
            <w:rFonts w:ascii="Cambria Math" w:hAnsi="Cambria Math"/>
            <w:sz w:val="20"/>
          </w:rPr>
          <m:t>(</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r>
          <w:rPr>
            <w:rFonts w:ascii="Cambria Math" w:hAnsi="Cambria Math"/>
            <w:sz w:val="20"/>
          </w:rPr>
          <m:t>)</m:t>
        </m:r>
      </m:oMath>
      <w:r w:rsidR="00FF10FD">
        <w:rPr>
          <w:rFonts w:ascii="Book Antiqua" w:hAnsi="Book Antiqua"/>
          <w:sz w:val="20"/>
        </w:rPr>
        <w:t xml:space="preserve"> </w:t>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FF10FD" w:rsidRPr="00663DBB">
        <w:rPr>
          <w:rFonts w:ascii="Book Antiqua" w:hAnsi="Book Antiqua"/>
          <w:i/>
          <w:sz w:val="20"/>
        </w:rPr>
        <w:t>(6</w:t>
      </w:r>
      <w:r w:rsidR="00663DBB" w:rsidRPr="00663DBB">
        <w:rPr>
          <w:rFonts w:ascii="Book Antiqua" w:hAnsi="Book Antiqua"/>
          <w:i/>
          <w:sz w:val="20"/>
        </w:rPr>
        <w:t>2</w:t>
      </w:r>
      <w:r w:rsidR="00FF10FD" w:rsidRPr="00663DBB">
        <w:rPr>
          <w:rFonts w:ascii="Book Antiqua" w:hAnsi="Book Antiqua"/>
          <w:i/>
          <w:sz w:val="20"/>
        </w:rPr>
        <w:t>)</w:t>
      </w:r>
    </w:p>
    <w:p w:rsidR="000C6232" w:rsidRDefault="000C6232" w:rsidP="000C6232">
      <w:pPr>
        <w:pStyle w:val="NoSpacing"/>
        <w:rPr>
          <w:rFonts w:ascii="Book Antiqua" w:hAnsi="Book Antiqua"/>
          <w:sz w:val="20"/>
        </w:rPr>
      </w:pPr>
    </w:p>
    <w:p w:rsidR="000C6232" w:rsidRDefault="002F390B" w:rsidP="000C6232">
      <w:pPr>
        <w:pStyle w:val="NoSpacing"/>
        <w:rPr>
          <w:rFonts w:ascii="Book Antiqua" w:hAnsi="Book Antiqua"/>
          <w:sz w:val="20"/>
        </w:rPr>
      </w:pPr>
      <w:r>
        <w:rPr>
          <w:rFonts w:ascii="Book Antiqua" w:hAnsi="Book Antiqua"/>
          <w:sz w:val="20"/>
        </w:rPr>
        <w:t xml:space="preserve">[See for example: </w:t>
      </w:r>
      <w:hyperlink r:id="rId163" w:history="1">
        <w:r w:rsidRPr="00B63012">
          <w:rPr>
            <w:rStyle w:val="Hyperlink"/>
            <w:rFonts w:ascii="Book Antiqua" w:hAnsi="Book Antiqua"/>
            <w:i/>
            <w:sz w:val="20"/>
          </w:rPr>
          <w:t>http://en.wikipedia.org/wiki/Inductance</w:t>
        </w:r>
      </w:hyperlink>
      <w:r>
        <w:rPr>
          <w:rFonts w:ascii="Book Antiqua" w:hAnsi="Book Antiqua"/>
          <w:sz w:val="20"/>
        </w:rPr>
        <w:t xml:space="preserve">]. </w:t>
      </w:r>
      <w:r w:rsidR="000C6232">
        <w:rPr>
          <w:rFonts w:ascii="Book Antiqua" w:hAnsi="Book Antiqua"/>
          <w:sz w:val="20"/>
        </w:rPr>
        <w:t>In th</w:t>
      </w:r>
      <w:r>
        <w:rPr>
          <w:rFonts w:ascii="Book Antiqua" w:hAnsi="Book Antiqua"/>
          <w:sz w:val="20"/>
        </w:rPr>
        <w:t xml:space="preserve">e case of </w:t>
      </w:r>
      <w:r w:rsidR="000C6232">
        <w:rPr>
          <w:rFonts w:ascii="Book Antiqua" w:hAnsi="Book Antiqua"/>
          <w:sz w:val="20"/>
        </w:rPr>
        <w:t>electronics</w:t>
      </w:r>
      <w:r>
        <w:rPr>
          <w:rFonts w:ascii="Book Antiqua" w:hAnsi="Book Antiqua"/>
          <w:sz w:val="20"/>
        </w:rPr>
        <w:t xml:space="preserve"> and related fields, i</w:t>
      </w:r>
      <w:r w:rsidR="000C6232">
        <w:rPr>
          <w:rFonts w:ascii="Book Antiqua" w:hAnsi="Book Antiqua"/>
          <w:sz w:val="20"/>
        </w:rPr>
        <w:t xml:space="preserve">t is usual to employ a coefficient, </w:t>
      </w:r>
      <m:oMath>
        <m:r>
          <w:rPr>
            <w:rFonts w:ascii="Cambria Math" w:hAnsi="Cambria Math"/>
            <w:sz w:val="20"/>
          </w:rPr>
          <m:t>k</m:t>
        </m:r>
      </m:oMath>
      <w:r w:rsidR="000C6232">
        <w:rPr>
          <w:rFonts w:ascii="Book Antiqua" w:hAnsi="Book Antiqua"/>
          <w:sz w:val="20"/>
        </w:rPr>
        <w:t xml:space="preserve"> or </w:t>
      </w:r>
      <m:oMath>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oMath>
      <w:r w:rsidR="000C6232">
        <w:rPr>
          <w:rFonts w:ascii="Book Antiqua" w:hAnsi="Book Antiqua"/>
          <w:sz w:val="20"/>
        </w:rPr>
        <w:t xml:space="preserve"> , such that</w:t>
      </w:r>
    </w:p>
    <w:p w:rsidR="000C6232" w:rsidRDefault="000C6232" w:rsidP="000C6232">
      <w:pPr>
        <w:pStyle w:val="NoSpacing"/>
        <w:rPr>
          <w:rFonts w:ascii="Book Antiqua" w:hAnsi="Book Antiqua"/>
          <w:sz w:val="20"/>
        </w:rPr>
      </w:pPr>
    </w:p>
    <w:p w:rsidR="000C6232" w:rsidRPr="00B9776F" w:rsidRDefault="000C6232" w:rsidP="00BF2F63">
      <w:pPr>
        <w:pStyle w:val="NoSpacing"/>
        <w:jc w:val="right"/>
        <w:rPr>
          <w:rFonts w:ascii="Book Antiqua" w:hAnsi="Book Antiqua"/>
          <w:sz w:val="20"/>
        </w:rPr>
      </w:pPr>
      <m:oMath>
        <m:r>
          <w:rPr>
            <w:rFonts w:ascii="Cambria Math" w:hAnsi="Cambria Math"/>
            <w:sz w:val="20"/>
          </w:rPr>
          <m:t xml:space="preserve">0 </m:t>
        </m:r>
        <m:r>
          <w:rPr>
            <w:rFonts w:ascii="Cambria Math" w:hAnsi="Cambria Math"/>
            <w:sz w:val="20"/>
            <w:u w:val="single"/>
          </w:rPr>
          <m:t>≤</m:t>
        </m:r>
        <m:r>
          <w:rPr>
            <w:rFonts w:ascii="Cambria Math" w:hAnsi="Cambria Math"/>
            <w:sz w:val="20"/>
          </w:rPr>
          <m:t xml:space="preserve"> k </m:t>
        </m:r>
        <m:r>
          <w:rPr>
            <w:rFonts w:ascii="Cambria Math" w:hAnsi="Cambria Math"/>
            <w:sz w:val="20"/>
            <w:u w:val="single"/>
          </w:rPr>
          <m:t>≤</m:t>
        </m:r>
        <m:r>
          <w:rPr>
            <w:rFonts w:ascii="Cambria Math" w:hAnsi="Cambria Math"/>
            <w:sz w:val="20"/>
          </w:rPr>
          <m:t xml:space="preserve"> 1</m:t>
        </m:r>
      </m:oMath>
      <w:r>
        <w:rPr>
          <w:rFonts w:ascii="Book Antiqua" w:hAnsi="Book Antiqua"/>
          <w:sz w:val="20"/>
        </w:rPr>
        <w:t xml:space="preserve">     </w:t>
      </w:r>
      <w:r w:rsidRPr="000C6232">
        <w:rPr>
          <w:rFonts w:ascii="Book Antiqua" w:hAnsi="Book Antiqua"/>
          <w:i/>
          <w:sz w:val="20"/>
        </w:rPr>
        <w:t>or alternately</w:t>
      </w:r>
      <w:r>
        <w:rPr>
          <w:rFonts w:ascii="Book Antiqua" w:hAnsi="Book Antiqua"/>
          <w:sz w:val="20"/>
        </w:rPr>
        <w:t xml:space="preserve">    </w:t>
      </w:r>
      <m:oMath>
        <m:r>
          <w:rPr>
            <w:rFonts w:ascii="Cambria Math" w:hAnsi="Cambria Math"/>
            <w:sz w:val="20"/>
          </w:rPr>
          <m:t xml:space="preserve">0 </m:t>
        </m:r>
        <m:r>
          <w:rPr>
            <w:rFonts w:ascii="Cambria Math" w:hAnsi="Cambria Math"/>
            <w:sz w:val="20"/>
            <w:u w:val="single"/>
          </w:rPr>
          <m:t>≤</m:t>
        </m:r>
        <m:sSup>
          <m:sSupPr>
            <m:ctrlPr>
              <w:rPr>
                <w:rFonts w:ascii="Cambria Math" w:hAnsi="Cambria Math"/>
                <w:i/>
                <w:sz w:val="20"/>
              </w:rPr>
            </m:ctrlPr>
          </m:sSupPr>
          <m:e>
            <m:r>
              <w:rPr>
                <w:rFonts w:ascii="Cambria Math" w:hAnsi="Cambria Math"/>
                <w:sz w:val="20"/>
              </w:rPr>
              <m:t xml:space="preserve"> k</m:t>
            </m:r>
          </m:e>
          <m:sup>
            <m:r>
              <w:rPr>
                <w:rFonts w:ascii="Cambria Math" w:hAnsi="Cambria Math"/>
                <w:sz w:val="20"/>
              </w:rPr>
              <m:t>*</m:t>
            </m:r>
          </m:sup>
        </m:sSup>
        <m:r>
          <w:rPr>
            <w:rFonts w:ascii="Cambria Math" w:hAnsi="Cambria Math"/>
            <w:sz w:val="20"/>
          </w:rPr>
          <m:t xml:space="preserve">  </m:t>
        </m:r>
        <m:r>
          <w:rPr>
            <w:rFonts w:ascii="Cambria Math" w:hAnsi="Cambria Math"/>
            <w:sz w:val="20"/>
            <w:u w:val="single"/>
          </w:rPr>
          <m:t xml:space="preserve">≤ </m:t>
        </m:r>
        <m:r>
          <w:rPr>
            <w:rFonts w:ascii="Cambria Math" w:hAnsi="Cambria Math"/>
            <w:sz w:val="20"/>
          </w:rPr>
          <m:t>1</m:t>
        </m:r>
      </m:oMath>
      <w:r>
        <w:rPr>
          <w:rFonts w:ascii="Book Antiqua" w:hAnsi="Book Antiqua"/>
          <w:sz w:val="20"/>
        </w:rPr>
        <w:t xml:space="preserve">  </w:t>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Pr>
          <w:rFonts w:ascii="Book Antiqua" w:hAnsi="Book Antiqua"/>
          <w:sz w:val="20"/>
        </w:rPr>
        <w:t xml:space="preserve"> </w:t>
      </w:r>
      <w:r w:rsidRPr="00663DBB">
        <w:rPr>
          <w:rFonts w:ascii="Book Antiqua" w:hAnsi="Book Antiqua"/>
          <w:i/>
          <w:sz w:val="20"/>
        </w:rPr>
        <w:t>(6</w:t>
      </w:r>
      <w:r w:rsidR="00663DBB" w:rsidRPr="00663DBB">
        <w:rPr>
          <w:rFonts w:ascii="Book Antiqua" w:hAnsi="Book Antiqua"/>
          <w:i/>
          <w:sz w:val="20"/>
        </w:rPr>
        <w:t>3</w:t>
      </w:r>
      <w:r w:rsidRPr="00663DBB">
        <w:rPr>
          <w:rFonts w:ascii="Book Antiqua" w:hAnsi="Book Antiqua"/>
          <w:i/>
          <w:sz w:val="20"/>
        </w:rPr>
        <w:t>)</w:t>
      </w:r>
    </w:p>
    <w:p w:rsidR="00820B57" w:rsidRDefault="00820B57" w:rsidP="00820B57">
      <w:pPr>
        <w:pStyle w:val="NoSpacing"/>
        <w:jc w:val="both"/>
        <w:rPr>
          <w:rFonts w:ascii="Book Antiqua" w:hAnsi="Book Antiqua"/>
          <w:sz w:val="20"/>
        </w:rPr>
      </w:pPr>
      <w:r w:rsidRPr="00B9776F">
        <w:rPr>
          <w:rFonts w:ascii="Book Antiqua" w:hAnsi="Book Antiqua"/>
          <w:sz w:val="20"/>
        </w:rPr>
        <w:lastRenderedPageBreak/>
        <w:t xml:space="preserve"> </w:t>
      </w:r>
    </w:p>
    <w:p w:rsidR="00C20E2C" w:rsidRDefault="00C20E2C" w:rsidP="00820B57">
      <w:pPr>
        <w:pStyle w:val="NoSpacing"/>
        <w:jc w:val="both"/>
        <w:rPr>
          <w:rFonts w:ascii="Book Antiqua" w:hAnsi="Book Antiqua"/>
          <w:sz w:val="20"/>
        </w:rPr>
      </w:pPr>
      <w:r>
        <w:rPr>
          <w:rFonts w:ascii="Book Antiqua" w:hAnsi="Book Antiqua"/>
          <w:sz w:val="20"/>
        </w:rPr>
        <w:t xml:space="preserve">These formulae indicate that there is electrical “communication” between the two coils. A change in current in one coil induces a change in voltage in the other, and vice versa. The mutual inductance, </w:t>
      </w:r>
      <m:oMath>
        <m:r>
          <w:rPr>
            <w:rFonts w:ascii="Cambria Math" w:hAnsi="Cambria Math"/>
            <w:sz w:val="20"/>
          </w:rPr>
          <m:t>L</m:t>
        </m:r>
      </m:oMath>
      <w:r>
        <w:rPr>
          <w:rFonts w:ascii="Book Antiqua" w:hAnsi="Book Antiqua"/>
          <w:sz w:val="20"/>
        </w:rPr>
        <w:t>, is a measure of this coupling between the</w:t>
      </w:r>
      <w:r w:rsidR="007F2BEC">
        <w:rPr>
          <w:rFonts w:ascii="Book Antiqua" w:hAnsi="Book Antiqua"/>
          <w:sz w:val="20"/>
        </w:rPr>
        <w:t>se</w:t>
      </w:r>
      <w:r>
        <w:rPr>
          <w:rFonts w:ascii="Book Antiqua" w:hAnsi="Book Antiqua"/>
          <w:sz w:val="20"/>
        </w:rPr>
        <w:t xml:space="preserve"> two circuits. </w:t>
      </w:r>
    </w:p>
    <w:p w:rsidR="00C20E2C" w:rsidRDefault="00C20E2C" w:rsidP="00820B57">
      <w:pPr>
        <w:pStyle w:val="NoSpacing"/>
        <w:jc w:val="both"/>
        <w:rPr>
          <w:rFonts w:ascii="Book Antiqua" w:hAnsi="Book Antiqua"/>
          <w:sz w:val="20"/>
        </w:rPr>
      </w:pPr>
    </w:p>
    <w:p w:rsidR="00C20E2C" w:rsidRDefault="00C20E2C" w:rsidP="00492A3D">
      <w:pPr>
        <w:pStyle w:val="NoSpacing"/>
        <w:ind w:firstLine="720"/>
        <w:jc w:val="both"/>
        <w:rPr>
          <w:rFonts w:ascii="Book Antiqua" w:hAnsi="Book Antiqua"/>
          <w:sz w:val="20"/>
        </w:rPr>
      </w:pPr>
      <w:r>
        <w:rPr>
          <w:rFonts w:ascii="Book Antiqua" w:hAnsi="Book Antiqua"/>
          <w:sz w:val="20"/>
        </w:rPr>
        <w:t>In the case of</w:t>
      </w:r>
      <w:r w:rsidR="00842AE8">
        <w:rPr>
          <w:rFonts w:ascii="Book Antiqua" w:hAnsi="Book Antiqua"/>
          <w:sz w:val="20"/>
        </w:rPr>
        <w:t xml:space="preserve"> gravity and the ZPE</w:t>
      </w:r>
      <w:r>
        <w:rPr>
          <w:rFonts w:ascii="Book Antiqua" w:hAnsi="Book Antiqua"/>
          <w:sz w:val="20"/>
        </w:rPr>
        <w:t>,</w:t>
      </w:r>
      <w:r w:rsidR="00492A3D">
        <w:rPr>
          <w:rFonts w:ascii="Book Antiqua" w:hAnsi="Book Antiqua"/>
          <w:sz w:val="20"/>
        </w:rPr>
        <w:t xml:space="preserve"> the </w:t>
      </w:r>
      <w:r w:rsidR="004572C3">
        <w:rPr>
          <w:rFonts w:ascii="Book Antiqua" w:hAnsi="Book Antiqua"/>
          <w:sz w:val="20"/>
        </w:rPr>
        <w:t xml:space="preserve">gravitational mass, </w:t>
      </w:r>
      <m:oMath>
        <m:r>
          <w:rPr>
            <w:rFonts w:ascii="Cambria Math" w:hAnsi="Cambria Math"/>
            <w:sz w:val="20"/>
          </w:rPr>
          <m:t>M</m:t>
        </m:r>
      </m:oMath>
      <w:r w:rsidR="004572C3">
        <w:rPr>
          <w:rFonts w:ascii="Book Antiqua" w:hAnsi="Book Antiqua"/>
          <w:sz w:val="20"/>
        </w:rPr>
        <w:t xml:space="preserve">, </w:t>
      </w:r>
      <w:r w:rsidR="00492A3D">
        <w:rPr>
          <w:rFonts w:ascii="Book Antiqua" w:hAnsi="Book Antiqua"/>
          <w:sz w:val="20"/>
        </w:rPr>
        <w:t>is</w:t>
      </w:r>
      <w:r w:rsidR="002A5F96">
        <w:rPr>
          <w:rFonts w:ascii="Book Antiqua" w:hAnsi="Book Antiqua"/>
          <w:sz w:val="20"/>
        </w:rPr>
        <w:t xml:space="preserve"> </w:t>
      </w:r>
      <w:r w:rsidR="00492A3D">
        <w:rPr>
          <w:rFonts w:ascii="Book Antiqua" w:hAnsi="Book Antiqua"/>
          <w:sz w:val="20"/>
        </w:rPr>
        <w:t xml:space="preserve">the mutual coupling between the two types of mass, </w:t>
      </w:r>
      <m:oMath>
        <m:r>
          <w:rPr>
            <w:rFonts w:ascii="Cambria Math" w:hAnsi="Cambria Math"/>
            <w:sz w:val="20"/>
          </w:rPr>
          <m:t>m</m:t>
        </m:r>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oMath>
      <w:r w:rsidR="00492A3D">
        <w:rPr>
          <w:rFonts w:ascii="Book Antiqua" w:hAnsi="Book Antiqua"/>
          <w:sz w:val="20"/>
        </w:rPr>
        <w:t xml:space="preserve"> , that make up the system. In </w:t>
      </w:r>
      <w:r w:rsidR="002A5F96">
        <w:rPr>
          <w:rFonts w:ascii="Book Antiqua" w:hAnsi="Book Antiqua"/>
          <w:sz w:val="20"/>
        </w:rPr>
        <w:t xml:space="preserve">this way it parallels </w:t>
      </w:r>
      <w:r w:rsidR="00492A3D">
        <w:rPr>
          <w:rFonts w:ascii="Book Antiqua" w:hAnsi="Book Antiqua"/>
          <w:sz w:val="20"/>
        </w:rPr>
        <w:t xml:space="preserve">the quantity </w:t>
      </w:r>
      <m:oMath>
        <m:r>
          <w:rPr>
            <w:rFonts w:ascii="Cambria Math" w:hAnsi="Cambria Math"/>
            <w:sz w:val="20"/>
          </w:rPr>
          <m:t>L</m:t>
        </m:r>
      </m:oMath>
      <w:r w:rsidR="00492A3D">
        <w:rPr>
          <w:rFonts w:ascii="Book Antiqua" w:hAnsi="Book Antiqua"/>
          <w:sz w:val="20"/>
        </w:rPr>
        <w:t xml:space="preserve"> in (6</w:t>
      </w:r>
      <w:r w:rsidR="00663DBB">
        <w:rPr>
          <w:rFonts w:ascii="Book Antiqua" w:hAnsi="Book Antiqua"/>
          <w:sz w:val="20"/>
        </w:rPr>
        <w:t>2</w:t>
      </w:r>
      <w:r w:rsidR="00492A3D">
        <w:rPr>
          <w:rFonts w:ascii="Book Antiqua" w:hAnsi="Book Antiqua"/>
          <w:sz w:val="20"/>
        </w:rPr>
        <w:t xml:space="preserve">) </w:t>
      </w:r>
      <w:r w:rsidR="002A5F96">
        <w:rPr>
          <w:rFonts w:ascii="Book Antiqua" w:hAnsi="Book Antiqua"/>
          <w:sz w:val="20"/>
        </w:rPr>
        <w:t xml:space="preserve">which </w:t>
      </w:r>
      <w:r w:rsidR="00492A3D">
        <w:rPr>
          <w:rFonts w:ascii="Book Antiqua" w:hAnsi="Book Antiqua"/>
          <w:sz w:val="20"/>
        </w:rPr>
        <w:t xml:space="preserve">is the mutual coupling between </w:t>
      </w:r>
      <m:oMath>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sidR="00492A3D">
        <w:rPr>
          <w:rFonts w:ascii="Book Antiqua" w:hAnsi="Book Antiqua"/>
          <w:sz w:val="20"/>
        </w:rPr>
        <w:t xml:space="preserve"> .</w:t>
      </w:r>
      <w:r w:rsidR="002A5F96">
        <w:rPr>
          <w:rFonts w:ascii="Book Antiqua" w:hAnsi="Book Antiqua"/>
          <w:sz w:val="20"/>
        </w:rPr>
        <w:t xml:space="preserve"> </w:t>
      </w:r>
    </w:p>
    <w:p w:rsidR="00C20E2C" w:rsidRPr="00B9776F" w:rsidRDefault="00C20E2C" w:rsidP="00820B57">
      <w:pPr>
        <w:pStyle w:val="NoSpacing"/>
        <w:jc w:val="both"/>
        <w:rPr>
          <w:rFonts w:ascii="Book Antiqua" w:hAnsi="Book Antiqua"/>
          <w:sz w:val="20"/>
        </w:rPr>
      </w:pPr>
    </w:p>
    <w:p w:rsidR="00820B57" w:rsidRPr="00B9776F" w:rsidRDefault="00AE7E8A" w:rsidP="00AE7E8A">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 xml:space="preserve"> </w:t>
      </w:r>
      <w:r w:rsidR="001D1F40">
        <w:rPr>
          <w:rFonts w:ascii="Book Antiqua" w:hAnsi="Book Antiqua" w:cs="Times New Roman"/>
          <w:b w:val="0"/>
          <w:sz w:val="20"/>
          <w:szCs w:val="20"/>
        </w:rPr>
        <w:t>2.3</w:t>
      </w:r>
      <w:r w:rsidRPr="00B9776F">
        <w:rPr>
          <w:rFonts w:ascii="Book Antiqua" w:hAnsi="Book Antiqua" w:cs="Times New Roman"/>
          <w:b w:val="0"/>
          <w:sz w:val="20"/>
          <w:szCs w:val="20"/>
        </w:rPr>
        <w:t xml:space="preserve">  </w:t>
      </w:r>
      <w:r w:rsidR="00820B57" w:rsidRPr="00B9776F">
        <w:rPr>
          <w:rFonts w:ascii="Book Antiqua" w:hAnsi="Book Antiqua" w:cs="Times New Roman"/>
          <w:b w:val="0"/>
          <w:sz w:val="20"/>
          <w:szCs w:val="20"/>
        </w:rPr>
        <w:t>Comparing Masses Experimentally</w:t>
      </w:r>
    </w:p>
    <w:p w:rsidR="00D772FD" w:rsidRPr="00B9776F" w:rsidRDefault="00D772FD" w:rsidP="00947595">
      <w:pPr>
        <w:pStyle w:val="ListParagraph"/>
        <w:ind w:left="360"/>
        <w:rPr>
          <w:rFonts w:ascii="Book Antiqua" w:hAnsi="Book Antiqua"/>
        </w:rPr>
      </w:pPr>
    </w:p>
    <w:p w:rsidR="00820B57" w:rsidRPr="00B9776F" w:rsidRDefault="006E2D7F" w:rsidP="00820B57">
      <w:pPr>
        <w:pStyle w:val="NoSpacing"/>
        <w:ind w:firstLine="720"/>
        <w:jc w:val="both"/>
        <w:rPr>
          <w:rFonts w:ascii="Book Antiqua" w:hAnsi="Book Antiqua"/>
          <w:sz w:val="20"/>
        </w:rPr>
      </w:pPr>
      <w:r>
        <w:rPr>
          <w:rFonts w:ascii="Book Antiqua" w:hAnsi="Book Antiqua"/>
          <w:sz w:val="20"/>
        </w:rPr>
        <w:t xml:space="preserve">As noted above, the differences between the three masses is not great. </w:t>
      </w:r>
      <w:r w:rsidR="00820B57" w:rsidRPr="00B9776F">
        <w:rPr>
          <w:rFonts w:ascii="Book Antiqua" w:hAnsi="Book Antiqua"/>
          <w:sz w:val="20"/>
        </w:rPr>
        <w:t xml:space="preserve">Nevertheless, ever since comparative measurements were first made possible in the early 1900's, data have shown that a small discrepancy indeed exists between the measurements of atomic masses, </w:t>
      </w:r>
      <m:oMath>
        <m:r>
          <w:rPr>
            <w:rFonts w:ascii="Cambria Math" w:hAnsi="Cambria Math" w:cs="Cambria Math"/>
            <w:sz w:val="20"/>
          </w:rPr>
          <m:t>m</m:t>
        </m:r>
      </m:oMath>
      <w:r w:rsidR="00820B57" w:rsidRPr="00B9776F">
        <w:rPr>
          <w:rFonts w:ascii="Book Antiqua" w:hAnsi="Book Antiqua"/>
          <w:sz w:val="20"/>
        </w:rPr>
        <w:t xml:space="preserve">, and gravitational masses, </w:t>
      </w:r>
      <m:oMath>
        <m:r>
          <w:rPr>
            <w:rFonts w:ascii="Cambria Math" w:hAnsi="Cambria Math"/>
            <w:sz w:val="20"/>
          </w:rPr>
          <m:t>M</m:t>
        </m:r>
      </m:oMath>
      <w:r w:rsidR="00820B57" w:rsidRPr="00B9776F">
        <w:rPr>
          <w:rFonts w:ascii="Book Antiqua" w:hAnsi="Book Antiqua"/>
          <w:i/>
          <w:sz w:val="20"/>
        </w:rPr>
        <w:t>,</w:t>
      </w:r>
      <w:r w:rsidR="00820B57" w:rsidRPr="00B9776F">
        <w:rPr>
          <w:rFonts w:ascii="Book Antiqua" w:hAnsi="Book Antiqua"/>
          <w:sz w:val="20"/>
        </w:rPr>
        <w:t xml:space="preserve">. Initially, </w:t>
      </w:r>
      <m:oMath>
        <m:r>
          <w:rPr>
            <w:rFonts w:ascii="Cambria Math" w:hAnsi="Cambria Math" w:cs="Cambria Math"/>
            <w:sz w:val="20"/>
          </w:rPr>
          <m:t>m</m:t>
        </m:r>
      </m:oMath>
      <w:r w:rsidR="00820B57" w:rsidRPr="00B9776F">
        <w:rPr>
          <w:rFonts w:ascii="Book Antiqua" w:hAnsi="Book Antiqua"/>
          <w:sz w:val="20"/>
        </w:rPr>
        <w:t xml:space="preserve"> and </w:t>
      </w:r>
      <m:oMath>
        <m:r>
          <w:rPr>
            <w:rFonts w:ascii="Cambria Math" w:hAnsi="Cambria Math" w:cs="Cambria Math"/>
            <w:sz w:val="20"/>
          </w:rPr>
          <m:t>M</m:t>
        </m:r>
      </m:oMath>
      <w:r w:rsidR="00820B57" w:rsidRPr="00B9776F">
        <w:rPr>
          <w:rFonts w:ascii="Book Antiqua" w:hAnsi="Book Antiqua"/>
          <w:sz w:val="20"/>
        </w:rPr>
        <w:t xml:space="preserve"> were set equal to each other, but then, as the ZPE increased, they progressively drifted apart. Indeed, at the time that atomic masses, (that is </w:t>
      </w:r>
      <m:oMath>
        <m:r>
          <w:rPr>
            <w:rFonts w:ascii="Cambria Math" w:hAnsi="Cambria Math" w:cs="Cambria Math"/>
            <w:sz w:val="20"/>
          </w:rPr>
          <m:t>m</m:t>
        </m:r>
      </m:oMath>
      <w:r w:rsidR="00820B57" w:rsidRPr="00B9776F">
        <w:rPr>
          <w:rFonts w:ascii="Book Antiqua" w:hAnsi="Book Antiqua"/>
          <w:sz w:val="20"/>
        </w:rPr>
        <w:t xml:space="preserve">), were measured as increasing significantly in experiments around the world [32], there was not any corresponding change in the macroscopically measured gravitational masses, </w:t>
      </w:r>
      <m:oMath>
        <m:r>
          <w:rPr>
            <w:rFonts w:ascii="Cambria Math" w:hAnsi="Cambria Math" w:cs="Cambria Math"/>
            <w:sz w:val="20"/>
          </w:rPr>
          <m:t>M</m:t>
        </m:r>
      </m:oMath>
      <w:r w:rsidR="00820B57" w:rsidRPr="00B9776F">
        <w:rPr>
          <w:rFonts w:ascii="Book Antiqua" w:hAnsi="Book Antiqua"/>
          <w:sz w:val="20"/>
        </w:rPr>
        <w:t xml:space="preserve">, used as international standards.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1960, Robert Dicke pointed out that the masses of single atoms measured by mass spectrometers were different from atoms of the same isotope as measured by what was called the Q value method [33]. This Q value mass was obtained by measuring nuclear interactions that gave masses by using the formula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(derived from </w:t>
      </w:r>
      <m:oMath>
        <m:r>
          <w:rPr>
            <w:rFonts w:ascii="Cambria Math" w:hAnsi="Cambria Math" w:cs="Cambria Math"/>
            <w:sz w:val="20"/>
          </w:rPr>
          <m:t>E</m:t>
        </m:r>
        <m:r>
          <w:rPr>
            <w:rFonts w:ascii="Cambria Math" w:hAnsi="Cambria Math"/>
            <w:sz w:val="20"/>
          </w:rPr>
          <m:t xml:space="preserve"> =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Energy, </w:t>
      </w:r>
      <m:oMath>
        <m:r>
          <w:rPr>
            <w:rFonts w:ascii="Cambria Math" w:hAnsi="Cambria Math" w:cs="Cambria Math"/>
            <w:sz w:val="20"/>
          </w:rPr>
          <m:t>E</m:t>
        </m:r>
      </m:oMath>
      <w:r w:rsidRPr="00B9776F">
        <w:rPr>
          <w:rFonts w:ascii="Book Antiqua" w:hAnsi="Book Antiqua"/>
          <w:sz w:val="20"/>
        </w:rPr>
        <w:t xml:space="preserve">, is conserved atomically with changes in the ZPE strength, and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is plugged into the equation as an assumed constant. Therefore, the Q-value masses from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will always give a constant result in accord with the standard.  In contrast, the mass-spectrometer means of determining </w:t>
      </w:r>
      <m:oMath>
        <m:r>
          <w:rPr>
            <w:rFonts w:ascii="Cambria Math" w:hAnsi="Cambria Math" w:cs="Cambria Math"/>
            <w:sz w:val="20"/>
          </w:rPr>
          <m:t>m</m:t>
        </m:r>
      </m:oMath>
      <w:r w:rsidRPr="00B9776F">
        <w:rPr>
          <w:rFonts w:ascii="Book Antiqua" w:hAnsi="Book Antiqua"/>
          <w:sz w:val="20"/>
        </w:rPr>
        <w:t xml:space="preserve"> will register any variation in ZPE strength.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It is this ZPE variation that resulted in the discrepancy that Dicke noticed in 1960. He noted that this discrepancy between the two types of mass became </w:t>
      </w:r>
      <w:r w:rsidR="003A5CA8">
        <w:rPr>
          <w:rFonts w:ascii="Book Antiqua" w:hAnsi="Book Antiqua"/>
          <w:sz w:val="20"/>
        </w:rPr>
        <w:t>greater</w:t>
      </w:r>
      <w:r w:rsidRPr="00B9776F">
        <w:rPr>
          <w:rFonts w:ascii="Book Antiqua" w:hAnsi="Book Antiqua"/>
          <w:sz w:val="20"/>
        </w:rPr>
        <w:t xml:space="preserve"> with more complex atoms. This led Dicke and Brans to develop a metric theory of gravity in an attempt to explain the data [34]. Between 1960 and 1976 their scalar-tensor theory of gravity became a serious alternative to general relativity. But in 1976 this Brans-Dicke theory was proved</w:t>
      </w:r>
      <w:r w:rsidR="006E2D7F">
        <w:rPr>
          <w:rFonts w:ascii="Book Antiqua" w:hAnsi="Book Antiqua"/>
          <w:sz w:val="20"/>
        </w:rPr>
        <w:t xml:space="preserve"> to be</w:t>
      </w:r>
      <w:r w:rsidRPr="00B9776F">
        <w:rPr>
          <w:rFonts w:ascii="Book Antiqua" w:hAnsi="Book Antiqua"/>
          <w:sz w:val="20"/>
        </w:rPr>
        <w:t xml:space="preserve"> faulty on the basis of an unfulfilled prediction. However, the original data still stand, and a different explanation for the discrepancy is not only legitimate but is a necessity.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xml:space="preserve">, were once more standardized. In 1979, further developments required that the definitions again be slightly revised.  That means any difference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will be the result of changes in ZPE strength since the last revision. In fact, in 1995, the discrepancy between mass spectrometer masses and those obtained from nuclear decay or Q-value reactions was still an issue for Audi and Wapstra. After searching for systematic and other errors and </w:t>
      </w:r>
      <w:r w:rsidR="003A5CA8">
        <w:rPr>
          <w:rFonts w:ascii="Book Antiqua" w:hAnsi="Book Antiqua"/>
          <w:sz w:val="20"/>
        </w:rPr>
        <w:t>finding very few,</w:t>
      </w:r>
      <w:r w:rsidRPr="00B9776F">
        <w:rPr>
          <w:rFonts w:ascii="Book Antiqua" w:hAnsi="Book Antiqua"/>
          <w:sz w:val="20"/>
        </w:rPr>
        <w:t xml:space="preserve"> they </w:t>
      </w:r>
      <w:r w:rsidRPr="00B9776F">
        <w:rPr>
          <w:rFonts w:ascii="Book Antiqua" w:hAnsi="Book Antiqua"/>
          <w:i/>
          <w:sz w:val="20"/>
        </w:rPr>
        <w:t>"decided to increase errors reported for results obtained with classical mass spectrometers ... and live with the bad consistency reported in the previous section."</w:t>
      </w:r>
      <w:r w:rsidRPr="00B9776F">
        <w:rPr>
          <w:rFonts w:ascii="Book Antiqua" w:hAnsi="Book Antiqua"/>
          <w:sz w:val="20"/>
        </w:rPr>
        <w:t xml:space="preserve"> [35]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This discrepancy between Q-value masses and mass-spectrometer masses is very real.  This effect is caused by changes in the strength of the ZPE. There is evidence for a decrease in the strength of the ZPE since about 1970, and a reversal in the trend of all ZPE-associated constants has in fact been picked up since then, as in Figure 1 above. (This is what might be expected from the Narlikar-Arp oscillation of the cosmos.) Nevertheless, while these differences are small, they were still plaguing experimenters at the beginning of the new millennium. Thus the discrepancy in atomic masses, </w:t>
      </w:r>
      <m:oMath>
        <m:r>
          <w:rPr>
            <w:rFonts w:ascii="Cambria Math" w:hAnsi="Cambria Math" w:cs="Cambria Math"/>
            <w:sz w:val="20"/>
          </w:rPr>
          <m:t>m</m:t>
        </m:r>
      </m:oMath>
      <w:r w:rsidRPr="00B9776F">
        <w:rPr>
          <w:rFonts w:ascii="Book Antiqua" w:hAnsi="Book Antiqua"/>
          <w:sz w:val="20"/>
        </w:rPr>
        <w:t xml:space="preserve">, as compared with </w:t>
      </w:r>
      <m:oMath>
        <m:r>
          <w:rPr>
            <w:rFonts w:ascii="Cambria Math" w:hAnsi="Cambria Math" w:cs="Cambria Math"/>
            <w:sz w:val="20"/>
          </w:rPr>
          <m:t>M</m:t>
        </m:r>
      </m:oMath>
      <w:r w:rsidRPr="00B9776F">
        <w:rPr>
          <w:rFonts w:ascii="Book Antiqua" w:hAnsi="Book Antiqua"/>
          <w:i/>
          <w:sz w:val="20"/>
        </w:rPr>
        <w:t>,</w:t>
      </w:r>
      <w:r w:rsidRPr="00B9776F">
        <w:rPr>
          <w:rFonts w:ascii="Book Antiqua" w:hAnsi="Book Antiqua"/>
          <w:sz w:val="20"/>
        </w:rPr>
        <w:t xml:space="preserve"> when obtained from macroscopic techniques, is a very real effect. These data indicate that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are two different, but related entities, as shown in equations (56) to (59). In this way, the approach using SED physics holds the potential to resolve an otherwise anomalous situation.</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lastRenderedPageBreak/>
        <w:t>2.4</w:t>
      </w:r>
      <w:r w:rsidR="00820B57" w:rsidRPr="00B9776F">
        <w:rPr>
          <w:rFonts w:ascii="Book Antiqua" w:hAnsi="Book Antiqua" w:cs="Times New Roman"/>
          <w:b w:val="0"/>
          <w:sz w:val="20"/>
          <w:szCs w:val="20"/>
        </w:rPr>
        <w:t xml:space="preserve">   A Parton’s Atomic and Gravitational Mass</w:t>
      </w:r>
    </w:p>
    <w:p w:rsidR="00820B57" w:rsidRPr="00B9776F" w:rsidRDefault="00820B57" w:rsidP="00820B57">
      <w:pPr>
        <w:pStyle w:val="Heading2"/>
        <w:spacing w:before="80" w:after="80" w:line="240" w:lineRule="atLeast"/>
        <w:ind w:left="360"/>
        <w:rPr>
          <w:rFonts w:ascii="Book Antiqua" w:hAnsi="Book Antiqua" w:cs="Times New Roman"/>
          <w:sz w:val="20"/>
          <w:szCs w:val="20"/>
        </w:rPr>
      </w:pPr>
      <w:r w:rsidRPr="00B9776F">
        <w:rPr>
          <w:rFonts w:ascii="Book Antiqua" w:hAnsi="Book Antiqua" w:cs="Times New Roman"/>
          <w:sz w:val="20"/>
          <w:szCs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There is thus a difference between the way a parton's mass manifests in an atomic environment as </w:t>
      </w:r>
      <m:oMath>
        <m:r>
          <w:rPr>
            <w:rFonts w:ascii="Cambria Math" w:hAnsi="Cambria Math" w:cs="Cambria Math"/>
            <w:sz w:val="20"/>
          </w:rPr>
          <m:t>m</m:t>
        </m:r>
      </m:oMath>
      <w:r w:rsidRPr="00B9776F">
        <w:rPr>
          <w:rFonts w:ascii="Book Antiqua" w:hAnsi="Book Antiqua"/>
          <w:sz w:val="20"/>
        </w:rPr>
        <w:t xml:space="preserve">, and how it manifests gravitationally as </w:t>
      </w:r>
      <m:oMath>
        <m:r>
          <w:rPr>
            <w:rFonts w:ascii="Cambria Math" w:hAnsi="Cambria Math" w:cs="Cambria Math"/>
            <w:sz w:val="20"/>
          </w:rPr>
          <m:t>M</m:t>
        </m:r>
      </m:oMath>
      <w:r w:rsidRPr="00B9776F">
        <w:rPr>
          <w:rFonts w:ascii="Book Antiqua" w:hAnsi="Book Antiqua"/>
          <w:sz w:val="20"/>
        </w:rPr>
        <w:t xml:space="preserve">. Mass-spectrometers can be used to measure </w:t>
      </w:r>
      <m:oMath>
        <m:r>
          <w:rPr>
            <w:rFonts w:ascii="Cambria Math" w:hAnsi="Cambria Math" w:cs="Cambria Math"/>
            <w:sz w:val="20"/>
          </w:rPr>
          <m:t>m</m:t>
        </m:r>
      </m:oMath>
      <w:r w:rsidRPr="00B9776F">
        <w:rPr>
          <w:rFonts w:ascii="Book Antiqua" w:hAnsi="Book Antiqua"/>
          <w:sz w:val="20"/>
        </w:rPr>
        <w:t xml:space="preserve">.  Atomic masses are determined by sorting.  This is achieved because of their different accelerations in electric and magnetic fields. The different rates of acceleration are the result of the different masses of the different particles. This differential acceleration bends the path of the atomic particle differently so that it ends up in a different part of the receptor.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Mathematically, this means that, by measuring the rate of acceleration from the physical parameters of the system, the mass can be calculated.  The acceleration, </w:t>
      </w:r>
      <m:oMath>
        <m:r>
          <w:rPr>
            <w:rFonts w:ascii="Cambria Math" w:hAnsi="Cambria Math" w:cs="Cambria Math"/>
            <w:sz w:val="20"/>
          </w:rPr>
          <m:t>a</m:t>
        </m:r>
      </m:oMath>
      <w:r w:rsidRPr="00B9776F">
        <w:rPr>
          <w:rFonts w:ascii="Book Antiqua" w:hAnsi="Book Antiqua"/>
          <w:sz w:val="20"/>
        </w:rPr>
        <w:t xml:space="preserve">, results in ZPE masses, </w:t>
      </w:r>
      <m:oMath>
        <m:r>
          <w:rPr>
            <w:rFonts w:ascii="Cambria Math" w:hAnsi="Cambria Math" w:cs="Cambria Math"/>
            <w:sz w:val="20"/>
          </w:rPr>
          <m:t>m</m:t>
        </m:r>
      </m:oMath>
      <w:r w:rsidRPr="00B9776F">
        <w:rPr>
          <w:rFonts w:ascii="Book Antiqua" w:hAnsi="Book Antiqua"/>
          <w:sz w:val="20"/>
        </w:rPr>
        <w:t xml:space="preserve">, in the atomic frame of reference, that are described by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i/>
          <w:sz w:val="20"/>
        </w:rPr>
        <w:t xml:space="preserve">. </w:t>
      </w:r>
      <w:r w:rsidRPr="00B9776F">
        <w:rPr>
          <w:rFonts w:ascii="Book Antiqua" w:hAnsi="Book Antiqua"/>
          <w:sz w:val="20"/>
        </w:rPr>
        <w:t xml:space="preserve">The force,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in electromagnetic equations has been shown to be constant with changing ZPE strengths [36, 37]. Similarly, it can be shown that gravitational forces,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 are unchanged with a varying ZPE. Thus differences in velocity or acceleration have to be due to differences in mass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For this reason, we can say that atomic mass, </w:t>
      </w:r>
      <m:oMath>
        <m:r>
          <w:rPr>
            <w:rFonts w:ascii="Cambria Math" w:hAnsi="Cambria Math" w:cs="Cambria Math"/>
            <w:sz w:val="20"/>
          </w:rPr>
          <m:t>m</m:t>
        </m:r>
      </m:oMath>
      <w:r w:rsidRPr="00B9776F">
        <w:rPr>
          <w:rFonts w:ascii="Book Antiqua" w:hAnsi="Book Antiqua"/>
          <w:sz w:val="20"/>
        </w:rPr>
        <w:t>,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is the electrical and/or magnetic force, while gravitational mass</w:t>
      </w:r>
      <m:oMath>
        <m:r>
          <w:rPr>
            <w:rFonts w:ascii="Cambria Math" w:hAnsi="Cambria Math"/>
            <w:sz w:val="20"/>
          </w:rPr>
          <m:t xml:space="preserve"> </m:t>
        </m:r>
        <m:r>
          <w:rPr>
            <w:rFonts w:ascii="Cambria Math" w:hAnsi="Cambria Math" w:cs="Cambria Math"/>
            <w:sz w:val="20"/>
          </w:rPr>
          <m:t>M</m:t>
        </m:r>
      </m:oMath>
      <w:r w:rsidRPr="00B9776F">
        <w:rPr>
          <w:rFonts w:ascii="Book Antiqua" w:hAnsi="Book Antiqua"/>
          <w:sz w:val="20"/>
        </w:rPr>
        <w:t xml:space="preserve">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is gravitational force. It is not correct to say that an atomic mass comes solely from an atom, and that gravitational mass comes from many atoms together. This would deny the physics behind equations (25) and (56) to (58).  Those equations show that the gravitational mass of any particle</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t>
      </w:r>
      <w:r w:rsidR="00FE4B48">
        <w:rPr>
          <w:rFonts w:ascii="Book Antiqua" w:hAnsi="Book Antiqua"/>
          <w:sz w:val="20"/>
        </w:rPr>
        <w:t>is given by</w:t>
      </w:r>
      <w:r w:rsidRPr="00B9776F">
        <w:rPr>
          <w:rFonts w:ascii="Book Antiqua" w:hAnsi="Book Antiqua"/>
          <w:sz w:val="20"/>
        </w:rPr>
        <w:t xml:space="preserve"> the</w:t>
      </w:r>
      <w:r w:rsidR="00F85E74">
        <w:rPr>
          <w:rFonts w:ascii="Book Antiqua" w:hAnsi="Book Antiqua"/>
          <w:sz w:val="20"/>
        </w:rPr>
        <w:t xml:space="preserve"> square root of the product</w:t>
      </w:r>
      <w:r w:rsidRPr="00B9776F">
        <w:rPr>
          <w:rFonts w:ascii="Book Antiqua" w:hAnsi="Book Antiqua"/>
          <w:sz w:val="20"/>
        </w:rPr>
        <w:t xml:space="preserve"> </w:t>
      </w:r>
      <w:r w:rsidR="00F85E74">
        <w:rPr>
          <w:rFonts w:ascii="Book Antiqua" w:hAnsi="Book Antiqua"/>
          <w:sz w:val="20"/>
        </w:rPr>
        <w:t xml:space="preserve">of the </w:t>
      </w:r>
      <w:r w:rsidRPr="00B9776F">
        <w:rPr>
          <w:rFonts w:ascii="Book Antiqua" w:hAnsi="Book Antiqua"/>
          <w:sz w:val="20"/>
        </w:rPr>
        <w:t>ZPE jiggle mass of that same atomic particle</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t>
      </w:r>
      <w:r w:rsidR="00F85E74">
        <w:rPr>
          <w:rFonts w:ascii="Book Antiqua" w:hAnsi="Book Antiqua"/>
          <w:sz w:val="20"/>
        </w:rPr>
        <w:t>and</w:t>
      </w:r>
      <w:r w:rsidRPr="00B9776F">
        <w:rPr>
          <w:rFonts w:ascii="Book Antiqua" w:hAnsi="Book Antiqua"/>
          <w:sz w:val="20"/>
        </w:rPr>
        <w:t xml:space="preserve"> the particle's intrinsic mass</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(which is due to the radius of the sphere on which the charge rests).</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ab/>
        <w:t xml:space="preserve">Although gravitational mass, </w:t>
      </w:r>
      <m:oMath>
        <m:r>
          <w:rPr>
            <w:rFonts w:ascii="Cambria Math" w:hAnsi="Cambria Math" w:cs="Cambria Math"/>
            <w:sz w:val="20"/>
          </w:rPr>
          <m:t>M</m:t>
        </m:r>
      </m:oMath>
      <w:r w:rsidRPr="00B9776F">
        <w:rPr>
          <w:rFonts w:ascii="Book Antiqua" w:hAnsi="Book Antiqua"/>
          <w:sz w:val="20"/>
        </w:rPr>
        <w:t xml:space="preserve">, is related to electric and magnetic interactions with </w:t>
      </w:r>
      <m:oMath>
        <m:r>
          <w:rPr>
            <w:rFonts w:ascii="Cambria Math" w:hAnsi="Cambria Math" w:cs="Cambria Math"/>
            <w:sz w:val="20"/>
          </w:rPr>
          <m:t>m</m:t>
        </m:r>
      </m:oMath>
      <w:r w:rsidRPr="00B9776F">
        <w:rPr>
          <w:rFonts w:ascii="Book Antiqua" w:hAnsi="Book Antiqua"/>
          <w:sz w:val="20"/>
        </w:rPr>
        <w:t xml:space="preserve"> and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as shown above, the changes balance in such a way that </w:t>
      </w:r>
      <m:oMath>
        <m:r>
          <w:rPr>
            <w:rFonts w:ascii="Cambria Math" w:hAnsi="Cambria Math" w:cs="Cambria Math"/>
            <w:sz w:val="20"/>
          </w:rPr>
          <m:t>M</m:t>
        </m:r>
      </m:oMath>
      <w:r w:rsidRPr="00B9776F">
        <w:rPr>
          <w:rFonts w:ascii="Book Antiqua" w:hAnsi="Book Antiqua"/>
          <w:sz w:val="20"/>
        </w:rPr>
        <w:t xml:space="preserve"> remains constant.  Every subatomic particle is made up of partons or electrons which have an electric charge. Since every parton is surrounded by other partons which also carry a charge, they are in an environment in which electric and magnetic effects predominate. These partons are being jiggled by the electro-magnetic fields and waves of the ZPE, and the kinetic energy of these jiggled charges imparts mass to the partons. This atomic environment is therefore dealing solely with what is happening to the parton and electrons themselves. However, these jiggling charges also have the separate effect of polarizing the surrounding vacuum, and it is this </w:t>
      </w:r>
      <w:r w:rsidR="003A5CA8">
        <w:rPr>
          <w:rFonts w:ascii="Book Antiqua" w:hAnsi="Book Antiqua"/>
          <w:sz w:val="20"/>
        </w:rPr>
        <w:t>which</w:t>
      </w:r>
      <w:r w:rsidR="007C7D70">
        <w:rPr>
          <w:rFonts w:ascii="Book Antiqua" w:hAnsi="Book Antiqua"/>
          <w:sz w:val="20"/>
        </w:rPr>
        <w:t xml:space="preserve"> brings about the pull of gravity</w:t>
      </w:r>
      <w:r w:rsidRPr="00B9776F">
        <w:rPr>
          <w:rFonts w:ascii="Book Antiqua" w:hAnsi="Book Antiqua"/>
          <w:sz w:val="20"/>
        </w:rPr>
        <w:t xml:space="preserve">. </w:t>
      </w:r>
    </w:p>
    <w:p w:rsidR="007C7D70" w:rsidRDefault="007C7D70" w:rsidP="00820B57">
      <w:pPr>
        <w:pStyle w:val="NoSpacing"/>
        <w:jc w:val="both"/>
        <w:rPr>
          <w:rFonts w:ascii="Book Antiqua" w:hAnsi="Book Antiqua"/>
          <w:sz w:val="20"/>
        </w:rPr>
      </w:pPr>
    </w:p>
    <w:p w:rsidR="001D1F40" w:rsidRDefault="001D1F40" w:rsidP="00FE38C1">
      <w:pPr>
        <w:pStyle w:val="NoSpacing"/>
        <w:numPr>
          <w:ilvl w:val="0"/>
          <w:numId w:val="20"/>
        </w:numPr>
        <w:jc w:val="both"/>
        <w:rPr>
          <w:rFonts w:ascii="Book Antiqua" w:hAnsi="Book Antiqua"/>
          <w:b/>
          <w:sz w:val="20"/>
        </w:rPr>
      </w:pPr>
      <w:r w:rsidRPr="001D1F40">
        <w:rPr>
          <w:rFonts w:ascii="Book Antiqua" w:hAnsi="Book Antiqua"/>
          <w:b/>
          <w:sz w:val="20"/>
        </w:rPr>
        <w:t>The Origin of Gravitation</w:t>
      </w:r>
      <w:r w:rsidR="00FE38C1">
        <w:rPr>
          <w:rFonts w:ascii="Book Antiqua" w:hAnsi="Book Antiqua"/>
          <w:b/>
          <w:sz w:val="20"/>
        </w:rPr>
        <w:t xml:space="preserve"> From SED Physics</w:t>
      </w:r>
    </w:p>
    <w:p w:rsidR="007C7D70" w:rsidRDefault="007C7D70" w:rsidP="007F2BEC">
      <w:pPr>
        <w:pStyle w:val="Heading2"/>
        <w:spacing w:before="80" w:after="80" w:line="240" w:lineRule="atLeast"/>
        <w:rPr>
          <w:rFonts w:ascii="Book Antiqua" w:hAnsi="Book Antiqua" w:cs="Times New Roman"/>
          <w:b w:val="0"/>
          <w:sz w:val="20"/>
          <w:szCs w:val="20"/>
        </w:rPr>
      </w:pPr>
    </w:p>
    <w:p w:rsidR="00820B57" w:rsidRPr="00B9776F" w:rsidRDefault="001D1F40" w:rsidP="007F2BEC">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3.1</w:t>
      </w:r>
      <w:r w:rsidR="007F2BEC">
        <w:rPr>
          <w:rFonts w:ascii="Book Antiqua" w:hAnsi="Book Antiqua" w:cs="Times New Roman"/>
          <w:b w:val="0"/>
          <w:sz w:val="20"/>
          <w:szCs w:val="20"/>
        </w:rPr>
        <w:t xml:space="preserve">  </w:t>
      </w:r>
      <w:r w:rsidR="00820B57" w:rsidRPr="00B9776F">
        <w:rPr>
          <w:rFonts w:ascii="Book Antiqua" w:hAnsi="Book Antiqua" w:cs="Times New Roman"/>
          <w:b w:val="0"/>
          <w:sz w:val="20"/>
          <w:szCs w:val="20"/>
        </w:rPr>
        <w:t>An SED Approach to Gravitation</w:t>
      </w:r>
    </w:p>
    <w:p w:rsidR="00820B57" w:rsidRPr="00B9776F" w:rsidRDefault="00820B57" w:rsidP="00820B57">
      <w:pPr>
        <w:pStyle w:val="ListParagraph"/>
        <w:ind w:left="360"/>
        <w:rPr>
          <w:rFonts w:ascii="Book Antiqua" w:hAnsi="Book Antiqua"/>
        </w:rPr>
      </w:pPr>
    </w:p>
    <w:p w:rsidR="00820B57" w:rsidRDefault="00820B57" w:rsidP="00820B57">
      <w:pPr>
        <w:pStyle w:val="NoSpacing"/>
        <w:jc w:val="both"/>
        <w:rPr>
          <w:rFonts w:ascii="Book Antiqua" w:hAnsi="Book Antiqua"/>
          <w:sz w:val="20"/>
        </w:rPr>
      </w:pPr>
      <w:r w:rsidRPr="00B9776F">
        <w:rPr>
          <w:rFonts w:ascii="Book Antiqua" w:hAnsi="Book Antiqua"/>
          <w:sz w:val="20"/>
        </w:rPr>
        <w:tab/>
        <w:t xml:space="preserve">An explanation for the origin of gravitation given by SED physicists elucidates the earlier points that have been made here. They begin by noting that in 1968, Russian physicist Andrei Sakharov linked gravitation and inertia with the Zero Point Fields (ZPF). In 1989, Puthoff formulated this into a quantifiable theory of gravitation. Later, Haisch and Rueda developed this further. They noted that all charges in the universe undergo the </w:t>
      </w:r>
      <w:r w:rsidRPr="00B9776F">
        <w:rPr>
          <w:rFonts w:ascii="Book Antiqua" w:hAnsi="Book Antiqua"/>
          <w:i/>
          <w:sz w:val="20"/>
        </w:rPr>
        <w:t>Zitterbewegung</w:t>
      </w:r>
      <w:r w:rsidRPr="00B9776F">
        <w:rPr>
          <w:rFonts w:ascii="Book Antiqua" w:hAnsi="Book Antiqua"/>
          <w:sz w:val="20"/>
        </w:rPr>
        <w:t xml:space="preserve"> jostling through interaction with the Zero Point Field (ZPF). These fluctuations are relativistic, meaning that the charges move at velocities close to that of light. </w:t>
      </w:r>
    </w:p>
    <w:p w:rsidR="003A745F" w:rsidRPr="00B9776F" w:rsidRDefault="003A745F"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Rueda and Puthoff explain gravity’s origin as follows [38]: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ab/>
      </w:r>
      <w:r w:rsidRPr="00B9776F">
        <w:rPr>
          <w:rFonts w:ascii="Book Antiqua" w:hAnsi="Book Antiqua"/>
          <w:i/>
          <w:sz w:val="20"/>
        </w:rPr>
        <w:t>“Now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r w:rsidRPr="00B9776F">
        <w:rPr>
          <w:rFonts w:ascii="Book Antiqua" w:hAnsi="Book Antiqua"/>
          <w:sz w:val="20"/>
        </w:rPr>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To put it another way: first, there is the bare charge which is intrinsic to the electron or parton. This is what gives the particle its intrinsic mass,</w:t>
      </w:r>
      <w:r w:rsidRPr="00B9776F">
        <w:rPr>
          <w:rFonts w:ascii="Book Antiqua" w:hAnsi="Book Antiqua"/>
          <w:i/>
          <w:sz w:val="20"/>
        </w:rPr>
        <w:t xml:space="preserve">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The mere existence of this charge polarizes the vacuum. For a negative electron, the layer of virtual particles next to the electron will tend to be positive charges, then a layer of negative charges, and so on, until this polarization acts to attract other partons and/or electrons which may be nearby. The sign of the charge does not matter; it only affects the phase of the interactions.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That is the first step. This same charge is also undergoing the </w:t>
      </w:r>
      <w:r w:rsidRPr="00B9776F">
        <w:rPr>
          <w:rFonts w:ascii="Book Antiqua" w:hAnsi="Book Antiqua"/>
          <w:i/>
          <w:sz w:val="20"/>
        </w:rPr>
        <w:t>Zitterbewegung</w:t>
      </w:r>
      <w:r w:rsidRPr="00B9776F">
        <w:rPr>
          <w:rFonts w:ascii="Book Antiqua" w:hAnsi="Book Antiqua"/>
          <w:sz w:val="20"/>
        </w:rPr>
        <w:t xml:space="preserve"> which gives it atomic mass due to the kinetic energy of the ‘jitter.’ The polarization caused by this jitter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proportional to ZPE strength,</w:t>
      </w:r>
      <w:r w:rsidRPr="00B9776F">
        <w:rPr>
          <w:rFonts w:ascii="Book Antiqua" w:hAnsi="Book Antiqua"/>
          <w:i/>
          <w:sz w:val="20"/>
        </w:rPr>
        <w:t xml:space="preserve"> </w:t>
      </w:r>
      <m:oMath>
        <m:r>
          <w:rPr>
            <w:rFonts w:ascii="Cambria Math" w:hAnsi="Cambria Math" w:cs="Cambria Math"/>
            <w:sz w:val="20"/>
          </w:rPr>
          <m:t>U</m:t>
        </m:r>
      </m:oMath>
      <w:r w:rsidRPr="00B9776F">
        <w:rPr>
          <w:rFonts w:ascii="Book Antiqua" w:hAnsi="Book Antiqua"/>
          <w:sz w:val="20"/>
        </w:rPr>
        <w:t>. This then results in a stronger polarization in that locality than if the parton was at rest. If the parton or electron were indeed at rest, there would be no secondary radiation, and therefore no additional polarization. This net attractive force between the particles due to vacuum polarization has been shown by SED physicists to be identical to gravity.</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Where there are many particles, there are many intrinsic charges undergoing the jitter of the </w:t>
      </w:r>
      <w:r w:rsidRPr="00B9776F">
        <w:rPr>
          <w:rFonts w:ascii="Book Antiqua" w:hAnsi="Book Antiqua"/>
          <w:i/>
          <w:sz w:val="20"/>
        </w:rPr>
        <w:t>Zitterbewegung</w:t>
      </w:r>
      <w:r w:rsidRPr="00B9776F">
        <w:rPr>
          <w:rFonts w:ascii="Book Antiqua" w:hAnsi="Book Antiqua"/>
          <w:sz w:val="20"/>
        </w:rPr>
        <w:t xml:space="preserve">. Since both the intrinsic charge and the jitter polarize the vacuum, and this polarization manifests as gravity, then the larger the collection of particles, the stronger the gravity. However, for any given number of particles, the gravitational attraction will be constant through time. This situation occurs because the overall polarization from the two sources (the parton charge and the jiggle) can be shown to remain unchanged with changing ZPE. </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3.2</w:t>
      </w:r>
      <w:r w:rsidR="00820B57" w:rsidRPr="00B9776F">
        <w:rPr>
          <w:rFonts w:ascii="Book Antiqua" w:hAnsi="Book Antiqua" w:cs="Times New Roman"/>
          <w:b w:val="0"/>
          <w:sz w:val="20"/>
          <w:szCs w:val="20"/>
        </w:rPr>
        <w:t xml:space="preserve"> A Layman’s Explanation Why Gravity is Constant</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picture of gravity being the result of vacuum polarization, in a context with a changing ZPE, may be explained simply in the following way. There are two agents governing the polarization of the vacuum and its resulting attraction.  In the first case, there is the polarization of virtual particles by the mere presence of the charge, </w:t>
      </w:r>
      <m:oMath>
        <m:r>
          <w:rPr>
            <w:rFonts w:ascii="Cambria Math" w:hAnsi="Cambria Math" w:cs="Cambria Math"/>
            <w:sz w:val="20"/>
          </w:rPr>
          <m:t>e</m:t>
        </m:r>
      </m:oMath>
      <w:r w:rsidRPr="00B9776F">
        <w:rPr>
          <w:rFonts w:ascii="Book Antiqua" w:hAnsi="Book Antiqua"/>
          <w:sz w:val="20"/>
        </w:rPr>
        <w:t>, on the parton or electron.  Since the quantity</w:t>
      </w:r>
      <w:r w:rsidRPr="00B9776F">
        <w:rPr>
          <w:rFonts w:ascii="Book Antiqua" w:hAnsi="Book Antiqua"/>
          <w:position w:val="-10"/>
          <w:sz w:val="20"/>
        </w:rPr>
        <w:object w:dxaOrig="420" w:dyaOrig="340">
          <v:shape id="_x0000_i1029" type="#_x0000_t75" style="width:21.2pt;height:17.55pt" o:ole="">
            <v:imagedata r:id="rId164" o:title=""/>
          </v:shape>
          <o:OLEObject Type="Embed" ProgID="Equation.DSMT4" ShapeID="_x0000_i1029" DrawAspect="Content" ObjectID="_1438188841" r:id="rId165"/>
        </w:object>
      </w:r>
      <w:r w:rsidRPr="00B9776F">
        <w:rPr>
          <w:rFonts w:ascii="Book Antiqua" w:hAnsi="Book Antiqua"/>
          <w:sz w:val="20"/>
        </w:rPr>
        <w:t>is constant, then it follows that the polarization of the vacuum due to the charge on the parton (or electron) alone will also be constant.  This means that the gravitational attraction from this source of polarization will be unchanged.</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rmPara"/>
        <w:ind w:firstLine="270"/>
        <w:rPr>
          <w:sz w:val="20"/>
        </w:rPr>
      </w:pPr>
      <w:r w:rsidRPr="00B9776F">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820B57" w:rsidRPr="00B9776F" w:rsidRDefault="00820B57" w:rsidP="00820B57">
      <w:pPr>
        <w:pStyle w:val="NormPara"/>
        <w:ind w:firstLine="270"/>
        <w:rPr>
          <w:sz w:val="20"/>
        </w:rPr>
      </w:pPr>
    </w:p>
    <w:p w:rsidR="00820B57" w:rsidRPr="00B9776F" w:rsidRDefault="00820B57" w:rsidP="00820B57">
      <w:pPr>
        <w:pStyle w:val="NormPara"/>
        <w:ind w:firstLine="270"/>
        <w:rPr>
          <w:sz w:val="20"/>
        </w:rPr>
      </w:pPr>
      <w:r w:rsidRPr="00B9776F">
        <w:rPr>
          <w:sz w:val="20"/>
        </w:rPr>
        <w:t>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w:t>
      </w:r>
      <w:r w:rsidR="00F33440">
        <w:rPr>
          <w:sz w:val="20"/>
        </w:rPr>
        <w:t>,</w:t>
      </w:r>
      <w:r w:rsidRPr="00B9776F">
        <w:rPr>
          <w:sz w:val="20"/>
        </w:rPr>
        <w:t xml:space="preserve"> </w:t>
      </w:r>
      <w:r w:rsidR="003A5CA8">
        <w:rPr>
          <w:sz w:val="20"/>
        </w:rPr>
        <w:t>when</w:t>
      </w:r>
      <w:r w:rsidRPr="00B9776F">
        <w:rPr>
          <w:sz w:val="20"/>
        </w:rPr>
        <w:t xml:space="preserve"> the ZPE increase</w:t>
      </w:r>
      <w:r w:rsidR="003A5CA8">
        <w:rPr>
          <w:sz w:val="20"/>
        </w:rPr>
        <w:t>s</w:t>
      </w:r>
      <w:r w:rsidRPr="00B9776F">
        <w:rPr>
          <w:sz w:val="20"/>
        </w:rPr>
        <w:t>, the number of virtual particles in any given volume also increase</w:t>
      </w:r>
      <w:r w:rsidR="003A5CA8">
        <w:rPr>
          <w:sz w:val="20"/>
        </w:rPr>
        <w:t>.</w:t>
      </w:r>
      <w:r w:rsidRPr="00B9776F">
        <w:rPr>
          <w:sz w:val="20"/>
        </w:rPr>
        <w:t xml:space="preserve"> </w:t>
      </w:r>
      <w:r w:rsidR="003A5CA8">
        <w:rPr>
          <w:sz w:val="20"/>
        </w:rPr>
        <w:t>T</w:t>
      </w:r>
      <w:r w:rsidRPr="00B9776F">
        <w:rPr>
          <w:sz w:val="20"/>
        </w:rPr>
        <w:t xml:space="preserve">hese particles </w:t>
      </w:r>
      <w:r w:rsidR="003A5CA8">
        <w:rPr>
          <w:sz w:val="20"/>
        </w:rPr>
        <w:t>slow</w:t>
      </w:r>
      <w:r w:rsidRPr="00B9776F">
        <w:rPr>
          <w:sz w:val="20"/>
        </w:rPr>
        <w:t xml:space="preserve"> the ZPE in the same way they </w:t>
      </w:r>
      <w:r w:rsidR="003A5CA8">
        <w:rPr>
          <w:sz w:val="20"/>
        </w:rPr>
        <w:t>slow</w:t>
      </w:r>
      <w:r w:rsidRPr="00B9776F">
        <w:rPr>
          <w:sz w:val="20"/>
        </w:rPr>
        <w:t xml:space="preserve"> light.  So the ZPE waves </w:t>
      </w:r>
      <w:r w:rsidR="003A5CA8">
        <w:rPr>
          <w:sz w:val="20"/>
        </w:rPr>
        <w:t>will travel</w:t>
      </w:r>
      <w:r w:rsidRPr="00B9776F">
        <w:rPr>
          <w:sz w:val="20"/>
        </w:rPr>
        <w:t xml:space="preserve"> more slowly and so </w:t>
      </w:r>
      <w:r w:rsidR="003A5CA8">
        <w:rPr>
          <w:sz w:val="20"/>
        </w:rPr>
        <w:t>cannot</w:t>
      </w:r>
      <w:r w:rsidRPr="00B9776F">
        <w:rPr>
          <w:sz w:val="20"/>
        </w:rPr>
        <w:t xml:space="preserve"> accelerate the partons or electrons as rapidly </w:t>
      </w:r>
      <w:r w:rsidRPr="00B9776F">
        <w:rPr>
          <w:sz w:val="20"/>
        </w:rPr>
        <w:lastRenderedPageBreak/>
        <w:t xml:space="preserve">when the waves hit.  The result is that the polarization from the acceleration will actually be less, proportional to </w:t>
      </w:r>
      <w:r w:rsidRPr="00B9776F">
        <w:rPr>
          <w:i/>
          <w:sz w:val="20"/>
        </w:rPr>
        <w:t>c</w:t>
      </w:r>
      <w:r w:rsidRPr="00B9776F">
        <w:rPr>
          <w:sz w:val="20"/>
        </w:rPr>
        <w:t>.  This proportionality therefore cancels out the increase in polarization that is due to an increasing ZPE strength.  The outcome is that this source of polarization remains constant and therefore gravity itself remains constant.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picture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summarized this explanation of gravity in reference [1] when he said, </w:t>
      </w:r>
      <w:r w:rsidRPr="00B9776F">
        <w:rPr>
          <w:rFonts w:ascii="Book Antiqua" w:hAnsi="Book Antiqua"/>
          <w:i/>
          <w:sz w:val="20"/>
        </w:rPr>
        <w:t>“This might explain why gravity is so weak. One mass does not pull directly on another mass but only through the intermediary of the [charged virtual particles that make up the] vacuum.”</w:t>
      </w:r>
      <w:r w:rsidRPr="00B9776F">
        <w:rPr>
          <w:rFonts w:ascii="Book Antiqua" w:hAnsi="Book Antiqua"/>
          <w:sz w:val="20"/>
        </w:rPr>
        <w:t xml:space="preserve"> On this basis, then, gravitation and mass may be considered to merely be manifestations of electromagnetic effects linked with the ZPE. More will be said about this in Chapter 7.</w:t>
      </w:r>
    </w:p>
    <w:p w:rsidR="00820B57" w:rsidRPr="00B9776F" w:rsidRDefault="00820B57" w:rsidP="00820B57">
      <w:pPr>
        <w:pStyle w:val="NoSpacing"/>
        <w:jc w:val="both"/>
        <w:rPr>
          <w:rFonts w:ascii="Book Antiqua" w:hAnsi="Book Antiqua"/>
          <w:b/>
          <w:sz w:val="20"/>
        </w:rPr>
      </w:pPr>
    </w:p>
    <w:p w:rsidR="00820B57" w:rsidRPr="00B9776F" w:rsidRDefault="001D1F40" w:rsidP="00820B57">
      <w:pPr>
        <w:pStyle w:val="NoSpacing"/>
        <w:jc w:val="both"/>
        <w:rPr>
          <w:rFonts w:ascii="Book Antiqua" w:hAnsi="Book Antiqua"/>
          <w:b/>
          <w:bCs/>
          <w:iCs/>
          <w:color w:val="000000"/>
          <w:sz w:val="20"/>
        </w:rPr>
      </w:pPr>
      <w:r>
        <w:rPr>
          <w:rFonts w:ascii="Book Antiqua" w:hAnsi="Book Antiqua"/>
          <w:b/>
          <w:sz w:val="20"/>
        </w:rPr>
        <w:t>4</w:t>
      </w:r>
      <w:r w:rsidR="00820B57" w:rsidRPr="00B9776F">
        <w:rPr>
          <w:rFonts w:ascii="Book Antiqua" w:hAnsi="Book Antiqua"/>
          <w:b/>
          <w:sz w:val="20"/>
        </w:rPr>
        <w:t>. Atomic and Orbital Clocks</w:t>
      </w:r>
    </w:p>
    <w:p w:rsidR="00820B57" w:rsidRPr="00B9776F" w:rsidRDefault="00820B57" w:rsidP="00820B57">
      <w:pPr>
        <w:pStyle w:val="Heading2"/>
        <w:spacing w:before="80" w:after="80" w:line="240" w:lineRule="atLeast"/>
        <w:rPr>
          <w:rFonts w:ascii="Book Antiqua" w:hAnsi="Book Antiqua" w:cs="Times New Roman"/>
          <w:sz w:val="20"/>
          <w:szCs w:val="20"/>
        </w:rPr>
      </w:pPr>
    </w:p>
    <w:p w:rsidR="00820B57" w:rsidRPr="00B9776F" w:rsidRDefault="001D1F40" w:rsidP="00820B57">
      <w:pPr>
        <w:pStyle w:val="Heading2"/>
        <w:spacing w:before="80" w:after="80" w:line="240" w:lineRule="atLeast"/>
        <w:rPr>
          <w:rFonts w:ascii="Book Antiqua" w:hAnsi="Book Antiqua" w:cs="Times New Roman"/>
          <w:sz w:val="20"/>
          <w:szCs w:val="20"/>
        </w:rPr>
      </w:pPr>
      <w:r>
        <w:rPr>
          <w:rFonts w:ascii="Book Antiqua" w:hAnsi="Book Antiqua" w:cs="Times New Roman"/>
          <w:sz w:val="20"/>
          <w:szCs w:val="20"/>
        </w:rPr>
        <w:t>4</w:t>
      </w:r>
      <w:r w:rsidR="00820B57" w:rsidRPr="00B9776F">
        <w:rPr>
          <w:rFonts w:ascii="Book Antiqua" w:hAnsi="Book Antiqua" w:cs="Times New Roman"/>
          <w:sz w:val="20"/>
          <w:szCs w:val="20"/>
        </w:rPr>
        <w:t xml:space="preserve">.1 </w:t>
      </w:r>
      <w:r w:rsidR="00820B57" w:rsidRPr="00B9776F">
        <w:rPr>
          <w:rFonts w:ascii="Book Antiqua" w:hAnsi="Book Antiqua" w:cs="Times New Roman"/>
          <w:b w:val="0"/>
          <w:sz w:val="20"/>
          <w:szCs w:val="20"/>
        </w:rPr>
        <w:t xml:space="preserve">The Newtonian Gravitational Constant, </w:t>
      </w:r>
      <m:oMath>
        <m:r>
          <m:rPr>
            <m:sty m:val="bi"/>
          </m:rPr>
          <w:rPr>
            <w:rFonts w:ascii="Cambria Math" w:hAnsi="Cambria Math" w:cs="Cambria Math"/>
            <w:sz w:val="20"/>
            <w:szCs w:val="20"/>
          </w:rPr>
          <m:t>G</m:t>
        </m:r>
      </m:oMath>
      <w:r w:rsidR="00820B57" w:rsidRPr="00B9776F">
        <w:rPr>
          <w:rFonts w:ascii="Book Antiqua" w:hAnsi="Book Antiqua" w:cs="Times New Roman"/>
          <w:sz w:val="20"/>
          <w:szCs w:val="20"/>
        </w:rPr>
        <w:t>.</w:t>
      </w:r>
    </w:p>
    <w:p w:rsidR="00820B57" w:rsidRPr="00B9776F" w:rsidRDefault="00820B57" w:rsidP="00820B57">
      <w:pPr>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We have established above that the Newtonian gravitation constant, </w:t>
      </w:r>
      <m:oMath>
        <m:r>
          <w:rPr>
            <w:rFonts w:ascii="Cambria Math" w:hAnsi="Cambria Math" w:cs="Cambria Math"/>
            <w:sz w:val="20"/>
          </w:rPr>
          <m:t>G</m:t>
        </m:r>
      </m:oMath>
      <w:r w:rsidRPr="00B9776F">
        <w:rPr>
          <w:rFonts w:ascii="Book Antiqua" w:hAnsi="Book Antiqua"/>
          <w:sz w:val="20"/>
        </w:rPr>
        <w:t>, can be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t>
        </m:r>
        <m:r>
          <w:rPr>
            <w:rFonts w:ascii="Cambria Math" w:hAnsi="Cambria Math"/>
            <w:sz w:val="20"/>
          </w:rPr>
          <m:t xml:space="preserve"> = (2/3</m:t>
        </m:r>
        <m:r>
          <w:rPr>
            <w:rFonts w:ascii="Cambria Math" w:hAnsi="Cambria Math" w:cs="Cambria Math"/>
            <w:sz w:val="20"/>
          </w:rPr>
          <m:t>π</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r>
          <w:rPr>
            <w:rFonts w:ascii="Cambria Math" w:hAnsi="Cambria Math"/>
            <w:sz w:val="20"/>
          </w:rPr>
          <m:t>)(1/</m:t>
        </m:r>
        <m:sSup>
          <m:sSupPr>
            <m:ctrlPr>
              <w:rPr>
                <w:rFonts w:ascii="Cambria Math" w:hAnsi="Cambria Math"/>
                <w:i/>
                <w:sz w:val="20"/>
              </w:rPr>
            </m:ctrlPr>
          </m:sSupPr>
          <m:e>
            <m:r>
              <w:rPr>
                <w:rFonts w:ascii="Cambria Math" w:hAnsi="Cambria Math" w:cs="Cambria Math"/>
                <w:sz w:val="20"/>
              </w:rPr>
              <m:t>k</m:t>
            </m:r>
          </m:e>
          <m:sup>
            <m:r>
              <w:rPr>
                <w:rFonts w:ascii="Cambria Math" w:hAnsi="Cambria Math"/>
                <w:sz w:val="20"/>
              </w:rPr>
              <m:t>2</m:t>
            </m:r>
          </m:sup>
        </m:sSup>
        <m:r>
          <w:rPr>
            <w:rFonts w:ascii="Cambria Math" w:hAnsi="Cambria Math"/>
            <w:sz w:val="20"/>
          </w:rPr>
          <m:t>)[1/(</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(6</w:t>
      </w:r>
      <w:r w:rsidR="00663DBB">
        <w:rPr>
          <w:rFonts w:ascii="Book Antiqua" w:hAnsi="Book Antiqua"/>
          <w:i/>
          <w:sz w:val="20"/>
        </w:rPr>
        <w:t>6</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previously shown, the quantity </w:t>
      </w:r>
      <m:oMath>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oMath>
      <w:r w:rsidRPr="00B9776F">
        <w:rPr>
          <w:rFonts w:ascii="Book Antiqua" w:hAnsi="Book Antiqua"/>
          <w:sz w:val="20"/>
        </w:rPr>
        <w:t xml:space="preserve"> is a constant and </w:t>
      </w:r>
      <m:oMath>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is also a constant equal to the square of the gravitational mass, </w:t>
      </w:r>
      <m:oMath>
        <m:r>
          <w:rPr>
            <w:rFonts w:ascii="Cambria Math" w:hAnsi="Cambria Math" w:cs="Cambria Math"/>
            <w:sz w:val="20"/>
          </w:rPr>
          <m:t>M</m:t>
        </m:r>
        <m:r>
          <w:rPr>
            <w:rFonts w:ascii="Cambria Math" w:hAnsi="Cambria Math"/>
            <w:sz w:val="20"/>
          </w:rPr>
          <m:t>,</m:t>
        </m:r>
      </m:oMath>
      <w:r w:rsidRPr="00B9776F">
        <w:rPr>
          <w:rFonts w:ascii="Book Antiqua" w:hAnsi="Book Antiqua"/>
          <w:sz w:val="20"/>
        </w:rPr>
        <w:t xml:space="preserve"> as in (56). This means that for changing ZPE strengths the quantity</w:t>
      </w:r>
      <w:r w:rsidRPr="00B9776F">
        <w:rPr>
          <w:rFonts w:ascii="Book Antiqua" w:hAnsi="Book Antiqua"/>
          <w:i/>
          <w:sz w:val="20"/>
        </w:rPr>
        <w:t xml:space="preserve"> </w:t>
      </w:r>
      <m:oMath>
        <m:r>
          <w:rPr>
            <w:rFonts w:ascii="Cambria Math" w:hAnsi="Cambria Math" w:cs="Cambria Math"/>
            <w:sz w:val="20"/>
          </w:rPr>
          <m:t>GM</m:t>
        </m:r>
      </m:oMath>
      <w:r w:rsidRPr="00B9776F">
        <w:rPr>
          <w:rFonts w:ascii="Book Antiqua" w:hAnsi="Book Antiqua"/>
          <w:i/>
          <w:sz w:val="20"/>
        </w:rPr>
        <w:t xml:space="preserve"> </w:t>
      </w:r>
      <w:r w:rsidRPr="00B9776F">
        <w:rPr>
          <w:rFonts w:ascii="Book Antiqua" w:hAnsi="Book Antiqua"/>
          <w:sz w:val="20"/>
        </w:rPr>
        <w:t>will be fixed for all gravitational interactions. So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r>
          <w:rPr>
            <w:rFonts w:ascii="Cambria Math" w:hAnsi="Cambria Math"/>
            <w:sz w:val="20"/>
          </w:rPr>
          <m:t xml:space="preserve"> </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7</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for any given object or system, gravitational acceleration, </w:t>
      </w:r>
      <m:oMath>
        <m:r>
          <w:rPr>
            <w:rFonts w:ascii="Cambria Math" w:hAnsi="Cambria Math" w:cs="Cambria Math"/>
            <w:sz w:val="20"/>
          </w:rPr>
          <m:t>g</m:t>
        </m:r>
      </m:oMath>
      <w:r w:rsidRPr="00B9776F">
        <w:rPr>
          <w:rFonts w:ascii="Book Antiqua" w:hAnsi="Book Antiqua"/>
          <w:sz w:val="20"/>
        </w:rPr>
        <w:t xml:space="preserve">, remains fixed. For example, if the radius of a planet is </w:t>
      </w:r>
      <m:oMath>
        <m:r>
          <w:rPr>
            <w:rFonts w:ascii="Cambria Math" w:hAnsi="Cambria Math" w:cs="Cambria Math"/>
            <w:sz w:val="20"/>
          </w:rPr>
          <m:t>r</m:t>
        </m:r>
      </m:oMath>
      <w:r w:rsidRPr="00B9776F">
        <w:rPr>
          <w:rFonts w:ascii="Book Antiqua" w:hAnsi="Book Antiqua"/>
          <w:sz w:val="20"/>
        </w:rPr>
        <w:t xml:space="preserve">, and its mass is </w:t>
      </w:r>
      <m:oMath>
        <m:r>
          <w:rPr>
            <w:rFonts w:ascii="Cambria Math" w:hAnsi="Cambria Math" w:cs="Cambria Math"/>
            <w:sz w:val="20"/>
          </w:rPr>
          <m:t>M</m:t>
        </m:r>
      </m:oMath>
      <w:r w:rsidRPr="00B9776F">
        <w:rPr>
          <w:rFonts w:ascii="Book Antiqua" w:hAnsi="Book Antiqua"/>
          <w:sz w:val="20"/>
        </w:rPr>
        <w:t xml:space="preserve"> then the gravitational acceleration is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t>
        </m:r>
        <m:r>
          <w:rPr>
            <w:rFonts w:ascii="Cambria Math" w:hAnsi="Cambria Math"/>
            <w:sz w:val="20"/>
          </w:rPr>
          <m:t xml:space="preserve">  =  </m:t>
        </m:r>
        <m:r>
          <w:rPr>
            <w:rFonts w:ascii="Cambria Math" w:hAnsi="Cambria Math" w:cs="Cambria Math"/>
            <w:sz w:val="20"/>
          </w:rPr>
          <m:t>GM</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2</m:t>
            </m:r>
          </m:sup>
        </m:sSup>
        <m:r>
          <w:rPr>
            <w:rFonts w:ascii="Cambria Math" w:hAnsi="Cambria Math"/>
            <w:sz w:val="20"/>
            <w:vertAlign w:val="superscript"/>
          </w:rPr>
          <m:t xml:space="preserve"> </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8</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stated in S.L. Martin &amp; A.K. Connor’s, </w:t>
      </w:r>
      <w:r w:rsidRPr="00B9776F">
        <w:rPr>
          <w:rFonts w:ascii="Book Antiqua" w:hAnsi="Book Antiqua"/>
          <w:i/>
          <w:sz w:val="20"/>
        </w:rPr>
        <w:t xml:space="preserve">Basic Physics </w:t>
      </w:r>
      <w:r w:rsidRPr="00B9776F">
        <w:rPr>
          <w:rFonts w:ascii="Book Antiqua" w:hAnsi="Book Antiqua"/>
          <w:sz w:val="20"/>
        </w:rPr>
        <w:t xml:space="preserve">[39]. This also means that orbit times, </w:t>
      </w:r>
      <m:oMath>
        <m:r>
          <w:rPr>
            <w:rFonts w:ascii="Cambria Math" w:hAnsi="Cambria Math" w:cs="Cambria Math"/>
            <w:sz w:val="20"/>
          </w:rPr>
          <m:t>T</m:t>
        </m:r>
      </m:oMath>
      <w:r w:rsidRPr="00B9776F">
        <w:rPr>
          <w:rFonts w:ascii="Book Antiqua" w:hAnsi="Book Antiqua"/>
          <w:sz w:val="20"/>
        </w:rPr>
        <w:t>, for planets and stars under gravity will also be unaltered with changing ZPE strengths. This emerges from the standard formulation of Kepler's 3rd Law which states:</w:t>
      </w:r>
    </w:p>
    <w:p w:rsidR="00820B57" w:rsidRPr="00B9776F" w:rsidRDefault="00820B57" w:rsidP="00820B57">
      <w:pPr>
        <w:pStyle w:val="NoSpacing"/>
        <w:jc w:val="both"/>
        <w:rPr>
          <w:rFonts w:ascii="Book Antiqua" w:hAnsi="Book Antiqua"/>
          <w:sz w:val="20"/>
        </w:rPr>
      </w:pPr>
    </w:p>
    <w:p w:rsidR="00820B57" w:rsidRPr="00B9776F" w:rsidRDefault="00241D2F" w:rsidP="00820B57">
      <w:pPr>
        <w:pStyle w:val="NoSpacing"/>
        <w:jc w:val="right"/>
        <w:rPr>
          <w:rFonts w:ascii="Book Antiqua" w:hAnsi="Book Antiqua"/>
          <w:sz w:val="20"/>
        </w:rPr>
      </w:pP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r>
          <w:rPr>
            <w:rFonts w:ascii="Cambria Math" w:hAnsi="Cambria Math"/>
            <w:sz w:val="20"/>
          </w:rPr>
          <m:t xml:space="preserve">  =  4</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2</m:t>
            </m:r>
          </m:sup>
        </m:sSup>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3</m:t>
            </m:r>
          </m:sup>
        </m:sSup>
        <m:r>
          <w:rPr>
            <w:rFonts w:ascii="Cambria Math" w:hAnsi="Cambria Math"/>
            <w:sz w:val="20"/>
          </w:rPr>
          <m:t>/(</m:t>
        </m:r>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(6</w:t>
      </w:r>
      <w:r w:rsidR="00663DBB">
        <w:rPr>
          <w:rFonts w:ascii="Book Antiqua" w:hAnsi="Book Antiqua"/>
          <w:i/>
          <w:sz w:val="20"/>
        </w:rPr>
        <w:t>9</w:t>
      </w:r>
      <w:r w:rsidR="00820B57"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cs="Cambria Math"/>
            <w:sz w:val="20"/>
          </w:rPr>
          <m:t>R</m:t>
        </m:r>
        <m:r>
          <w:rPr>
            <w:rFonts w:ascii="Cambria Math" w:hAnsi="Cambria Math"/>
            <w:sz w:val="20"/>
          </w:rPr>
          <m:t xml:space="preserve"> </m:t>
        </m:r>
      </m:oMath>
      <w:r w:rsidRPr="00B9776F">
        <w:rPr>
          <w:rFonts w:ascii="Book Antiqua" w:hAnsi="Book Antiqua"/>
          <w:sz w:val="20"/>
        </w:rPr>
        <w:t xml:space="preserve">is the orbit radius and </w:t>
      </w:r>
      <m:oMath>
        <m:r>
          <w:rPr>
            <w:rFonts w:ascii="Cambria Math" w:hAnsi="Cambria Math" w:cs="Cambria Math"/>
            <w:sz w:val="20"/>
          </w:rPr>
          <m:t>M</m:t>
        </m:r>
      </m:oMath>
      <w:r w:rsidRPr="00B9776F">
        <w:rPr>
          <w:rFonts w:ascii="Book Antiqua" w:hAnsi="Book Antiqua"/>
          <w:sz w:val="20"/>
        </w:rPr>
        <w:t xml:space="preserve"> is the mass of the central body. Since </w:t>
      </w:r>
      <m:oMath>
        <m:r>
          <w:rPr>
            <w:rFonts w:ascii="Cambria Math" w:hAnsi="Cambria Math" w:cs="Cambria Math"/>
            <w:sz w:val="20"/>
          </w:rPr>
          <m:t>GM</m:t>
        </m:r>
      </m:oMath>
      <w:r w:rsidRPr="00B9776F">
        <w:rPr>
          <w:rFonts w:ascii="Book Antiqua" w:hAnsi="Book Antiqua"/>
          <w:sz w:val="20"/>
        </w:rPr>
        <w:t xml:space="preserve"> is invariant and orbit radius, </w:t>
      </w:r>
      <m:oMath>
        <m:r>
          <w:rPr>
            <w:rFonts w:ascii="Cambria Math" w:hAnsi="Cambria Math" w:cs="Cambria Math"/>
            <w:sz w:val="20"/>
          </w:rPr>
          <m:t>R</m:t>
        </m:r>
      </m:oMath>
      <w:r w:rsidRPr="00B9776F">
        <w:rPr>
          <w:rFonts w:ascii="Book Antiqua" w:hAnsi="Book Antiqua"/>
          <w:sz w:val="20"/>
        </w:rPr>
        <w:t xml:space="preserve">, is fixed, then, as the ZPE varies cosmologically, the orbital or gravitational clock marks time, </w:t>
      </w:r>
      <m:oMath>
        <m:r>
          <w:rPr>
            <w:rFonts w:ascii="Cambria Math" w:hAnsi="Cambria Math" w:cs="Cambria Math"/>
            <w:sz w:val="20"/>
          </w:rPr>
          <m:t>T</m:t>
        </m:r>
      </m:oMath>
      <w:r w:rsidRPr="00B9776F">
        <w:rPr>
          <w:rFonts w:ascii="Book Antiqua" w:hAnsi="Book Antiqua"/>
          <w:sz w:val="20"/>
        </w:rPr>
        <w:t>, at a constant rate as in (6</w:t>
      </w:r>
      <w:r w:rsidR="00663DBB">
        <w:rPr>
          <w:rFonts w:ascii="Book Antiqua" w:hAnsi="Book Antiqua"/>
          <w:sz w:val="20"/>
        </w:rPr>
        <w:t>9</w:t>
      </w:r>
      <w:r w:rsidRPr="00B9776F">
        <w:rPr>
          <w:rFonts w:ascii="Book Antiqua" w:hAnsi="Book Antiqua"/>
          <w:sz w:val="20"/>
        </w:rPr>
        <w:t xml:space="preserve">). </w:t>
      </w:r>
    </w:p>
    <w:p w:rsidR="00820B57" w:rsidRPr="00B9776F" w:rsidRDefault="00820B57" w:rsidP="00820B57">
      <w:pPr>
        <w:pStyle w:val="NoSpacing"/>
        <w:rPr>
          <w:rFonts w:ascii="Book Antiqua" w:hAnsi="Book Antiqua"/>
          <w:i/>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sidRPr="000E3A84">
        <w:rPr>
          <w:rFonts w:ascii="Book Antiqua" w:hAnsi="Book Antiqua" w:cs="Times New Roman"/>
          <w:b w:val="0"/>
          <w:sz w:val="20"/>
          <w:szCs w:val="20"/>
        </w:rPr>
        <w:t>4</w:t>
      </w:r>
      <w:r w:rsidR="00820B57" w:rsidRPr="000E3A84">
        <w:rPr>
          <w:rFonts w:ascii="Book Antiqua" w:hAnsi="Book Antiqua" w:cs="Times New Roman"/>
          <w:b w:val="0"/>
          <w:sz w:val="20"/>
          <w:szCs w:val="20"/>
        </w:rPr>
        <w:t>.2 Atomic frequencies and Atomic Clocks</w:t>
      </w:r>
    </w:p>
    <w:p w:rsidR="00820B57" w:rsidRPr="00B9776F" w:rsidRDefault="00820B57" w:rsidP="00820B57">
      <w:pPr>
        <w:pStyle w:val="Heading2"/>
        <w:spacing w:before="80" w:after="80" w:line="240" w:lineRule="atLeast"/>
        <w:rPr>
          <w:rFonts w:ascii="Book Antiqua" w:hAnsi="Book Antiqua" w:cs="Times New Roman"/>
          <w:sz w:val="20"/>
          <w:szCs w:val="20"/>
        </w:rPr>
      </w:pPr>
      <w:r w:rsidRPr="00B9776F">
        <w:rPr>
          <w:rFonts w:ascii="Book Antiqua" w:hAnsi="Book Antiqua" w:cs="Times New Roman"/>
          <w:sz w:val="20"/>
          <w:szCs w:val="20"/>
        </w:rPr>
        <w:t xml:space="preserve"> </w:t>
      </w:r>
    </w:p>
    <w:p w:rsidR="00264E81" w:rsidRDefault="00264E81" w:rsidP="00820B57">
      <w:pPr>
        <w:pStyle w:val="NoSpacing"/>
        <w:jc w:val="both"/>
        <w:rPr>
          <w:rFonts w:ascii="Book Antiqua" w:hAnsi="Book Antiqua"/>
          <w:sz w:val="20"/>
        </w:rPr>
      </w:pPr>
      <w:r>
        <w:rPr>
          <w:rFonts w:ascii="Book Antiqua" w:hAnsi="Book Antiqua"/>
          <w:sz w:val="20"/>
        </w:rPr>
        <w:tab/>
        <w:t xml:space="preserve">Two types of clocks are used in the world of science.  The clock we are familiar with is the one that depends on gravity, measuring days, months, </w:t>
      </w:r>
      <w:r w:rsidR="00EB3D91">
        <w:rPr>
          <w:rFonts w:ascii="Book Antiqua" w:hAnsi="Book Antiqua"/>
          <w:sz w:val="20"/>
        </w:rPr>
        <w:t xml:space="preserve">and </w:t>
      </w:r>
      <w:r>
        <w:rPr>
          <w:rFonts w:ascii="Book Antiqua" w:hAnsi="Book Antiqua"/>
          <w:sz w:val="20"/>
        </w:rPr>
        <w:t>years</w:t>
      </w:r>
      <w:r w:rsidR="00EB3D91">
        <w:rPr>
          <w:rFonts w:ascii="Book Antiqua" w:hAnsi="Book Antiqua"/>
          <w:sz w:val="20"/>
        </w:rPr>
        <w:t xml:space="preserve"> by the movement of objects through space.  These units are then divided into weeks, hours, and minutes.  The other kind of clock is the atomic clock.  This is based on the processes of atoms and </w:t>
      </w:r>
      <w:r w:rsidR="00EB3D91">
        <w:rPr>
          <w:rFonts w:ascii="Book Antiqua" w:hAnsi="Book Antiqua"/>
          <w:sz w:val="20"/>
        </w:rPr>
        <w:lastRenderedPageBreak/>
        <w:t xml:space="preserve">subatomic particles.  This kind of time can be divided up into extremely small measurements and so is often preferred by physicists.  </w:t>
      </w:r>
    </w:p>
    <w:p w:rsidR="00264E81" w:rsidRDefault="00264E81" w:rsidP="00820B57">
      <w:pPr>
        <w:pStyle w:val="NoSpacing"/>
        <w:jc w:val="both"/>
        <w:rPr>
          <w:rFonts w:ascii="Book Antiqua" w:hAnsi="Book Antiqua"/>
          <w:sz w:val="20"/>
        </w:rPr>
      </w:pPr>
    </w:p>
    <w:p w:rsidR="00820B57" w:rsidRPr="00B9776F" w:rsidRDefault="00264E81" w:rsidP="00820B57">
      <w:pPr>
        <w:pStyle w:val="NoSpacing"/>
        <w:jc w:val="both"/>
        <w:rPr>
          <w:rFonts w:ascii="Book Antiqua" w:hAnsi="Book Antiqua"/>
          <w:sz w:val="20"/>
        </w:rPr>
      </w:pPr>
      <w:r>
        <w:rPr>
          <w:rFonts w:ascii="Book Antiqua" w:hAnsi="Book Antiqua"/>
          <w:sz w:val="20"/>
        </w:rPr>
        <w:t>E</w:t>
      </w:r>
      <w:r w:rsidR="00820B57" w:rsidRPr="000E3A84">
        <w:rPr>
          <w:rFonts w:ascii="Book Antiqua" w:hAnsi="Book Antiqua"/>
          <w:sz w:val="20"/>
        </w:rPr>
        <w:t>quation</w:t>
      </w:r>
      <w:r w:rsidR="000E3A84">
        <w:rPr>
          <w:rFonts w:ascii="Book Antiqua" w:hAnsi="Book Antiqua"/>
          <w:sz w:val="20"/>
        </w:rPr>
        <w:t>s</w:t>
      </w:r>
      <w:r w:rsidR="00820B57" w:rsidRPr="00B9776F">
        <w:rPr>
          <w:rFonts w:ascii="Book Antiqua" w:hAnsi="Book Antiqua"/>
          <w:sz w:val="20"/>
        </w:rPr>
        <w:t xml:space="preserve"> (3) and (57) established that atomic masses are inversely proportional to the square of the speed of light.  This can be applied to electrons in orbits and nucleons in orbitals. The kinetic energy of these particles is given by </w:t>
      </w:r>
      <m:oMath>
        <m:r>
          <w:rPr>
            <w:rFonts w:ascii="Cambria Math" w:hAnsi="Cambria Math"/>
            <w:sz w:val="20"/>
          </w:rPr>
          <m:t xml:space="preserve">½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v</m:t>
            </m:r>
          </m:e>
          <m:sup>
            <m:r>
              <w:rPr>
                <w:rFonts w:ascii="Cambria Math" w:hAnsi="Cambria Math"/>
                <w:sz w:val="20"/>
              </w:rPr>
              <m:t>2</m:t>
            </m:r>
          </m:sup>
        </m:sSup>
      </m:oMath>
      <w:r w:rsidR="00820B57" w:rsidRPr="00B9776F">
        <w:rPr>
          <w:rFonts w:ascii="Book Antiqua" w:hAnsi="Book Antiqua"/>
          <w:sz w:val="20"/>
        </w:rPr>
        <w:t xml:space="preserve"> where </w:t>
      </w:r>
      <m:oMath>
        <m:r>
          <w:rPr>
            <w:rFonts w:ascii="Cambria Math" w:hAnsi="Cambria Math" w:cs="Cambria Math"/>
            <w:sz w:val="20"/>
          </w:rPr>
          <m:t>v</m:t>
        </m:r>
        <m:r>
          <w:rPr>
            <w:rFonts w:ascii="Cambria Math" w:hAnsi="Cambria Math"/>
            <w:sz w:val="20"/>
          </w:rPr>
          <m:t xml:space="preserve"> </m:t>
        </m:r>
      </m:oMath>
      <w:r w:rsidR="00820B57" w:rsidRPr="00B9776F">
        <w:rPr>
          <w:rFonts w:ascii="Book Antiqua" w:hAnsi="Book Antiqua"/>
          <w:sz w:val="20"/>
        </w:rPr>
        <w:t xml:space="preserve">is the tangential velocity. If </w:t>
      </w:r>
      <m:oMath>
        <m:r>
          <w:rPr>
            <w:rFonts w:ascii="Cambria Math" w:hAnsi="Cambria Math" w:cs="Cambria Math"/>
            <w:sz w:val="20"/>
          </w:rPr>
          <m:t>m</m:t>
        </m:r>
      </m:oMath>
      <w:r w:rsidR="00820B57" w:rsidRPr="00B9776F">
        <w:rPr>
          <w:rFonts w:ascii="Book Antiqua" w:hAnsi="Book Antiqua"/>
          <w:sz w:val="20"/>
        </w:rPr>
        <w:t xml:space="preserve"> varies as </w:t>
      </w:r>
      <m:oMath>
        <m:r>
          <w:rPr>
            <w:rFonts w:ascii="Cambria Math" w:hAnsi="Cambria Math"/>
            <w:sz w:val="20"/>
          </w:rPr>
          <m:t>1/</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00820B57" w:rsidRPr="00B9776F">
        <w:rPr>
          <w:rFonts w:ascii="Book Antiqua" w:hAnsi="Book Antiqua"/>
          <w:sz w:val="20"/>
        </w:rPr>
        <w:t xml:space="preserve"> it follows that </w:t>
      </w:r>
      <m:oMath>
        <m:r>
          <w:rPr>
            <w:rFonts w:ascii="Cambria Math" w:hAnsi="Cambria Math" w:cs="Cambria Math"/>
            <w:sz w:val="20"/>
          </w:rPr>
          <m:t>v</m:t>
        </m:r>
      </m:oMath>
      <w:r w:rsidR="00820B57" w:rsidRPr="00B9776F">
        <w:rPr>
          <w:rFonts w:ascii="Book Antiqua" w:hAnsi="Book Antiqua"/>
          <w:sz w:val="20"/>
        </w:rPr>
        <w:t xml:space="preserve"> must vary as </w:t>
      </w:r>
      <m:oMath>
        <m:r>
          <w:rPr>
            <w:rFonts w:ascii="Cambria Math" w:hAnsi="Cambria Math" w:cs="Cambria Math"/>
            <w:sz w:val="20"/>
          </w:rPr>
          <m:t>c</m:t>
        </m:r>
      </m:oMath>
      <w:r w:rsidR="00820B57" w:rsidRPr="00B9776F">
        <w:rPr>
          <w:rFonts w:ascii="Book Antiqua" w:hAnsi="Book Antiqua"/>
          <w:i/>
          <w:sz w:val="20"/>
        </w:rPr>
        <w:t>,</w:t>
      </w:r>
      <w:r w:rsidR="00820B57" w:rsidRPr="00B9776F">
        <w:rPr>
          <w:rFonts w:ascii="Book Antiqua" w:hAnsi="Book Antiqua"/>
          <w:sz w:val="20"/>
        </w:rPr>
        <w:t xml:space="preserve"> since kinetic energy is conserved in an atomic environment.  Birge’s statement regarding the necessity of atomic frequencies changing along with the speed of light, if the speed of light changed, follows automatically from this, since orbit velocities are proportional to the speed of light. It can thus be written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v</m:t>
        </m:r>
        <m:r>
          <w:rPr>
            <w:rFonts w:ascii="Cambria Math" w:hAnsi="Cambria Math"/>
            <w:sz w:val="20"/>
          </w:rPr>
          <m:t xml:space="preserve"> ~ </m:t>
        </m:r>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70</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0E3A84" w:rsidRPr="005627CB" w:rsidRDefault="00820B57" w:rsidP="000E3A84">
      <w:pPr>
        <w:pStyle w:val="NoSpacing"/>
        <w:rPr>
          <w:rFonts w:ascii="Book Antiqua" w:hAnsi="Book Antiqua"/>
          <w:sz w:val="16"/>
          <w:szCs w:val="16"/>
        </w:rPr>
      </w:pPr>
      <w:r w:rsidRPr="00264E81">
        <w:rPr>
          <w:rFonts w:ascii="Book Antiqua" w:hAnsi="Book Antiqua"/>
          <w:sz w:val="20"/>
        </w:rPr>
        <w:t xml:space="preserve">The formulation for electron velocity in the first Bohr orbit verifies this since </w:t>
      </w:r>
      <w:r w:rsidRPr="00264E81">
        <w:rPr>
          <w:rFonts w:ascii="Book Antiqua" w:hAnsi="Book Antiqua"/>
          <w:i/>
          <w:sz w:val="20"/>
        </w:rPr>
        <w:t>Allen’s Astrophysical Quantities</w:t>
      </w:r>
      <w:r w:rsidR="00264E81">
        <w:rPr>
          <w:rFonts w:ascii="Book Antiqua" w:hAnsi="Book Antiqua"/>
          <w:i/>
          <w:sz w:val="20"/>
        </w:rPr>
        <w:t xml:space="preserve"> </w:t>
      </w:r>
      <w:r w:rsidR="00264E81" w:rsidRPr="00264E81">
        <w:rPr>
          <w:rFonts w:ascii="Book Antiqua" w:hAnsi="Book Antiqua"/>
          <w:sz w:val="20"/>
        </w:rPr>
        <w:t>[40]</w:t>
      </w:r>
      <w:r w:rsidRPr="00264E81">
        <w:rPr>
          <w:rFonts w:ascii="Book Antiqua" w:hAnsi="Book Antiqua"/>
          <w:sz w:val="20"/>
        </w:rPr>
        <w:t>, quotes this as being given by:</w:t>
      </w:r>
      <w:r w:rsidRPr="00B9776F">
        <w:rPr>
          <w:rFonts w:ascii="Book Antiqua" w:hAnsi="Book Antiqua"/>
          <w:sz w:val="20"/>
        </w:rPr>
        <w:t xml:space="preserve"> </w:t>
      </w:r>
      <w:r w:rsidR="000E3A84">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v</m:t>
        </m:r>
        <m:r>
          <w:rPr>
            <w:rFonts w:ascii="Cambria Math" w:hAnsi="Cambria Math"/>
            <w:sz w:val="20"/>
          </w:rPr>
          <m:t xml:space="preserve"> = 2</m:t>
        </m:r>
        <m:r>
          <w:rPr>
            <w:rFonts w:ascii="Cambria Math" w:hAnsi="Cambria Math" w:cs="Cambria Math"/>
            <w:sz w:val="20"/>
          </w:rPr>
          <m:t>π</m:t>
        </m:r>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ε</m:t>
        </m:r>
        <m:r>
          <w:rPr>
            <w:rFonts w:ascii="Cambria Math" w:hAnsi="Cambria Math"/>
            <w:sz w:val="20"/>
          </w:rPr>
          <m:t xml:space="preserve"> </m:t>
        </m:r>
        <m:r>
          <w:rPr>
            <w:rFonts w:ascii="Cambria Math" w:hAnsi="Cambria Math" w:cs="Cambria Math"/>
            <w:sz w:val="20"/>
          </w:rPr>
          <m:t>h</m:t>
        </m:r>
        <m:r>
          <w:rPr>
            <w:rFonts w:ascii="Cambria Math" w:hAnsi="Cambria Math"/>
            <w:sz w:val="20"/>
          </w:rPr>
          <m:t>) ~ 1/</m:t>
        </m:r>
        <m:r>
          <w:rPr>
            <w:rFonts w:ascii="Cambria Math" w:hAnsi="Cambria Math" w:cs="Cambria Math"/>
            <w:sz w:val="20"/>
          </w:rPr>
          <m:t>U</m:t>
        </m:r>
        <m:r>
          <w:rPr>
            <w:rFonts w:ascii="Cambria Math" w:hAnsi="Cambria Math"/>
            <w:sz w:val="20"/>
          </w:rPr>
          <m:t xml:space="preserve"> ~ </m:t>
        </m:r>
        <m:r>
          <w:rPr>
            <w:rFonts w:ascii="Cambria Math" w:hAnsi="Cambria Math" w:cs="Cambria Math"/>
            <w:sz w:val="20"/>
          </w:rPr>
          <m:t>c</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71</w:t>
      </w:r>
      <w:r w:rsidRPr="00B9776F">
        <w:rPr>
          <w:rFonts w:ascii="Book Antiqua" w:hAnsi="Book Antiqua"/>
          <w:i/>
          <w:sz w:val="20"/>
        </w:rPr>
        <w:t xml:space="preserve">) </w:t>
      </w:r>
    </w:p>
    <w:p w:rsidR="00820B57" w:rsidRPr="00B9776F" w:rsidRDefault="00820B57" w:rsidP="00820B57">
      <w:pPr>
        <w:pStyle w:val="NoSpacing"/>
        <w:jc w:val="both"/>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(69), the proportionalities affirm French’s comment that the frequency of light emitted by an electron transition to the ground state orbit </w:t>
      </w:r>
      <w:r w:rsidRPr="00B9776F">
        <w:rPr>
          <w:rFonts w:ascii="Book Antiqua" w:hAnsi="Book Antiqua"/>
          <w:i/>
          <w:sz w:val="20"/>
        </w:rPr>
        <w:t>“is identical with the frequency of revolution in the [ground state] orbit.”</w:t>
      </w:r>
      <w:r w:rsidRPr="00B9776F">
        <w:rPr>
          <w:rFonts w:ascii="Book Antiqua" w:hAnsi="Book Antiqua"/>
          <w:sz w:val="20"/>
        </w:rPr>
        <w:t xml:space="preserve"> [41] This agrees with equations in Chapter 2, which shows that atomic frequencies are proportional to the speed of light – just as (</w:t>
      </w:r>
      <w:r w:rsidR="00663DBB">
        <w:rPr>
          <w:rFonts w:ascii="Book Antiqua" w:hAnsi="Book Antiqua"/>
          <w:sz w:val="20"/>
        </w:rPr>
        <w:t>70</w:t>
      </w:r>
      <w:r w:rsidRPr="00B9776F">
        <w:rPr>
          <w:rFonts w:ascii="Book Antiqua" w:hAnsi="Book Antiqua"/>
          <w:sz w:val="20"/>
        </w:rPr>
        <w:t xml:space="preserve">) above does. Thus, when </w:t>
      </w:r>
      <m:oMath>
        <m:r>
          <w:rPr>
            <w:rFonts w:ascii="Cambria Math" w:hAnsi="Cambria Math" w:cs="Cambria Math"/>
            <w:sz w:val="20"/>
          </w:rPr>
          <m:t>c</m:t>
        </m:r>
        <m:r>
          <w:rPr>
            <w:rFonts w:ascii="Cambria Math" w:hAnsi="Cambria Math"/>
            <w:sz w:val="20"/>
          </w:rPr>
          <m:t xml:space="preserve"> </m:t>
        </m:r>
      </m:oMath>
      <w:r w:rsidRPr="00B9776F">
        <w:rPr>
          <w:rFonts w:ascii="Book Antiqua" w:hAnsi="Book Antiqua"/>
          <w:sz w:val="20"/>
        </w:rPr>
        <w:t xml:space="preserve">is </w:t>
      </w:r>
      <w:r w:rsidRPr="00264E81">
        <w:rPr>
          <w:rFonts w:ascii="Book Antiqua" w:hAnsi="Book Antiqua"/>
          <w:sz w:val="20"/>
        </w:rPr>
        <w:t>higher,</w:t>
      </w:r>
      <w:r w:rsidR="00264E81">
        <w:rPr>
          <w:rFonts w:ascii="Book Antiqua" w:hAnsi="Book Antiqua"/>
          <w:sz w:val="20"/>
        </w:rPr>
        <w:t xml:space="preserve"> this means that </w:t>
      </w:r>
      <w:r w:rsidRPr="00264E81">
        <w:rPr>
          <w:rFonts w:ascii="Book Antiqua" w:hAnsi="Book Antiqua"/>
          <w:sz w:val="20"/>
        </w:rPr>
        <w:t>atomic</w:t>
      </w:r>
      <w:r w:rsidRPr="00B9776F">
        <w:rPr>
          <w:rFonts w:ascii="Book Antiqua" w:hAnsi="Book Antiqua"/>
          <w:sz w:val="20"/>
        </w:rPr>
        <w:t xml:space="preserve"> frequencies are </w:t>
      </w:r>
      <w:r w:rsidR="00264E81">
        <w:rPr>
          <w:rFonts w:ascii="Book Antiqua" w:hAnsi="Book Antiqua"/>
          <w:sz w:val="20"/>
        </w:rPr>
        <w:t xml:space="preserve">also </w:t>
      </w:r>
      <w:r w:rsidRPr="00B9776F">
        <w:rPr>
          <w:rFonts w:ascii="Book Antiqua" w:hAnsi="Book Antiqua"/>
          <w:sz w:val="20"/>
        </w:rPr>
        <w:t xml:space="preserve">higher </w:t>
      </w:r>
      <w:r w:rsidR="00264E81">
        <w:rPr>
          <w:rFonts w:ascii="Book Antiqua" w:hAnsi="Book Antiqua"/>
          <w:sz w:val="20"/>
        </w:rPr>
        <w:t>since</w:t>
      </w:r>
      <w:r w:rsidRPr="00B9776F">
        <w:rPr>
          <w:rFonts w:ascii="Book Antiqua" w:hAnsi="Book Antiqua"/>
          <w:sz w:val="20"/>
        </w:rPr>
        <w:t xml:space="preserve"> electron velocities in their orbits are proportionally higher. </w:t>
      </w:r>
    </w:p>
    <w:p w:rsidR="00820B57" w:rsidRPr="00B9776F" w:rsidRDefault="00820B57" w:rsidP="00820B57">
      <w:pPr>
        <w:pStyle w:val="NoSpacing"/>
        <w:jc w:val="both"/>
        <w:rPr>
          <w:rFonts w:ascii="Book Antiqua" w:hAnsi="Book Antiqua"/>
          <w:sz w:val="20"/>
        </w:rPr>
      </w:pPr>
    </w:p>
    <w:p w:rsidR="00820B57" w:rsidRPr="00B9776F" w:rsidRDefault="00264E81" w:rsidP="00820B57">
      <w:pPr>
        <w:pStyle w:val="NoSpacing"/>
        <w:ind w:firstLine="720"/>
        <w:jc w:val="both"/>
        <w:rPr>
          <w:rFonts w:ascii="Book Antiqua" w:hAnsi="Book Antiqua"/>
          <w:sz w:val="20"/>
        </w:rPr>
      </w:pPr>
      <w:r>
        <w:rPr>
          <w:rFonts w:ascii="Book Antiqua" w:hAnsi="Book Antiqua"/>
          <w:sz w:val="20"/>
        </w:rPr>
        <w:t xml:space="preserve">The </w:t>
      </w:r>
      <w:r w:rsidR="00820B57" w:rsidRPr="00B9776F">
        <w:rPr>
          <w:rFonts w:ascii="Book Antiqua" w:hAnsi="Book Antiqua"/>
          <w:sz w:val="20"/>
        </w:rPr>
        <w:t xml:space="preserve">initial introduction of the fine structure constant by Arnold Sommerfeld in 1916 supports this. One definition of the fine structure constant is that </w:t>
      </w:r>
      <w:r w:rsidR="00820B57" w:rsidRPr="00B9776F">
        <w:rPr>
          <w:rFonts w:ascii="Book Antiqua" w:hAnsi="Book Antiqua"/>
          <w:i/>
          <w:sz w:val="20"/>
        </w:rPr>
        <w:t>“it is the ratio of the velocity of the electron in the first Bohr orbit to the velocity of light in a vacuum</w:t>
      </w:r>
      <w:r w:rsidR="00820B57" w:rsidRPr="00B9776F">
        <w:rPr>
          <w:rFonts w:ascii="Book Antiqua" w:hAnsi="Book Antiqua"/>
          <w:sz w:val="20"/>
        </w:rPr>
        <w:t xml:space="preserve">” [This definition is used in the following URL: </w:t>
      </w:r>
      <w:r w:rsidR="00820B57" w:rsidRPr="00F33440">
        <w:rPr>
          <w:rFonts w:ascii="Book Antiqua" w:hAnsi="Book Antiqua"/>
          <w:i/>
          <w:sz w:val="20"/>
        </w:rPr>
        <w:t>http://physics.nist.gov/cuu/Constants/alpha.html].</w:t>
      </w:r>
      <w:r w:rsidR="00820B57" w:rsidRPr="00B9776F">
        <w:rPr>
          <w:rFonts w:ascii="Book Antiqua" w:hAnsi="Book Antiqua"/>
          <w:sz w:val="20"/>
        </w:rPr>
        <w:t xml:space="preserve"> It has been proven that the fine structure constant is fixed to parts per million across the universe. </w:t>
      </w:r>
      <w:r w:rsidR="00820B57" w:rsidRPr="00264E81">
        <w:rPr>
          <w:rFonts w:ascii="Book Antiqua" w:hAnsi="Book Antiqua"/>
          <w:sz w:val="20"/>
        </w:rPr>
        <w:t>Therefore,</w:t>
      </w:r>
      <w:r w:rsidR="00820B57" w:rsidRPr="00B9776F">
        <w:rPr>
          <w:rFonts w:ascii="Book Antiqua" w:hAnsi="Book Antiqua"/>
          <w:sz w:val="20"/>
        </w:rPr>
        <w:t xml:space="preserve"> any alteration in the properties of the vacuum affecting the speed of light must equivalently affect the speed of electrons in their orbits. </w:t>
      </w:r>
      <w:r>
        <w:rPr>
          <w:rFonts w:ascii="Book Antiqua" w:hAnsi="Book Antiqua"/>
          <w:sz w:val="20"/>
        </w:rPr>
        <w:t>This means that</w:t>
      </w:r>
      <w:r w:rsidR="00820B57" w:rsidRPr="00B9776F">
        <w:rPr>
          <w:rFonts w:ascii="Book Antiqua" w:hAnsi="Book Antiqua"/>
          <w:sz w:val="20"/>
        </w:rPr>
        <w:t xml:space="preserve"> Birge's comment that </w:t>
      </w:r>
      <w:r w:rsidR="00820B57" w:rsidRPr="00B9776F">
        <w:rPr>
          <w:rFonts w:ascii="Book Antiqua" w:hAnsi="Book Antiqua"/>
          <w:i/>
          <w:sz w:val="20"/>
        </w:rPr>
        <w:t>"every atomic frequency must be changing"</w:t>
      </w:r>
      <w:r w:rsidR="00820B57" w:rsidRPr="00B9776F">
        <w:rPr>
          <w:rFonts w:ascii="Book Antiqua" w:hAnsi="Book Antiqua"/>
          <w:sz w:val="20"/>
        </w:rPr>
        <w:t xml:space="preserve"> synchronously with the speed of light is correct, even though he casually dismissed the idea without further examination [42].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So while time measured by gravitational processes has remained constant, the data indicate that atomic time has not.  Atomic time intervals, </w:t>
      </w:r>
      <m:oMath>
        <m:r>
          <w:rPr>
            <w:rFonts w:ascii="Cambria Math" w:hAnsi="Cambria Math" w:cs="Cambria Math"/>
            <w:sz w:val="20"/>
          </w:rPr>
          <m:t>t</m:t>
        </m:r>
      </m:oMath>
      <w:r w:rsidRPr="00B9776F">
        <w:rPr>
          <w:rFonts w:ascii="Book Antiqua" w:hAnsi="Book Antiqua"/>
          <w:sz w:val="20"/>
        </w:rPr>
        <w:t xml:space="preserve">, were shorter </w:t>
      </w:r>
      <w:r w:rsidR="00264E81">
        <w:rPr>
          <w:rFonts w:ascii="Book Antiqua" w:hAnsi="Book Antiqua"/>
          <w:sz w:val="20"/>
        </w:rPr>
        <w:t>when atomic processes, including</w:t>
      </w:r>
      <w:r w:rsidRPr="00264E81">
        <w:rPr>
          <w:rFonts w:ascii="Book Antiqua" w:hAnsi="Book Antiqua"/>
          <w:sz w:val="20"/>
        </w:rPr>
        <w:t xml:space="preserve"> the speed of</w:t>
      </w:r>
      <w:r w:rsidRPr="00B9776F">
        <w:rPr>
          <w:rFonts w:ascii="Book Antiqua" w:hAnsi="Book Antiqua"/>
          <w:sz w:val="20"/>
        </w:rPr>
        <w:t xml:space="preserve"> light, </w:t>
      </w:r>
      <m:oMath>
        <m:r>
          <w:rPr>
            <w:rFonts w:ascii="Cambria Math" w:hAnsi="Cambria Math" w:cs="Cambria Math"/>
            <w:sz w:val="20"/>
          </w:rPr>
          <m:t>c</m:t>
        </m:r>
      </m:oMath>
      <w:r w:rsidRPr="00B9776F">
        <w:rPr>
          <w:rFonts w:ascii="Book Antiqua" w:hAnsi="Book Antiqua"/>
          <w:sz w:val="20"/>
        </w:rPr>
        <w:t xml:space="preserve">, </w:t>
      </w:r>
      <w:r w:rsidR="00264E81">
        <w:rPr>
          <w:rFonts w:ascii="Book Antiqua" w:hAnsi="Book Antiqua"/>
          <w:sz w:val="20"/>
        </w:rPr>
        <w:t>were faster</w:t>
      </w:r>
      <w:r w:rsidRPr="00B9776F">
        <w:rPr>
          <w:rFonts w:ascii="Book Antiqua" w:hAnsi="Book Antiqua"/>
          <w:sz w:val="20"/>
        </w:rPr>
        <w:t xml:space="preserve">.  As indicated in the preceding equations, </w:t>
      </w:r>
      <m:oMath>
        <m:r>
          <w:rPr>
            <w:rFonts w:ascii="Cambria Math" w:hAnsi="Cambria Math" w:cs="Cambria Math"/>
            <w:sz w:val="20"/>
          </w:rPr>
          <m:t>t</m:t>
        </m:r>
      </m:oMath>
      <w:r w:rsidRPr="00B9776F">
        <w:rPr>
          <w:rFonts w:ascii="Book Antiqua" w:hAnsi="Book Antiqua"/>
          <w:sz w:val="20"/>
        </w:rPr>
        <w:t xml:space="preserve"> is proportional to </w:t>
      </w:r>
      <m:oMath>
        <m:r>
          <w:rPr>
            <w:rFonts w:ascii="Cambria Math" w:hAnsi="Cambria Math"/>
            <w:sz w:val="20"/>
          </w:rPr>
          <m:t>1/</m:t>
        </m:r>
        <m:r>
          <w:rPr>
            <w:rFonts w:ascii="Cambria Math" w:hAnsi="Cambria Math" w:cs="Cambria Math"/>
            <w:sz w:val="20"/>
          </w:rPr>
          <m:t>c</m:t>
        </m:r>
      </m:oMath>
      <w:r w:rsidRPr="00B9776F">
        <w:rPr>
          <w:rFonts w:ascii="Book Antiqua" w:hAnsi="Book Antiqua"/>
          <w:sz w:val="20"/>
        </w:rPr>
        <w:t xml:space="preserve">. This is supported by the fact that some forms of atomic time are defined in terms of electron revolution time in the first Bohr orbit. Thus </w:t>
      </w:r>
      <w:r w:rsidRPr="00264E81">
        <w:rPr>
          <w:rFonts w:ascii="Book Antiqua" w:hAnsi="Book Antiqua"/>
          <w:i/>
          <w:sz w:val="20"/>
        </w:rPr>
        <w:t>Allen’s Astrophysical Quantities,</w:t>
      </w:r>
      <w:r w:rsidRPr="00B9776F">
        <w:rPr>
          <w:rFonts w:ascii="Book Antiqua" w:hAnsi="Book Antiqua"/>
          <w:sz w:val="20"/>
        </w:rPr>
        <w:t xml:space="preserve"> as referred to above, gives the time, </w:t>
      </w:r>
      <w:r w:rsidRPr="00B9776F">
        <w:rPr>
          <w:rFonts w:ascii="Book Antiqua" w:hAnsi="Book Antiqua"/>
          <w:i/>
          <w:sz w:val="20"/>
        </w:rPr>
        <w:t>t</w:t>
      </w:r>
      <w:r w:rsidRPr="00B9776F">
        <w:rPr>
          <w:rFonts w:ascii="Book Antiqua" w:hAnsi="Book Antiqua"/>
          <w:sz w:val="20"/>
        </w:rPr>
        <w:t xml:space="preserve">, an electron takes for </w:t>
      </w:r>
      <m:oMath>
        <m:r>
          <w:rPr>
            <w:rFonts w:ascii="Cambria Math" w:hAnsi="Cambria Math"/>
            <w:sz w:val="20"/>
          </w:rPr>
          <m:t>1/(2</m:t>
        </m:r>
        <m:r>
          <w:rPr>
            <w:rFonts w:ascii="Cambria Math" w:hAnsi="Cambria Math" w:cs="Cambria Math"/>
            <w:sz w:val="20"/>
          </w:rPr>
          <m:t>π</m:t>
        </m:r>
        <m:r>
          <w:rPr>
            <w:rFonts w:ascii="Cambria Math" w:hAnsi="Cambria Math"/>
            <w:sz w:val="20"/>
          </w:rPr>
          <m:t>)</m:t>
        </m:r>
      </m:oMath>
      <w:r w:rsidRPr="00B9776F">
        <w:rPr>
          <w:rFonts w:ascii="Book Antiqua" w:hAnsi="Book Antiqua"/>
          <w:sz w:val="20"/>
        </w:rPr>
        <w:t xml:space="preserve"> revolutions in the first Bohr orbit as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t</m:t>
        </m:r>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h</m:t>
            </m:r>
          </m:e>
          <m:sup>
            <m:r>
              <w:rPr>
                <w:rFonts w:ascii="Cambria Math" w:hAnsi="Cambria Math"/>
                <w:sz w:val="20"/>
              </w:rPr>
              <m:t>3</m:t>
            </m:r>
          </m:sup>
        </m:sSup>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ε</m:t>
            </m:r>
          </m:e>
          <m:sup>
            <m:r>
              <w:rPr>
                <w:rFonts w:ascii="Cambria Math" w:hAnsi="Cambria Math"/>
                <w:sz w:val="20"/>
              </w:rPr>
              <m:t>2</m:t>
            </m:r>
          </m:sup>
        </m:sSup>
        <m:r>
          <w:rPr>
            <w:rFonts w:ascii="Cambria Math" w:hAnsi="Cambria Math"/>
            <w:sz w:val="20"/>
          </w:rPr>
          <m:t>/ (8</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3</m:t>
            </m:r>
          </m:sup>
        </m:sSup>
        <m:r>
          <w:rPr>
            <w:rFonts w:ascii="Cambria Math" w:hAnsi="Cambria Math"/>
            <w:sz w:val="20"/>
          </w:rPr>
          <m:t xml:space="preserve">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4</m:t>
            </m:r>
          </m:sup>
        </m:sSup>
        <m:r>
          <w:rPr>
            <w:rFonts w:ascii="Cambria Math" w:hAnsi="Cambria Math"/>
            <w:sz w:val="20"/>
          </w:rPr>
          <m:t xml:space="preserve">) ~ </m:t>
        </m:r>
        <m:r>
          <w:rPr>
            <w:rFonts w:ascii="Cambria Math" w:hAnsi="Cambria Math" w:cs="Cambria Math"/>
            <w:sz w:val="20"/>
          </w:rPr>
          <m:t>U</m:t>
        </m:r>
        <m:r>
          <w:rPr>
            <w:rFonts w:ascii="Cambria Math" w:hAnsi="Cambria Math"/>
            <w:sz w:val="20"/>
          </w:rPr>
          <m:t xml:space="preserve"> ~ 1/</m:t>
        </m:r>
        <m:r>
          <w:rPr>
            <w:rFonts w:ascii="Cambria Math" w:hAnsi="Cambria Math" w:cs="Cambria Math"/>
            <w:sz w:val="20"/>
          </w:rPr>
          <m:t>c</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(7</w:t>
      </w:r>
      <w:r w:rsidR="00663DBB">
        <w:rPr>
          <w:rFonts w:ascii="Book Antiqua" w:hAnsi="Book Antiqua"/>
          <w:i/>
          <w:sz w:val="20"/>
        </w:rPr>
        <w:t>2</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These proportionalities follow from equations (2), (5), (8), (10), and (12) in chapter 2, and equations (3) and (57) in this chapter. If (7</w:t>
      </w:r>
      <w:r w:rsidR="00663DBB">
        <w:rPr>
          <w:rFonts w:ascii="Book Antiqua" w:hAnsi="Book Antiqua"/>
          <w:sz w:val="20"/>
        </w:rPr>
        <w:t>2</w:t>
      </w:r>
      <w:r w:rsidRPr="00B9776F">
        <w:rPr>
          <w:rFonts w:ascii="Book Antiqua" w:hAnsi="Book Antiqua"/>
          <w:sz w:val="20"/>
        </w:rPr>
        <w:t xml:space="preserve">) is to be expressed without the proportionality, it can be stated that </w:t>
      </w:r>
    </w:p>
    <w:p w:rsidR="00820B57" w:rsidRPr="00B9776F" w:rsidRDefault="00820B57" w:rsidP="00820B57">
      <w:pPr>
        <w:pStyle w:val="NoSpacing"/>
        <w:rPr>
          <w:rFonts w:ascii="Book Antiqua" w:hAnsi="Book Antiqua"/>
          <w:sz w:val="20"/>
        </w:rPr>
      </w:pPr>
    </w:p>
    <w:p w:rsidR="00820B57" w:rsidRPr="00B9776F" w:rsidRDefault="00241D2F" w:rsidP="00820B57">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2</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1</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1</m:t>
            </m:r>
          </m:sub>
        </m:sSub>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(7</w:t>
      </w:r>
      <w:r w:rsidR="00663DBB">
        <w:rPr>
          <w:rFonts w:ascii="Book Antiqua" w:hAnsi="Book Antiqua"/>
          <w:i/>
          <w:sz w:val="20"/>
        </w:rPr>
        <w:t>3</w:t>
      </w:r>
      <w:r w:rsidR="00820B57" w:rsidRPr="00B9776F">
        <w:rPr>
          <w:rFonts w:ascii="Book Antiqua" w:hAnsi="Book Antiqua"/>
          <w:i/>
          <w:sz w:val="20"/>
        </w:rPr>
        <w:t>)</w:t>
      </w:r>
    </w:p>
    <w:p w:rsidR="00820B57" w:rsidRPr="00B9776F" w:rsidRDefault="00820B57" w:rsidP="00820B57">
      <w:pPr>
        <w:pStyle w:val="NoSpacing"/>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From this it necessarily follows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ct</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(7</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means that when atomic processes are used to measure the speed of light, it will appear to be a constant.  A picture of what is happening would be if you were trying to measure a piece of elastic against another piece of elastic </w:t>
      </w:r>
      <w:r w:rsidRPr="00B9776F">
        <w:rPr>
          <w:rFonts w:ascii="Book Antiqua" w:hAnsi="Book Antiqua"/>
          <w:sz w:val="20"/>
        </w:rPr>
        <w:lastRenderedPageBreak/>
        <w:t>while stretching the two simultaneously.  The marks on one would keep pace with the marks on the other, thus indicating “no change.”  This</w:t>
      </w:r>
      <w:r w:rsidR="00F33440">
        <w:rPr>
          <w:rFonts w:ascii="Book Antiqua" w:hAnsi="Book Antiqua"/>
          <w:sz w:val="20"/>
        </w:rPr>
        <w:t xml:space="preserve"> may be</w:t>
      </w:r>
      <w:r w:rsidRPr="00B9776F">
        <w:rPr>
          <w:rFonts w:ascii="Book Antiqua" w:hAnsi="Book Antiqua"/>
          <w:sz w:val="20"/>
        </w:rPr>
        <w:t xml:space="preserve"> what has been happening with </w:t>
      </w:r>
      <w:r w:rsidR="00F33440">
        <w:rPr>
          <w:rFonts w:ascii="Book Antiqua" w:hAnsi="Book Antiqua"/>
          <w:sz w:val="20"/>
        </w:rPr>
        <w:t xml:space="preserve">some of </w:t>
      </w:r>
      <w:r w:rsidRPr="00B9776F">
        <w:rPr>
          <w:rFonts w:ascii="Book Antiqua" w:hAnsi="Book Antiqua"/>
          <w:sz w:val="20"/>
        </w:rPr>
        <w:t>the current methods of measuring the speed of light.</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820B57" w:rsidRPr="00B9776F">
        <w:rPr>
          <w:rFonts w:ascii="Book Antiqua" w:hAnsi="Book Antiqua" w:cs="Times New Roman"/>
          <w:b w:val="0"/>
          <w:sz w:val="20"/>
          <w:szCs w:val="20"/>
        </w:rPr>
        <w:t xml:space="preserve">3  Relativity Applies in the Atomic Reference Frame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brings to mind Harwit's comment in </w:t>
      </w:r>
      <w:r w:rsidRPr="00B9776F">
        <w:rPr>
          <w:rFonts w:ascii="Book Antiqua" w:hAnsi="Book Antiqua"/>
          <w:i/>
          <w:sz w:val="20"/>
        </w:rPr>
        <w:t>Astrophysical Concepts</w:t>
      </w:r>
      <w:r w:rsidRPr="00B9776F">
        <w:rPr>
          <w:rFonts w:ascii="Book Antiqua" w:hAnsi="Book Antiqua"/>
          <w:sz w:val="20"/>
        </w:rPr>
        <w:t xml:space="preserve"> [43] that the CMBR shows relativity cannot apply macroscopically, but that it still holds in the atomic frame of reference. One reason for this is that all the length terms in the metric are constant with changing ZPE. The standard metric reads:</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s</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x</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y</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z</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cs="Cambria Math"/>
            <w:sz w:val="20"/>
          </w:rPr>
          <m:t>s</m:t>
        </m:r>
      </m:oMath>
      <w:r w:rsidRPr="00B9776F">
        <w:rPr>
          <w:rFonts w:ascii="Book Antiqua" w:hAnsi="Book Antiqua"/>
          <w:sz w:val="20"/>
        </w:rPr>
        <w:t xml:space="preserve"> is the total distance covered by a signal along the three axes of </w:t>
      </w:r>
      <m:oMath>
        <m:r>
          <w:rPr>
            <w:rFonts w:ascii="Cambria Math" w:hAnsi="Cambria Math" w:cs="Cambria Math"/>
            <w:sz w:val="20"/>
          </w:rPr>
          <m:t>x</m:t>
        </m:r>
      </m:oMath>
      <w:r w:rsidRPr="00B9776F">
        <w:rPr>
          <w:rFonts w:ascii="Book Antiqua" w:hAnsi="Book Antiqua"/>
          <w:sz w:val="20"/>
        </w:rPr>
        <w:t xml:space="preserve">, </w:t>
      </w:r>
      <m:oMath>
        <m:r>
          <w:rPr>
            <w:rFonts w:ascii="Cambria Math" w:hAnsi="Cambria Math" w:cs="Cambria Math"/>
            <w:sz w:val="20"/>
          </w:rPr>
          <m:t>y</m:t>
        </m:r>
      </m:oMath>
      <w:r w:rsidRPr="00B9776F">
        <w:rPr>
          <w:rFonts w:ascii="Book Antiqua" w:hAnsi="Book Antiqua"/>
          <w:sz w:val="20"/>
        </w:rPr>
        <w:t xml:space="preserve">, and </w:t>
      </w:r>
      <m:oMath>
        <m:r>
          <w:rPr>
            <w:rFonts w:ascii="Cambria Math" w:hAnsi="Cambria Math" w:cs="Cambria Math"/>
            <w:sz w:val="20"/>
          </w:rPr>
          <m:t>z</m:t>
        </m:r>
      </m:oMath>
      <w:r w:rsidRPr="00B9776F">
        <w:rPr>
          <w:rFonts w:ascii="Book Antiqua" w:hAnsi="Book Antiqua"/>
          <w:sz w:val="20"/>
        </w:rPr>
        <w:t xml:space="preserve">. These three distances undergo no changes with ZPE changes. The final term, however, is the distance covered in the time dimension, </w:t>
      </w:r>
      <m:oMath>
        <m:r>
          <w:rPr>
            <w:rFonts w:ascii="Cambria Math" w:hAnsi="Cambria Math" w:cs="Cambria Math"/>
            <w:sz w:val="20"/>
          </w:rPr>
          <m:t>t</m:t>
        </m:r>
      </m:oMath>
      <w:r w:rsidRPr="00B9776F">
        <w:rPr>
          <w:rFonts w:ascii="Book Antiqua" w:hAnsi="Book Antiqua"/>
          <w:sz w:val="20"/>
        </w:rPr>
        <w:t xml:space="preserve">. This distance is given by multiplying the time elapsed, </w:t>
      </w:r>
      <m:oMath>
        <m:r>
          <w:rPr>
            <w:rFonts w:ascii="Cambria Math" w:hAnsi="Cambria Math" w:cs="Cambria Math"/>
            <w:sz w:val="20"/>
          </w:rPr>
          <m:t>t</m:t>
        </m:r>
      </m:oMath>
      <w:r w:rsidRPr="00B9776F">
        <w:rPr>
          <w:rFonts w:ascii="Book Antiqua" w:hAnsi="Book Antiqua"/>
          <w:sz w:val="20"/>
        </w:rPr>
        <w:t xml:space="preserve">,  by the speed of light, </w:t>
      </w:r>
      <m:oMath>
        <m:r>
          <w:rPr>
            <w:rFonts w:ascii="Cambria Math" w:hAnsi="Cambria Math" w:cs="Cambria Math"/>
            <w:sz w:val="20"/>
          </w:rPr>
          <m:t>c</m:t>
        </m:r>
      </m:oMath>
      <w:r w:rsidRPr="00B9776F">
        <w:rPr>
          <w:rFonts w:ascii="Book Antiqua" w:hAnsi="Book Antiqua"/>
          <w:sz w:val="20"/>
        </w:rPr>
        <w:t>. While there are problems for relativity when using macroscopic processes, atomic processes are exempt from these problems. This occurs because applying (7</w:t>
      </w:r>
      <w:r w:rsidR="00663DBB">
        <w:rPr>
          <w:rFonts w:ascii="Book Antiqua" w:hAnsi="Book Antiqua"/>
          <w:sz w:val="20"/>
        </w:rPr>
        <w:t>4</w:t>
      </w:r>
      <w:r w:rsidRPr="00B9776F">
        <w:rPr>
          <w:rFonts w:ascii="Book Antiqua" w:hAnsi="Book Antiqua"/>
          <w:sz w:val="20"/>
        </w:rPr>
        <w:t>) to (7</w:t>
      </w:r>
      <w:r w:rsidR="00663DBB">
        <w:rPr>
          <w:rFonts w:ascii="Book Antiqua" w:hAnsi="Book Antiqua"/>
          <w:sz w:val="20"/>
        </w:rPr>
        <w:t>5</w:t>
      </w:r>
      <w:r w:rsidRPr="00B9776F">
        <w:rPr>
          <w:rFonts w:ascii="Book Antiqua" w:hAnsi="Book Antiqua"/>
          <w:sz w:val="20"/>
        </w:rPr>
        <w:t xml:space="preserve">) means that, atomically, the result of multiplying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by </w:t>
      </w: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 xml:space="preserve"> will be unchanged when the time intervals, </w:t>
      </w:r>
      <m:oMath>
        <m:r>
          <w:rPr>
            <w:rFonts w:ascii="Cambria Math" w:hAnsi="Cambria Math" w:cs="Cambria Math"/>
            <w:sz w:val="20"/>
          </w:rPr>
          <m:t>t</m:t>
        </m:r>
      </m:oMath>
      <w:r w:rsidRPr="00B9776F">
        <w:rPr>
          <w:rFonts w:ascii="Book Antiqua" w:hAnsi="Book Antiqua"/>
          <w:sz w:val="20"/>
        </w:rPr>
        <w:t>, are measured on the atomic clock.</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Since the product </w:t>
      </w:r>
      <w:r w:rsidRPr="00B9776F">
        <w:rPr>
          <w:rFonts w:ascii="Book Antiqua" w:hAnsi="Book Antiqua"/>
          <w:i/>
          <w:sz w:val="20"/>
        </w:rPr>
        <w:t>ct</w:t>
      </w:r>
      <w:r w:rsidRPr="00B9776F">
        <w:rPr>
          <w:rFonts w:ascii="Book Antiqua" w:hAnsi="Book Antiqua"/>
          <w:sz w:val="20"/>
        </w:rPr>
        <w:t xml:space="preserve"> is a constant, trying to measure one by the other will always result in this constant.  A shorter </w:t>
      </w:r>
      <w:r w:rsidR="00EF5DAA">
        <w:rPr>
          <w:rFonts w:ascii="Book Antiqua" w:hAnsi="Book Antiqua"/>
          <w:sz w:val="20"/>
        </w:rPr>
        <w:t>elapsed</w:t>
      </w:r>
      <w:r w:rsidRPr="00B9776F">
        <w:rPr>
          <w:rFonts w:ascii="Book Antiqua" w:hAnsi="Book Antiqua"/>
          <w:sz w:val="20"/>
        </w:rPr>
        <w:t xml:space="preserve"> time and a </w:t>
      </w:r>
      <w:r w:rsidR="00EF5DAA">
        <w:rPr>
          <w:rFonts w:ascii="Book Antiqua" w:hAnsi="Book Antiqua"/>
          <w:sz w:val="20"/>
        </w:rPr>
        <w:t>larger</w:t>
      </w:r>
      <w:r w:rsidRPr="00B9776F">
        <w:rPr>
          <w:rFonts w:ascii="Book Antiqua" w:hAnsi="Book Antiqua"/>
          <w:sz w:val="20"/>
        </w:rPr>
        <w:t xml:space="preserve"> speed of light will always give the same answer as a longer </w:t>
      </w:r>
      <w:r w:rsidR="00EF5DAA">
        <w:rPr>
          <w:rFonts w:ascii="Book Antiqua" w:hAnsi="Book Antiqua"/>
          <w:sz w:val="20"/>
        </w:rPr>
        <w:t>elapsed</w:t>
      </w:r>
      <w:r w:rsidRPr="00B9776F">
        <w:rPr>
          <w:rFonts w:ascii="Book Antiqua" w:hAnsi="Book Antiqua"/>
          <w:sz w:val="20"/>
        </w:rPr>
        <w:t xml:space="preserve"> time and a lower speed of light.  As a result, it requires something outside the atomic frame of reference to measure any differences in light speed.</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Kepler’s 3</w:t>
      </w:r>
      <w:r w:rsidRPr="00B9776F">
        <w:rPr>
          <w:rFonts w:ascii="Book Antiqua" w:hAnsi="Book Antiqua"/>
          <w:sz w:val="20"/>
          <w:vertAlign w:val="superscript"/>
        </w:rPr>
        <w:t>rd</w:t>
      </w:r>
      <w:r w:rsidRPr="00B9776F">
        <w:rPr>
          <w:rFonts w:ascii="Book Antiqua" w:hAnsi="Book Antiqua"/>
          <w:sz w:val="20"/>
        </w:rPr>
        <w:t xml:space="preserve"> law (equation 6</w:t>
      </w:r>
      <w:r w:rsidR="00663DBB">
        <w:rPr>
          <w:rFonts w:ascii="Book Antiqua" w:hAnsi="Book Antiqua"/>
          <w:sz w:val="20"/>
        </w:rPr>
        <w:t>9</w:t>
      </w:r>
      <w:r w:rsidRPr="00B9776F">
        <w:rPr>
          <w:rFonts w:ascii="Book Antiqua" w:hAnsi="Book Antiqua"/>
          <w:sz w:val="20"/>
        </w:rPr>
        <w:t>) demonstrates gravitational time is constant, and Cox’s equation (7</w:t>
      </w:r>
      <w:r w:rsidR="00663DBB">
        <w:rPr>
          <w:rFonts w:ascii="Book Antiqua" w:hAnsi="Book Antiqua"/>
          <w:sz w:val="20"/>
        </w:rPr>
        <w:t>2</w:t>
      </w:r>
      <w:r w:rsidRPr="00B9776F">
        <w:rPr>
          <w:rFonts w:ascii="Book Antiqua" w:hAnsi="Book Antiqua"/>
          <w:sz w:val="20"/>
        </w:rPr>
        <w:t xml:space="preserve">) shows atomic time is variable. This suggests that both orbital and atomic clock rates need a closer scrutiny as both clocks are used as timekeepers. The orbital clock, which is what we use for our calendars, is gravitationally governed.  It is determined by the movement of the earth, moon, planets and stars, and is what is used for our spacecraft.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264E81">
        <w:rPr>
          <w:rFonts w:ascii="Book Antiqua" w:hAnsi="Book Antiqua"/>
          <w:sz w:val="20"/>
        </w:rPr>
        <w:t>The atomic clock is defined in terms of atomic processes, and is used in scientific applications. Science prefers the atomic clock because its precision is at least 5 parts in 10</w:t>
      </w:r>
      <w:r w:rsidRPr="00264E81">
        <w:rPr>
          <w:rFonts w:ascii="Book Antiqua" w:hAnsi="Book Antiqua"/>
          <w:sz w:val="20"/>
          <w:vertAlign w:val="superscript"/>
        </w:rPr>
        <w:t>15</w:t>
      </w:r>
      <w:r w:rsidRPr="00264E81">
        <w:rPr>
          <w:rFonts w:ascii="Book Antiqua" w:hAnsi="Book Antiqua"/>
          <w:sz w:val="20"/>
        </w:rPr>
        <w:t xml:space="preserve"> (using caesium). If the ZPE strength has never varied, then atomic and gravitational time have always been the same.  However, if the ZPE strength is varying, then the gravitational and atomic clock rates have differed. Indeed, after investigation in 1965, Kovalevsky noted that if gravitational and atomic clock rates were different, </w:t>
      </w:r>
      <w:r w:rsidRPr="00264E81">
        <w:rPr>
          <w:rFonts w:ascii="Book Antiqua" w:hAnsi="Book Antiqua"/>
          <w:i/>
          <w:sz w:val="20"/>
        </w:rPr>
        <w:t>“then Planck’s constant as well as atomic frequencies would drift.”</w:t>
      </w:r>
      <w:r w:rsidRPr="00264E81">
        <w:rPr>
          <w:rFonts w:ascii="Book Antiqua" w:hAnsi="Book Antiqua"/>
          <w:sz w:val="20"/>
        </w:rPr>
        <w:t xml:space="preserve"> [44] These two effects have already been noted here, and the data confirm the </w:t>
      </w:r>
      <w:r w:rsidR="00EF5DAA" w:rsidRPr="00264E81">
        <w:rPr>
          <w:rFonts w:ascii="Book Antiqua" w:hAnsi="Book Antiqua"/>
          <w:sz w:val="20"/>
        </w:rPr>
        <w:t xml:space="preserve">truth of that </w:t>
      </w:r>
      <w:r w:rsidRPr="00264E81">
        <w:rPr>
          <w:rFonts w:ascii="Book Antiqua" w:hAnsi="Book Antiqua"/>
          <w:sz w:val="20"/>
        </w:rPr>
        <w:t>proposition.</w:t>
      </w:r>
      <w:r w:rsidRPr="00B9776F">
        <w:rPr>
          <w:rFonts w:ascii="Book Antiqua" w:hAnsi="Book Antiqua"/>
          <w:sz w:val="20"/>
        </w:rPr>
        <w:t xml:space="preserve"> </w:t>
      </w:r>
    </w:p>
    <w:p w:rsidR="00820B57" w:rsidRDefault="00820B57" w:rsidP="00820B57">
      <w:pPr>
        <w:pStyle w:val="NoSpacing"/>
        <w:jc w:val="both"/>
        <w:rPr>
          <w:rFonts w:ascii="Book Antiqua" w:hAnsi="Book Antiqua"/>
          <w:sz w:val="20"/>
        </w:rPr>
      </w:pPr>
    </w:p>
    <w:p w:rsidR="001D1F40" w:rsidRPr="001D1F40" w:rsidRDefault="001D1F40" w:rsidP="001D1F40">
      <w:pPr>
        <w:pStyle w:val="NoSpacing"/>
        <w:jc w:val="both"/>
        <w:rPr>
          <w:rFonts w:ascii="Book Antiqua" w:hAnsi="Book Antiqua"/>
          <w:b/>
          <w:sz w:val="20"/>
        </w:rPr>
      </w:pPr>
      <w:r>
        <w:rPr>
          <w:rFonts w:ascii="Book Antiqua" w:hAnsi="Book Antiqua"/>
          <w:b/>
          <w:sz w:val="20"/>
        </w:rPr>
        <w:t xml:space="preserve">5. </w:t>
      </w:r>
      <w:r w:rsidRPr="001D1F40">
        <w:rPr>
          <w:rFonts w:ascii="Book Antiqua" w:hAnsi="Book Antiqua"/>
          <w:b/>
          <w:sz w:val="20"/>
        </w:rPr>
        <w:t xml:space="preserve">Comparing </w:t>
      </w:r>
      <w:r w:rsidR="00FE38C1">
        <w:rPr>
          <w:rFonts w:ascii="Book Antiqua" w:hAnsi="Book Antiqua"/>
          <w:b/>
          <w:sz w:val="20"/>
        </w:rPr>
        <w:t>Trends in Clock Data</w:t>
      </w:r>
    </w:p>
    <w:p w:rsidR="001D1F40" w:rsidRPr="00B9776F" w:rsidRDefault="001D1F40" w:rsidP="001D1F40">
      <w:pPr>
        <w:pStyle w:val="NoSpacing"/>
        <w:ind w:left="720"/>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data trends can be seen in comparisons between orbital and atomic clocks. Lunar laser ranging using atomic clocks </w:t>
      </w:r>
      <w:r w:rsidR="00EB3D91">
        <w:rPr>
          <w:rFonts w:ascii="Book Antiqua" w:hAnsi="Book Antiqua"/>
          <w:sz w:val="20"/>
        </w:rPr>
        <w:t>was</w:t>
      </w:r>
      <w:r w:rsidRPr="00B9776F">
        <w:rPr>
          <w:rFonts w:ascii="Book Antiqua" w:hAnsi="Book Antiqua"/>
          <w:sz w:val="20"/>
        </w:rPr>
        <w:t xml:space="preserve"> compared with orbital data for the interval 1955 to 1981 by Van Flandern at the US Naval Observatory, Washington. He concluded that: </w:t>
      </w:r>
      <w:r w:rsidRPr="00B9776F">
        <w:rPr>
          <w:rFonts w:ascii="Book Antiqua" w:hAnsi="Book Antiqua"/>
          <w:i/>
          <w:sz w:val="20"/>
        </w:rPr>
        <w:t>“the number of atomic seconds in a[n orbital] interval is becoming fewer. Presumably, if the result has any generality to it, this means that atomic phenomena are slowing down with respect to [orbital] phenomena.”</w:t>
      </w:r>
      <w:r w:rsidRPr="00B9776F">
        <w:rPr>
          <w:rFonts w:ascii="Book Antiqua" w:hAnsi="Book Antiqua"/>
          <w:sz w:val="20"/>
        </w:rPr>
        <w:t xml:space="preserve"> [45]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Other observatories have continued to monitor this trend. One analysis stated [46]: </w:t>
      </w:r>
      <w:r w:rsidRPr="00B9776F">
        <w:rPr>
          <w:rFonts w:ascii="Book Antiqua" w:hAnsi="Book Antiqua"/>
          <w:i/>
          <w:sz w:val="20"/>
        </w:rPr>
        <w:t>“Recently, several independent investigators have reported discrepancies between the optical observations and the planetary ephemerides. The discussions by Yao and Smith (1988, 1991, 1993)</w:t>
      </w:r>
      <w:r w:rsidRPr="00B9776F">
        <w:rPr>
          <w:rFonts w:ascii="Book Antiqua" w:hAnsi="Book Antiqua"/>
          <w:sz w:val="20"/>
        </w:rPr>
        <w:t>[47 - 49]</w:t>
      </w:r>
      <w:r w:rsidRPr="00B9776F">
        <w:rPr>
          <w:rFonts w:ascii="Book Antiqua" w:hAnsi="Book Antiqua"/>
          <w:i/>
          <w:sz w:val="20"/>
        </w:rPr>
        <w:t xml:space="preserve">, Krasinsky et al. (1993) </w:t>
      </w:r>
      <w:r w:rsidRPr="00B9776F">
        <w:rPr>
          <w:rFonts w:ascii="Book Antiqua" w:hAnsi="Book Antiqua"/>
          <w:sz w:val="20"/>
        </w:rPr>
        <w:t>[50]</w:t>
      </w:r>
      <w:r w:rsidRPr="00B9776F">
        <w:rPr>
          <w:rFonts w:ascii="Book Antiqua" w:hAnsi="Book Antiqua"/>
          <w:i/>
          <w:sz w:val="20"/>
        </w:rPr>
        <w:t xml:space="preserve">, Standish &amp; Williams (1990) </w:t>
      </w:r>
      <w:r w:rsidRPr="00B9776F">
        <w:rPr>
          <w:rFonts w:ascii="Book Antiqua" w:hAnsi="Book Antiqua"/>
          <w:sz w:val="20"/>
        </w:rPr>
        <w:t>[51]</w:t>
      </w:r>
      <w:r w:rsidRPr="00B9776F">
        <w:rPr>
          <w:rFonts w:ascii="Book Antiqua" w:hAnsi="Book Antiqua"/>
          <w:i/>
          <w:sz w:val="20"/>
        </w:rPr>
        <w:t xml:space="preserve">, Seidelman et al. (1985, 1986) </w:t>
      </w:r>
      <w:r w:rsidRPr="00B9776F">
        <w:rPr>
          <w:rFonts w:ascii="Book Antiqua" w:hAnsi="Book Antiqua"/>
          <w:sz w:val="20"/>
        </w:rPr>
        <w:t>[52, 53]</w:t>
      </w:r>
      <w:r w:rsidRPr="00B9776F">
        <w:rPr>
          <w:rFonts w:ascii="Book Antiqua" w:hAnsi="Book Antiqua"/>
          <w:i/>
          <w:sz w:val="20"/>
        </w:rPr>
        <w:t xml:space="preserve">, Seidelman (1992) </w:t>
      </w:r>
      <w:r w:rsidRPr="00B9776F">
        <w:rPr>
          <w:rFonts w:ascii="Book Antiqua" w:hAnsi="Book Antiqua"/>
          <w:sz w:val="20"/>
        </w:rPr>
        <w:t>[54]</w:t>
      </w:r>
      <w:r w:rsidRPr="00B9776F">
        <w:rPr>
          <w:rFonts w:ascii="Book Antiqua" w:hAnsi="Book Antiqua"/>
          <w:i/>
          <w:sz w:val="20"/>
        </w:rPr>
        <w:t xml:space="preserve">, Kolesnik (1995, 1996) </w:t>
      </w:r>
      <w:r w:rsidRPr="00B9776F">
        <w:rPr>
          <w:rFonts w:ascii="Book Antiqua" w:hAnsi="Book Antiqua"/>
          <w:sz w:val="20"/>
        </w:rPr>
        <w:t>[55,56]</w:t>
      </w:r>
      <w:r w:rsidRPr="00B9776F">
        <w:rPr>
          <w:rFonts w:ascii="Book Antiqua" w:hAnsi="Book Antiqua"/>
          <w:i/>
          <w:sz w:val="20"/>
        </w:rPr>
        <w:t xml:space="preserve">, and Poppe et al. (1999) </w:t>
      </w:r>
      <w:r w:rsidRPr="00B9776F">
        <w:rPr>
          <w:rFonts w:ascii="Book Antiqua" w:hAnsi="Book Antiqua"/>
          <w:sz w:val="20"/>
        </w:rPr>
        <w:t>[57]</w:t>
      </w:r>
      <w:r w:rsidRPr="00B9776F">
        <w:rPr>
          <w:rFonts w:ascii="Book Antiqua" w:hAnsi="Book Antiqua"/>
          <w:i/>
          <w:sz w:val="20"/>
        </w:rPr>
        <w:t xml:space="preserve"> indicate that [atomic clocks had] a negative linear drift [slowing] before 1960, and an equivalent positive drift [speeding up] after that date. 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 [T]he planetary drifts Kolesnik and several other investigators have detected are based on accurate modern optical observations and they use atomic time. Therefore, these drifts are unquestionably real.” </w:t>
      </w:r>
      <w:r w:rsidRPr="00B9776F">
        <w:rPr>
          <w:rFonts w:ascii="Book Antiqua" w:hAnsi="Book Antiqua"/>
          <w:sz w:val="20"/>
        </w:rPr>
        <w:t xml:space="preserve">[46] </w:t>
      </w:r>
    </w:p>
    <w:p w:rsidR="00820B57" w:rsidRPr="00B9776F" w:rsidRDefault="00820B57" w:rsidP="00820B57">
      <w:pPr>
        <w:pStyle w:val="NoSpacing"/>
        <w:jc w:val="both"/>
        <w:rPr>
          <w:rFonts w:ascii="Book Antiqua" w:hAnsi="Book Antiqua"/>
          <w:sz w:val="20"/>
        </w:rPr>
      </w:pPr>
    </w:p>
    <w:tbl>
      <w:tblPr>
        <w:tblStyle w:val="TableGrid"/>
        <w:tblW w:w="0" w:type="auto"/>
        <w:jc w:val="center"/>
        <w:tblLook w:val="04A0"/>
      </w:tblPr>
      <w:tblGrid>
        <w:gridCol w:w="5436"/>
        <w:gridCol w:w="5451"/>
      </w:tblGrid>
      <w:tr w:rsidR="00820B57" w:rsidRPr="00B9776F" w:rsidTr="00E74BCC">
        <w:trPr>
          <w:jc w:val="center"/>
        </w:trPr>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drawing>
                <wp:inline distT="0" distB="0" distL="0" distR="0">
                  <wp:extent cx="3292769" cy="3035193"/>
                  <wp:effectExtent l="19050" t="0" r="2881" b="0"/>
                  <wp:docPr id="1526" name="Picture 7" descr="E:\AtomicClock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tomicClockRates.jpg"/>
                          <pic:cNvPicPr>
                            <a:picLocks noChangeAspect="1" noChangeArrowheads="1"/>
                          </pic:cNvPicPr>
                        </pic:nvPicPr>
                        <pic:blipFill>
                          <a:blip r:embed="rId166" cstate="print">
                            <a:lum contrast="20000"/>
                          </a:blip>
                          <a:srcRect/>
                          <a:stretch>
                            <a:fillRect/>
                          </a:stretch>
                        </pic:blipFill>
                        <pic:spPr bwMode="auto">
                          <a:xfrm>
                            <a:off x="0" y="0"/>
                            <a:ext cx="3299795" cy="3041669"/>
                          </a:xfrm>
                          <a:prstGeom prst="rect">
                            <a:avLst/>
                          </a:prstGeom>
                          <a:noFill/>
                          <a:ln w="9525">
                            <a:noFill/>
                            <a:miter lim="800000"/>
                            <a:headEnd/>
                            <a:tailEnd/>
                          </a:ln>
                        </pic:spPr>
                      </pic:pic>
                    </a:graphicData>
                  </a:graphic>
                </wp:inline>
              </w:drawing>
            </w:r>
          </w:p>
        </w:tc>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drawing>
                <wp:inline distT="0" distB="0" distL="0" distR="0">
                  <wp:extent cx="3324225" cy="2905125"/>
                  <wp:effectExtent l="0" t="0" r="0" b="0"/>
                  <wp:docPr id="1527"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820B57" w:rsidRPr="00B9776F" w:rsidRDefault="00820B57" w:rsidP="00FA5681">
            <w:pPr>
              <w:pStyle w:val="NoSpacing"/>
              <w:jc w:val="both"/>
              <w:rPr>
                <w:rFonts w:ascii="Book Antiqua" w:hAnsi="Book Antiqua"/>
                <w:sz w:val="20"/>
              </w:rPr>
            </w:pPr>
          </w:p>
        </w:tc>
      </w:tr>
    </w:tbl>
    <w:p w:rsidR="00820B57" w:rsidRPr="00B9776F" w:rsidRDefault="00820B57" w:rsidP="00820B57">
      <w:pPr>
        <w:pStyle w:val="NoSpacing"/>
        <w:jc w:val="both"/>
        <w:rPr>
          <w:rFonts w:ascii="Book Antiqua" w:hAnsi="Book Antiqua"/>
          <w:sz w:val="20"/>
        </w:rPr>
      </w:pPr>
    </w:p>
    <w:p w:rsidR="00820B57" w:rsidRPr="001808B5" w:rsidRDefault="00820B57" w:rsidP="001808B5">
      <w:pPr>
        <w:pStyle w:val="NoSpacing"/>
        <w:rPr>
          <w:rFonts w:ascii="Book Antiqua" w:hAnsi="Book Antiqua"/>
          <w:i/>
          <w:sz w:val="18"/>
          <w:szCs w:val="18"/>
        </w:rPr>
      </w:pPr>
      <w:r w:rsidRPr="001808B5">
        <w:rPr>
          <w:rFonts w:ascii="Book Antiqua" w:hAnsi="Book Antiqua"/>
          <w:b/>
          <w:i/>
          <w:sz w:val="18"/>
          <w:szCs w:val="18"/>
        </w:rPr>
        <w:t>Figure 2:</w:t>
      </w:r>
      <w:r w:rsidRPr="001808B5">
        <w:rPr>
          <w:rFonts w:ascii="Book Antiqua" w:hAnsi="Book Antiqua"/>
          <w:i/>
          <w:sz w:val="18"/>
          <w:szCs w:val="18"/>
        </w:rPr>
        <w:t xml:space="preserve"> Atomic clock rates (y-axis) compared to orbital rates for (left) the planet Mercury from 1910 to 1995 and (right) solar data from 1910 to 1999. Re-plotted from data in [46]. A second order polynomial is fitted on the right.</w:t>
      </w:r>
    </w:p>
    <w:p w:rsidR="00820B57" w:rsidRPr="00B9776F" w:rsidRDefault="00820B57" w:rsidP="00820B57">
      <w:pPr>
        <w:pStyle w:val="NoSpacing"/>
        <w:jc w:val="both"/>
        <w:rPr>
          <w:rFonts w:ascii="Book Antiqua" w:hAnsi="Book Antiqua"/>
          <w:sz w:val="20"/>
        </w:rPr>
      </w:pPr>
    </w:p>
    <w:p w:rsidR="00D772FD" w:rsidRPr="00B9776F" w:rsidRDefault="00D772FD" w:rsidP="00D772FD">
      <w:pPr>
        <w:pStyle w:val="NoSpacing"/>
        <w:ind w:firstLine="720"/>
        <w:jc w:val="both"/>
        <w:rPr>
          <w:rFonts w:ascii="Book Antiqua" w:hAnsi="Book Antiqua"/>
          <w:sz w:val="20"/>
        </w:rPr>
      </w:pPr>
      <w:r w:rsidRPr="00B9776F">
        <w:rPr>
          <w:rFonts w:ascii="Book Antiqua" w:hAnsi="Book Antiqua"/>
          <w:sz w:val="20"/>
        </w:rPr>
        <w:t>The data turnaround which occurred near 1970 is shown in the two graphs in Figure 2 [46]. The turn-around which they show matches the turn-around shown in Figure 1 in this chapter, as well as Figures 1, 2, 5 and 8 in Chapter 2. Narlikar and Arp, in presenting their argument for a static, but oscillating universe, would predict this kind of a change periodically. Van Flandern’s research dealt with data from 1951 to 1983, which included the period of the turnaround. He indicated that atomic clocks truly appeared to be slowing during the 1950’s and early 1960’s.  Later, when the reversal occurred, he felt he must have been mistaken.  He wasn’t.</w:t>
      </w:r>
    </w:p>
    <w:p w:rsidR="00D772FD" w:rsidRPr="00B9776F" w:rsidRDefault="00D772FD" w:rsidP="00820B57">
      <w:pPr>
        <w:pStyle w:val="NoSpacing"/>
        <w:ind w:firstLine="720"/>
        <w:jc w:val="both"/>
        <w:rPr>
          <w:rFonts w:ascii="Book Antiqua" w:hAnsi="Book Antiqua"/>
          <w:sz w:val="20"/>
        </w:rPr>
      </w:pP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 xml:space="preserve">The data plots by Kolesnik for Mercury, Venus and the Sun </w:t>
      </w:r>
      <w:r w:rsidR="000736F7">
        <w:rPr>
          <w:rFonts w:ascii="Book Antiqua" w:hAnsi="Book Antiqua"/>
          <w:sz w:val="20"/>
        </w:rPr>
        <w:t xml:space="preserve">also </w:t>
      </w:r>
      <w:r w:rsidRPr="00B9776F">
        <w:rPr>
          <w:rFonts w:ascii="Book Antiqua" w:hAnsi="Book Antiqua"/>
          <w:sz w:val="20"/>
        </w:rPr>
        <w:t>indicate that the slowing of atomic clocks reversed between 1960 and 1970 [46]. Masreliez states atomic clocks now may be gaining about 7 seconds every 50 years over the orbital clock.  A data plot for Mercury, similar to Kolesnik, is in Figure 2 and one for the sun in Figure 3. Other planetary data give results supporting these atomic clock trends (compare equations 7</w:t>
      </w:r>
      <w:r w:rsidR="00C24253">
        <w:rPr>
          <w:rFonts w:ascii="Book Antiqua" w:hAnsi="Book Antiqua"/>
          <w:sz w:val="20"/>
        </w:rPr>
        <w:t>2</w:t>
      </w:r>
      <w:r w:rsidRPr="00B9776F">
        <w:rPr>
          <w:rFonts w:ascii="Book Antiqua" w:hAnsi="Book Antiqua"/>
          <w:sz w:val="20"/>
        </w:rPr>
        <w:t xml:space="preserve"> and 7</w:t>
      </w:r>
      <w:r w:rsidR="00C24253">
        <w:rPr>
          <w:rFonts w:ascii="Book Antiqua" w:hAnsi="Book Antiqua"/>
          <w:sz w:val="20"/>
        </w:rPr>
        <w:t>3</w:t>
      </w:r>
      <w:r w:rsidRPr="00B9776F">
        <w:rPr>
          <w:rFonts w:ascii="Book Antiqua" w:hAnsi="Book Antiqua"/>
          <w:sz w:val="20"/>
        </w:rPr>
        <w:t xml:space="preserve"> with equation 6</w:t>
      </w:r>
      <w:r w:rsidR="00C24253">
        <w:rPr>
          <w:rFonts w:ascii="Book Antiqua" w:hAnsi="Book Antiqua"/>
          <w:sz w:val="20"/>
        </w:rPr>
        <w:t>9</w:t>
      </w:r>
      <w:r w:rsidRPr="00B9776F">
        <w:rPr>
          <w:rFonts w:ascii="Book Antiqua" w:hAnsi="Book Antiqua"/>
          <w:sz w:val="20"/>
        </w:rPr>
        <w:t xml:space="preserve">). In all fairness, it should be mentioned that Kolesnik and Masreliez propose that these data are explained by their theory of “expanding time.” However, the explanation given here is completely consistent with a wide range of other data and no unusual properties of orbital time are required to account for them. </w:t>
      </w:r>
    </w:p>
    <w:p w:rsidR="00563110" w:rsidRDefault="00563110" w:rsidP="00820B57">
      <w:pPr>
        <w:pStyle w:val="NoSpacing"/>
        <w:ind w:firstLine="720"/>
        <w:jc w:val="both"/>
        <w:rPr>
          <w:rFonts w:ascii="Book Antiqua" w:hAnsi="Book Antiqua"/>
          <w:sz w:val="20"/>
        </w:rPr>
      </w:pPr>
    </w:p>
    <w:p w:rsidR="00EB3D91" w:rsidRDefault="00EB3D91" w:rsidP="00820B57">
      <w:pPr>
        <w:pStyle w:val="NoSpacing"/>
        <w:ind w:firstLine="720"/>
        <w:jc w:val="both"/>
        <w:rPr>
          <w:rFonts w:ascii="Book Antiqua" w:hAnsi="Book Antiqua"/>
          <w:sz w:val="20"/>
        </w:rPr>
      </w:pPr>
    </w:p>
    <w:p w:rsidR="00820B57" w:rsidRPr="00EB3D91" w:rsidRDefault="00FE38C1" w:rsidP="00EB3D91">
      <w:pPr>
        <w:pStyle w:val="ListParagraph"/>
        <w:numPr>
          <w:ilvl w:val="0"/>
          <w:numId w:val="27"/>
        </w:numPr>
        <w:rPr>
          <w:rFonts w:ascii="Book Antiqua" w:hAnsi="Book Antiqua"/>
          <w:b/>
          <w:sz w:val="20"/>
        </w:rPr>
      </w:pPr>
      <w:r w:rsidRPr="00EB3D91">
        <w:rPr>
          <w:rFonts w:ascii="Book Antiqua" w:hAnsi="Book Antiqua"/>
          <w:b/>
          <w:sz w:val="20"/>
        </w:rPr>
        <w:t>The Gyromagnetic Ratio of the Proton</w:t>
      </w:r>
    </w:p>
    <w:p w:rsidR="00FE38C1" w:rsidRPr="00FE38C1" w:rsidRDefault="00FE38C1" w:rsidP="00FE38C1">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There is another physical quantity which gives further details of the behavior of the curve at the turn-around point shown by these clocks</w:t>
      </w:r>
      <w:r w:rsidR="000736F7">
        <w:rPr>
          <w:rFonts w:ascii="Book Antiqua" w:hAnsi="Book Antiqua"/>
          <w:sz w:val="20"/>
        </w:rPr>
        <w:t>:</w:t>
      </w:r>
      <w:r w:rsidRPr="00B9776F">
        <w:rPr>
          <w:rFonts w:ascii="Book Antiqua" w:hAnsi="Book Antiqua"/>
          <w:sz w:val="20"/>
        </w:rPr>
        <w:t xml:space="preserve"> the proton gyromagnetic ratio. Usually abbreviated to </w:t>
      </w: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oMath>
      <w:r w:rsidRPr="00B9776F">
        <w:rPr>
          <w:rFonts w:ascii="Book Antiqua" w:hAnsi="Book Antiqua"/>
          <w:sz w:val="20"/>
        </w:rPr>
        <w:t xml:space="preserve">, this quantity links </w:t>
      </w:r>
      <m:oMath>
        <m:r>
          <w:rPr>
            <w:rFonts w:ascii="Cambria Math" w:hAnsi="Cambria Math" w:cs="Cambria Math"/>
            <w:sz w:val="20"/>
          </w:rPr>
          <m:t>m</m:t>
        </m:r>
      </m:oMath>
      <w:r w:rsidRPr="00B9776F">
        <w:rPr>
          <w:rFonts w:ascii="Book Antiqua" w:hAnsi="Book Antiqua"/>
          <w:sz w:val="20"/>
        </w:rPr>
        <w:t xml:space="preserve">, </w:t>
      </w:r>
      <m:oMath>
        <m:r>
          <w:rPr>
            <w:rFonts w:ascii="Cambria Math" w:hAnsi="Cambria Math" w:cs="Cambria Math"/>
            <w:sz w:val="20"/>
          </w:rPr>
          <m:t>e</m:t>
        </m:r>
      </m:oMath>
      <w:r w:rsidRPr="00B9776F">
        <w:rPr>
          <w:rFonts w:ascii="Book Antiqua" w:hAnsi="Book Antiqua"/>
          <w:sz w:val="20"/>
        </w:rPr>
        <w:t xml:space="preserve">, and </w:t>
      </w:r>
      <m:oMath>
        <m:r>
          <w:rPr>
            <w:rFonts w:ascii="Cambria Math" w:hAnsi="Cambria Math" w:cs="Cambria Math"/>
            <w:sz w:val="20"/>
          </w:rPr>
          <m:t>c</m:t>
        </m:r>
      </m:oMath>
      <w:r w:rsidRPr="00B9776F">
        <w:rPr>
          <w:rFonts w:ascii="Book Antiqua" w:hAnsi="Book Antiqua"/>
          <w:sz w:val="20"/>
        </w:rPr>
        <w:t xml:space="preserve"> from Chapter 2 Eq. (10) and here in (2) and (3). It is defined as the proton’s magnetic moment divided by its angular momentum, which </w:t>
      </w:r>
      <w:r w:rsidR="00D772FD" w:rsidRPr="00B9776F">
        <w:rPr>
          <w:rFonts w:ascii="Book Antiqua" w:hAnsi="Book Antiqua"/>
          <w:sz w:val="20"/>
        </w:rPr>
        <w:t>is given by</w:t>
      </w:r>
      <w:r w:rsidRPr="00B9776F">
        <w:rPr>
          <w:rFonts w:ascii="Book Antiqua" w:hAnsi="Book Antiqua"/>
          <w:sz w:val="20"/>
        </w:rPr>
        <w:t xml:space="preserve"> [58]:</w:t>
      </w:r>
    </w:p>
    <w:p w:rsidR="00820B57" w:rsidRPr="00B9776F" w:rsidRDefault="00820B57" w:rsidP="00820B57">
      <w:pPr>
        <w:pStyle w:val="NoSpacing"/>
        <w:ind w:firstLine="720"/>
        <w:jc w:val="both"/>
        <w:rPr>
          <w:rFonts w:ascii="Book Antiqua" w:hAnsi="Book Antiqua"/>
          <w:sz w:val="20"/>
        </w:rPr>
      </w:pPr>
    </w:p>
    <w:p w:rsidR="00820B57" w:rsidRPr="00B9776F" w:rsidRDefault="00241D2F" w:rsidP="00820B57">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r>
          <w:rPr>
            <w:rFonts w:ascii="Cambria Math" w:hAnsi="Cambria Math"/>
            <w:sz w:val="20"/>
          </w:rPr>
          <m:t xml:space="preserve"> = </m:t>
        </m:r>
        <m:r>
          <w:rPr>
            <w:rFonts w:ascii="Cambria Math" w:hAnsi="Cambria Math" w:cs="Cambria Math"/>
            <w:sz w:val="20"/>
          </w:rPr>
          <m:t>e</m:t>
        </m:r>
        <m:r>
          <w:rPr>
            <w:rFonts w:ascii="Cambria Math" w:hAnsi="Cambria Math"/>
            <w:sz w:val="20"/>
          </w:rPr>
          <m:t>/</m:t>
        </m:r>
        <m:r>
          <w:rPr>
            <w:rFonts w:ascii="Cambria Math" w:hAnsi="Cambria Math" w:cs="Cambria Math"/>
            <w:sz w:val="20"/>
          </w:rPr>
          <m:t>mc</m:t>
        </m:r>
      </m:oMath>
      <w:r w:rsidR="00820B57" w:rsidRPr="00B9776F">
        <w:rPr>
          <w:rFonts w:ascii="Book Antiqua" w:hAnsi="Book Antiqua"/>
          <w:sz w:val="20"/>
        </w:rPr>
        <w:t xml:space="preserve">  </w:t>
      </w:r>
      <w:proofErr w:type="gramStart"/>
      <w:r w:rsidR="00820B57" w:rsidRPr="00B9776F">
        <w:rPr>
          <w:rFonts w:ascii="Book Antiqua" w:hAnsi="Book Antiqua"/>
          <w:sz w:val="20"/>
        </w:rPr>
        <w:t>~  √</w:t>
      </w:r>
      <w:proofErr w:type="gramEnd"/>
      <w:r w:rsidR="00820B57" w:rsidRPr="00B9776F">
        <w:rPr>
          <w:rFonts w:ascii="Book Antiqua" w:hAnsi="Book Antiqua"/>
          <w:sz w:val="20"/>
        </w:rPr>
        <w:t>c</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(7</w:t>
      </w:r>
      <w:r w:rsidR="00C24253">
        <w:rPr>
          <w:rFonts w:ascii="Book Antiqua" w:hAnsi="Book Antiqua"/>
          <w:i/>
          <w:sz w:val="20"/>
        </w:rPr>
        <w:t>6</w:t>
      </w:r>
      <w:r w:rsidR="00820B57" w:rsidRPr="00B9776F">
        <w:rPr>
          <w:rFonts w:ascii="Book Antiqua" w:hAnsi="Book Antiqua"/>
          <w:i/>
          <w:sz w:val="20"/>
        </w:rPr>
        <w:t>)</w:t>
      </w:r>
    </w:p>
    <w:p w:rsidR="00E818DC" w:rsidRDefault="00E818DC" w:rsidP="00820B57">
      <w:pPr>
        <w:pStyle w:val="NoSpacing"/>
        <w:ind w:firstLine="720"/>
        <w:jc w:val="both"/>
        <w:rPr>
          <w:rFonts w:ascii="Book Antiqua" w:hAnsi="Book Antiqua"/>
          <w:sz w:val="20"/>
        </w:rPr>
      </w:pPr>
    </w:p>
    <w:p w:rsidR="00912022" w:rsidRDefault="00912022" w:rsidP="00E74BCC">
      <w:pPr>
        <w:pStyle w:val="NoSpacing"/>
        <w:jc w:val="center"/>
        <w:rPr>
          <w:rFonts w:ascii="Book Antiqua" w:hAnsi="Book Antiqua"/>
          <w:b/>
          <w:sz w:val="18"/>
          <w:szCs w:val="18"/>
        </w:rPr>
      </w:pPr>
    </w:p>
    <w:p w:rsidR="002A7896" w:rsidRPr="00255F46" w:rsidRDefault="002A7896" w:rsidP="00E74BCC">
      <w:pPr>
        <w:pStyle w:val="NoSpacing"/>
        <w:jc w:val="center"/>
        <w:rPr>
          <w:rFonts w:ascii="Book Antiqua" w:hAnsi="Book Antiqua"/>
          <w:i/>
          <w:sz w:val="18"/>
          <w:szCs w:val="18"/>
        </w:rPr>
      </w:pPr>
      <w:proofErr w:type="gramStart"/>
      <w:r w:rsidRPr="00255F46">
        <w:rPr>
          <w:rFonts w:ascii="Book Antiqua" w:hAnsi="Book Antiqua"/>
          <w:b/>
          <w:sz w:val="18"/>
          <w:szCs w:val="18"/>
        </w:rPr>
        <w:lastRenderedPageBreak/>
        <w:t>Table 1:</w:t>
      </w:r>
      <w:r w:rsidRPr="00255F46">
        <w:rPr>
          <w:rFonts w:ascii="Book Antiqua" w:hAnsi="Book Antiqua"/>
          <w:b/>
          <w:i/>
          <w:sz w:val="18"/>
          <w:szCs w:val="18"/>
        </w:rPr>
        <w:t xml:space="preserve"> Experimental values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sz w:val="18"/>
                    <w:szCs w:val="18"/>
                  </w:rPr>
                  <m:t>γ</m:t>
                </m:r>
              </m:e>
              <m:sup>
                <m:r>
                  <m:rPr>
                    <m:sty m:val="bi"/>
                  </m:rPr>
                  <w:rPr>
                    <w:rFonts w:ascii="Cambria Math" w:hAnsi="Cambria Math"/>
                    <w:sz w:val="18"/>
                    <w:szCs w:val="18"/>
                  </w:rPr>
                  <m:t>'</m:t>
                </m:r>
              </m:sup>
            </m:sSup>
          </m:e>
          <m:sub>
            <m:r>
              <m:rPr>
                <m:sty m:val="bi"/>
              </m:rPr>
              <w:rPr>
                <w:rFonts w:ascii="Cambria Math" w:hAnsi="Cambria Math"/>
                <w:sz w:val="18"/>
                <w:szCs w:val="18"/>
              </w:rPr>
              <m:t>p</m:t>
            </m:r>
          </m:sub>
        </m:sSub>
        <m:r>
          <w:rPr>
            <w:rFonts w:ascii="Cambria Math" w:hAnsi="Cambria Math"/>
            <w:sz w:val="18"/>
            <w:szCs w:val="18"/>
          </w:rPr>
          <m:t xml:space="preserve"> </m:t>
        </m:r>
      </m:oMath>
      <w:r w:rsidRPr="00255F46">
        <w:rPr>
          <w:rFonts w:ascii="Book Antiqua" w:hAnsi="Book Antiqua"/>
          <w:i/>
          <w:sz w:val="18"/>
          <w:szCs w:val="18"/>
        </w:rPr>
        <w:t xml:space="preserve"> .</w:t>
      </w:r>
      <w:proofErr w:type="gramEnd"/>
    </w:p>
    <w:p w:rsidR="002A7896" w:rsidRPr="00B9776F" w:rsidRDefault="002A7896" w:rsidP="002A7896">
      <w:pPr>
        <w:pStyle w:val="NoSpacing"/>
        <w:jc w:val="both"/>
        <w:rPr>
          <w:rFonts w:ascii="Book Antiqua" w:hAnsi="Book Antiqua"/>
          <w:sz w:val="20"/>
        </w:rPr>
      </w:pPr>
    </w:p>
    <w:tbl>
      <w:tblPr>
        <w:tblStyle w:val="TableGrid"/>
        <w:tblW w:w="0" w:type="auto"/>
        <w:jc w:val="center"/>
        <w:tblLook w:val="04A0"/>
      </w:tblPr>
      <w:tblGrid>
        <w:gridCol w:w="702"/>
        <w:gridCol w:w="3113"/>
        <w:gridCol w:w="2440"/>
      </w:tblGrid>
      <w:tr w:rsidR="002A7896" w:rsidRPr="00B9776F" w:rsidTr="00E74BCC">
        <w:trPr>
          <w:trHeight w:val="558"/>
          <w:jc w:val="center"/>
        </w:trPr>
        <w:tc>
          <w:tcPr>
            <w:tcW w:w="702"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Date</w:t>
            </w:r>
          </w:p>
        </w:tc>
        <w:tc>
          <w:tcPr>
            <w:tcW w:w="3113"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Authority</w:t>
            </w:r>
          </w:p>
        </w:tc>
        <w:tc>
          <w:tcPr>
            <w:tcW w:w="2440"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 xml:space="preserve">Value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cs="Cambria Math"/>
                          <w:sz w:val="18"/>
                          <w:szCs w:val="18"/>
                        </w:rPr>
                        <m:t>γ</m:t>
                      </m:r>
                    </m:e>
                    <m:sup>
                      <m:r>
                        <m:rPr>
                          <m:sty m:val="bi"/>
                        </m:rPr>
                        <w:rPr>
                          <w:rFonts w:ascii="Cambria Math" w:hAnsi="Cambria Math"/>
                          <w:sz w:val="18"/>
                          <w:szCs w:val="18"/>
                        </w:rPr>
                        <m:t>'</m:t>
                      </m:r>
                    </m:sup>
                  </m:sSup>
                </m:e>
                <m:sub>
                  <m:r>
                    <m:rPr>
                      <m:sty m:val="bi"/>
                    </m:rPr>
                    <w:rPr>
                      <w:rFonts w:ascii="Cambria Math" w:hAnsi="Cambria Math" w:cs="Cambria Math"/>
                      <w:sz w:val="18"/>
                      <w:szCs w:val="18"/>
                    </w:rPr>
                    <m:t>p</m:t>
                  </m:r>
                </m:sub>
              </m:sSub>
              <m:r>
                <m:rPr>
                  <m:sty m:val="bi"/>
                </m:rPr>
                <w:rPr>
                  <w:rFonts w:ascii="Cambria Math" w:hAnsi="Cambria Math"/>
                  <w:sz w:val="18"/>
                  <w:szCs w:val="18"/>
                </w:rPr>
                <m:t xml:space="preserve"> </m:t>
              </m:r>
            </m:oMath>
            <w:r w:rsidRPr="00255F46">
              <w:rPr>
                <w:rFonts w:ascii="Book Antiqua" w:hAnsi="Book Antiqua"/>
                <w:b/>
                <w:i/>
                <w:sz w:val="18"/>
                <w:szCs w:val="18"/>
              </w:rPr>
              <w:t xml:space="preserve"> radians/sec/gauss.</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1949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Thomas et al. [59]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26752.31</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DuMond and Cohen [23]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26752.70</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et al, [24]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26753.00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Bender [60]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26751.465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Yanovskii et al. [61]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26752.00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Capptuller [62]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26752.50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Vigoreaux [63]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DuMond [25]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26751.92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1964</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26751.05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26751.526</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Hara et al. [67]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Studentsov et al. [68]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26751.349</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Taylor et al. [27]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26751.270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Driscoll [69]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26751.301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Williams [70]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26751.354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1977</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Wang [71]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26751.481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Kibble and Hunt [72]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26751.689</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Williams and Olsen [73]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26751.3625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Chiao, Liu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26751.572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Chaio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26751.391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26751.257</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26751.228</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1998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[30]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26751.5341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[77]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26751.5333</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Taylor, Newell [78]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26751.3362</w:t>
            </w:r>
          </w:p>
        </w:tc>
      </w:tr>
      <w:tr w:rsidR="002A7896" w:rsidRPr="00B9776F" w:rsidTr="00E74BCC">
        <w:trPr>
          <w:trHeight w:val="98"/>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2010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CODATA/NIST [79]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26751.53268</w:t>
            </w:r>
          </w:p>
        </w:tc>
      </w:tr>
    </w:tbl>
    <w:p w:rsidR="002A7896" w:rsidRPr="00B9776F" w:rsidRDefault="002A7896" w:rsidP="002A7896">
      <w:pPr>
        <w:pStyle w:val="NoSpacing"/>
        <w:jc w:val="both"/>
        <w:rPr>
          <w:rFonts w:ascii="Book Antiqua" w:hAnsi="Book Antiqua"/>
          <w:sz w:val="20"/>
        </w:rPr>
      </w:pPr>
    </w:p>
    <w:p w:rsidR="00912022" w:rsidRDefault="00912022" w:rsidP="00820B57">
      <w:pPr>
        <w:pStyle w:val="NoSpacing"/>
        <w:rPr>
          <w:rFonts w:ascii="Book Antiqua" w:hAnsi="Book Antiqua"/>
          <w:sz w:val="20"/>
        </w:rPr>
      </w:pPr>
    </w:p>
    <w:p w:rsidR="000554D7" w:rsidRDefault="000736F7" w:rsidP="00820B57">
      <w:pPr>
        <w:pStyle w:val="NoSpacing"/>
        <w:rPr>
          <w:rFonts w:ascii="Book Antiqua" w:hAnsi="Book Antiqua"/>
          <w:sz w:val="20"/>
        </w:rPr>
      </w:pPr>
      <w:r w:rsidRPr="00B9776F">
        <w:rPr>
          <w:rFonts w:ascii="Book Antiqua" w:hAnsi="Book Antiqua"/>
          <w:sz w:val="20"/>
        </w:rPr>
        <w:t>For consistency, Table 1 and Fig.3 use the shielded ratio</w:t>
      </w:r>
      <w:proofErr w:type="gramStart"/>
      <w:r w:rsidRPr="00B9776F">
        <w:rPr>
          <w:rFonts w:ascii="Book Antiqua" w:hAnsi="Book Antiqua"/>
          <w:sz w:val="20"/>
        </w:rPr>
        <w:t xml:space="preserve">, </w:t>
      </w:r>
      <m:oMath>
        <w:proofErr w:type="gramEnd"/>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r>
          <w:rPr>
            <w:rFonts w:ascii="Cambria Math" w:hAnsi="Cambria Math"/>
            <w:sz w:val="20"/>
          </w:rPr>
          <m:t xml:space="preserve"> </m:t>
        </m:r>
      </m:oMath>
      <w:r w:rsidRPr="00B9776F">
        <w:rPr>
          <w:rFonts w:ascii="Book Antiqua" w:hAnsi="Book Antiqua"/>
          <w:sz w:val="20"/>
        </w:rPr>
        <w:t>. Two aberrant values have been omitted from this Table, one was excessively high, the other excessively low. The data from Table 1 are plotted in Figure 3 with a 4</w:t>
      </w:r>
      <w:r w:rsidRPr="00B9776F">
        <w:rPr>
          <w:rFonts w:ascii="Book Antiqua" w:hAnsi="Book Antiqua"/>
          <w:sz w:val="20"/>
          <w:vertAlign w:val="superscript"/>
        </w:rPr>
        <w:t xml:space="preserve">th </w:t>
      </w:r>
      <w:r w:rsidRPr="00B9776F">
        <w:rPr>
          <w:rFonts w:ascii="Book Antiqua" w:hAnsi="Book Antiqua"/>
          <w:sz w:val="20"/>
        </w:rPr>
        <w:t xml:space="preserve">order polynomial giving the best fit to the data. Again the minimum around 1970 is in evidence. The data from 1949 to 1981 give a linear decay rate of 0.0294 rad./sec./gauss per year with a 99.9% confidence interval that </w:t>
      </w:r>
      <m:oMath>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oMath>
      <w:r w:rsidRPr="00B9776F">
        <w:rPr>
          <w:rFonts w:ascii="Book Antiqua" w:hAnsi="Book Antiqua"/>
          <w:sz w:val="20"/>
        </w:rPr>
        <w:t xml:space="preserve"> was not constant at the 1981 value.</w:t>
      </w:r>
      <w:r>
        <w:rPr>
          <w:rFonts w:ascii="Book Antiqua" w:hAnsi="Book Antiqua"/>
          <w:sz w:val="20"/>
        </w:rPr>
        <w:t xml:space="preserve"> Figure 3 may be </w:t>
      </w:r>
      <w:r w:rsidRPr="000736F7">
        <w:rPr>
          <w:rFonts w:ascii="Book Antiqua" w:hAnsi="Book Antiqua"/>
          <w:sz w:val="20"/>
        </w:rPr>
        <w:t>the most definitive data showing what currently happening with the Narlikar-Arp oscillation.</w:t>
      </w:r>
    </w:p>
    <w:p w:rsidR="000736F7" w:rsidRDefault="000736F7" w:rsidP="00820B57">
      <w:pPr>
        <w:pStyle w:val="NoSpacing"/>
        <w:rPr>
          <w:rFonts w:ascii="Book Antiqua" w:hAnsi="Book Antiqua"/>
          <w:sz w:val="20"/>
        </w:rPr>
      </w:pPr>
    </w:p>
    <w:p w:rsidR="000736F7" w:rsidRPr="00B9776F" w:rsidRDefault="000736F7" w:rsidP="00820B57">
      <w:pPr>
        <w:pStyle w:val="NoSpacing"/>
        <w:rPr>
          <w:rFonts w:ascii="Book Antiqua" w:hAnsi="Book Antiqua"/>
          <w:sz w:val="18"/>
          <w:szCs w:val="18"/>
        </w:rPr>
      </w:pPr>
    </w:p>
    <w:p w:rsidR="00820B57" w:rsidRPr="00B9776F" w:rsidRDefault="000554D7" w:rsidP="00E74BCC">
      <w:pPr>
        <w:pStyle w:val="NoSpacing"/>
        <w:jc w:val="center"/>
        <w:rPr>
          <w:rFonts w:ascii="Book Antiqua" w:hAnsi="Book Antiqua"/>
          <w:sz w:val="18"/>
          <w:szCs w:val="18"/>
        </w:rPr>
      </w:pPr>
      <w:r w:rsidRPr="00B9776F">
        <w:rPr>
          <w:rFonts w:ascii="Book Antiqua" w:hAnsi="Book Antiqua"/>
          <w:noProof/>
          <w:sz w:val="18"/>
          <w:szCs w:val="18"/>
        </w:rPr>
        <w:lastRenderedPageBreak/>
        <w:drawing>
          <wp:inline distT="0" distB="0" distL="0" distR="0">
            <wp:extent cx="6819900" cy="3333750"/>
            <wp:effectExtent l="19050" t="0" r="19050" b="0"/>
            <wp:docPr id="14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820B57" w:rsidRPr="00B9776F" w:rsidRDefault="00820B57" w:rsidP="00820B57">
      <w:pPr>
        <w:pStyle w:val="NoSpacing"/>
        <w:rPr>
          <w:rFonts w:ascii="Book Antiqua" w:hAnsi="Book Antiqua"/>
          <w:sz w:val="18"/>
          <w:szCs w:val="18"/>
        </w:rPr>
      </w:pPr>
    </w:p>
    <w:p w:rsidR="000554D7" w:rsidRPr="00B9776F" w:rsidRDefault="000554D7" w:rsidP="00820B57">
      <w:pPr>
        <w:pStyle w:val="NoSpacing"/>
        <w:rPr>
          <w:rFonts w:ascii="Book Antiqua" w:hAnsi="Book Antiqua"/>
          <w:sz w:val="18"/>
          <w:szCs w:val="18"/>
        </w:rPr>
      </w:pPr>
    </w:p>
    <w:p w:rsidR="000554D7" w:rsidRPr="00D306FE" w:rsidRDefault="000554D7" w:rsidP="000554D7">
      <w:pPr>
        <w:pStyle w:val="NoSpacing"/>
        <w:rPr>
          <w:rFonts w:ascii="Book Antiqua" w:hAnsi="Book Antiqua"/>
          <w:i/>
          <w:sz w:val="18"/>
          <w:szCs w:val="18"/>
        </w:rPr>
      </w:pPr>
      <w:r w:rsidRPr="00D306FE">
        <w:rPr>
          <w:rFonts w:ascii="Book Antiqua" w:hAnsi="Book Antiqua"/>
          <w:b/>
          <w:i/>
          <w:sz w:val="18"/>
          <w:szCs w:val="18"/>
        </w:rPr>
        <w:t>Figure 3:</w:t>
      </w:r>
      <w:r w:rsidRPr="00D306FE">
        <w:rPr>
          <w:rFonts w:ascii="Book Antiqua" w:hAnsi="Book Antiqua"/>
          <w:i/>
          <w:sz w:val="18"/>
          <w:szCs w:val="18"/>
        </w:rPr>
        <w:t xml:space="preserve"> Graph of the proton gyromagnetic ratio which is proportional to √c . The best fit to these data is given by a 4</w:t>
      </w:r>
      <w:r w:rsidRPr="00D306FE">
        <w:rPr>
          <w:rFonts w:ascii="Book Antiqua" w:hAnsi="Book Antiqua"/>
          <w:i/>
          <w:sz w:val="18"/>
          <w:szCs w:val="18"/>
          <w:vertAlign w:val="superscript"/>
        </w:rPr>
        <w:t>th</w:t>
      </w:r>
      <w:r w:rsidRPr="00D306FE">
        <w:rPr>
          <w:rFonts w:ascii="Book Antiqua" w:hAnsi="Book Antiqua"/>
          <w:i/>
          <w:sz w:val="18"/>
          <w:szCs w:val="18"/>
        </w:rPr>
        <w:t xml:space="preserve"> order polynomial shown here. The graph shows a minimum around 1970 followed by a rise and then flattening</w:t>
      </w:r>
      <w:r w:rsidR="00255F46" w:rsidRPr="00D306FE">
        <w:rPr>
          <w:rFonts w:ascii="Book Antiqua" w:hAnsi="Book Antiqua"/>
          <w:i/>
          <w:sz w:val="18"/>
          <w:szCs w:val="18"/>
        </w:rPr>
        <w:t>.</w:t>
      </w:r>
    </w:p>
    <w:p w:rsidR="00C24253" w:rsidRPr="00B9776F" w:rsidRDefault="00C24253" w:rsidP="000554D7">
      <w:pPr>
        <w:pStyle w:val="NoSpacing"/>
        <w:rPr>
          <w:rFonts w:ascii="Book Antiqua" w:hAnsi="Book Antiqua"/>
          <w:sz w:val="18"/>
          <w:szCs w:val="18"/>
        </w:rPr>
      </w:pPr>
    </w:p>
    <w:p w:rsidR="00820B57" w:rsidRPr="00B9776F" w:rsidRDefault="00820B57" w:rsidP="00C24253">
      <w:pPr>
        <w:pStyle w:val="NoSpacing"/>
        <w:ind w:firstLine="720"/>
        <w:jc w:val="both"/>
        <w:rPr>
          <w:rFonts w:ascii="Book Antiqua" w:hAnsi="Book Antiqua"/>
          <w:sz w:val="20"/>
        </w:rPr>
      </w:pPr>
      <w:r w:rsidRPr="00B9776F">
        <w:rPr>
          <w:rFonts w:ascii="Book Antiqua" w:hAnsi="Book Antiqua"/>
          <w:sz w:val="20"/>
        </w:rPr>
        <w:t>The behavior of this quantity in Figure 3 near the flat-point has occurred in all data</w:t>
      </w:r>
      <w:r w:rsidR="006D55C3">
        <w:rPr>
          <w:rFonts w:ascii="Book Antiqua" w:hAnsi="Book Antiqua"/>
          <w:sz w:val="20"/>
        </w:rPr>
        <w:t>.  Figure 3</w:t>
      </w:r>
      <w:r w:rsidRPr="00B9776F">
        <w:rPr>
          <w:rFonts w:ascii="Book Antiqua" w:hAnsi="Book Antiqua"/>
          <w:sz w:val="20"/>
        </w:rPr>
        <w:t xml:space="preserve"> seems to give a better idea of the flat-point’s actual form. Related to th</w:t>
      </w:r>
      <w:r w:rsidR="006D55C3">
        <w:rPr>
          <w:rFonts w:ascii="Book Antiqua" w:hAnsi="Book Antiqua"/>
          <w:sz w:val="20"/>
        </w:rPr>
        <w:t>e</w:t>
      </w:r>
      <w:r w:rsidRPr="00B9776F">
        <w:rPr>
          <w:rFonts w:ascii="Book Antiqua" w:hAnsi="Book Antiqua"/>
          <w:sz w:val="20"/>
        </w:rPr>
        <w:t xml:space="preserve"> flat-point in Figure 3 was the fact that in 1983, the speed of light, </w:t>
      </w:r>
      <m:oMath>
        <m:r>
          <w:rPr>
            <w:rFonts w:ascii="Cambria Math" w:hAnsi="Cambria Math" w:cs="Cambria Math"/>
            <w:sz w:val="20"/>
          </w:rPr>
          <m:t>c</m:t>
        </m:r>
      </m:oMath>
      <w:r w:rsidRPr="00B9776F">
        <w:rPr>
          <w:rFonts w:ascii="Book Antiqua" w:hAnsi="Book Antiqua"/>
          <w:sz w:val="20"/>
        </w:rPr>
        <w:t>, was officially declared a constant.  Equation (</w:t>
      </w:r>
      <w:r w:rsidR="00B038E8">
        <w:rPr>
          <w:rFonts w:ascii="Book Antiqua" w:hAnsi="Book Antiqua"/>
          <w:sz w:val="20"/>
        </w:rPr>
        <w:t>6</w:t>
      </w:r>
      <w:r w:rsidRPr="00B9776F">
        <w:rPr>
          <w:rFonts w:ascii="Book Antiqua" w:hAnsi="Book Antiqua"/>
          <w:sz w:val="20"/>
        </w:rPr>
        <w:t xml:space="preserve">8) points to the other reason for this, quite apart from the cosmological behavior picked up by the other ZPE associated constants like the gyromagnetic ratio. From 1972 to 1983, the experimental value of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 xml:space="preserve">was obtained using lasers. Lasers measured the frequency of light at known wavelengths using atomic time and frequency standards. Using this method, </w:t>
      </w:r>
      <m:oMath>
        <m:r>
          <w:rPr>
            <w:rFonts w:ascii="Cambria Math" w:hAnsi="Cambria Math" w:cs="Cambria Math"/>
            <w:sz w:val="20"/>
          </w:rPr>
          <m:t>c</m:t>
        </m:r>
      </m:oMath>
      <w:r w:rsidRPr="00B9776F">
        <w:rPr>
          <w:rFonts w:ascii="Book Antiqua" w:hAnsi="Book Antiqua"/>
          <w:sz w:val="20"/>
        </w:rPr>
        <w:t xml:space="preserve"> was determined in terms of equation (1</w:t>
      </w:r>
      <w:r w:rsidR="00C468EC">
        <w:rPr>
          <w:rFonts w:ascii="Book Antiqua" w:hAnsi="Book Antiqua"/>
          <w:sz w:val="20"/>
        </w:rPr>
        <w:t>7</w:t>
      </w:r>
      <w:r w:rsidRPr="00B9776F">
        <w:rPr>
          <w:rFonts w:ascii="Book Antiqua" w:hAnsi="Book Antiqua"/>
          <w:sz w:val="20"/>
        </w:rPr>
        <w:t xml:space="preserve">) in Chapter 2, namely </w:t>
      </w:r>
      <m:oMath>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r>
          <w:rPr>
            <w:rFonts w:ascii="Cambria Math" w:hAnsi="Cambria Math"/>
            <w:sz w:val="20"/>
          </w:rPr>
          <m:t xml:space="preserve"> </m:t>
        </m:r>
        <m:r>
          <w:rPr>
            <w:rFonts w:ascii="Cambria Math" w:hAnsi="Cambria Math" w:cs="Cambria Math"/>
            <w:sz w:val="20"/>
          </w:rPr>
          <m:t>λ</m:t>
        </m:r>
      </m:oMath>
      <w:r w:rsidRPr="00B9776F">
        <w:rPr>
          <w:rFonts w:ascii="Book Antiqua" w:hAnsi="Book Antiqua"/>
          <w:sz w:val="20"/>
        </w:rPr>
        <w:t xml:space="preserve">. </w:t>
      </w:r>
      <w:r w:rsidR="00D928B7">
        <w:rPr>
          <w:rFonts w:ascii="Book Antiqua" w:hAnsi="Book Antiqua"/>
          <w:sz w:val="20"/>
        </w:rPr>
        <w:t>As shown in Chapter 2, wavelengths,</w:t>
      </w:r>
      <m:oMath>
        <m:r>
          <w:rPr>
            <w:rFonts w:ascii="Cambria Math" w:hAnsi="Cambria Math"/>
            <w:sz w:val="20"/>
          </w:rPr>
          <m:t xml:space="preserve"> λ</m:t>
        </m:r>
      </m:oMath>
      <w:r w:rsidR="00D928B7">
        <w:rPr>
          <w:rFonts w:ascii="Book Antiqua" w:hAnsi="Book Antiqua"/>
          <w:sz w:val="20"/>
        </w:rPr>
        <w:t xml:space="preserve">, are constant. This means that </w:t>
      </w:r>
      <w:r w:rsidRPr="00B9776F">
        <w:rPr>
          <w:rFonts w:ascii="Book Antiqua" w:hAnsi="Book Antiqua"/>
          <w:sz w:val="20"/>
        </w:rPr>
        <w:t xml:space="preserve">if atomic frequencies, </w:t>
      </w:r>
      <m:oMath>
        <m:r>
          <w:rPr>
            <w:rFonts w:ascii="Cambria Math" w:hAnsi="Cambria Math" w:cs="Cambria Math"/>
            <w:sz w:val="20"/>
          </w:rPr>
          <m:t>f</m:t>
        </m:r>
      </m:oMath>
      <w:r w:rsidRPr="00B9776F">
        <w:rPr>
          <w:rFonts w:ascii="Book Antiqua" w:hAnsi="Book Antiqua"/>
          <w:sz w:val="20"/>
        </w:rPr>
        <w:t xml:space="preserve">, are changing synchronously with </w:t>
      </w:r>
      <m:oMath>
        <m:r>
          <w:rPr>
            <w:rFonts w:ascii="Cambria Math" w:hAnsi="Cambria Math" w:cs="Cambria Math"/>
            <w:sz w:val="20"/>
          </w:rPr>
          <m:t>c</m:t>
        </m:r>
      </m:oMath>
      <w:r w:rsidRPr="00B9776F">
        <w:rPr>
          <w:rFonts w:ascii="Book Antiqua" w:hAnsi="Book Antiqua"/>
          <w:sz w:val="20"/>
        </w:rPr>
        <w:t xml:space="preserve">, no variation in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could have been detected</w:t>
      </w:r>
      <w:r w:rsidR="006D55C3">
        <w:rPr>
          <w:rFonts w:ascii="Book Antiqua" w:hAnsi="Book Antiqua"/>
          <w:sz w:val="20"/>
        </w:rPr>
        <w:t xml:space="preserve">.  None was.  </w:t>
      </w:r>
    </w:p>
    <w:p w:rsidR="00D772FD" w:rsidRPr="00B9776F" w:rsidRDefault="00D772FD" w:rsidP="00820B57">
      <w:pPr>
        <w:pStyle w:val="NoSpacing"/>
        <w:rPr>
          <w:rFonts w:ascii="Book Antiqua" w:hAnsi="Book Antiqua"/>
          <w:b/>
          <w:bCs/>
          <w:iCs/>
          <w:color w:val="000000"/>
          <w:sz w:val="20"/>
        </w:rPr>
      </w:pPr>
    </w:p>
    <w:p w:rsidR="00820B57" w:rsidRPr="00B9776F" w:rsidRDefault="00820B57" w:rsidP="00820B57">
      <w:pPr>
        <w:pStyle w:val="NoSpacing"/>
        <w:rPr>
          <w:rFonts w:ascii="Book Antiqua" w:hAnsi="Book Antiqua"/>
          <w:b/>
          <w:bCs/>
          <w:i/>
          <w:iCs/>
          <w:color w:val="000000"/>
          <w:sz w:val="20"/>
        </w:rPr>
      </w:pPr>
      <w:r w:rsidRPr="00B9776F">
        <w:rPr>
          <w:rFonts w:ascii="Book Antiqua" w:hAnsi="Book Antiqua"/>
          <w:b/>
          <w:bCs/>
          <w:iCs/>
          <w:color w:val="000000"/>
          <w:sz w:val="20"/>
        </w:rPr>
        <w:t>References</w:t>
      </w:r>
      <w:r w:rsidRPr="00B9776F">
        <w:rPr>
          <w:rFonts w:ascii="Book Antiqua" w:hAnsi="Book Antiqua"/>
          <w:b/>
          <w:bCs/>
          <w:i/>
          <w:iCs/>
          <w:color w:val="000000"/>
          <w:sz w:val="20"/>
        </w:rPr>
        <w:t xml:space="preserve"> </w:t>
      </w:r>
      <w:r w:rsidRPr="00B9776F">
        <w:rPr>
          <w:rFonts w:ascii="Book Antiqua" w:hAnsi="Book Antiqua"/>
          <w:bCs/>
          <w:i/>
          <w:iCs/>
          <w:color w:val="000000"/>
          <w:sz w:val="20"/>
        </w:rPr>
        <w:t>– All URL’s retrieved 9/13/12</w:t>
      </w:r>
    </w:p>
    <w:p w:rsidR="00820B57" w:rsidRPr="00B9776F" w:rsidRDefault="00820B57" w:rsidP="00820B57">
      <w:pPr>
        <w:pStyle w:val="NoSpacing"/>
        <w:jc w:val="both"/>
        <w:rPr>
          <w:rFonts w:ascii="Book Antiqua" w:hAnsi="Book Antiqua"/>
          <w:sz w:val="16"/>
          <w:szCs w:val="16"/>
        </w:rPr>
      </w:pP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 M. Chown, New Scientist, pp.22-25, (3 Feb, 2001).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[2] Science Editor, New Scientist, p.17 (28 May 2011).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 B. Haisch, A. Rueda, H. E. Puthoff, </w:t>
      </w:r>
      <w:r w:rsidRPr="00B9776F">
        <w:rPr>
          <w:rFonts w:ascii="Book Antiqua" w:hAnsi="Book Antiqua"/>
          <w:i/>
          <w:sz w:val="16"/>
          <w:szCs w:val="16"/>
        </w:rPr>
        <w:t>Speculations in Science and Technology</w:t>
      </w:r>
      <w:r w:rsidRPr="00B9776F">
        <w:rPr>
          <w:rFonts w:ascii="Book Antiqua" w:hAnsi="Book Antiqua"/>
          <w:sz w:val="16"/>
          <w:szCs w:val="16"/>
        </w:rPr>
        <w:t xml:space="preserve"> </w:t>
      </w:r>
      <w:r w:rsidRPr="00B9776F">
        <w:rPr>
          <w:rFonts w:ascii="Book Antiqua" w:hAnsi="Book Antiqua"/>
          <w:b/>
          <w:sz w:val="16"/>
          <w:szCs w:val="16"/>
        </w:rPr>
        <w:t>20</w:t>
      </w:r>
      <w:r w:rsidRPr="00B9776F">
        <w:rPr>
          <w:rFonts w:ascii="Book Antiqua" w:hAnsi="Book Antiqua"/>
          <w:sz w:val="16"/>
          <w:szCs w:val="16"/>
        </w:rPr>
        <w:t>, pp. 99-114 (1997).</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 Science Editor,  </w:t>
      </w:r>
      <w:r w:rsidRPr="00B9776F">
        <w:rPr>
          <w:rFonts w:ascii="Book Antiqua" w:hAnsi="Book Antiqua"/>
          <w:i/>
          <w:sz w:val="16"/>
          <w:szCs w:val="16"/>
        </w:rPr>
        <w:t>New Scientist</w:t>
      </w:r>
      <w:r w:rsidRPr="00B9776F">
        <w:rPr>
          <w:rFonts w:ascii="Book Antiqua" w:hAnsi="Book Antiqua"/>
          <w:sz w:val="16"/>
          <w:szCs w:val="16"/>
        </w:rPr>
        <w:t>, 7 July 2007, issue 2611.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 R. Gerritsma et al.,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463</w:t>
      </w:r>
      <w:r w:rsidRPr="00B9776F">
        <w:rPr>
          <w:rFonts w:ascii="Book Antiqua" w:hAnsi="Book Antiqua"/>
          <w:sz w:val="16"/>
          <w:szCs w:val="16"/>
        </w:rPr>
        <w:t>, pp. 68-71 ( 7 January 2010).</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[6]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 A. Ananthaswamy, </w:t>
      </w:r>
      <w:r w:rsidRPr="00B9776F">
        <w:rPr>
          <w:rFonts w:ascii="Book Antiqua" w:hAnsi="Book Antiqua"/>
          <w:i/>
          <w:sz w:val="16"/>
          <w:szCs w:val="16"/>
        </w:rPr>
        <w:t>New Scientist</w:t>
      </w:r>
      <w:r w:rsidRPr="00B9776F">
        <w:rPr>
          <w:rFonts w:ascii="Book Antiqua" w:hAnsi="Book Antiqua"/>
          <w:sz w:val="16"/>
          <w:szCs w:val="16"/>
        </w:rPr>
        <w:t>,10 December, 2011, pp.5, 42-45.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[8] </w:t>
      </w:r>
      <w:r w:rsidR="00395C9D">
        <w:rPr>
          <w:rFonts w:ascii="Book Antiqua" w:hAnsi="Book Antiqua"/>
          <w:sz w:val="16"/>
          <w:szCs w:val="16"/>
        </w:rPr>
        <w:t xml:space="preserve">CERN Press Release, 14 March, 2013, at </w:t>
      </w:r>
      <w:hyperlink r:id="rId169" w:history="1">
        <w:r w:rsidR="00395C9D" w:rsidRPr="00C1682F">
          <w:rPr>
            <w:rStyle w:val="Hyperlink"/>
            <w:rFonts w:ascii="Book Antiqua" w:hAnsi="Book Antiqua"/>
            <w:szCs w:val="16"/>
          </w:rPr>
          <w:t>http://press.web.cern.ch/press-releases/2013/03/new-results-indicate-particle-discovered-cern-higgs-boson</w:t>
        </w:r>
      </w:hyperlink>
      <w:r w:rsidR="00395C9D">
        <w:rPr>
          <w:rFonts w:ascii="Book Antiqua" w:hAnsi="Book Antiqua"/>
          <w:sz w:val="16"/>
          <w:szCs w:val="16"/>
        </w:rPr>
        <w:t xml:space="preserve"> </w:t>
      </w:r>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[10] CIPA, Q &amp; A at </w:t>
      </w:r>
      <w:r w:rsidRPr="00B9776F">
        <w:rPr>
          <w:rStyle w:val="Hyperlink"/>
          <w:rFonts w:ascii="Book Antiqua" w:hAnsi="Book Antiqua"/>
          <w:i/>
          <w:szCs w:val="16"/>
        </w:rPr>
        <w:t>http://www.calphysics.org/questions.html</w:t>
      </w:r>
      <w:r w:rsidRPr="00B9776F">
        <w:rPr>
          <w:rFonts w:ascii="Book Antiqua" w:hAnsi="Book Antiqua"/>
          <w:sz w:val="16"/>
          <w:szCs w:val="16"/>
        </w:rPr>
        <w:t xml:space="preserve">. Also Y. Dobyns, A. Rueda and B. Haisch, </w:t>
      </w:r>
      <w:r w:rsidRPr="00B9776F">
        <w:rPr>
          <w:rFonts w:ascii="Book Antiqua" w:hAnsi="Book Antiqua"/>
          <w:i/>
          <w:sz w:val="16"/>
          <w:szCs w:val="16"/>
        </w:rPr>
        <w:t>Found. Phys.</w:t>
      </w:r>
      <w:r w:rsidRPr="00B9776F">
        <w:rPr>
          <w:rFonts w:ascii="Book Antiqua" w:hAnsi="Book Antiqua"/>
          <w:sz w:val="16"/>
          <w:szCs w:val="16"/>
        </w:rPr>
        <w:t xml:space="preserve"> </w:t>
      </w:r>
      <w:r w:rsidRPr="00B9776F">
        <w:rPr>
          <w:rFonts w:ascii="Book Antiqua" w:hAnsi="Book Antiqua"/>
          <w:b/>
          <w:sz w:val="16"/>
          <w:szCs w:val="16"/>
        </w:rPr>
        <w:t>30 (</w:t>
      </w:r>
      <w:r w:rsidRPr="00B9776F">
        <w:rPr>
          <w:rFonts w:ascii="Book Antiqua" w:hAnsi="Book Antiqua"/>
          <w:sz w:val="16"/>
          <w:szCs w:val="16"/>
        </w:rPr>
        <w:t>1), p.59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[11] B. Setterfield,  ”Reviewing the Zero Point Energy,” </w:t>
      </w:r>
      <w:r w:rsidRPr="00B9776F">
        <w:rPr>
          <w:rFonts w:ascii="Book Antiqua" w:hAnsi="Book Antiqua"/>
          <w:i/>
          <w:sz w:val="16"/>
          <w:szCs w:val="16"/>
        </w:rPr>
        <w:t>Journal of Vectorial Relativity</w:t>
      </w:r>
      <w:r w:rsidRPr="00B9776F">
        <w:rPr>
          <w:rFonts w:ascii="Book Antiqua" w:hAnsi="Book Antiqua"/>
          <w:b/>
          <w:sz w:val="16"/>
          <w:szCs w:val="16"/>
        </w:rPr>
        <w:t xml:space="preserve"> 2</w:t>
      </w:r>
      <w:r w:rsidRPr="00B9776F">
        <w:rPr>
          <w:rFonts w:ascii="Book Antiqua" w:hAnsi="Book Antiqua"/>
          <w:sz w:val="16"/>
          <w:szCs w:val="16"/>
        </w:rPr>
        <w:t xml:space="preserve"> (3):1-28 (2007) and also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[12] B. Haisch, A. Rueda, H. E. Puthoff, </w:t>
      </w:r>
      <w:r w:rsidRPr="00B9776F">
        <w:rPr>
          <w:rFonts w:ascii="Book Antiqua" w:hAnsi="Book Antiqua"/>
          <w:i/>
          <w:sz w:val="16"/>
          <w:szCs w:val="16"/>
        </w:rPr>
        <w:t>Physical Review A</w:t>
      </w:r>
      <w:r w:rsidRPr="00B9776F">
        <w:rPr>
          <w:rFonts w:ascii="Book Antiqua" w:hAnsi="Book Antiqua"/>
          <w:sz w:val="16"/>
          <w:szCs w:val="16"/>
        </w:rPr>
        <w:t xml:space="preserve">, </w:t>
      </w:r>
      <w:r w:rsidRPr="00B9776F">
        <w:rPr>
          <w:rFonts w:ascii="Book Antiqua" w:hAnsi="Book Antiqua"/>
          <w:b/>
          <w:sz w:val="16"/>
          <w:szCs w:val="16"/>
        </w:rPr>
        <w:t>49 (</w:t>
      </w:r>
      <w:r w:rsidRPr="00B9776F">
        <w:rPr>
          <w:rFonts w:ascii="Book Antiqua" w:hAnsi="Book Antiqua"/>
          <w:sz w:val="16"/>
          <w:szCs w:val="16"/>
        </w:rPr>
        <w:t>2), pp. 678-694  (February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[13]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 March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[14] B. Setterfield, “General Relativity and the Zero Point Energy,” </w:t>
      </w:r>
      <w:r w:rsidRPr="00B9776F">
        <w:rPr>
          <w:rFonts w:ascii="Book Antiqua" w:hAnsi="Book Antiqua"/>
          <w:i/>
          <w:iCs/>
          <w:sz w:val="16"/>
          <w:szCs w:val="16"/>
        </w:rPr>
        <w:t>Journal of Theoretics</w:t>
      </w:r>
      <w:r w:rsidRPr="00B9776F">
        <w:rPr>
          <w:rFonts w:ascii="Book Antiqua" w:hAnsi="Book Antiqua"/>
          <w:sz w:val="16"/>
          <w:szCs w:val="16"/>
        </w:rPr>
        <w:t>, extensive papers (15 Oct. 2003).</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[15] M. H. MacGregor, </w:t>
      </w:r>
      <w:r w:rsidRPr="00B9776F">
        <w:rPr>
          <w:rFonts w:ascii="Book Antiqua" w:hAnsi="Book Antiqua"/>
          <w:i/>
          <w:sz w:val="16"/>
          <w:szCs w:val="16"/>
        </w:rPr>
        <w:t>The Enigmatic Electron,</w:t>
      </w:r>
      <w:r w:rsidRPr="00B9776F">
        <w:rPr>
          <w:rFonts w:ascii="Book Antiqua" w:hAnsi="Book Antiqua"/>
          <w:sz w:val="16"/>
          <w:szCs w:val="16"/>
        </w:rPr>
        <w:t xml:space="preserve"> p. 7 (Kluwer, Dordrecht, 1992).</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[16] A.P. French, </w:t>
      </w:r>
      <w:r w:rsidRPr="00B9776F">
        <w:rPr>
          <w:rFonts w:ascii="Book Antiqua" w:hAnsi="Book Antiqua"/>
          <w:i/>
          <w:sz w:val="16"/>
          <w:szCs w:val="16"/>
        </w:rPr>
        <w:t>Principles of Modern Physics,</w:t>
      </w:r>
      <w:r w:rsidRPr="00B9776F">
        <w:rPr>
          <w:rFonts w:ascii="Book Antiqua" w:hAnsi="Book Antiqua"/>
          <w:sz w:val="16"/>
          <w:szCs w:val="16"/>
        </w:rPr>
        <w:t xml:space="preserve"> pp. 66-67, (Wiley,1959).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[17] See in Wikipedia under the Classical Electron Radius or go to</w:t>
      </w:r>
      <w:r w:rsidR="00C468EC">
        <w:rPr>
          <w:rFonts w:ascii="Book Antiqua" w:hAnsi="Book Antiqua"/>
          <w:sz w:val="16"/>
          <w:szCs w:val="16"/>
        </w:rPr>
        <w:t xml:space="preserve"> </w:t>
      </w:r>
      <w:hyperlink r:id="rId170" w:history="1">
        <w:r w:rsidRPr="00B9776F">
          <w:rPr>
            <w:rStyle w:val="Hyperlink"/>
            <w:rFonts w:ascii="Book Antiqua" w:hAnsi="Book Antiqua"/>
            <w:i/>
            <w:szCs w:val="16"/>
          </w:rPr>
          <w:t>http://farside.ph.utexas.edu/teaching/em/lectures/node56.html</w:t>
        </w:r>
      </w:hyperlink>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lastRenderedPageBreak/>
        <w:t xml:space="preserve">[18] H. E. Puthoff, </w:t>
      </w:r>
      <w:r w:rsidRPr="00B9776F">
        <w:rPr>
          <w:rFonts w:ascii="Book Antiqua" w:hAnsi="Book Antiqua"/>
          <w:i/>
          <w:sz w:val="16"/>
          <w:szCs w:val="16"/>
        </w:rPr>
        <w:t>International Journal of Theoretical Physics</w:t>
      </w:r>
      <w:r w:rsidRPr="00B9776F">
        <w:rPr>
          <w:rFonts w:ascii="Book Antiqua" w:hAnsi="Book Antiqua"/>
          <w:sz w:val="16"/>
          <w:szCs w:val="16"/>
        </w:rPr>
        <w:t xml:space="preserve">, </w:t>
      </w:r>
      <w:r w:rsidRPr="00B9776F">
        <w:rPr>
          <w:rFonts w:ascii="Book Antiqua" w:hAnsi="Book Antiqua"/>
          <w:b/>
          <w:sz w:val="16"/>
          <w:szCs w:val="16"/>
        </w:rPr>
        <w:t xml:space="preserve">46, </w:t>
      </w:r>
      <w:r w:rsidRPr="00B9776F">
        <w:rPr>
          <w:rFonts w:ascii="Book Antiqua" w:hAnsi="Book Antiqua"/>
          <w:sz w:val="16"/>
          <w:szCs w:val="16"/>
        </w:rPr>
        <w:t>pp. 3005-3008 (2007).</w:t>
      </w:r>
    </w:p>
    <w:p w:rsidR="00820B57" w:rsidRPr="00B9776F" w:rsidRDefault="00820B57" w:rsidP="00820B57">
      <w:pPr>
        <w:pStyle w:val="NoSpacing"/>
        <w:rPr>
          <w:rFonts w:ascii="Book Antiqua" w:hAnsi="Book Antiqua"/>
          <w:color w:val="000000"/>
          <w:sz w:val="16"/>
          <w:szCs w:val="16"/>
        </w:rPr>
      </w:pPr>
      <w:r w:rsidRPr="00B9776F">
        <w:rPr>
          <w:rFonts w:ascii="Book Antiqua" w:hAnsi="Book Antiqua"/>
          <w:sz w:val="16"/>
          <w:szCs w:val="16"/>
        </w:rPr>
        <w:t>[19]</w:t>
      </w:r>
      <w:r w:rsidRPr="00B9776F">
        <w:rPr>
          <w:rFonts w:ascii="Book Antiqua" w:hAnsi="Book Antiqua"/>
          <w:color w:val="000000"/>
          <w:sz w:val="16"/>
          <w:szCs w:val="16"/>
        </w:rPr>
        <w:t xml:space="preserve"> F. G. </w:t>
      </w:r>
      <w:r w:rsidRPr="00B9776F">
        <w:rPr>
          <w:rFonts w:ascii="Book Antiqua" w:hAnsi="Book Antiqua"/>
          <w:sz w:val="16"/>
          <w:szCs w:val="16"/>
        </w:rPr>
        <w:t xml:space="preserve">Dunnington, “The Atomic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11</w:t>
      </w:r>
      <w:r w:rsidRPr="00B9776F">
        <w:rPr>
          <w:rFonts w:ascii="Book Antiqua" w:hAnsi="Book Antiqua"/>
          <w:sz w:val="16"/>
          <w:szCs w:val="16"/>
        </w:rPr>
        <w:t xml:space="preserve"> (2), 65-83, (April 1939).</w:t>
      </w:r>
      <w:r w:rsidRPr="00B9776F">
        <w:rPr>
          <w:rFonts w:ascii="Book Antiqua" w:hAnsi="Book Antiqua"/>
          <w:color w:val="000000"/>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[20] R. T. Birge, “A New Table of Values of the General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13</w:t>
      </w:r>
      <w:r w:rsidRPr="00B9776F">
        <w:rPr>
          <w:rFonts w:ascii="Book Antiqua" w:hAnsi="Book Antiqua"/>
          <w:sz w:val="16"/>
          <w:szCs w:val="16"/>
        </w:rPr>
        <w:t xml:space="preserve"> (4), 233-239, (Oct. 1941).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[21] J. W. M. DuMond, E. R. Cohen, “Our Knowledge of the Atomic Constants F, N, m and h in 1947, and of Other Constants Derivable Therefrom,”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20</w:t>
      </w:r>
      <w:r w:rsidRPr="00B9776F">
        <w:rPr>
          <w:rFonts w:ascii="Book Antiqua" w:hAnsi="Book Antiqua"/>
          <w:sz w:val="16"/>
          <w:szCs w:val="16"/>
        </w:rPr>
        <w:t xml:space="preserve"> (1), 82-108, (Jan. 1948).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[22] J. A. Bearden, H. M. Watts, “A Re-Evaluation of the Fundamental Atomic Constants,” </w:t>
      </w:r>
      <w:r w:rsidRPr="00B9776F">
        <w:rPr>
          <w:rFonts w:ascii="Book Antiqua" w:hAnsi="Book Antiqua"/>
          <w:i/>
          <w:iCs/>
          <w:sz w:val="16"/>
          <w:szCs w:val="16"/>
        </w:rPr>
        <w:t>Physical Review</w:t>
      </w:r>
      <w:r w:rsidRPr="00B9776F">
        <w:rPr>
          <w:rFonts w:ascii="Book Antiqua" w:hAnsi="Book Antiqua"/>
          <w:sz w:val="16"/>
          <w:szCs w:val="16"/>
        </w:rPr>
        <w:t>,</w:t>
      </w:r>
      <w:r w:rsidRPr="00B9776F">
        <w:rPr>
          <w:rFonts w:ascii="Book Antiqua" w:hAnsi="Book Antiqua"/>
          <w:b/>
          <w:sz w:val="16"/>
          <w:szCs w:val="16"/>
        </w:rPr>
        <w:t xml:space="preserve"> 81</w:t>
      </w:r>
      <w:r w:rsidRPr="00B9776F">
        <w:rPr>
          <w:rFonts w:ascii="Book Antiqua" w:hAnsi="Book Antiqua"/>
          <w:sz w:val="16"/>
          <w:szCs w:val="16"/>
        </w:rPr>
        <w:t>, 73-81, (Jan. 1, 1951).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[23] J. W. M. DuMond, E. R. Cohen, “Least Squares Adjustment of the Atomic Constants, 1952,”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25</w:t>
      </w:r>
      <w:r w:rsidRPr="00B9776F">
        <w:rPr>
          <w:rFonts w:ascii="Book Antiqua" w:hAnsi="Book Antiqua"/>
          <w:sz w:val="16"/>
          <w:szCs w:val="16"/>
        </w:rPr>
        <w:t xml:space="preserve"> (3), 691-708, (Jul. 1953).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[24] E. R. Cohen et al., “Analysis of Variance of the 1952 Data on the Atomic Constants and a New Adjustment, 1955,”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27</w:t>
      </w:r>
      <w:r w:rsidRPr="00B9776F">
        <w:rPr>
          <w:rFonts w:ascii="Book Antiqua" w:hAnsi="Book Antiqua"/>
          <w:sz w:val="16"/>
          <w:szCs w:val="16"/>
        </w:rPr>
        <w:t xml:space="preserve"> (4), 363-380, (Oct. 1955).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[25] E. R. Cohen, J. W. M. DuMond, “Present Status of our Knowledge of the Numerical Values of the Fundamental Constants,” </w:t>
      </w:r>
      <w:r w:rsidRPr="00B9776F">
        <w:rPr>
          <w:rFonts w:ascii="Book Antiqua" w:hAnsi="Book Antiqua"/>
          <w:i/>
          <w:iCs/>
          <w:sz w:val="16"/>
          <w:szCs w:val="16"/>
        </w:rPr>
        <w:t>Proceedings of the Second International Conference on Nuclidic Masses</w:t>
      </w:r>
      <w:r w:rsidRPr="00B9776F">
        <w:rPr>
          <w:rFonts w:ascii="Book Antiqua" w:hAnsi="Book Antiqua"/>
          <w:sz w:val="16"/>
          <w:szCs w:val="16"/>
        </w:rPr>
        <w:t>, Vienna, Austria, July 15-19, 1963, W. H. Johnson, Jr., editor, pp. 152-186 (Springer-Verlag, Wien, 1964).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[26] E. R. Cohen, J. W. M. DuMond, “Our Knowledge of the Fundamental Constants of Physics and Chemistry in 1965,”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37</w:t>
      </w:r>
      <w:r w:rsidRPr="00B9776F">
        <w:rPr>
          <w:rFonts w:ascii="Book Antiqua" w:hAnsi="Book Antiqua"/>
          <w:sz w:val="16"/>
          <w:szCs w:val="16"/>
        </w:rPr>
        <w:t xml:space="preserve"> (4), 537-594, (Oct.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[27] B. N. Taylor, W. H. Parker, D. N. Langenberg, “Determination of e/h Using Macroscopic Quantum Phase Coherence in Superconductors: Implications for Quantum Electrodynamics and the Fundamental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41</w:t>
      </w:r>
      <w:r w:rsidRPr="00B9776F">
        <w:rPr>
          <w:rFonts w:ascii="Book Antiqua" w:hAnsi="Book Antiqua"/>
          <w:sz w:val="16"/>
          <w:szCs w:val="16"/>
        </w:rPr>
        <w:t xml:space="preserve"> (3), 375-496, (Jul. 1969).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[28] E. R. Cohen, B. N. Taylor, “The 1973 Least-Squares Adjustment of the Fundamental Constants,” </w:t>
      </w:r>
      <w:r w:rsidRPr="00B9776F">
        <w:rPr>
          <w:rFonts w:ascii="Book Antiqua" w:hAnsi="Book Antiqua"/>
          <w:i/>
          <w:iCs/>
          <w:sz w:val="16"/>
          <w:szCs w:val="16"/>
        </w:rPr>
        <w:t>Journal of Physical and Chemical Reference Data</w:t>
      </w:r>
      <w:r w:rsidRPr="00B9776F">
        <w:rPr>
          <w:rFonts w:ascii="Book Antiqua" w:hAnsi="Book Antiqua"/>
          <w:sz w:val="16"/>
          <w:szCs w:val="16"/>
        </w:rPr>
        <w:t xml:space="preserve">, </w:t>
      </w:r>
      <w:r w:rsidRPr="00B9776F">
        <w:rPr>
          <w:rFonts w:ascii="Book Antiqua" w:hAnsi="Book Antiqua"/>
          <w:b/>
          <w:bCs/>
          <w:sz w:val="16"/>
          <w:szCs w:val="16"/>
        </w:rPr>
        <w:t>2</w:t>
      </w:r>
      <w:r w:rsidRPr="00B9776F">
        <w:rPr>
          <w:rFonts w:ascii="Book Antiqua" w:hAnsi="Book Antiqua"/>
          <w:sz w:val="16"/>
          <w:szCs w:val="16"/>
        </w:rPr>
        <w:t xml:space="preserve"> (4), 663-718, (1973).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[29] E. R. Cohen , B. M. Taylor, “The 1986 Adjustment of the Fundamental Physical Constants,” </w:t>
      </w:r>
      <w:r w:rsidRPr="00B9776F">
        <w:rPr>
          <w:rFonts w:ascii="Book Antiqua" w:hAnsi="Book Antiqua"/>
          <w:i/>
          <w:sz w:val="16"/>
          <w:szCs w:val="16"/>
        </w:rPr>
        <w:t>Codata Bulletin</w:t>
      </w:r>
      <w:r w:rsidRPr="00B9776F">
        <w:rPr>
          <w:rFonts w:ascii="Book Antiqua" w:hAnsi="Book Antiqua"/>
          <w:sz w:val="16"/>
          <w:szCs w:val="16"/>
        </w:rPr>
        <w:t xml:space="preserve"> </w:t>
      </w:r>
      <w:r w:rsidRPr="00B9776F">
        <w:rPr>
          <w:rFonts w:ascii="Book Antiqua" w:hAnsi="Book Antiqua"/>
          <w:b/>
          <w:sz w:val="16"/>
          <w:szCs w:val="16"/>
        </w:rPr>
        <w:t>63</w:t>
      </w:r>
      <w:r w:rsidRPr="00B9776F">
        <w:rPr>
          <w:rFonts w:ascii="Book Antiqua" w:hAnsi="Book Antiqua"/>
          <w:sz w:val="16"/>
          <w:szCs w:val="16"/>
        </w:rPr>
        <w:t xml:space="preserve">, (Pergamum Press, Nov. 1986).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[30] P. J. Mohr, B. N. Taylor, “Codata Recommended Values of the Fundamental Physical Constants, 1998,”  </w:t>
      </w:r>
      <w:r w:rsidRPr="00B9776F">
        <w:rPr>
          <w:rFonts w:ascii="Book Antiqua" w:hAnsi="Book Antiqua"/>
          <w:i/>
          <w:iCs/>
          <w:sz w:val="16"/>
          <w:szCs w:val="16"/>
        </w:rPr>
        <w:t>Reviews of Modern Physics</w:t>
      </w:r>
      <w:r w:rsidRPr="00B9776F">
        <w:rPr>
          <w:rFonts w:ascii="Book Antiqua" w:hAnsi="Book Antiqua"/>
          <w:sz w:val="16"/>
          <w:szCs w:val="16"/>
        </w:rPr>
        <w:t>, (April, 2000).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[31] </w:t>
      </w:r>
      <w:hyperlink r:id="rId171" w:history="1">
        <w:r w:rsidRPr="00B9776F">
          <w:rPr>
            <w:rStyle w:val="Hyperlink"/>
            <w:rFonts w:ascii="Book Antiqua" w:hAnsi="Book Antiqua"/>
            <w:i/>
            <w:szCs w:val="16"/>
          </w:rPr>
          <w:t>http://physics.nist.gov/cuu/Constants/index.html</w:t>
        </w:r>
      </w:hyperlink>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[32] See references [19-31] and Figure 1 with details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[33] R. H. Dicke, </w:t>
      </w:r>
      <w:r w:rsidRPr="00B9776F">
        <w:rPr>
          <w:rFonts w:ascii="Book Antiqua" w:hAnsi="Book Antiqua"/>
          <w:i/>
          <w:sz w:val="16"/>
          <w:szCs w:val="16"/>
        </w:rPr>
        <w:t>American Journal of Physics</w:t>
      </w:r>
      <w:r w:rsidRPr="00B9776F">
        <w:rPr>
          <w:rFonts w:ascii="Book Antiqua" w:hAnsi="Book Antiqua"/>
          <w:sz w:val="16"/>
          <w:szCs w:val="16"/>
        </w:rPr>
        <w:t xml:space="preserve">, </w:t>
      </w:r>
      <w:r w:rsidRPr="00B9776F">
        <w:rPr>
          <w:rFonts w:ascii="Book Antiqua" w:hAnsi="Book Antiqua"/>
          <w:b/>
          <w:sz w:val="16"/>
          <w:szCs w:val="16"/>
        </w:rPr>
        <w:t xml:space="preserve">28 </w:t>
      </w:r>
      <w:r w:rsidRPr="00B9776F">
        <w:rPr>
          <w:rFonts w:ascii="Book Antiqua" w:hAnsi="Book Antiqua"/>
          <w:sz w:val="16"/>
          <w:szCs w:val="16"/>
        </w:rPr>
        <w:t>(4), pp. 344-347  (1960).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[34] C. H. Brans, R. H. Dicke,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 xml:space="preserve">124 </w:t>
      </w:r>
      <w:r w:rsidRPr="00B9776F">
        <w:rPr>
          <w:rFonts w:ascii="Book Antiqua" w:hAnsi="Book Antiqua"/>
          <w:sz w:val="16"/>
          <w:szCs w:val="16"/>
        </w:rPr>
        <w:t>(3), pp. 925-935 (1 November 1961).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[35] G. Audi, A. H. Wapstra, </w:t>
      </w:r>
      <w:r w:rsidRPr="00B9776F">
        <w:rPr>
          <w:rFonts w:ascii="Book Antiqua" w:hAnsi="Book Antiqua"/>
          <w:i/>
          <w:sz w:val="16"/>
          <w:szCs w:val="16"/>
        </w:rPr>
        <w:t>Nuclear Physics A</w:t>
      </w:r>
      <w:r w:rsidRPr="00B9776F">
        <w:rPr>
          <w:rFonts w:ascii="Book Antiqua" w:hAnsi="Book Antiqua"/>
          <w:sz w:val="16"/>
          <w:szCs w:val="16"/>
        </w:rPr>
        <w:t xml:space="preserve">, </w:t>
      </w:r>
      <w:r w:rsidRPr="00B9776F">
        <w:rPr>
          <w:rFonts w:ascii="Book Antiqua" w:hAnsi="Book Antiqua"/>
          <w:b/>
          <w:sz w:val="16"/>
          <w:szCs w:val="16"/>
        </w:rPr>
        <w:t>595</w:t>
      </w:r>
      <w:r w:rsidRPr="00B9776F">
        <w:rPr>
          <w:rFonts w:ascii="Book Antiqua" w:hAnsi="Book Antiqua"/>
          <w:sz w:val="16"/>
          <w:szCs w:val="16"/>
        </w:rPr>
        <w:t>, pp. 409-480 (1995).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[36] B. Setterfield, “Reviewing a Plasma Universe With Zero Point Energy,” </w:t>
      </w:r>
      <w:r w:rsidRPr="00B9776F">
        <w:rPr>
          <w:rFonts w:ascii="Book Antiqua" w:hAnsi="Book Antiqua"/>
          <w:i/>
          <w:sz w:val="16"/>
          <w:szCs w:val="16"/>
        </w:rPr>
        <w:t>Journal of Vectorial Relativity</w:t>
      </w:r>
      <w:r w:rsidRPr="00B9776F">
        <w:rPr>
          <w:rFonts w:ascii="Book Antiqua" w:hAnsi="Book Antiqua"/>
          <w:sz w:val="16"/>
          <w:szCs w:val="16"/>
        </w:rPr>
        <w:t xml:space="preserve"> </w:t>
      </w:r>
      <w:r w:rsidRPr="00B9776F">
        <w:rPr>
          <w:rFonts w:ascii="Book Antiqua" w:hAnsi="Book Antiqua"/>
          <w:b/>
          <w:sz w:val="16"/>
          <w:szCs w:val="16"/>
        </w:rPr>
        <w:t>3</w:t>
      </w:r>
      <w:r w:rsidRPr="00B9776F">
        <w:rPr>
          <w:rFonts w:ascii="Book Antiqua" w:hAnsi="Book Antiqua"/>
          <w:sz w:val="16"/>
          <w:szCs w:val="16"/>
        </w:rPr>
        <w:t xml:space="preserve"> (3), pp. 1-29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[37] B. J. Setterfield, “A Plasma Universe With Changing Zero Point Energy,” </w:t>
      </w:r>
      <w:r w:rsidRPr="00B9776F">
        <w:rPr>
          <w:rFonts w:ascii="Book Antiqua" w:hAnsi="Book Antiqua"/>
          <w:i/>
          <w:sz w:val="16"/>
          <w:szCs w:val="16"/>
        </w:rPr>
        <w:t>Proceedings of the NPA 18th Conference</w:t>
      </w:r>
      <w:r w:rsidRPr="00B9776F">
        <w:rPr>
          <w:rFonts w:ascii="Book Antiqua" w:hAnsi="Book Antiqua"/>
          <w:sz w:val="16"/>
          <w:szCs w:val="16"/>
        </w:rPr>
        <w:t>, Maryland, Vol.</w:t>
      </w:r>
      <w:r w:rsidRPr="00B9776F">
        <w:rPr>
          <w:rFonts w:ascii="Book Antiqua" w:hAnsi="Book Antiqua"/>
          <w:b/>
          <w:sz w:val="16"/>
          <w:szCs w:val="16"/>
        </w:rPr>
        <w:t xml:space="preserve"> 8</w:t>
      </w:r>
      <w:r w:rsidRPr="00B9776F">
        <w:rPr>
          <w:rFonts w:ascii="Book Antiqua" w:hAnsi="Book Antiqua"/>
          <w:sz w:val="16"/>
          <w:szCs w:val="16"/>
        </w:rPr>
        <w:t xml:space="preserve">, pp. 525-544 (2011).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[38] B. Haisch, A. Ruedda, H. Puthoff, </w:t>
      </w:r>
      <w:r w:rsidRPr="00B9776F">
        <w:rPr>
          <w:rFonts w:ascii="Book Antiqua" w:hAnsi="Book Antiqua"/>
          <w:i/>
          <w:sz w:val="16"/>
          <w:szCs w:val="16"/>
        </w:rPr>
        <w:t>The Sciences</w:t>
      </w:r>
      <w:r w:rsidRPr="00B9776F">
        <w:rPr>
          <w:rFonts w:ascii="Book Antiqua" w:hAnsi="Book Antiqua"/>
          <w:sz w:val="16"/>
          <w:szCs w:val="16"/>
        </w:rPr>
        <w:t>, pp.26-31 (Nov/Dec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[39] S. L. Martin, A. K. Connor, </w:t>
      </w:r>
      <w:r w:rsidRPr="00B9776F">
        <w:rPr>
          <w:rFonts w:ascii="Book Antiqua" w:hAnsi="Book Antiqua"/>
          <w:i/>
          <w:sz w:val="16"/>
          <w:szCs w:val="16"/>
        </w:rPr>
        <w:t>Basic Physics</w:t>
      </w:r>
      <w:r w:rsidRPr="00B9776F">
        <w:rPr>
          <w:rFonts w:ascii="Book Antiqua" w:hAnsi="Book Antiqua"/>
          <w:sz w:val="16"/>
          <w:szCs w:val="16"/>
        </w:rPr>
        <w:t>, Vol.1, p.207, (Whitcombe &amp; Tombs Pty. Ltd., Melbourne,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[40] A. N. Cox, </w:t>
      </w:r>
      <w:r w:rsidRPr="00B9776F">
        <w:rPr>
          <w:rFonts w:ascii="Book Antiqua" w:hAnsi="Book Antiqua"/>
          <w:i/>
          <w:sz w:val="16"/>
          <w:szCs w:val="16"/>
        </w:rPr>
        <w:t>Allen’s Astrophysical Quantities,</w:t>
      </w:r>
      <w:r w:rsidRPr="00B9776F">
        <w:rPr>
          <w:rFonts w:ascii="Book Antiqua" w:hAnsi="Book Antiqua"/>
          <w:sz w:val="16"/>
          <w:szCs w:val="16"/>
        </w:rPr>
        <w:t xml:space="preserve"> p. 9, (Springer Verlag,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[41] A. P. French, </w:t>
      </w:r>
      <w:r w:rsidRPr="00B9776F">
        <w:rPr>
          <w:rFonts w:ascii="Book Antiqua" w:hAnsi="Book Antiqua"/>
          <w:i/>
          <w:sz w:val="16"/>
          <w:szCs w:val="16"/>
        </w:rPr>
        <w:t>Principles of Modern Physics</w:t>
      </w:r>
      <w:r w:rsidRPr="00B9776F">
        <w:rPr>
          <w:rFonts w:ascii="Book Antiqua" w:hAnsi="Book Antiqua"/>
          <w:sz w:val="16"/>
          <w:szCs w:val="16"/>
        </w:rPr>
        <w:t>, p.114, (Wiley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[42] R. T. Birge,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134,</w:t>
      </w:r>
      <w:r w:rsidRPr="00B9776F">
        <w:rPr>
          <w:rFonts w:ascii="Book Antiqua" w:hAnsi="Book Antiqua"/>
          <w:sz w:val="16"/>
          <w:szCs w:val="16"/>
        </w:rPr>
        <w:t xml:space="preserve"> pp.771-772 (1934).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[43] M. Harwit, </w:t>
      </w:r>
      <w:r w:rsidRPr="00B9776F">
        <w:rPr>
          <w:rFonts w:ascii="Book Antiqua" w:hAnsi="Book Antiqua"/>
          <w:i/>
          <w:sz w:val="16"/>
          <w:szCs w:val="16"/>
        </w:rPr>
        <w:t>Astrophysical Concepts</w:t>
      </w:r>
      <w:r w:rsidRPr="00B9776F">
        <w:rPr>
          <w:rFonts w:ascii="Book Antiqua" w:hAnsi="Book Antiqua"/>
          <w:sz w:val="16"/>
          <w:szCs w:val="16"/>
        </w:rPr>
        <w:t>, second Edition, p. 178, (Springer-Verlag, New York, 1988).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[44] J. Kovalevsky, </w:t>
      </w:r>
      <w:r w:rsidRPr="00B9776F">
        <w:rPr>
          <w:rFonts w:ascii="Book Antiqua" w:hAnsi="Book Antiqua"/>
          <w:i/>
          <w:sz w:val="16"/>
          <w:szCs w:val="16"/>
        </w:rPr>
        <w:t>Metrologia</w:t>
      </w:r>
      <w:r w:rsidRPr="00B9776F">
        <w:rPr>
          <w:rFonts w:ascii="Book Antiqua" w:hAnsi="Book Antiqua"/>
          <w:sz w:val="16"/>
          <w:szCs w:val="16"/>
        </w:rPr>
        <w:t>,</w:t>
      </w:r>
      <w:r w:rsidRPr="00B9776F">
        <w:rPr>
          <w:rFonts w:ascii="Book Antiqua" w:hAnsi="Book Antiqua"/>
          <w:b/>
          <w:sz w:val="16"/>
          <w:szCs w:val="16"/>
        </w:rPr>
        <w:t xml:space="preserve"> 1</w:t>
      </w:r>
      <w:r w:rsidRPr="00B9776F">
        <w:rPr>
          <w:rFonts w:ascii="Book Antiqua" w:hAnsi="Book Antiqua"/>
          <w:sz w:val="16"/>
          <w:szCs w:val="16"/>
        </w:rPr>
        <w:t>(4), pp. 169-180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[45] T. C. Van Flandern, </w:t>
      </w:r>
      <w:r w:rsidRPr="00B9776F">
        <w:rPr>
          <w:rStyle w:val="Emphasis"/>
          <w:rFonts w:ascii="Book Antiqua" w:hAnsi="Book Antiqua"/>
          <w:sz w:val="16"/>
          <w:szCs w:val="16"/>
        </w:rPr>
        <w:t>Precision Measurements and Fundamental Constants II</w:t>
      </w:r>
      <w:r w:rsidRPr="00B9776F">
        <w:rPr>
          <w:rFonts w:ascii="Book Antiqua" w:hAnsi="Book Antiqua"/>
          <w:sz w:val="16"/>
          <w:szCs w:val="16"/>
        </w:rPr>
        <w:t xml:space="preserve">, B.N. Taylor and W. D. Phillips, (Eds.), </w:t>
      </w:r>
      <w:r w:rsidRPr="00B9776F">
        <w:rPr>
          <w:rStyle w:val="Emphasis"/>
          <w:rFonts w:ascii="Book Antiqua" w:hAnsi="Book Antiqua"/>
          <w:sz w:val="16"/>
          <w:szCs w:val="16"/>
        </w:rPr>
        <w:t>National Bureau of Standards (U.S.) Special Publication</w:t>
      </w:r>
      <w:r w:rsidRPr="00B9776F">
        <w:rPr>
          <w:rStyle w:val="Strong"/>
          <w:rFonts w:ascii="Book Antiqua" w:hAnsi="Book Antiqua"/>
          <w:sz w:val="16"/>
          <w:szCs w:val="16"/>
        </w:rPr>
        <w:t xml:space="preserve"> 617</w:t>
      </w:r>
      <w:r w:rsidRPr="00B9776F">
        <w:rPr>
          <w:rFonts w:ascii="Book Antiqua" w:hAnsi="Book Antiqua"/>
          <w:sz w:val="16"/>
          <w:szCs w:val="16"/>
        </w:rPr>
        <w:t>, pp. 625-627 (1984).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[46]</w:t>
      </w:r>
      <w:bookmarkStart w:id="207" w:name="3b76"/>
      <w:bookmarkEnd w:id="207"/>
      <w:r w:rsidRPr="00B9776F">
        <w:rPr>
          <w:rFonts w:ascii="Book Antiqua" w:hAnsi="Book Antiqua"/>
          <w:sz w:val="16"/>
          <w:szCs w:val="16"/>
        </w:rPr>
        <w:t xml:space="preserve"> C. J. Masreliez, </w:t>
      </w:r>
      <w:r w:rsidRPr="00B9776F">
        <w:rPr>
          <w:rStyle w:val="Emphasis"/>
          <w:rFonts w:ascii="Book Antiqua" w:hAnsi="Book Antiqua"/>
          <w:sz w:val="16"/>
          <w:szCs w:val="16"/>
        </w:rPr>
        <w:t>Aperion</w:t>
      </w:r>
      <w:r w:rsidRPr="00B9776F">
        <w:rPr>
          <w:rFonts w:ascii="Book Antiqua" w:hAnsi="Book Antiqua"/>
          <w:sz w:val="16"/>
          <w:szCs w:val="16"/>
        </w:rPr>
        <w:t xml:space="preserve">, </w:t>
      </w:r>
      <w:r w:rsidRPr="00B9776F">
        <w:rPr>
          <w:rStyle w:val="Strong"/>
          <w:rFonts w:ascii="Book Antiqua" w:hAnsi="Book Antiqua"/>
          <w:sz w:val="16"/>
          <w:szCs w:val="16"/>
        </w:rPr>
        <w:t>11</w:t>
      </w:r>
      <w:r w:rsidRPr="00B9776F">
        <w:rPr>
          <w:rFonts w:ascii="Book Antiqua" w:hAnsi="Book Antiqua"/>
          <w:sz w:val="16"/>
          <w:szCs w:val="16"/>
        </w:rPr>
        <w:t xml:space="preserve">:4, (October 2004). See also Masreliez &amp; Kolesnik, </w:t>
      </w:r>
      <w:r w:rsidRPr="00B9776F">
        <w:rPr>
          <w:rStyle w:val="Emphasis"/>
          <w:rFonts w:ascii="Book Antiqua" w:hAnsi="Book Antiqua"/>
          <w:sz w:val="16"/>
          <w:szCs w:val="16"/>
        </w:rPr>
        <w:t>Astronomical Journal</w:t>
      </w:r>
      <w:r w:rsidRPr="00B9776F">
        <w:rPr>
          <w:rFonts w:ascii="Book Antiqua" w:hAnsi="Book Antiqua"/>
          <w:sz w:val="16"/>
          <w:szCs w:val="16"/>
        </w:rPr>
        <w:t xml:space="preserve"> (August 2004) and Y.B. Kolesnik “Analysis of the secular variations of the longitudes of the Sun, Mercury, and Venus from Optical observations” (2005) online at: </w:t>
      </w:r>
      <w:hyperlink r:id="rId172" w:history="1">
        <w:r w:rsidRPr="00B9776F">
          <w:rPr>
            <w:rStyle w:val="Hyperlink"/>
            <w:rFonts w:ascii="Book Antiqua" w:hAnsi="Book Antiqua"/>
            <w:i/>
            <w:szCs w:val="16"/>
          </w:rPr>
          <w:t>http://www.estfound.org/analysis.htm</w:t>
        </w:r>
      </w:hyperlink>
      <w:r w:rsidRPr="00B9776F">
        <w:rPr>
          <w:rFonts w:ascii="Book Antiqua" w:hAnsi="Book Antiqua"/>
          <w:i/>
          <w:sz w:val="16"/>
          <w:szCs w:val="16"/>
        </w:rPr>
        <w:t>.</w:t>
      </w:r>
      <w:r w:rsidRPr="00B9776F">
        <w:rPr>
          <w:rFonts w:ascii="Book Antiqua" w:hAnsi="Book Antiqua"/>
          <w:sz w:val="16"/>
          <w:szCs w:val="16"/>
        </w:rPr>
        <w:br/>
        <w:t>[47]</w:t>
      </w:r>
      <w:bookmarkStart w:id="208" w:name="3b77"/>
      <w:bookmarkEnd w:id="208"/>
      <w:r w:rsidRPr="00B9776F">
        <w:rPr>
          <w:rFonts w:ascii="Book Antiqua" w:hAnsi="Book Antiqua"/>
          <w:sz w:val="16"/>
          <w:szCs w:val="16"/>
        </w:rPr>
        <w:t xml:space="preserve"> Z-G. Yao, C. Smith in </w:t>
      </w:r>
      <w:r w:rsidRPr="00B9776F">
        <w:rPr>
          <w:rStyle w:val="Emphasis"/>
          <w:rFonts w:ascii="Book Antiqua" w:hAnsi="Book Antiqua"/>
          <w:sz w:val="16"/>
          <w:szCs w:val="16"/>
        </w:rPr>
        <w:t>Mapping the Sky</w:t>
      </w:r>
      <w:r w:rsidRPr="00B9776F">
        <w:rPr>
          <w:rFonts w:ascii="Book Antiqua" w:hAnsi="Book Antiqua"/>
          <w:sz w:val="16"/>
          <w:szCs w:val="16"/>
        </w:rPr>
        <w:t>, S. Debarbat, J. A. Eddy, H. K. Eichhorn, A. R. Upgren (eds.), p. 501 (Kluwer, Dordrecht, 1988).</w:t>
      </w:r>
      <w:r w:rsidRPr="00B9776F">
        <w:rPr>
          <w:rFonts w:ascii="Book Antiqua" w:hAnsi="Book Antiqua"/>
          <w:sz w:val="16"/>
          <w:szCs w:val="16"/>
        </w:rPr>
        <w:br/>
        <w:t>[48]</w:t>
      </w:r>
      <w:bookmarkStart w:id="209" w:name="3b78"/>
      <w:bookmarkEnd w:id="209"/>
      <w:r w:rsidRPr="00B9776F">
        <w:rPr>
          <w:rFonts w:ascii="Book Antiqua" w:hAnsi="Book Antiqua"/>
          <w:sz w:val="16"/>
          <w:szCs w:val="16"/>
        </w:rPr>
        <w:t xml:space="preserve"> Z-G. Yao, C. Smith, </w:t>
      </w:r>
      <w:r w:rsidRPr="00B9776F">
        <w:rPr>
          <w:rStyle w:val="Emphasis"/>
          <w:rFonts w:ascii="Book Antiqua" w:hAnsi="Book Antiqua"/>
          <w:sz w:val="16"/>
          <w:szCs w:val="16"/>
        </w:rPr>
        <w:t>Astrophysics and Space Science</w:t>
      </w:r>
      <w:r w:rsidRPr="00B9776F">
        <w:rPr>
          <w:rFonts w:ascii="Book Antiqua" w:hAnsi="Book Antiqua"/>
          <w:sz w:val="16"/>
          <w:szCs w:val="16"/>
        </w:rPr>
        <w:t xml:space="preserve">, </w:t>
      </w:r>
      <w:r w:rsidRPr="00B9776F">
        <w:rPr>
          <w:rStyle w:val="Strong"/>
          <w:rFonts w:ascii="Book Antiqua" w:hAnsi="Book Antiqua"/>
          <w:sz w:val="16"/>
          <w:szCs w:val="16"/>
        </w:rPr>
        <w:t>177</w:t>
      </w:r>
      <w:r w:rsidRPr="00B9776F">
        <w:rPr>
          <w:rFonts w:ascii="Book Antiqua" w:hAnsi="Book Antiqua"/>
          <w:sz w:val="16"/>
          <w:szCs w:val="16"/>
        </w:rPr>
        <w:t>, p. 181 (1991).</w:t>
      </w:r>
      <w:r w:rsidRPr="00B9776F">
        <w:rPr>
          <w:rFonts w:ascii="Book Antiqua" w:hAnsi="Book Antiqua"/>
          <w:sz w:val="16"/>
          <w:szCs w:val="16"/>
        </w:rPr>
        <w:br/>
        <w:t>[49]</w:t>
      </w:r>
      <w:bookmarkStart w:id="210" w:name="3b79"/>
      <w:bookmarkEnd w:id="210"/>
      <w:r w:rsidRPr="00B9776F">
        <w:rPr>
          <w:rFonts w:ascii="Book Antiqua" w:hAnsi="Book Antiqua"/>
          <w:sz w:val="16"/>
          <w:szCs w:val="16"/>
        </w:rPr>
        <w:t xml:space="preserve"> Z-G. Yao, C. Smith in </w:t>
      </w:r>
      <w:r w:rsidRPr="00B9776F">
        <w:rPr>
          <w:rStyle w:val="Emphasis"/>
          <w:rFonts w:ascii="Book Antiqua" w:hAnsi="Book Antiqua"/>
          <w:sz w:val="16"/>
          <w:szCs w:val="16"/>
        </w:rPr>
        <w:t>Developments in Astrometry and Their Impact on Astrophysics and Geodynamics</w:t>
      </w:r>
      <w:r w:rsidRPr="00B9776F">
        <w:rPr>
          <w:rFonts w:ascii="Book Antiqua" w:hAnsi="Book Antiqua"/>
          <w:sz w:val="16"/>
          <w:szCs w:val="16"/>
        </w:rPr>
        <w:t xml:space="preserve">, p. 403, I. I. Muller and B. Kolaczek (eds.), Kluwer, Dordrecht, (1993). </w:t>
      </w:r>
      <w:r w:rsidRPr="00B9776F">
        <w:rPr>
          <w:rFonts w:ascii="Book Antiqua" w:hAnsi="Book Antiqua"/>
          <w:sz w:val="16"/>
          <w:szCs w:val="16"/>
        </w:rPr>
        <w:br/>
        <w:t>[50]</w:t>
      </w:r>
      <w:bookmarkStart w:id="211" w:name="3b80"/>
      <w:bookmarkEnd w:id="211"/>
      <w:r w:rsidRPr="00B9776F">
        <w:rPr>
          <w:rFonts w:ascii="Book Antiqua" w:hAnsi="Book Antiqua"/>
          <w:sz w:val="16"/>
          <w:szCs w:val="16"/>
        </w:rPr>
        <w:t xml:space="preserve"> G. A. Krasinsky et al., </w:t>
      </w:r>
      <w:r w:rsidRPr="00B9776F">
        <w:rPr>
          <w:rStyle w:val="Emphasis"/>
          <w:rFonts w:ascii="Book Antiqua" w:hAnsi="Book Antiqua"/>
          <w:sz w:val="16"/>
          <w:szCs w:val="16"/>
        </w:rPr>
        <w:t xml:space="preserve">Cel. Mec. Dyn Astron, </w:t>
      </w:r>
      <w:r w:rsidRPr="00B9776F">
        <w:rPr>
          <w:rStyle w:val="Strong"/>
          <w:rFonts w:ascii="Book Antiqua" w:hAnsi="Book Antiqua"/>
          <w:sz w:val="16"/>
          <w:szCs w:val="16"/>
        </w:rPr>
        <w:t>55</w:t>
      </w:r>
      <w:r w:rsidRPr="00B9776F">
        <w:rPr>
          <w:rFonts w:ascii="Book Antiqua" w:hAnsi="Book Antiqua"/>
          <w:sz w:val="16"/>
          <w:szCs w:val="16"/>
        </w:rPr>
        <w:t xml:space="preserve">), p. 1 (1993). </w:t>
      </w:r>
      <w:r w:rsidRPr="00B9776F">
        <w:rPr>
          <w:rFonts w:ascii="Book Antiqua" w:hAnsi="Book Antiqua"/>
          <w:sz w:val="16"/>
          <w:szCs w:val="16"/>
        </w:rPr>
        <w:br/>
        <w:t>[51]</w:t>
      </w:r>
      <w:bookmarkStart w:id="212" w:name="3b81"/>
      <w:bookmarkEnd w:id="212"/>
      <w:r w:rsidRPr="00B9776F">
        <w:rPr>
          <w:rFonts w:ascii="Book Antiqua" w:hAnsi="Book Antiqua"/>
          <w:sz w:val="16"/>
          <w:szCs w:val="16"/>
        </w:rPr>
        <w:t xml:space="preserve"> E. M. Standish, J. G. Williams in </w:t>
      </w:r>
      <w:r w:rsidRPr="00B9776F">
        <w:rPr>
          <w:rStyle w:val="Emphasis"/>
          <w:rFonts w:ascii="Book Antiqua" w:hAnsi="Book Antiqua"/>
          <w:b/>
          <w:sz w:val="16"/>
          <w:szCs w:val="16"/>
        </w:rPr>
        <w:t>Inertial Coordinate System on the Sky</w:t>
      </w:r>
      <w:r w:rsidRPr="00B9776F">
        <w:rPr>
          <w:rFonts w:ascii="Book Antiqua" w:hAnsi="Book Antiqua"/>
          <w:sz w:val="16"/>
          <w:szCs w:val="16"/>
        </w:rPr>
        <w:t>, J. H. Lieske, V. K. Abalakin (eds.), p. 173 (Kluwer, Dordrecht, 1990).</w:t>
      </w:r>
      <w:r w:rsidRPr="00B9776F">
        <w:rPr>
          <w:rFonts w:ascii="Book Antiqua" w:hAnsi="Book Antiqua"/>
          <w:sz w:val="16"/>
          <w:szCs w:val="16"/>
        </w:rPr>
        <w:br/>
        <w:t>[52]</w:t>
      </w:r>
      <w:bookmarkStart w:id="213" w:name="3b82"/>
      <w:bookmarkEnd w:id="213"/>
      <w:r w:rsidRPr="00B9776F">
        <w:rPr>
          <w:rFonts w:ascii="Book Antiqua" w:hAnsi="Book Antiqua"/>
          <w:sz w:val="16"/>
          <w:szCs w:val="16"/>
        </w:rPr>
        <w:t xml:space="preserve"> P. K. Seidelman et al. in </w:t>
      </w:r>
      <w:r w:rsidRPr="00B9776F">
        <w:rPr>
          <w:rStyle w:val="Emphasis"/>
          <w:rFonts w:ascii="Book Antiqua" w:hAnsi="Book Antiqua"/>
          <w:sz w:val="16"/>
          <w:szCs w:val="16"/>
        </w:rPr>
        <w:t>Dynamical Astronomy</w:t>
      </w:r>
      <w:r w:rsidRPr="00B9776F">
        <w:rPr>
          <w:rFonts w:ascii="Book Antiqua" w:hAnsi="Book Antiqua"/>
          <w:sz w:val="16"/>
          <w:szCs w:val="16"/>
        </w:rPr>
        <w:t>, V. Szebenhey and B. Balazs (eds.), pp. 55 ff (Austin, Texas, 1985).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[53]</w:t>
      </w:r>
      <w:bookmarkStart w:id="214" w:name="3b83"/>
      <w:bookmarkEnd w:id="214"/>
      <w:r w:rsidRPr="00B9776F">
        <w:rPr>
          <w:rFonts w:ascii="Book Antiqua" w:hAnsi="Book Antiqua"/>
          <w:sz w:val="16"/>
          <w:szCs w:val="16"/>
        </w:rPr>
        <w:t xml:space="preserve"> P. K. Seidelman et al. in </w:t>
      </w:r>
      <w:r w:rsidRPr="00B9776F">
        <w:rPr>
          <w:rStyle w:val="Emphasis"/>
          <w:rFonts w:ascii="Book Antiqua" w:hAnsi="Book Antiqua"/>
          <w:sz w:val="16"/>
          <w:szCs w:val="16"/>
        </w:rPr>
        <w:t>Relativity in Celestial Mechanics and Astrometry</w:t>
      </w:r>
      <w:r w:rsidRPr="00B9776F">
        <w:rPr>
          <w:rFonts w:ascii="Book Antiqua" w:hAnsi="Book Antiqua"/>
          <w:sz w:val="16"/>
          <w:szCs w:val="16"/>
        </w:rPr>
        <w:t>,  J. Kovalevsky and V.A. Brumberg (eds.), pp. 99 ff. (Kluwer, Dordrecht, 1986).</w:t>
      </w:r>
      <w:r w:rsidRPr="00B9776F">
        <w:rPr>
          <w:rFonts w:ascii="Book Antiqua" w:hAnsi="Book Antiqua"/>
          <w:sz w:val="16"/>
          <w:szCs w:val="16"/>
        </w:rPr>
        <w:br/>
        <w:t>[54]</w:t>
      </w:r>
      <w:bookmarkStart w:id="215" w:name="3b84"/>
      <w:bookmarkEnd w:id="215"/>
      <w:r w:rsidRPr="00B9776F">
        <w:rPr>
          <w:rFonts w:ascii="Book Antiqua" w:hAnsi="Book Antiqua"/>
          <w:sz w:val="16"/>
          <w:szCs w:val="16"/>
        </w:rPr>
        <w:t xml:space="preserve"> P. K. Seidelman in </w:t>
      </w:r>
      <w:r w:rsidRPr="00B9776F">
        <w:rPr>
          <w:rStyle w:val="Emphasis"/>
          <w:rFonts w:ascii="Book Antiqua" w:hAnsi="Book Antiqua"/>
          <w:sz w:val="16"/>
          <w:szCs w:val="16"/>
        </w:rPr>
        <w:t>Chaos, Resonance and Collective Dynamical Phenomena in the Solar System</w:t>
      </w:r>
      <w:r w:rsidRPr="00B9776F">
        <w:rPr>
          <w:rFonts w:ascii="Book Antiqua" w:hAnsi="Book Antiqua"/>
          <w:sz w:val="16"/>
          <w:szCs w:val="16"/>
        </w:rPr>
        <w:t>,  S. Ferraz-Mello et al. (eds.), pp. 49 ff.  (Kluwer, Dordrecht, 1992).</w:t>
      </w:r>
      <w:r w:rsidRPr="00B9776F">
        <w:rPr>
          <w:rFonts w:ascii="Book Antiqua" w:hAnsi="Book Antiqua"/>
          <w:sz w:val="16"/>
          <w:szCs w:val="16"/>
        </w:rPr>
        <w:br/>
        <w:t>[55]</w:t>
      </w:r>
      <w:bookmarkStart w:id="216" w:name="3b85"/>
      <w:bookmarkEnd w:id="216"/>
      <w:r w:rsidRPr="00B9776F">
        <w:rPr>
          <w:rFonts w:ascii="Book Antiqua" w:hAnsi="Book Antiqua"/>
          <w:sz w:val="16"/>
          <w:szCs w:val="16"/>
        </w:rPr>
        <w:t xml:space="preserve"> Y. B. Kolesnik, </w:t>
      </w:r>
      <w:r w:rsidRPr="00B9776F">
        <w:rPr>
          <w:rStyle w:val="Emphasis"/>
          <w:rFonts w:ascii="Book Antiqua" w:hAnsi="Book Antiqua"/>
          <w:sz w:val="16"/>
          <w:szCs w:val="16"/>
        </w:rPr>
        <w:t>Astronomy and Astrophysics</w:t>
      </w:r>
      <w:r w:rsidRPr="00B9776F">
        <w:rPr>
          <w:rFonts w:ascii="Book Antiqua" w:hAnsi="Book Antiqua"/>
          <w:sz w:val="16"/>
          <w:szCs w:val="16"/>
        </w:rPr>
        <w:t xml:space="preserve">, </w:t>
      </w:r>
      <w:r w:rsidRPr="00B9776F">
        <w:rPr>
          <w:rStyle w:val="Strong"/>
          <w:rFonts w:ascii="Book Antiqua" w:hAnsi="Book Antiqua"/>
          <w:sz w:val="16"/>
          <w:szCs w:val="16"/>
        </w:rPr>
        <w:t>294</w:t>
      </w:r>
      <w:r w:rsidRPr="00B9776F">
        <w:rPr>
          <w:rFonts w:ascii="Book Antiqua" w:hAnsi="Book Antiqua"/>
          <w:sz w:val="16"/>
          <w:szCs w:val="16"/>
        </w:rPr>
        <w:t xml:space="preserve"> p. 876 (1995).</w:t>
      </w:r>
      <w:r w:rsidRPr="00B9776F">
        <w:rPr>
          <w:rFonts w:ascii="Book Antiqua" w:hAnsi="Book Antiqua"/>
          <w:sz w:val="16"/>
          <w:szCs w:val="16"/>
        </w:rPr>
        <w:br/>
        <w:t>[56]</w:t>
      </w:r>
      <w:bookmarkStart w:id="217" w:name="3b86"/>
      <w:bookmarkEnd w:id="217"/>
      <w:r w:rsidRPr="00B9776F">
        <w:rPr>
          <w:rFonts w:ascii="Book Antiqua" w:hAnsi="Book Antiqua"/>
          <w:sz w:val="16"/>
          <w:szCs w:val="16"/>
        </w:rPr>
        <w:t xml:space="preserve"> Y. B. Kolesnik, in </w:t>
      </w:r>
      <w:r w:rsidRPr="00B9776F">
        <w:rPr>
          <w:rStyle w:val="Emphasis"/>
          <w:rFonts w:ascii="Book Antiqua" w:hAnsi="Book Antiqua"/>
          <w:sz w:val="16"/>
          <w:szCs w:val="16"/>
        </w:rPr>
        <w:t>Dynamics, Ephemerides and Astrometry of the Solar System</w:t>
      </w:r>
      <w:r w:rsidRPr="00B9776F">
        <w:rPr>
          <w:rFonts w:ascii="Book Antiqua" w:hAnsi="Book Antiqua"/>
          <w:sz w:val="16"/>
          <w:szCs w:val="16"/>
        </w:rPr>
        <w:t>,  S. Ferraz-Mello et al. (eds.), pp. 477 ff. (Reidel, Dordrecht, 1996).</w:t>
      </w:r>
      <w:r w:rsidRPr="00B9776F">
        <w:rPr>
          <w:rFonts w:ascii="Book Antiqua" w:hAnsi="Book Antiqua"/>
          <w:sz w:val="16"/>
          <w:szCs w:val="16"/>
        </w:rPr>
        <w:br/>
        <w:t>[57]</w:t>
      </w:r>
      <w:bookmarkStart w:id="218" w:name="3b87"/>
      <w:bookmarkEnd w:id="218"/>
      <w:r w:rsidRPr="00B9776F">
        <w:rPr>
          <w:rFonts w:ascii="Book Antiqua" w:hAnsi="Book Antiqua"/>
          <w:sz w:val="16"/>
          <w:szCs w:val="16"/>
        </w:rPr>
        <w:t xml:space="preserve"> P. S. R. Poppe et al., </w:t>
      </w:r>
      <w:r w:rsidRPr="00B9776F">
        <w:rPr>
          <w:rStyle w:val="Emphasis"/>
          <w:rFonts w:ascii="Book Antiqua" w:hAnsi="Book Antiqua"/>
          <w:sz w:val="16"/>
          <w:szCs w:val="16"/>
        </w:rPr>
        <w:t>Astronomical Journal</w:t>
      </w:r>
      <w:r w:rsidRPr="00B9776F">
        <w:rPr>
          <w:rFonts w:ascii="Book Antiqua" w:hAnsi="Book Antiqua"/>
          <w:sz w:val="16"/>
          <w:szCs w:val="16"/>
        </w:rPr>
        <w:t xml:space="preserve">, </w:t>
      </w:r>
      <w:r w:rsidRPr="00B9776F">
        <w:rPr>
          <w:rStyle w:val="Strong"/>
          <w:rFonts w:ascii="Book Antiqua" w:hAnsi="Book Antiqua"/>
          <w:sz w:val="16"/>
          <w:szCs w:val="16"/>
        </w:rPr>
        <w:t>116</w:t>
      </w:r>
      <w:r w:rsidRPr="00B9776F">
        <w:rPr>
          <w:rFonts w:ascii="Book Antiqua" w:hAnsi="Book Antiqua"/>
          <w:sz w:val="16"/>
          <w:szCs w:val="16"/>
        </w:rPr>
        <w:t>,  pp. 2 ff. (1999).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[58] A. P. French, </w:t>
      </w:r>
      <w:r w:rsidRPr="00B9776F">
        <w:rPr>
          <w:rFonts w:ascii="Book Antiqua" w:hAnsi="Book Antiqua"/>
          <w:i/>
          <w:sz w:val="16"/>
          <w:szCs w:val="16"/>
        </w:rPr>
        <w:t>Principles of Modern Physics</w:t>
      </w:r>
      <w:r w:rsidRPr="00B9776F">
        <w:rPr>
          <w:rFonts w:ascii="Book Antiqua" w:hAnsi="Book Antiqua"/>
          <w:sz w:val="16"/>
          <w:szCs w:val="16"/>
        </w:rPr>
        <w:t>, p.235, (Wiley,1959).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[59] H. A. Thomas, R. L. Driscoll, and J. A. Hipple, ‘Measurement of the Proton Moment in Absolute units’,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78</w:t>
      </w:r>
      <w:r w:rsidRPr="00B9776F">
        <w:rPr>
          <w:rFonts w:ascii="Book Antiqua" w:hAnsi="Book Antiqua"/>
          <w:sz w:val="16"/>
          <w:szCs w:val="16"/>
        </w:rPr>
        <w:t>, 787-790, June 15, 1950.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[60] R. L. Driscoll, and P. L. Bender, ‘Proton Gyromagnetic Ratio’,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1</w:t>
      </w:r>
      <w:r w:rsidRPr="00B9776F">
        <w:rPr>
          <w:rFonts w:ascii="Book Antiqua" w:hAnsi="Book Antiqua"/>
          <w:sz w:val="16"/>
          <w:szCs w:val="16"/>
        </w:rPr>
        <w:t>, 413-414, Dec.1,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[61] B. M. Yanovskii, N. V. Studentsov and T. N. Tikhomirova, Ismeritel'naya Tekhnika 2, 39, 1959, (Translation: Measurement Of The Gyromagnetic Ratio Of A Proton In A Weak Magnetic Field, </w:t>
      </w:r>
      <w:r w:rsidRPr="00B9776F">
        <w:rPr>
          <w:rFonts w:ascii="Book Antiqua" w:hAnsi="Book Antiqua"/>
          <w:i/>
          <w:sz w:val="16"/>
          <w:szCs w:val="16"/>
        </w:rPr>
        <w:t>Measures of Technology</w:t>
      </w:r>
      <w:r w:rsidRPr="00B9776F">
        <w:rPr>
          <w:rFonts w:ascii="Book Antiqua" w:hAnsi="Book Antiqua"/>
          <w:sz w:val="16"/>
          <w:szCs w:val="16"/>
        </w:rPr>
        <w:t>, pp.126-128,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[62] H. Capptuller, ‘Bestimmung des gyromagnetischen Verhaltnisses des Protons,’ </w:t>
      </w:r>
      <w:r w:rsidRPr="00B9776F">
        <w:rPr>
          <w:rFonts w:ascii="Book Antiqua" w:hAnsi="Book Antiqua"/>
          <w:i/>
          <w:sz w:val="16"/>
          <w:szCs w:val="16"/>
        </w:rPr>
        <w:t>Zeitschrift fur Instrumentenkunde</w:t>
      </w:r>
      <w:r w:rsidRPr="00B9776F">
        <w:rPr>
          <w:rFonts w:ascii="Book Antiqua" w:hAnsi="Book Antiqua"/>
          <w:sz w:val="16"/>
          <w:szCs w:val="16"/>
        </w:rPr>
        <w:t>,</w:t>
      </w:r>
      <w:r w:rsidRPr="00B9776F">
        <w:rPr>
          <w:rFonts w:ascii="Book Antiqua" w:hAnsi="Book Antiqua"/>
          <w:b/>
          <w:sz w:val="16"/>
          <w:szCs w:val="16"/>
        </w:rPr>
        <w:t xml:space="preserve"> 69</w:t>
      </w:r>
      <w:r w:rsidRPr="00B9776F">
        <w:rPr>
          <w:rFonts w:ascii="Book Antiqua" w:hAnsi="Book Antiqua"/>
          <w:sz w:val="16"/>
          <w:szCs w:val="16"/>
        </w:rPr>
        <w:t xml:space="preserve">, 191-198, (July 1961).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[63] P. Vigoreaux, ‘A determination of the gyromagnetic ratio of the proton,’ </w:t>
      </w:r>
      <w:r w:rsidRPr="00B9776F">
        <w:rPr>
          <w:rFonts w:ascii="Book Antiqua" w:hAnsi="Book Antiqua"/>
          <w:i/>
          <w:sz w:val="16"/>
          <w:szCs w:val="16"/>
        </w:rPr>
        <w:t>Proceedings of the Royal Society (London),</w:t>
      </w:r>
      <w:r w:rsidRPr="00B9776F">
        <w:rPr>
          <w:rFonts w:ascii="Book Antiqua" w:hAnsi="Book Antiqua"/>
          <w:sz w:val="16"/>
          <w:szCs w:val="16"/>
        </w:rPr>
        <w:t xml:space="preserve"> </w:t>
      </w:r>
      <w:r w:rsidRPr="00B9776F">
        <w:rPr>
          <w:rFonts w:ascii="Book Antiqua" w:hAnsi="Book Antiqua"/>
          <w:b/>
          <w:sz w:val="16"/>
          <w:szCs w:val="16"/>
        </w:rPr>
        <w:t>A270</w:t>
      </w:r>
      <w:r w:rsidRPr="00B9776F">
        <w:rPr>
          <w:rFonts w:ascii="Book Antiqua" w:hAnsi="Book Antiqua"/>
          <w:sz w:val="16"/>
          <w:szCs w:val="16"/>
        </w:rPr>
        <w:t xml:space="preserve">, pp. 72-89, (1962).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[64]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w:t>
      </w:r>
      <w:r w:rsidRPr="00B9776F">
        <w:rPr>
          <w:rFonts w:ascii="Book Antiqua" w:hAnsi="Book Antiqua"/>
          <w:b/>
          <w:sz w:val="16"/>
          <w:szCs w:val="16"/>
        </w:rPr>
        <w:t xml:space="preserve"> 5</w:t>
      </w:r>
      <w:r w:rsidRPr="00B9776F">
        <w:rPr>
          <w:rFonts w:ascii="Book Antiqua" w:hAnsi="Book Antiqua"/>
          <w:sz w:val="16"/>
          <w:szCs w:val="16"/>
        </w:rPr>
        <w:t xml:space="preserve">, 24-29, 1962. (Translation: ‘Determination Of The Gyromagnetic Ratio Of Protons,’ </w:t>
      </w:r>
      <w:r w:rsidRPr="00B9776F">
        <w:rPr>
          <w:rFonts w:ascii="Book Antiqua" w:hAnsi="Book Antiqua"/>
          <w:i/>
          <w:sz w:val="16"/>
          <w:szCs w:val="16"/>
        </w:rPr>
        <w:t>Measures of Technology</w:t>
      </w:r>
      <w:r w:rsidRPr="00B9776F">
        <w:rPr>
          <w:rFonts w:ascii="Book Antiqua" w:hAnsi="Book Antiqua"/>
          <w:sz w:val="16"/>
          <w:szCs w:val="16"/>
        </w:rPr>
        <w:t xml:space="preserve">, 1962, 387-0393). </w:t>
      </w:r>
    </w:p>
    <w:p w:rsidR="00820B57" w:rsidRPr="00B9776F" w:rsidRDefault="00820B57" w:rsidP="00820B57">
      <w:pPr>
        <w:pStyle w:val="NoSpacing"/>
        <w:rPr>
          <w:rFonts w:ascii="Book Antiqua" w:hAnsi="Book Antiqua"/>
          <w:i/>
          <w:sz w:val="16"/>
          <w:szCs w:val="16"/>
        </w:rPr>
      </w:pPr>
      <w:r w:rsidRPr="00B9776F">
        <w:rPr>
          <w:rFonts w:ascii="Book Antiqua" w:hAnsi="Book Antiqua"/>
          <w:sz w:val="16"/>
          <w:szCs w:val="16"/>
        </w:rPr>
        <w:t>[65] R. L. Driscoll, P. T. Olsen, ‘</w:t>
      </w:r>
      <w:r w:rsidRPr="00B9776F">
        <w:rPr>
          <w:rFonts w:ascii="Book Antiqua" w:hAnsi="Book Antiqua"/>
          <w:i/>
          <w:sz w:val="16"/>
          <w:szCs w:val="16"/>
        </w:rPr>
        <w:t xml:space="preserve">Report to Comite Consultatif d'Electricite, Comite International des Poids et Mesures, 12th Session, Oct.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[66]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7</w:t>
      </w:r>
      <w:r w:rsidRPr="00B9776F">
        <w:rPr>
          <w:rFonts w:ascii="Book Antiqua" w:hAnsi="Book Antiqua"/>
          <w:sz w:val="16"/>
          <w:szCs w:val="16"/>
        </w:rPr>
        <w:t xml:space="preserve">, 44, 1966. (Translation: ‘Determination Of The Precise Value Of The Proton Gyromagnetic Ratio In Strong Magnetic Fields,’ </w:t>
      </w:r>
      <w:r w:rsidRPr="00B9776F">
        <w:rPr>
          <w:rFonts w:ascii="Book Antiqua" w:hAnsi="Book Antiqua"/>
          <w:i/>
          <w:sz w:val="16"/>
          <w:szCs w:val="16"/>
        </w:rPr>
        <w:t>Measures of Technology,</w:t>
      </w:r>
      <w:r w:rsidRPr="00B9776F">
        <w:rPr>
          <w:rFonts w:ascii="Book Antiqua" w:hAnsi="Book Antiqua"/>
          <w:sz w:val="16"/>
          <w:szCs w:val="16"/>
        </w:rPr>
        <w:t xml:space="preserve"> 1967, 914-917).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lastRenderedPageBreak/>
        <w:t xml:space="preserve">[67] K. Hara, H. Nakamura, T. Sakai and N. Koizumi, </w:t>
      </w:r>
      <w:r w:rsidRPr="00B9776F">
        <w:rPr>
          <w:rFonts w:ascii="Book Antiqua" w:hAnsi="Book Antiqua"/>
          <w:i/>
          <w:sz w:val="16"/>
          <w:szCs w:val="16"/>
        </w:rPr>
        <w:t>Report to the Comite Consultatif d'Electricite, Comite International des Poids et Mesures, 11th Session, 1968.</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[68] N. V. Studentsov, T. N. Malyarevskaya, and V. Ya. Shifrin,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11</w:t>
      </w:r>
      <w:r w:rsidRPr="00B9776F">
        <w:rPr>
          <w:rFonts w:ascii="Book Antiqua" w:hAnsi="Book Antiqua"/>
          <w:sz w:val="16"/>
          <w:szCs w:val="16"/>
        </w:rPr>
        <w:t xml:space="preserve">, p. 29, 1968. (Translation: ‘Measurement Of The Proton Gyromagnetic Ratio In A Weak Magnetic Field, ‘ </w:t>
      </w:r>
      <w:r w:rsidRPr="00B9776F">
        <w:rPr>
          <w:rFonts w:ascii="Book Antiqua" w:hAnsi="Book Antiqua"/>
          <w:i/>
          <w:sz w:val="16"/>
          <w:szCs w:val="16"/>
        </w:rPr>
        <w:t>Measures of Technology</w:t>
      </w:r>
      <w:r w:rsidRPr="00B9776F">
        <w:rPr>
          <w:rFonts w:ascii="Book Antiqua" w:hAnsi="Book Antiqua"/>
          <w:sz w:val="16"/>
          <w:szCs w:val="16"/>
        </w:rPr>
        <w:t xml:space="preserve">, pp. 1483-1485,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[69] P. T. Olsen and R. L. Driscoll,</w:t>
      </w:r>
      <w:r w:rsidRPr="00B9776F">
        <w:rPr>
          <w:rFonts w:ascii="Book Antiqua" w:hAnsi="Book Antiqua"/>
          <w:b/>
          <w:sz w:val="16"/>
          <w:szCs w:val="16"/>
        </w:rPr>
        <w:t xml:space="preserve"> ‘</w:t>
      </w:r>
      <w:r w:rsidRPr="00B9776F">
        <w:rPr>
          <w:rFonts w:ascii="Book Antiqua" w:hAnsi="Book Antiqua"/>
          <w:i/>
          <w:sz w:val="16"/>
          <w:szCs w:val="16"/>
        </w:rPr>
        <w:t>Atomic Masses and Fundamental Constants 4</w:t>
      </w:r>
      <w:r w:rsidRPr="00B9776F">
        <w:rPr>
          <w:rFonts w:ascii="Book Antiqua" w:hAnsi="Book Antiqua"/>
          <w:b/>
          <w:sz w:val="16"/>
          <w:szCs w:val="16"/>
        </w:rPr>
        <w:t>,</w:t>
      </w:r>
      <w:r w:rsidRPr="00B9776F">
        <w:rPr>
          <w:rFonts w:ascii="Book Antiqua" w:hAnsi="Book Antiqua"/>
          <w:sz w:val="16"/>
          <w:szCs w:val="16"/>
        </w:rPr>
        <w:t xml:space="preserve">’ p.471, J.  H. Sanders and A. H. Wapstra, editors, Plenum Publishing Corp., New York, 1972.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[70] P. T. Olsen, E. R. Williams, </w:t>
      </w:r>
      <w:r w:rsidRPr="00B9776F">
        <w:rPr>
          <w:rFonts w:ascii="Book Antiqua" w:hAnsi="Book Antiqua"/>
          <w:i/>
          <w:sz w:val="16"/>
          <w:szCs w:val="16"/>
        </w:rPr>
        <w:t>Atomic Masses and Fundamental Constants 5</w:t>
      </w:r>
      <w:r w:rsidRPr="00B9776F">
        <w:rPr>
          <w:rFonts w:ascii="Book Antiqua" w:hAnsi="Book Antiqua"/>
          <w:sz w:val="16"/>
          <w:szCs w:val="16"/>
        </w:rPr>
        <w:t xml:space="preserve">, p.538, J.H.Sanders and A.H. Wapstra, editors, Plenum Publishing Corp., New York, 1976.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[71] Z. Wang, ‘The Development of Precision Measurement and Fundamental Constants in China,’ </w:t>
      </w:r>
      <w:r w:rsidRPr="00B9776F">
        <w:rPr>
          <w:rFonts w:ascii="Book Antiqua" w:hAnsi="Book Antiqua"/>
          <w:i/>
          <w:sz w:val="16"/>
          <w:szCs w:val="16"/>
        </w:rPr>
        <w:t>Precision Measurements and Fundamental Constants II</w:t>
      </w:r>
      <w:r w:rsidRPr="00B9776F">
        <w:rPr>
          <w:rFonts w:ascii="Book Antiqua" w:hAnsi="Book Antiqua"/>
          <w:b/>
          <w:sz w:val="16"/>
          <w:szCs w:val="16"/>
        </w:rPr>
        <w:t>,</w:t>
      </w:r>
      <w:r w:rsidRPr="00B9776F">
        <w:rPr>
          <w:rFonts w:ascii="Book Antiqua" w:hAnsi="Book Antiqua"/>
          <w:sz w:val="16"/>
          <w:szCs w:val="16"/>
        </w:rPr>
        <w:t xml:space="preserve"> p.505-508, B.N. Taylor and W.D. Phillips, Eds.,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[72] B. P. Kibble, and G. J. Hunt, ‘A Measurement of the Gyromagnetic Ratio of the Proton in a Strong Magnetic Field,’ </w:t>
      </w:r>
      <w:r w:rsidRPr="00B9776F">
        <w:rPr>
          <w:rFonts w:ascii="Book Antiqua" w:hAnsi="Book Antiqua"/>
          <w:i/>
          <w:sz w:val="16"/>
          <w:szCs w:val="16"/>
        </w:rPr>
        <w:t>Metrologia</w:t>
      </w:r>
      <w:r w:rsidRPr="00B9776F">
        <w:rPr>
          <w:rFonts w:ascii="Book Antiqua" w:hAnsi="Book Antiqua"/>
          <w:sz w:val="16"/>
          <w:szCs w:val="16"/>
        </w:rPr>
        <w:t xml:space="preserve">, </w:t>
      </w:r>
      <w:r w:rsidRPr="00B9776F">
        <w:rPr>
          <w:rFonts w:ascii="Book Antiqua" w:hAnsi="Book Antiqua"/>
          <w:b/>
          <w:sz w:val="16"/>
          <w:szCs w:val="16"/>
        </w:rPr>
        <w:t>15</w:t>
      </w:r>
      <w:r w:rsidRPr="00B9776F">
        <w:rPr>
          <w:rFonts w:ascii="Book Antiqua" w:hAnsi="Book Antiqua"/>
          <w:sz w:val="16"/>
          <w:szCs w:val="16"/>
        </w:rPr>
        <w:t xml:space="preserve">, p. 5,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[73] E. R. Williams, and P. T. Olsen, ‘New Measurement of the Proton Gyromagnetic Ratio and a Derived Value of the Fine-Structure Constant Accurate to a Part in 10</w:t>
      </w:r>
      <w:r w:rsidRPr="00B9776F">
        <w:rPr>
          <w:rFonts w:ascii="Book Antiqua" w:hAnsi="Book Antiqua"/>
          <w:sz w:val="16"/>
          <w:szCs w:val="16"/>
          <w:vertAlign w:val="superscript"/>
        </w:rPr>
        <w:t>7</w:t>
      </w:r>
      <w:r w:rsidRPr="00B9776F">
        <w:rPr>
          <w:rFonts w:ascii="Book Antiqua" w:hAnsi="Book Antiqua"/>
          <w:sz w:val="16"/>
          <w:szCs w:val="16"/>
        </w:rPr>
        <w:t xml:space="preserve">,’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42</w:t>
      </w:r>
      <w:r w:rsidRPr="00B9776F">
        <w:rPr>
          <w:rFonts w:ascii="Book Antiqua" w:hAnsi="Book Antiqua"/>
          <w:sz w:val="16"/>
          <w:szCs w:val="16"/>
        </w:rPr>
        <w:t xml:space="preserve">, pp. 1575-1579, (June 11,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[74] W. Chiao, R. Liu, and P. Shen, ‘The Absolute Measurement of the Ampere by Means of NMR,’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238-242,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[75] W. Schlesok, ‘Progress in the Realization of Electrical Units at the Board for Standardization, Metrology, and Goods Testing (ASMW),’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pp.248-250,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[76] Y. V. Tarbeyev, ‘The Work Done at the Mendeleyev Research Institute of Metrology (VNIIM) to Improve the Values of the Fundamental Constants,’ </w:t>
      </w:r>
      <w:r w:rsidRPr="00B9776F">
        <w:rPr>
          <w:rFonts w:ascii="Book Antiqua" w:hAnsi="Book Antiqua"/>
          <w:i/>
          <w:sz w:val="16"/>
          <w:szCs w:val="16"/>
        </w:rPr>
        <w:t>Precision Measurements and Fundamental Constants II, p.483-488,</w:t>
      </w:r>
      <w:r w:rsidRPr="00B9776F">
        <w:rPr>
          <w:rFonts w:ascii="Book Antiqua" w:hAnsi="Book Antiqua"/>
          <w:sz w:val="16"/>
          <w:szCs w:val="16"/>
        </w:rPr>
        <w:t xml:space="preserve"> B.N. Taylor and W.D. Phillips, editors,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[77] P. J. Mohr and B. N. Taylor, </w:t>
      </w:r>
      <w:r w:rsidRPr="00B9776F">
        <w:rPr>
          <w:rFonts w:ascii="Book Antiqua" w:hAnsi="Book Antiqua"/>
          <w:i/>
          <w:sz w:val="16"/>
          <w:szCs w:val="16"/>
        </w:rPr>
        <w:t>Rev. Mod. Phys</w:t>
      </w:r>
      <w:r w:rsidRPr="00B9776F">
        <w:rPr>
          <w:rFonts w:ascii="Book Antiqua" w:hAnsi="Book Antiqua"/>
          <w:sz w:val="16"/>
          <w:szCs w:val="16"/>
        </w:rPr>
        <w:t xml:space="preserve">., </w:t>
      </w:r>
      <w:r w:rsidRPr="00B9776F">
        <w:rPr>
          <w:rFonts w:ascii="Book Antiqua" w:hAnsi="Book Antiqua"/>
          <w:b/>
          <w:sz w:val="16"/>
          <w:szCs w:val="16"/>
        </w:rPr>
        <w:t>77</w:t>
      </w:r>
      <w:r w:rsidRPr="00B9776F">
        <w:rPr>
          <w:rFonts w:ascii="Book Antiqua" w:hAnsi="Book Antiqua"/>
          <w:sz w:val="16"/>
          <w:szCs w:val="16"/>
        </w:rPr>
        <w:t>, p. 1 (2005)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[78] P. J. Mohr, B. N. Taylor, Newell, </w:t>
      </w:r>
      <w:r w:rsidRPr="00B9776F">
        <w:rPr>
          <w:rFonts w:ascii="Book Antiqua" w:hAnsi="Book Antiqua"/>
          <w:i/>
          <w:sz w:val="16"/>
          <w:szCs w:val="16"/>
        </w:rPr>
        <w:t>J. Phys. Chem. Ref. Data</w:t>
      </w:r>
      <w:r w:rsidRPr="00B9776F">
        <w:rPr>
          <w:rFonts w:ascii="Book Antiqua" w:hAnsi="Book Antiqua"/>
          <w:sz w:val="16"/>
          <w:szCs w:val="16"/>
        </w:rPr>
        <w:t xml:space="preserve">, </w:t>
      </w:r>
      <w:r w:rsidRPr="00B9776F">
        <w:rPr>
          <w:rFonts w:ascii="Book Antiqua" w:hAnsi="Book Antiqua"/>
          <w:b/>
          <w:sz w:val="16"/>
          <w:szCs w:val="16"/>
        </w:rPr>
        <w:t>37</w:t>
      </w:r>
      <w:r w:rsidRPr="00B9776F">
        <w:rPr>
          <w:rFonts w:ascii="Book Antiqua" w:hAnsi="Book Antiqua"/>
          <w:sz w:val="16"/>
          <w:szCs w:val="16"/>
        </w:rPr>
        <w:t>:3,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[79] CODATA/NIST website at: </w:t>
      </w:r>
      <w:hyperlink r:id="rId173" w:history="1">
        <w:r w:rsidRPr="00B9776F">
          <w:rPr>
            <w:rStyle w:val="Hyperlink"/>
            <w:rFonts w:ascii="Book Antiqua" w:hAnsi="Book Antiqua"/>
            <w:i/>
            <w:szCs w:val="16"/>
          </w:rPr>
          <w:t>http://physics.nist.gov/constants</w:t>
        </w:r>
      </w:hyperlink>
      <w:r w:rsidRPr="00B9776F">
        <w:rPr>
          <w:rFonts w:ascii="Book Antiqua" w:hAnsi="Book Antiqua"/>
          <w:i/>
          <w:sz w:val="16"/>
          <w:szCs w:val="16"/>
        </w:rPr>
        <w:t xml:space="preserve"> .</w:t>
      </w:r>
    </w:p>
    <w:p w:rsidR="00820B57" w:rsidRPr="00B9776F" w:rsidRDefault="00820B57" w:rsidP="00820B57">
      <w:pPr>
        <w:pStyle w:val="Els-body-text"/>
        <w:ind w:firstLine="0"/>
        <w:rPr>
          <w:rFonts w:ascii="Book Antiqua" w:hAnsi="Book Antiqua"/>
          <w:sz w:val="16"/>
          <w:szCs w:val="16"/>
        </w:rPr>
      </w:pPr>
    </w:p>
    <w:p w:rsidR="00820B57" w:rsidRDefault="00820B57" w:rsidP="00820B57">
      <w:pPr>
        <w:pStyle w:val="NoSpacing"/>
        <w:jc w:val="center"/>
        <w:rPr>
          <w:rFonts w:ascii="Book Antiqua" w:hAnsi="Book Antiqua"/>
          <w:b/>
          <w:sz w:val="28"/>
          <w:szCs w:val="28"/>
        </w:rPr>
      </w:pPr>
      <w:r w:rsidRPr="00977029">
        <w:rPr>
          <w:rFonts w:ascii="Book Antiqua" w:hAnsi="Book Antiqua"/>
          <w:b/>
          <w:sz w:val="28"/>
          <w:szCs w:val="28"/>
        </w:rPr>
        <w:t>*  *  *  *  *  *  *</w:t>
      </w:r>
    </w:p>
    <w:p w:rsidR="001E6C68" w:rsidRDefault="001E6C68">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265840" w:rsidRPr="00E02F43" w:rsidRDefault="00265840" w:rsidP="00265840">
      <w:pPr>
        <w:pStyle w:val="NoSpacing"/>
        <w:jc w:val="center"/>
        <w:rPr>
          <w:rFonts w:ascii="Book Antiqua" w:hAnsi="Book Antiqua"/>
          <w:b/>
          <w:bCs/>
          <w:iCs/>
          <w:color w:val="000000"/>
          <w:szCs w:val="24"/>
        </w:rPr>
      </w:pPr>
      <w:r w:rsidRPr="00E02F43">
        <w:rPr>
          <w:rFonts w:ascii="Book Antiqua" w:hAnsi="Book Antiqua"/>
          <w:b/>
          <w:bCs/>
          <w:iCs/>
          <w:color w:val="000000"/>
          <w:szCs w:val="24"/>
        </w:rPr>
        <w:lastRenderedPageBreak/>
        <w:t xml:space="preserve">Chapter 5: </w:t>
      </w:r>
      <w:r w:rsidRPr="00E02F43">
        <w:rPr>
          <w:rFonts w:ascii="Book Antiqua" w:hAnsi="Book Antiqua"/>
          <w:b/>
          <w:bCs/>
          <w:i/>
          <w:iCs/>
          <w:color w:val="000000"/>
          <w:szCs w:val="24"/>
        </w:rPr>
        <w:t>The Zpe And The Redshift.</w:t>
      </w:r>
    </w:p>
    <w:p w:rsidR="00265840" w:rsidRPr="00372C58" w:rsidRDefault="00265840" w:rsidP="00265840">
      <w:pPr>
        <w:pStyle w:val="NoSpacing"/>
        <w:rPr>
          <w:rFonts w:ascii="Book Antiqua" w:hAnsi="Book Antiqua"/>
          <w:b/>
          <w:bCs/>
          <w:iCs/>
          <w:color w:val="000000"/>
          <w:sz w:val="20"/>
          <w:u w:val="single"/>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1.  Introducing The Redshift.</w:t>
      </w:r>
    </w:p>
    <w:p w:rsidR="00265840" w:rsidRPr="00372C58" w:rsidRDefault="00265840" w:rsidP="00265840">
      <w:pPr>
        <w:pStyle w:val="NoSpacing"/>
        <w:rPr>
          <w:rFonts w:ascii="Book Antiqua" w:hAnsi="Book Antiqua"/>
          <w:b/>
          <w:bCs/>
          <w:iCs/>
          <w:color w:val="000000"/>
          <w:sz w:val="20"/>
        </w:rPr>
      </w:pPr>
    </w:p>
    <w:p w:rsidR="00265840" w:rsidRDefault="00265840" w:rsidP="006D55C3">
      <w:pPr>
        <w:pStyle w:val="NoSpacing"/>
        <w:numPr>
          <w:ilvl w:val="1"/>
          <w:numId w:val="65"/>
        </w:numPr>
        <w:rPr>
          <w:rFonts w:ascii="Book Antiqua" w:hAnsi="Book Antiqua"/>
          <w:b/>
          <w:bCs/>
          <w:iCs/>
          <w:color w:val="000000"/>
          <w:sz w:val="20"/>
        </w:rPr>
      </w:pPr>
      <w:r w:rsidRPr="00372C58">
        <w:rPr>
          <w:rFonts w:ascii="Book Antiqua" w:hAnsi="Book Antiqua"/>
          <w:bCs/>
          <w:i/>
          <w:iCs/>
          <w:color w:val="000000"/>
          <w:sz w:val="20"/>
        </w:rPr>
        <w:t>Introductory Concepts</w:t>
      </w:r>
      <w:r w:rsidRPr="00372C58">
        <w:rPr>
          <w:rFonts w:ascii="Book Antiqua" w:hAnsi="Book Antiqua"/>
          <w:b/>
          <w:bCs/>
          <w:iCs/>
          <w:color w:val="000000"/>
          <w:sz w:val="20"/>
        </w:rPr>
        <w:t xml:space="preserve">. </w:t>
      </w:r>
    </w:p>
    <w:p w:rsidR="006D55C3" w:rsidRDefault="006D55C3" w:rsidP="006D55C3">
      <w:pPr>
        <w:pStyle w:val="NoSpacing"/>
        <w:ind w:left="360"/>
        <w:rPr>
          <w:rFonts w:ascii="Book Antiqua" w:hAnsi="Book Antiqua"/>
          <w:bCs/>
          <w:i/>
          <w:iCs/>
          <w:color w:val="000000"/>
          <w:sz w:val="20"/>
        </w:rPr>
      </w:pPr>
    </w:p>
    <w:p w:rsidR="006D55C3" w:rsidRPr="00372C58" w:rsidRDefault="006D55C3" w:rsidP="006D55C3">
      <w:pPr>
        <w:pStyle w:val="NoSpacing"/>
        <w:ind w:firstLine="720"/>
        <w:jc w:val="both"/>
        <w:rPr>
          <w:rFonts w:ascii="Book Antiqua" w:hAnsi="Book Antiqua"/>
          <w:b/>
          <w:bCs/>
          <w:iCs/>
          <w:color w:val="000000"/>
          <w:sz w:val="20"/>
        </w:rPr>
      </w:pPr>
      <w:r w:rsidRPr="00B9776F">
        <w:rPr>
          <w:rFonts w:ascii="Book Antiqua" w:hAnsi="Book Antiqua"/>
          <w:sz w:val="20"/>
        </w:rPr>
        <w:t xml:space="preserve">Historical observations of the speed of light can only take us back about 360 years.  It requires other data to be able to go back further than that.  Archaeology can give us historical data compared with atomic time using radiometric clocks and this procedure can take us back over 3500 years (see Chapter 8).  However, examination of the ZPE data and the red shift data from distant galaxies can take us back to the origin of the universe. This is examined </w:t>
      </w:r>
      <w:r>
        <w:rPr>
          <w:rFonts w:ascii="Book Antiqua" w:hAnsi="Book Antiqua"/>
          <w:sz w:val="20"/>
        </w:rPr>
        <w:t>here</w:t>
      </w:r>
      <w:r w:rsidRPr="00B9776F">
        <w:rPr>
          <w:rFonts w:ascii="Book Antiqua" w:hAnsi="Book Antiqua"/>
          <w:sz w:val="20"/>
        </w:rPr>
        <w: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All elements can produce light. A photon of light is released when an electron which has been forced out of its normal position snaps back, releasing the energy that forced it out. Thus, the more energetic the electron's orbit, the more energy is required to force it out of that orbit and this means that the same increased amount of energy is released when it snaps back. Any element can produce light when its electrons are disturbed. Each element's light, however, is slightly different when analyzed. Think of the bar codes we see on products -- a series of heavy lines, light lines, and spaces. In a similar way, each element has a signature 'bar code' which identifies it. Here on earth, we have a laboratory standard for each element. These 'bar codes' extend across the rainbow of colors. For example, the 'bar-codes' or 'spectral lines' of hydrogen, helium, mercury and uranium appear in Figure 1 going from top to bottom.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305550" cy="3971925"/>
            <wp:effectExtent l="19050" t="0" r="0" b="0"/>
            <wp:docPr id="165"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6314302" cy="3977438"/>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4A5722" w:rsidRDefault="00265840" w:rsidP="00E32755">
      <w:pPr>
        <w:pStyle w:val="NoSpacing"/>
        <w:jc w:val="center"/>
        <w:rPr>
          <w:rFonts w:ascii="Book Antiqua" w:hAnsi="Book Antiqua"/>
          <w:i/>
          <w:sz w:val="18"/>
          <w:szCs w:val="18"/>
        </w:rPr>
      </w:pPr>
      <w:r w:rsidRPr="004A5722">
        <w:rPr>
          <w:rFonts w:ascii="Book Antiqua" w:hAnsi="Book Antiqua"/>
          <w:b/>
          <w:i/>
          <w:sz w:val="18"/>
          <w:szCs w:val="18"/>
        </w:rPr>
        <w:t>Figure 1:</w:t>
      </w:r>
      <w:r w:rsidRPr="004A5722">
        <w:rPr>
          <w:rFonts w:ascii="Book Antiqua" w:hAnsi="Book Antiqua"/>
          <w:i/>
          <w:sz w:val="18"/>
          <w:szCs w:val="18"/>
        </w:rPr>
        <w:t xml:space="preserve"> The characteristic spectral lines of hydrogen, helium, mercury and uranium (going from top to bottom).</w:t>
      </w:r>
    </w:p>
    <w:p w:rsidR="00265840" w:rsidRPr="00372C58" w:rsidRDefault="00265840" w:rsidP="00265840">
      <w:pPr>
        <w:pStyle w:val="NoSpacing"/>
        <w:jc w:val="both"/>
        <w:rPr>
          <w:rFonts w:ascii="Book Antiqua" w:hAnsi="Book Antiqua"/>
          <w:sz w:val="20"/>
        </w:rPr>
      </w:pPr>
    </w:p>
    <w:p w:rsidR="006D55C3" w:rsidRDefault="00265840" w:rsidP="00265840">
      <w:pPr>
        <w:pStyle w:val="NoSpacing"/>
        <w:jc w:val="both"/>
        <w:rPr>
          <w:rFonts w:ascii="Book Antiqua" w:hAnsi="Book Antiqua"/>
          <w:sz w:val="20"/>
        </w:rPr>
      </w:pPr>
      <w:r w:rsidRPr="00372C58">
        <w:rPr>
          <w:rFonts w:ascii="Book Antiqua" w:hAnsi="Book Antiqua"/>
          <w:sz w:val="20"/>
        </w:rPr>
        <w:tab/>
        <w:t xml:space="preserve">One of the key pieces of evidence that cosmologists use to indicate universal expansion is the redshift of light from distant galaxies. The redshift is an astronomical term that describes the shifting of these bar-code spectral lines of </w:t>
      </w:r>
      <w:r w:rsidRPr="00372C58">
        <w:rPr>
          <w:rFonts w:ascii="Book Antiqua" w:hAnsi="Book Antiqua"/>
          <w:sz w:val="20"/>
        </w:rPr>
        <w:lastRenderedPageBreak/>
        <w:t xml:space="preserve">elements towards the red end of the spectrum when compared with a laboratory standard here on earth. Essentially, a redshift means that the wavelength of a given spectral line is longer than normal. A typical result is shown in Figure 2. </w:t>
      </w:r>
    </w:p>
    <w:p w:rsidR="006D55C3" w:rsidRDefault="006D55C3"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477000" cy="1666875"/>
            <wp:effectExtent l="19050" t="0" r="0" b="0"/>
            <wp:docPr id="164"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flipH="1">
                      <a:off x="0" y="0"/>
                      <a:ext cx="6477000" cy="1666875"/>
                    </a:xfrm>
                    <a:prstGeom prst="rect">
                      <a:avLst/>
                    </a:prstGeom>
                    <a:noFill/>
                    <a:ln w="9525">
                      <a:noFill/>
                      <a:miter lim="800000"/>
                      <a:headEnd/>
                      <a:tailEnd/>
                    </a:ln>
                  </pic:spPr>
                </pic:pic>
              </a:graphicData>
            </a:graphic>
          </wp:inline>
        </w:drawing>
      </w:r>
    </w:p>
    <w:p w:rsidR="00265840" w:rsidRPr="00372C58" w:rsidRDefault="00265840" w:rsidP="00265840">
      <w:pPr>
        <w:pStyle w:val="NoSpacing"/>
        <w:rPr>
          <w:rFonts w:ascii="Book Antiqua" w:hAnsi="Book Antiqua"/>
          <w:sz w:val="20"/>
        </w:rPr>
      </w:pPr>
    </w:p>
    <w:p w:rsidR="00265840" w:rsidRDefault="00265840" w:rsidP="00D035D4">
      <w:pPr>
        <w:pStyle w:val="NoSpacing"/>
        <w:jc w:val="center"/>
        <w:rPr>
          <w:rFonts w:ascii="Book Antiqua" w:hAnsi="Book Antiqua"/>
          <w:i/>
          <w:sz w:val="18"/>
          <w:szCs w:val="18"/>
        </w:rPr>
      </w:pPr>
      <w:r w:rsidRPr="004A5722">
        <w:rPr>
          <w:rFonts w:ascii="Book Antiqua" w:hAnsi="Book Antiqua"/>
          <w:b/>
          <w:i/>
          <w:sz w:val="18"/>
          <w:szCs w:val="18"/>
        </w:rPr>
        <w:t>Figure 2:</w:t>
      </w:r>
      <w:r w:rsidRPr="004A5722">
        <w:rPr>
          <w:rFonts w:ascii="Book Antiqua" w:hAnsi="Book Antiqua"/>
          <w:i/>
          <w:sz w:val="18"/>
          <w:szCs w:val="18"/>
        </w:rPr>
        <w:t xml:space="preserve"> The shifting of spectral lines to the red</w:t>
      </w:r>
      <w:r w:rsidR="00D035D4">
        <w:rPr>
          <w:rFonts w:ascii="Book Antiqua" w:hAnsi="Book Antiqua"/>
          <w:i/>
          <w:sz w:val="18"/>
          <w:szCs w:val="18"/>
        </w:rPr>
        <w:t xml:space="preserve"> (right in this diagram) or longer wavelength end </w:t>
      </w:r>
      <w:r w:rsidRPr="004A5722">
        <w:rPr>
          <w:rFonts w:ascii="Book Antiqua" w:hAnsi="Book Antiqua"/>
          <w:i/>
          <w:sz w:val="18"/>
          <w:szCs w:val="18"/>
        </w:rPr>
        <w:t xml:space="preserve">of the spectrum is called </w:t>
      </w:r>
      <w:r w:rsidR="00D035D4">
        <w:rPr>
          <w:rFonts w:ascii="Book Antiqua" w:hAnsi="Book Antiqua"/>
          <w:i/>
          <w:sz w:val="18"/>
          <w:szCs w:val="18"/>
        </w:rPr>
        <w:t>a</w:t>
      </w:r>
      <w:r w:rsidRPr="004A5722">
        <w:rPr>
          <w:rFonts w:ascii="Book Antiqua" w:hAnsi="Book Antiqua"/>
          <w:i/>
          <w:sz w:val="18"/>
          <w:szCs w:val="18"/>
        </w:rPr>
        <w:t xml:space="preserve"> redshift.</w:t>
      </w:r>
    </w:p>
    <w:p w:rsidR="006D55C3" w:rsidRDefault="006D55C3" w:rsidP="00265840">
      <w:pPr>
        <w:pStyle w:val="NoSpacing"/>
        <w:rPr>
          <w:rFonts w:ascii="Book Antiqua" w:hAnsi="Book Antiqua"/>
          <w:i/>
          <w:sz w:val="18"/>
          <w:szCs w:val="18"/>
        </w:rPr>
      </w:pPr>
    </w:p>
    <w:p w:rsidR="006D55C3" w:rsidRPr="004A5722" w:rsidRDefault="006D55C3" w:rsidP="006D55C3">
      <w:pPr>
        <w:pStyle w:val="NoSpacing"/>
        <w:jc w:val="both"/>
        <w:rPr>
          <w:rFonts w:ascii="Book Antiqua" w:hAnsi="Book Antiqua"/>
          <w:i/>
          <w:sz w:val="18"/>
          <w:szCs w:val="18"/>
        </w:rPr>
      </w:pPr>
      <w:r w:rsidRPr="00372C58">
        <w:rPr>
          <w:rFonts w:ascii="Book Antiqua" w:hAnsi="Book Antiqua"/>
          <w:sz w:val="20"/>
        </w:rPr>
        <w:t xml:space="preserve">The redshift, </w:t>
      </w:r>
      <m:oMath>
        <m:r>
          <w:rPr>
            <w:rFonts w:ascii="Cambria Math" w:hAnsi="Cambria Math"/>
            <w:sz w:val="20"/>
          </w:rPr>
          <m:t>z</m:t>
        </m:r>
      </m:oMath>
      <w:r w:rsidRPr="00372C58">
        <w:rPr>
          <w:rFonts w:ascii="Book Antiqua" w:hAnsi="Book Antiqua"/>
          <w:sz w:val="20"/>
        </w:rPr>
        <w:t xml:space="preserve">, is defined as the measured increase in wavelength when compared with the earth standard, divided by that same laboratory standard wavelength. If the change in wavelength is given by </w:t>
      </w:r>
      <m:oMath>
        <m:r>
          <w:rPr>
            <w:rFonts w:ascii="Cambria Math" w:hAnsi="Cambria Math"/>
            <w:sz w:val="20"/>
          </w:rPr>
          <m:t>ΔW</m:t>
        </m:r>
      </m:oMath>
      <w:r w:rsidRPr="00372C58">
        <w:rPr>
          <w:rFonts w:ascii="Book Antiqua" w:hAnsi="Book Antiqua"/>
          <w:sz w:val="20"/>
        </w:rPr>
        <w:t xml:space="preserve"> and the laboratory standard wavelength is </w:t>
      </w:r>
      <m:oMath>
        <m:r>
          <w:rPr>
            <w:rFonts w:ascii="Cambria Math" w:hAnsi="Cambria Math"/>
            <w:sz w:val="20"/>
          </w:rPr>
          <m:t>W</m:t>
        </m:r>
      </m:oMath>
      <w:r w:rsidRPr="00372C58">
        <w:rPr>
          <w:rFonts w:ascii="Book Antiqua" w:hAnsi="Book Antiqua"/>
          <w:sz w:val="20"/>
        </w:rPr>
        <w:t xml:space="preserve">, then the redshift is defined as [1, 2]:  </w:t>
      </w:r>
    </w:p>
    <w:p w:rsidR="00A6203C" w:rsidRPr="00372C58" w:rsidRDefault="00A6203C" w:rsidP="00265840">
      <w:pPr>
        <w:pStyle w:val="NoSpacing"/>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The earth standard and the change from that are what is actually measured. If the standard laboratory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the wavelength of photons received from the distant object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then we can define thus: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ΔW</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this case,  the first equation can be expressed as follows: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Reduced, this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means we can write</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 + </m:t>
        </m:r>
        <m:r>
          <w:rPr>
            <w:rFonts w:ascii="Cambria Math" w:hAnsi="Cambria Math"/>
            <w:sz w:val="20"/>
          </w:rPr>
          <m:t>z</m:t>
        </m:r>
        <m:r>
          <w:rPr>
            <w:rFonts w:ascii="Cambria Math" w:hAnsi="Book Antiqua"/>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many astronomical applications it has proven to be more convenient to use th</w:t>
      </w:r>
      <w:r w:rsidR="006D55C3">
        <w:rPr>
          <w:rFonts w:ascii="Book Antiqua" w:hAnsi="Book Antiqua"/>
          <w:sz w:val="20"/>
        </w:rPr>
        <w:t>e</w:t>
      </w:r>
      <w:r w:rsidRPr="00372C58">
        <w:rPr>
          <w:rFonts w:ascii="Book Antiqua" w:hAnsi="Book Antiqua"/>
          <w:sz w:val="20"/>
        </w:rPr>
        <w:t xml:space="preserve"> formulation of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w:t>
      </w:r>
      <w:r w:rsidRPr="00372C58">
        <w:rPr>
          <w:rFonts w:ascii="Book Antiqua" w:hAnsi="Book Antiqua"/>
          <w:iCs/>
          <w:sz w:val="20"/>
        </w:rPr>
        <w:t xml:space="preserve"> just as we have in (5), </w:t>
      </w:r>
      <w:r w:rsidRPr="00372C58">
        <w:rPr>
          <w:rFonts w:ascii="Book Antiqua" w:hAnsi="Book Antiqua"/>
          <w:sz w:val="20"/>
        </w:rPr>
        <w:t xml:space="preserve">for the description of reality rather than just </w:t>
      </w:r>
      <m:oMath>
        <m:r>
          <w:rPr>
            <w:rFonts w:ascii="Cambria Math" w:hAnsi="Cambria Math"/>
            <w:sz w:val="20"/>
          </w:rPr>
          <m:t>z</m:t>
        </m:r>
      </m:oMath>
      <w:r w:rsidRPr="00372C58">
        <w:rPr>
          <w:rFonts w:ascii="Book Antiqua" w:hAnsi="Book Antiqua"/>
          <w:i/>
          <w:iCs/>
          <w:sz w:val="20"/>
        </w:rPr>
        <w:t>.</w:t>
      </w:r>
      <w:r w:rsidRPr="00372C58">
        <w:rPr>
          <w:rFonts w:ascii="Book Antiqua" w:hAnsi="Book Antiqua"/>
          <w:sz w:val="20"/>
        </w:rPr>
        <w:t xml:space="preserve"> Nevertheless, notice that, in every case,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is a dimensionless number as the units of wavelength cancel out.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1.2. Historical Background</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1122AA" w:rsidRDefault="00265840" w:rsidP="001122AA">
      <w:pPr>
        <w:pStyle w:val="NoSpacing"/>
        <w:jc w:val="both"/>
        <w:rPr>
          <w:rFonts w:ascii="Book Antiqua" w:hAnsi="Book Antiqua"/>
          <w:sz w:val="20"/>
        </w:rPr>
      </w:pPr>
      <w:r w:rsidRPr="00372C58">
        <w:rPr>
          <w:rFonts w:ascii="Book Antiqua" w:hAnsi="Book Antiqua"/>
          <w:sz w:val="20"/>
        </w:rPr>
        <w:tab/>
        <w:t>Between 1912 and 1922, Vesto Slipher and Francis Pease, at the Lowell Observatory in Flagstaff, Arizona, measured the redshift of forty-two galaxies [3].</w:t>
      </w:r>
      <w:r w:rsidRPr="00372C58">
        <w:rPr>
          <w:rFonts w:ascii="Book Antiqua" w:hAnsi="Book Antiqua"/>
          <w:position w:val="10"/>
          <w:sz w:val="20"/>
          <w:vertAlign w:val="superscript"/>
        </w:rPr>
        <w:t xml:space="preserve"> </w:t>
      </w:r>
      <w:r w:rsidRPr="00372C58">
        <w:rPr>
          <w:rFonts w:ascii="Book Antiqua" w:hAnsi="Book Antiqua"/>
          <w:sz w:val="20"/>
        </w:rPr>
        <w:t xml:space="preserve">In 1919, Harlow Shapley noted that the vast majority of those redshifts were positive, indicating the ‘bar codes’ of the elements involved were shifted more toward the red end of the spectrum. </w:t>
      </w:r>
      <w:r w:rsidRPr="00372C58">
        <w:rPr>
          <w:rFonts w:ascii="Book Antiqua" w:hAnsi="Book Antiqua"/>
          <w:sz w:val="20"/>
        </w:rPr>
        <w:lastRenderedPageBreak/>
        <w:t>In other words, their characteristic wavelength was longer. The only exceptions, the galaxies with blue shifts, were those nearby.</w:t>
      </w:r>
      <w:r w:rsidR="001122AA">
        <w:rPr>
          <w:rFonts w:ascii="Book Antiqua" w:hAnsi="Book Antiqua"/>
          <w:sz w:val="20"/>
        </w:rPr>
        <w:t xml:space="preserve"> This will be examined in more detail at the end of this chapter.</w:t>
      </w:r>
      <w:r w:rsidR="00FA5681" w:rsidRPr="00372C58">
        <w:rPr>
          <w:rFonts w:ascii="Book Antiqua" w:hAnsi="Book Antiqua"/>
          <w:sz w:val="20"/>
        </w:rPr>
        <w:t xml:space="preserve"> </w:t>
      </w:r>
    </w:p>
    <w:p w:rsidR="001122AA" w:rsidRDefault="001122AA" w:rsidP="001122AA">
      <w:pPr>
        <w:pStyle w:val="NoSpacing"/>
        <w:jc w:val="both"/>
        <w:rPr>
          <w:rFonts w:ascii="Book Antiqua" w:hAnsi="Book Antiqua"/>
          <w:sz w:val="20"/>
        </w:rPr>
      </w:pPr>
    </w:p>
    <w:p w:rsidR="00265840" w:rsidRDefault="00265840" w:rsidP="001122AA">
      <w:pPr>
        <w:pStyle w:val="NoSpacing"/>
        <w:ind w:firstLine="720"/>
        <w:jc w:val="both"/>
        <w:rPr>
          <w:rFonts w:ascii="Book Antiqua" w:hAnsi="Book Antiqua"/>
          <w:sz w:val="20"/>
        </w:rPr>
      </w:pPr>
      <w:r w:rsidRPr="00372C58">
        <w:rPr>
          <w:rFonts w:ascii="Book Antiqua" w:hAnsi="Book Antiqua"/>
          <w:sz w:val="20"/>
        </w:rPr>
        <w:t xml:space="preserve">Then during the period 1923-1924, Edwin Hubble discovered Cepheid variables in neighboring galaxies [4]. These are stars whose brightness appears to pulsate regularly.  The bigger they are, the brighter they are, and the more slowly they pulsate (see Figure 3). </w:t>
      </w:r>
    </w:p>
    <w:p w:rsidR="00E32755" w:rsidRPr="00372C58" w:rsidRDefault="00E32755" w:rsidP="001122AA">
      <w:pPr>
        <w:pStyle w:val="NoSpacing"/>
        <w:ind w:firstLine="720"/>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096000" cy="4705350"/>
            <wp:effectExtent l="19050" t="0" r="0" b="0"/>
            <wp:docPr id="163" name="il_fi" descr="http://www.math.lsa.umich.edu/mmss/coursesONLINE/Astro/Ex1.4/lightc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th.lsa.umich.edu/mmss/coursesONLINE/Astro/Ex1.4/lightcur.jpg"/>
                    <pic:cNvPicPr>
                      <a:picLocks noChangeAspect="1" noChangeArrowheads="1"/>
                    </pic:cNvPicPr>
                  </pic:nvPicPr>
                  <pic:blipFill>
                    <a:blip r:embed="rId174" cstate="print"/>
                    <a:srcRect/>
                    <a:stretch>
                      <a:fillRect/>
                    </a:stretch>
                  </pic:blipFill>
                  <pic:spPr bwMode="auto">
                    <a:xfrm>
                      <a:off x="0" y="0"/>
                      <a:ext cx="6096000" cy="4705350"/>
                    </a:xfrm>
                    <a:prstGeom prst="rect">
                      <a:avLst/>
                    </a:prstGeom>
                    <a:noFill/>
                    <a:ln w="9525">
                      <a:noFill/>
                      <a:miter lim="800000"/>
                      <a:headEnd/>
                      <a:tailEnd/>
                    </a:ln>
                  </pic:spPr>
                </pic:pic>
              </a:graphicData>
            </a:graphic>
          </wp:inline>
        </w:drawing>
      </w:r>
    </w:p>
    <w:p w:rsidR="00265840" w:rsidRPr="00D1635A" w:rsidRDefault="00265840" w:rsidP="00265840">
      <w:pPr>
        <w:pStyle w:val="NoSpacing"/>
        <w:jc w:val="both"/>
        <w:rPr>
          <w:rFonts w:ascii="Book Antiqua" w:hAnsi="Book Antiqua"/>
          <w:b/>
          <w:i/>
          <w:sz w:val="18"/>
          <w:szCs w:val="18"/>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3:</w:t>
      </w:r>
      <w:r w:rsidRPr="004A5722">
        <w:rPr>
          <w:rFonts w:ascii="Book Antiqua" w:hAnsi="Book Antiqua"/>
          <w:i/>
          <w:sz w:val="18"/>
          <w:szCs w:val="18"/>
        </w:rPr>
        <w:t xml:space="preserve"> The pulsating brightness curves of four Cepheid variable stars. Note the characteristic shape to the curves: the rise time is always shorter than the decline. The crest to crest period for the top curve is 43 days with 12 days for the bottom curve. This means that the top Cepheid here is about 30,000 brighter than the sun, while the bottom one is only about 3,000 times brighter than the sun. </w:t>
      </w:r>
    </w:p>
    <w:p w:rsidR="001122AA" w:rsidRPr="00372C58" w:rsidRDefault="001122AA" w:rsidP="00265840">
      <w:pPr>
        <w:pStyle w:val="NoSpacing"/>
        <w:rPr>
          <w:rFonts w:ascii="Book Antiqua" w:hAnsi="Book Antiqua"/>
          <w:sz w:val="20"/>
        </w:rPr>
      </w:pPr>
    </w:p>
    <w:p w:rsidR="00FA5681" w:rsidRPr="00372C58" w:rsidRDefault="00FA5681" w:rsidP="00FA5681">
      <w:pPr>
        <w:pStyle w:val="NoSpacing"/>
        <w:ind w:firstLine="720"/>
        <w:jc w:val="both"/>
        <w:rPr>
          <w:rFonts w:ascii="Book Antiqua" w:hAnsi="Book Antiqua"/>
          <w:sz w:val="20"/>
        </w:rPr>
      </w:pPr>
      <w:r w:rsidRPr="00372C58">
        <w:rPr>
          <w:rFonts w:ascii="Book Antiqua" w:hAnsi="Book Antiqua"/>
          <w:sz w:val="20"/>
        </w:rPr>
        <w:t>Before Hubble’s discovery, the assumption had been made that all the objects we see were part of our own galaxy, and that the Milky Way was all there was.  Within this Milky Way Galaxy were “spiral nebulae” which were considered part of it.  However, when Hubble examined Cepheid variable stars in some of these nebulae, their pulsation rates meant their intrinsic brightness required them to be much farther away than we thought.    As a result, these nebulae became called “island universes” and it was only then, in the mid 1920’s, we began to realize that the Milky Way was only one of many galaxies.</w:t>
      </w:r>
    </w:p>
    <w:p w:rsidR="00FA5681" w:rsidRPr="00372C58" w:rsidRDefault="00FA5681" w:rsidP="00FA5681">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Slipher and Pease had examined the red shifts of 42 galaxies.  In examining the Cepheid variables in these galaxies, Hubble discovered that the observed redshifts were proportional to distance. In 1929 he published the law of </w:t>
      </w:r>
      <w:r w:rsidRPr="00372C58">
        <w:rPr>
          <w:rFonts w:ascii="Book Antiqua" w:hAnsi="Book Antiqua"/>
          <w:sz w:val="20"/>
        </w:rPr>
        <w:lastRenderedPageBreak/>
        <w:t xml:space="preserve">spectral displacements, which is now called Hubble’s Law </w:t>
      </w:r>
      <w:r w:rsidRPr="00E263BC">
        <w:rPr>
          <w:rFonts w:ascii="Book Antiqua" w:hAnsi="Book Antiqua"/>
          <w:sz w:val="20"/>
        </w:rPr>
        <w:t>[5].</w:t>
      </w:r>
      <w:r w:rsidRPr="00E263BC">
        <w:rPr>
          <w:rFonts w:ascii="Book Antiqua" w:hAnsi="Book Antiqua"/>
          <w:position w:val="10"/>
          <w:sz w:val="20"/>
          <w:vertAlign w:val="superscript"/>
        </w:rPr>
        <w:t xml:space="preserve"> </w:t>
      </w:r>
      <w:r w:rsidRPr="00372C58">
        <w:rPr>
          <w:rFonts w:ascii="Book Antiqua" w:hAnsi="Book Antiqua"/>
          <w:sz w:val="20"/>
        </w:rPr>
        <w:t xml:space="preserve">If astronomical distance is </w:t>
      </w:r>
      <m:oMath>
        <m:r>
          <w:rPr>
            <w:rFonts w:ascii="Cambria Math" w:hAnsi="Cambria Math"/>
            <w:sz w:val="20"/>
          </w:rPr>
          <m:t>R</m:t>
        </m:r>
      </m:oMath>
      <w:r w:rsidRPr="00372C58">
        <w:rPr>
          <w:rFonts w:ascii="Book Antiqua" w:hAnsi="Book Antiqua"/>
          <w:i/>
          <w:iCs/>
          <w:sz w:val="20"/>
        </w:rPr>
        <w:t xml:space="preserve"> </w:t>
      </w:r>
      <w:r w:rsidRPr="00372C58">
        <w:rPr>
          <w:rFonts w:ascii="Book Antiqua" w:hAnsi="Book Antiqua"/>
          <w:sz w:val="20"/>
        </w:rPr>
        <w:t xml:space="preserve">and redshift is </w:t>
      </w:r>
      <m:oMath>
        <m:r>
          <w:rPr>
            <w:rFonts w:ascii="Cambria Math" w:hAnsi="Cambria Math"/>
            <w:sz w:val="20"/>
          </w:rPr>
          <m:t>z</m:t>
        </m:r>
      </m:oMath>
      <w:r w:rsidRPr="00372C58">
        <w:rPr>
          <w:rFonts w:ascii="Book Antiqua" w:hAnsi="Book Antiqua"/>
          <w:sz w:val="20"/>
        </w:rPr>
        <w:t>, then in mathematical terms Hubble’s Law can be written</w:t>
      </w:r>
      <w:r w:rsidR="000634A1" w:rsidRPr="00372C58">
        <w:rPr>
          <w:rFonts w:ascii="Book Antiqua" w:hAnsi="Book Antiqua"/>
          <w:sz w:val="20"/>
        </w:rPr>
        <w:t>:</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sz w:val="20"/>
        </w:rPr>
        <w:t xml:space="preserve"> </w:t>
      </w:r>
      <w:r w:rsidRPr="00372C58">
        <w:rPr>
          <w:rFonts w:ascii="Book Antiqua" w:hAnsi="Book Antiqua"/>
          <w:sz w:val="20"/>
        </w:rPr>
        <w:t xml:space="preserve">is a constant of proportionality. Figure 4 is </w:t>
      </w:r>
      <w:r w:rsidR="000634A1" w:rsidRPr="00372C58">
        <w:rPr>
          <w:rFonts w:ascii="Book Antiqua" w:hAnsi="Book Antiqua"/>
          <w:sz w:val="20"/>
        </w:rPr>
        <w:t>Edwin Hubble’s</w:t>
      </w:r>
      <w:r w:rsidRPr="00372C58">
        <w:rPr>
          <w:rFonts w:ascii="Book Antiqua" w:hAnsi="Book Antiqua"/>
          <w:sz w:val="20"/>
        </w:rPr>
        <w:t xml:space="preserve"> graph</w:t>
      </w:r>
      <w:r w:rsidR="000634A1" w:rsidRPr="00372C58">
        <w:rPr>
          <w:rFonts w:ascii="Book Antiqua" w:hAnsi="Book Antiqua"/>
          <w:sz w:val="20"/>
        </w:rPr>
        <w:t xml:space="preserve"> of 1929</w:t>
      </w:r>
      <w:r w:rsidRPr="00372C58">
        <w:rPr>
          <w:rFonts w:ascii="Book Antiqua" w:hAnsi="Book Antiqua"/>
          <w:sz w:val="20"/>
        </w:rPr>
        <w:t>.</w:t>
      </w:r>
    </w:p>
    <w:p w:rsidR="00E32755" w:rsidRPr="00372C58" w:rsidRDefault="00E32755"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15293" cy="2047875"/>
            <wp:effectExtent l="19050" t="0" r="8957" b="0"/>
            <wp:docPr id="162" name="Picture 3" descr="http://www.astronomy.ohio-state.edu/~pogge/Ast162/Unit5/Images/Hubble19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tronomy.ohio-state.edu/~pogge/Ast162/Unit5/Images/Hubble1929.gif"/>
                    <pic:cNvPicPr>
                      <a:picLocks noChangeAspect="1" noChangeArrowheads="1"/>
                    </pic:cNvPicPr>
                  </pic:nvPicPr>
                  <pic:blipFill>
                    <a:blip r:embed="rId175" cstate="print"/>
                    <a:srcRect l="13379" t="26314" r="13614" b="10426"/>
                    <a:stretch>
                      <a:fillRect/>
                    </a:stretch>
                  </pic:blipFill>
                  <pic:spPr bwMode="auto">
                    <a:xfrm>
                      <a:off x="0" y="0"/>
                      <a:ext cx="3515293" cy="20478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sz w:val="20"/>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4:</w:t>
      </w:r>
      <w:r w:rsidRPr="004A5722">
        <w:rPr>
          <w:rFonts w:ascii="Book Antiqua" w:hAnsi="Book Antiqua"/>
          <w:i/>
          <w:sz w:val="18"/>
          <w:szCs w:val="18"/>
        </w:rPr>
        <w:t xml:space="preserve"> Edwin Hubble's 1929 graph of redshift / distance. The distance scale is in millions of parsecs. A parsec is 3.26 light years. The lowest four values on the left are below zero and are thus blueshifts</w:t>
      </w:r>
      <w:r w:rsidR="000634A1" w:rsidRPr="004A5722">
        <w:rPr>
          <w:rFonts w:ascii="Book Antiqua" w:hAnsi="Book Antiqua"/>
          <w:i/>
          <w:sz w:val="18"/>
          <w:szCs w:val="18"/>
        </w:rPr>
        <w:t>, not redshifts</w:t>
      </w:r>
      <w:r w:rsidRPr="004A5722">
        <w:rPr>
          <w:rFonts w:ascii="Book Antiqua" w:hAnsi="Book Antiqua"/>
          <w:i/>
          <w:sz w:val="18"/>
          <w:szCs w:val="18"/>
        </w:rPr>
        <w: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color w:val="FF0000"/>
          <w:sz w:val="20"/>
        </w:rPr>
      </w:pPr>
      <w:r w:rsidRPr="00372C58">
        <w:rPr>
          <w:rFonts w:ascii="Book Antiqua" w:hAnsi="Book Antiqua"/>
          <w:sz w:val="20"/>
        </w:rPr>
        <w:tab/>
        <w:t xml:space="preserve">Essentially Hubble’s Law is a redshift/distance relationship, and as such simply notes that the redshift of light from galaxies is proportional to their distance. That is the basic data that astronomers and cosmologists have to deal with. Although cautious about the procedure until more data came in, Hubble suggested that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could be multiplied by the current speed of light, </w:t>
      </w:r>
      <m:oMath>
        <m:sSub>
          <m:sSubPr>
            <m:ctrlPr>
              <w:rPr>
                <w:rFonts w:ascii="Cambria Math" w:hAnsi="Book Antiqua"/>
                <w:i/>
                <w:iCs/>
                <w:sz w:val="20"/>
              </w:rPr>
            </m:ctrlPr>
          </m:sSubPr>
          <m:e>
            <m:r>
              <w:rPr>
                <w:rFonts w:ascii="Cambria Math" w:hAnsi="Cambria Math"/>
                <w:sz w:val="20"/>
              </w:rPr>
              <m:t>c</m:t>
            </m:r>
          </m:e>
          <m:sub>
            <m:r>
              <w:rPr>
                <w:rFonts w:ascii="Cambria Math" w:hAnsi="Book Antiqua"/>
                <w:sz w:val="20"/>
              </w:rPr>
              <m:t>0</m:t>
            </m:r>
          </m:sub>
        </m:sSub>
      </m:oMath>
      <w:r w:rsidRPr="00372C58">
        <w:rPr>
          <w:rFonts w:ascii="Book Antiqua" w:hAnsi="Book Antiqua"/>
          <w:sz w:val="20"/>
        </w:rPr>
        <w:t xml:space="preserve">, thereby transforming the dimensionless number into a velocity. Hubble pointed out that this procedure then allowed the redshift to be interpreted as a Doppler effect of galactic recessional velocities, </w:t>
      </w:r>
      <m:oMath>
        <m:r>
          <w:rPr>
            <w:rFonts w:ascii="Cambria Math" w:hAnsi="Cambria Math"/>
            <w:sz w:val="20"/>
          </w:rPr>
          <m:t>v</m:t>
        </m:r>
      </m:oMath>
      <w:r w:rsidRPr="00372C58">
        <w:rPr>
          <w:rFonts w:ascii="Book Antiqua" w:hAnsi="Book Antiqua"/>
          <w:sz w:val="20"/>
        </w:rPr>
        <w:t xml:space="preserve"> as shown in Figure 5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2547417" cy="2272421"/>
            <wp:effectExtent l="19050" t="0" r="5283" b="0"/>
            <wp:docPr id="161" name="il_fi" descr="http://www.sciencewriter.net/ncd/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writer.net/ncd/doppler.png"/>
                    <pic:cNvPicPr>
                      <a:picLocks noChangeAspect="1" noChangeArrowheads="1"/>
                    </pic:cNvPicPr>
                  </pic:nvPicPr>
                  <pic:blipFill>
                    <a:blip r:embed="rId176" cstate="print"/>
                    <a:srcRect/>
                    <a:stretch>
                      <a:fillRect/>
                    </a:stretch>
                  </pic:blipFill>
                  <pic:spPr bwMode="auto">
                    <a:xfrm>
                      <a:off x="0" y="0"/>
                      <a:ext cx="2558172" cy="2282015"/>
                    </a:xfrm>
                    <a:prstGeom prst="rect">
                      <a:avLst/>
                    </a:prstGeom>
                    <a:noFill/>
                    <a:ln w="9525">
                      <a:noFill/>
                      <a:miter lim="800000"/>
                      <a:headEnd/>
                      <a:tailEnd/>
                    </a:ln>
                  </pic:spPr>
                </pic:pic>
              </a:graphicData>
            </a:graphic>
          </wp:inline>
        </w:drawing>
      </w:r>
    </w:p>
    <w:p w:rsidR="00265840" w:rsidRPr="004A5722" w:rsidRDefault="00265840" w:rsidP="00265840">
      <w:pPr>
        <w:pStyle w:val="NoSpacing"/>
        <w:jc w:val="center"/>
        <w:rPr>
          <w:rFonts w:ascii="Book Antiqua" w:hAnsi="Book Antiqua"/>
          <w:b/>
          <w:sz w:val="18"/>
          <w:szCs w:val="18"/>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5:</w:t>
      </w:r>
      <w:r w:rsidRPr="004A5722">
        <w:rPr>
          <w:rFonts w:ascii="Book Antiqua" w:hAnsi="Book Antiqua"/>
          <w:i/>
          <w:sz w:val="18"/>
          <w:szCs w:val="18"/>
        </w:rPr>
        <w:t xml:space="preserve"> The Doppler effect. Wave fronts crowd together (or are shorter) in front of a moving emitter and trail out (or lengthen) behind it. This means the frequency of sound (or light) waves drops as the moving emitter passes. For sound this means the pitch of the note gets lower; for light, the waves look redder.</w:t>
      </w:r>
    </w:p>
    <w:p w:rsidR="00265840" w:rsidRPr="00372C58" w:rsidRDefault="00265840" w:rsidP="00265840">
      <w:pPr>
        <w:pStyle w:val="NoSpacing"/>
        <w:ind w:firstLine="720"/>
        <w:jc w:val="both"/>
        <w:rPr>
          <w:rFonts w:ascii="Book Antiqua" w:hAnsi="Book Antiqua"/>
          <w:sz w:val="20"/>
        </w:rPr>
      </w:pPr>
    </w:p>
    <w:p w:rsidR="00265840" w:rsidRDefault="00265840" w:rsidP="00AE210A">
      <w:pPr>
        <w:pStyle w:val="NoSpacing"/>
        <w:ind w:firstLine="720"/>
        <w:jc w:val="both"/>
        <w:rPr>
          <w:rFonts w:ascii="Book Antiqua" w:hAnsi="Book Antiqua"/>
          <w:sz w:val="20"/>
        </w:rPr>
      </w:pPr>
      <w:r w:rsidRPr="00372C58">
        <w:rPr>
          <w:rFonts w:ascii="Book Antiqua" w:hAnsi="Book Antiqua"/>
          <w:sz w:val="20"/>
        </w:rPr>
        <w:lastRenderedPageBreak/>
        <w:t>In the mid-nineteenth century, Christian Doppler published a paper in which he was trying to explain the colors of binary stars.  Although his explanation was later to be shown wrong in regard to the stars, his theory that the frequency of both light and sound waves changed with movement is still valid.  An example of what he meant can be found with the effect heard when a police car passes you with its siren going. As it pulls away from you, the pitch of the siren drops. This is because the sound waves lengthen as the car passes you and goes away.</w:t>
      </w:r>
    </w:p>
    <w:p w:rsidR="00770772" w:rsidRPr="00372C58" w:rsidRDefault="00770772" w:rsidP="00AE210A">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a similar way, Hubble suggested that the redshift, which shows lengthened wavelengths of light from distant galaxies, might indicate they are moving away from us also. On this approach to the redshift data, equation (1) was thereby interpreted to read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v</m:t>
        </m:r>
        <m: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m:t>
        </m:r>
        <m:r>
          <w:rPr>
            <w:rFonts w:ascii="Cambria Math" w:hAnsi="Cambria Math"/>
            <w:sz w:val="20"/>
          </w:rPr>
          <m:t>z</m:t>
        </m:r>
        <m:r>
          <w:rPr>
            <w:rFonts w:ascii="Cambria Math" w:hAnsi="Book Antiqua"/>
            <w:sz w:val="20"/>
          </w:rPr>
          <m:t xml:space="preserve"> =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m:t>
        </m:r>
        <m:r>
          <m:rPr>
            <m:sty m:val="bi"/>
          </m:rPr>
          <w:rPr>
            <w:rFonts w:ascii="Cambria Math" w:hAnsi="Cambria Math"/>
            <w:sz w:val="20"/>
          </w:rPr>
          <m:t>so</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r>
          <w:rPr>
            <w:rFonts w:ascii="Cambria Math" w:hAnsi="Book Antiqua"/>
            <w:sz w:val="20"/>
          </w:rPr>
          <m:t xml:space="preserve">  = </m:t>
        </m:r>
        <m:r>
          <w:rPr>
            <w:rFonts w:ascii="Cambria Math" w:hAnsi="Cambria Math"/>
            <w:sz w:val="20"/>
          </w:rPr>
          <m:t>z</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then allowed equation (6) to be re-written, in accord with the presentation given in the </w:t>
      </w:r>
      <w:r w:rsidRPr="00372C58">
        <w:rPr>
          <w:rFonts w:ascii="Book Antiqua" w:hAnsi="Book Antiqua"/>
          <w:i/>
          <w:sz w:val="20"/>
        </w:rPr>
        <w:t>Cambridge Atlas of Astronomy</w:t>
      </w:r>
      <w:r w:rsidRPr="00372C58">
        <w:rPr>
          <w:rFonts w:ascii="Book Antiqua" w:hAnsi="Book Antiqua"/>
          <w:sz w:val="20"/>
        </w:rPr>
        <w:t xml:space="preserve"> [7], as</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position w:val="-10"/>
            <w:sz w:val="20"/>
            <w:vertAlign w:val="subscript"/>
          </w:rPr>
          <m:t xml:space="preserve"> </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position w:val="-10"/>
          <w:sz w:val="20"/>
          <w:vertAlign w:val="subscript"/>
        </w:rPr>
        <w:t xml:space="preserve"> </w:t>
      </w:r>
      <w:r w:rsidRPr="00372C58">
        <w:rPr>
          <w:rFonts w:ascii="Book Antiqua" w:hAnsi="Book Antiqua"/>
          <w:sz w:val="20"/>
        </w:rPr>
        <w:t xml:space="preserve">is the new constant of proportionality and is now called the Hubble constant.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was the situation up until the 1960’s. By 1960, the highest red shift value, </w:t>
      </w:r>
      <m:oMath>
        <m:r>
          <w:rPr>
            <w:rFonts w:ascii="Cambria Math" w:hAnsi="Cambria Math"/>
            <w:sz w:val="20"/>
          </w:rPr>
          <m:t>z</m:t>
        </m:r>
      </m:oMath>
      <w:r w:rsidRPr="00372C58">
        <w:rPr>
          <w:rFonts w:ascii="Book Antiqua" w:hAnsi="Book Antiqua"/>
          <w:iCs/>
          <w:sz w:val="20"/>
        </w:rPr>
        <w:t>,</w:t>
      </w:r>
      <w:r w:rsidRPr="00372C58">
        <w:rPr>
          <w:rFonts w:ascii="Book Antiqua" w:hAnsi="Book Antiqua"/>
          <w:i/>
          <w:iCs/>
          <w:sz w:val="20"/>
        </w:rPr>
        <w:t xml:space="preserve"> </w:t>
      </w:r>
      <w:r w:rsidRPr="00372C58">
        <w:rPr>
          <w:rFonts w:ascii="Book Antiqua" w:hAnsi="Book Antiqua"/>
          <w:sz w:val="20"/>
        </w:rPr>
        <w:t>obtained was around 0.4. From the interpretation of equation (7) this meant these galaxies were receding at two-fifths of the velocity of light, and an essentially linear relationship was being maintained on the Hubble graph of redshift/distance from (6) or (8) [8, 9].</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However, after 1960, around a redshift of about 0.4, a departure from linearity began to be noted as galaxy ‘velocities’ became more relativistic, meaning they were approaching the speed of light. Consequently, by the mid-1960’s, a relativistic Doppler formula was applied. Later, with the advent of the Hubble Space Telescope, that formula was found to be a reasonably accurate approximation for objects even at the frontiers of the universe. Thus equation (7) came to be re-written as [10]: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(9)</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Since many astronomical applications use the formula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 xml:space="preserve"> </w:t>
      </w:r>
      <w:r w:rsidRPr="00372C58">
        <w:rPr>
          <w:rFonts w:ascii="Book Antiqua" w:hAnsi="Book Antiqua"/>
          <w:iCs/>
          <w:sz w:val="20"/>
        </w:rPr>
        <w:t>to describe what is being observed</w:t>
      </w:r>
      <w:r w:rsidRPr="00372C58">
        <w:rPr>
          <w:rFonts w:ascii="Book Antiqua" w:hAnsi="Book Antiqua"/>
          <w:sz w:val="20"/>
        </w:rPr>
        <w:t xml:space="preserve">, (9) then becomes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(10)</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1.3. Noting Some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Because of Hubble’s multiplication of the red 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by the speed of light, </w:t>
      </w:r>
      <m:oMath>
        <m:r>
          <w:rPr>
            <w:rFonts w:ascii="Cambria Math" w:hAnsi="Cambria Math"/>
            <w:sz w:val="20"/>
          </w:rPr>
          <m:t>c</m:t>
        </m:r>
      </m:oMath>
      <w:r w:rsidRPr="00372C58">
        <w:rPr>
          <w:rFonts w:ascii="Book Antiqua" w:hAnsi="Book Antiqua"/>
          <w:sz w:val="20"/>
        </w:rPr>
        <w:t>, a Doppler shift interpretation has been given to the redshift data. This interpretation has led to the impression that galaxies are racing away from each other at speeds which increase with distance from our galaxy. Indeed, near the frontiers of the cosmos, those speeds are thought to be close to the current speed of light. However, Hubble himself had doubts about that explanation.  Nevertheless, that was the explanation adopted and is still accepted.</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Yet the question remains:  Is redshift </w:t>
      </w:r>
      <w:r w:rsidR="009554D2">
        <w:rPr>
          <w:rFonts w:ascii="Book Antiqua" w:hAnsi="Book Antiqua"/>
          <w:sz w:val="20"/>
        </w:rPr>
        <w:t xml:space="preserve">actually </w:t>
      </w:r>
      <w:r w:rsidRPr="00372C58">
        <w:rPr>
          <w:rFonts w:ascii="Book Antiqua" w:hAnsi="Book Antiqua"/>
          <w:sz w:val="20"/>
        </w:rPr>
        <w:t xml:space="preserve">indicative of motion?  In 1995, Malcolm Longair wrote [11]: </w:t>
      </w:r>
      <w:r w:rsidRPr="00372C58">
        <w:rPr>
          <w:rFonts w:ascii="Book Antiqua" w:hAnsi="Book Antiqua"/>
          <w:i/>
          <w:iCs/>
          <w:sz w:val="20"/>
        </w:rPr>
        <w:t xml:space="preserve">“Thus, redshift does not really have anything to do with velocities at all in cosmology. The redshift is a … dimensionless number which … tells us the relative distance between galaxies when the light was emitted compared with that distance now. It is a great pity that Hubble multiplied </w:t>
      </w:r>
      <m:oMath>
        <m:r>
          <w:rPr>
            <w:rFonts w:ascii="Cambria Math" w:hAnsi="Cambria Math"/>
            <w:sz w:val="20"/>
          </w:rPr>
          <m:t>z</m:t>
        </m:r>
      </m:oMath>
      <w:r w:rsidRPr="00372C58">
        <w:rPr>
          <w:rFonts w:ascii="Book Antiqua" w:hAnsi="Book Antiqua"/>
          <w:i/>
          <w:iCs/>
          <w:sz w:val="20"/>
        </w:rPr>
        <w:t xml:space="preserve"> by </w:t>
      </w:r>
      <m:oMath>
        <m:r>
          <w:rPr>
            <w:rFonts w:ascii="Cambria Math" w:hAnsi="Cambria Math"/>
            <w:sz w:val="20"/>
          </w:rPr>
          <m:t>c</m:t>
        </m:r>
      </m:oMath>
      <w:r w:rsidRPr="00372C58">
        <w:rPr>
          <w:rFonts w:ascii="Book Antiqua" w:hAnsi="Book Antiqua"/>
          <w:i/>
          <w:iCs/>
          <w:sz w:val="20"/>
        </w:rPr>
        <w:t xml:space="preserve">. I hope we will eventually get rid of the </w:t>
      </w:r>
      <m:oMath>
        <m:r>
          <w:rPr>
            <w:rFonts w:ascii="Cambria Math" w:hAnsi="Cambria Math"/>
            <w:sz w:val="20"/>
          </w:rPr>
          <m:t>c</m:t>
        </m:r>
      </m:oMath>
      <w:r w:rsidRPr="00372C58">
        <w:rPr>
          <w:rFonts w:ascii="Book Antiqua" w:hAnsi="Book Antiqua"/>
          <w:i/>
          <w:iCs/>
          <w:sz w:val="20"/>
        </w:rPr>
        <w:t xml:space="preserve">.” </w:t>
      </w:r>
    </w:p>
    <w:p w:rsidR="00265840" w:rsidRPr="00372C58" w:rsidRDefault="00265840" w:rsidP="00265840">
      <w:pPr>
        <w:pStyle w:val="NoSpacing"/>
        <w:jc w:val="both"/>
        <w:rPr>
          <w:rFonts w:ascii="Book Antiqua" w:hAnsi="Book Antiqua"/>
          <w:sz w:val="20"/>
        </w:rPr>
      </w:pPr>
    </w:p>
    <w:p w:rsidR="00EC666F" w:rsidRDefault="00265840" w:rsidP="00265840">
      <w:pPr>
        <w:pStyle w:val="NoSpacing"/>
        <w:jc w:val="both"/>
        <w:rPr>
          <w:rFonts w:ascii="Book Antiqua" w:hAnsi="Book Antiqua"/>
          <w:iCs/>
          <w:sz w:val="20"/>
        </w:rPr>
      </w:pPr>
      <w:r w:rsidRPr="00372C58">
        <w:rPr>
          <w:rFonts w:ascii="Book Antiqua" w:hAnsi="Book Antiqua"/>
          <w:sz w:val="20"/>
        </w:rPr>
        <w:tab/>
        <w:t xml:space="preserve">Using quasars of high redshifts with </w:t>
      </w:r>
      <m:oMath>
        <m:r>
          <w:rPr>
            <w:rFonts w:ascii="Cambria Math" w:hAnsi="Cambria Math"/>
            <w:sz w:val="20"/>
          </w:rPr>
          <m:t>z</m:t>
        </m:r>
        <m:r>
          <w:rPr>
            <w:rFonts w:ascii="Cambria Math" w:hAnsi="Book Antiqua"/>
            <w:sz w:val="20"/>
          </w:rPr>
          <m:t xml:space="preserve"> &gt; 1</m:t>
        </m:r>
      </m:oMath>
      <w:r w:rsidRPr="00372C58">
        <w:rPr>
          <w:rFonts w:ascii="Book Antiqua" w:hAnsi="Book Antiqua"/>
          <w:i/>
          <w:iCs/>
          <w:sz w:val="20"/>
        </w:rPr>
        <w:t xml:space="preserve"> </w:t>
      </w:r>
      <w:r w:rsidRPr="00372C58">
        <w:rPr>
          <w:rFonts w:ascii="Book Antiqua" w:hAnsi="Book Antiqua"/>
          <w:sz w:val="20"/>
        </w:rPr>
        <w:t>as examples, Misner, Thorne and Wheeler use an argument similar to Schmidt’s [12], rejecting the</w:t>
      </w:r>
      <w:r w:rsidRPr="00372C58">
        <w:rPr>
          <w:rFonts w:ascii="Book Antiqua" w:hAnsi="Book Antiqua"/>
          <w:position w:val="10"/>
          <w:sz w:val="20"/>
          <w:vertAlign w:val="superscript"/>
        </w:rPr>
        <w:t xml:space="preserve"> </w:t>
      </w:r>
      <w:r w:rsidRPr="00372C58">
        <w:rPr>
          <w:rFonts w:ascii="Book Antiqua" w:hAnsi="Book Antiqua"/>
          <w:sz w:val="20"/>
        </w:rPr>
        <w:t xml:space="preserve">Doppler shift explanation on different grounds. They state: </w:t>
      </w:r>
      <w:r w:rsidRPr="00372C58">
        <w:rPr>
          <w:rFonts w:ascii="Book Antiqua" w:hAnsi="Book Antiqua"/>
          <w:i/>
          <w:iCs/>
          <w:sz w:val="20"/>
        </w:rPr>
        <w:t xml:space="preserve">“Nor are the quasar redshifts likely to </w:t>
      </w:r>
      <w:r w:rsidRPr="00372C58">
        <w:rPr>
          <w:rFonts w:ascii="Book Antiqua" w:hAnsi="Book Antiqua"/>
          <w:i/>
          <w:iCs/>
          <w:sz w:val="20"/>
        </w:rPr>
        <w:lastRenderedPageBreak/>
        <w:t xml:space="preserve">be Doppler; how could so massive an object be accelerated to </w:t>
      </w:r>
      <m:oMath>
        <m:r>
          <w:rPr>
            <w:rFonts w:ascii="Cambria Math" w:hAnsi="Cambria Math"/>
            <w:sz w:val="20"/>
          </w:rPr>
          <m:t>v</m:t>
        </m:r>
        <m:r>
          <w:rPr>
            <w:rFonts w:ascii="Cambria Math" w:hAnsi="Book Antiqua"/>
            <w:sz w:val="20"/>
          </w:rPr>
          <m:t xml:space="preserve"> ~ 1</m:t>
        </m:r>
      </m:oMath>
      <w:r w:rsidRPr="00372C58">
        <w:rPr>
          <w:rFonts w:ascii="Book Antiqua" w:hAnsi="Book Antiqua"/>
          <w:i/>
          <w:iCs/>
          <w:sz w:val="20"/>
        </w:rPr>
        <w:t xml:space="preserve"> [the speed of light] without complete disruption?”</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In thus rejecting the redshifts as Doppler effects, they also point out the problem that exists with one alternative explanation, namely gravitational redshifts. They state: </w:t>
      </w:r>
      <w:r w:rsidRPr="00372C58">
        <w:rPr>
          <w:rFonts w:ascii="Book Antiqua" w:hAnsi="Book Antiqua"/>
          <w:i/>
          <w:iCs/>
          <w:sz w:val="20"/>
        </w:rPr>
        <w:t xml:space="preserve">“Observed quasar redshifts of </w:t>
      </w:r>
      <m:oMath>
        <m:r>
          <w:rPr>
            <w:rFonts w:ascii="Cambria Math" w:hAnsi="Cambria Math"/>
            <w:sz w:val="20"/>
          </w:rPr>
          <m:t>z</m:t>
        </m:r>
        <m:r>
          <w:rPr>
            <w:rFonts w:ascii="Cambria Math" w:hAnsi="Book Antiqua"/>
            <w:sz w:val="20"/>
          </w:rPr>
          <m:t xml:space="preserve"> ~ 1 </m:t>
        </m:r>
        <m:r>
          <w:rPr>
            <w:rFonts w:ascii="Cambria Math" w:hAnsi="Cambria Math"/>
            <w:sz w:val="20"/>
          </w:rPr>
          <m:t>to</m:t>
        </m:r>
        <m:r>
          <w:rPr>
            <w:rFonts w:ascii="Cambria Math" w:hAnsi="Book Antiqua"/>
            <w:sz w:val="20"/>
          </w:rPr>
          <m:t xml:space="preserve"> 3</m:t>
        </m:r>
      </m:oMath>
      <w:r w:rsidRPr="00372C58">
        <w:rPr>
          <w:rFonts w:ascii="Book Antiqua" w:hAnsi="Book Antiqua"/>
          <w:i/>
          <w:iCs/>
          <w:sz w:val="20"/>
        </w:rPr>
        <w:t xml:space="preserve"> cannot be gravitational in origin; objects with gravitational redshifts larger than</w:t>
      </w:r>
      <m:oMath>
        <m:r>
          <w:rPr>
            <w:rFonts w:ascii="Cambria Math" w:hAnsi="Book Antiqua"/>
            <w:sz w:val="20"/>
          </w:rPr>
          <m:t xml:space="preserve"> </m:t>
        </m:r>
        <m:r>
          <w:rPr>
            <w:rFonts w:ascii="Cambria Math" w:hAnsi="Cambria Math"/>
            <w:sz w:val="20"/>
          </w:rPr>
          <m:t>z</m:t>
        </m:r>
        <m:r>
          <w:rPr>
            <w:rFonts w:ascii="Cambria Math" w:hAnsi="Book Antiqua"/>
            <w:sz w:val="20"/>
          </w:rPr>
          <m:t xml:space="preserve"> ~ 0.5</m:t>
        </m:r>
      </m:oMath>
      <w:r w:rsidRPr="00372C58">
        <w:rPr>
          <w:rFonts w:ascii="Book Antiqua" w:hAnsi="Book Antiqua"/>
          <w:i/>
          <w:iCs/>
          <w:sz w:val="20"/>
        </w:rPr>
        <w:t xml:space="preserve"> are unstable against collapse.”</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So in knocking out Doppler shifts and gravitation as the origin of the observed redshifts they come to what they see as the only other solution, namely a </w:t>
      </w:r>
      <w:r w:rsidRPr="00372C58">
        <w:rPr>
          <w:rFonts w:ascii="Book Antiqua" w:hAnsi="Book Antiqua"/>
          <w:i/>
          <w:iCs/>
          <w:sz w:val="20"/>
        </w:rPr>
        <w:t xml:space="preserve">“cosmological redshift.” </w:t>
      </w:r>
      <w:r w:rsidRPr="00372C58">
        <w:rPr>
          <w:rFonts w:ascii="Book Antiqua" w:hAnsi="Book Antiqua"/>
          <w:iCs/>
          <w:sz w:val="20"/>
        </w:rPr>
        <w:t>[13]</w:t>
      </w:r>
    </w:p>
    <w:p w:rsidR="00EC666F" w:rsidRPr="00EC666F" w:rsidRDefault="00265840" w:rsidP="00265840">
      <w:pPr>
        <w:pStyle w:val="NoSpacing"/>
        <w:jc w:val="both"/>
        <w:rPr>
          <w:rFonts w:ascii="Book Antiqua" w:hAnsi="Book Antiqua"/>
          <w:position w:val="10"/>
          <w:sz w:val="20"/>
          <w:vertAlign w:val="superscript"/>
        </w:rPr>
      </w:pP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This cosmological redshift was explained by another interpretation, one commonly used to explain the observed lengthening of wavelengths. About the time that the initial redshift and distance measurements were being made in the mid 1920’s, the mathematician Alexander Friedmann was examining the Einstein’s field equations which describe a static universe. Friedmann found that these equations were capable of an infinite number of solutions if Einstein’s model of a static universe was abandoned [14].</w:t>
      </w:r>
      <w:r w:rsidRPr="00372C58">
        <w:rPr>
          <w:rFonts w:ascii="Book Antiqua" w:hAnsi="Book Antiqua"/>
          <w:position w:val="10"/>
          <w:sz w:val="20"/>
          <w:vertAlign w:val="superscript"/>
        </w:rPr>
        <w:t xml:space="preserve"> </w:t>
      </w:r>
      <w:r w:rsidRPr="00372C58">
        <w:rPr>
          <w:rFonts w:ascii="Book Antiqua" w:hAnsi="Book Antiqua"/>
          <w:sz w:val="20"/>
        </w:rPr>
        <w:t>Then in 1927, the Abbe, Georges Lemaitre, produced equations describing a universe which exploded out of an infinitely dense state and which has continued to expand ever since [15].</w:t>
      </w:r>
      <w:r w:rsidRPr="00372C58">
        <w:rPr>
          <w:rFonts w:ascii="Book Antiqua" w:hAnsi="Book Antiqua"/>
          <w:position w:val="10"/>
          <w:sz w:val="20"/>
          <w:vertAlign w:val="superscript"/>
        </w:rPr>
        <w:t xml:space="preserve"> </w:t>
      </w:r>
      <w:r w:rsidRPr="00372C58">
        <w:rPr>
          <w:rFonts w:ascii="Book Antiqua" w:hAnsi="Book Antiqua"/>
          <w:sz w:val="20"/>
        </w:rPr>
        <w:t xml:space="preserve">In Einstein’s case, the equations required the very ‘fabric’ of space-time to be static with the galaxies moving through it. Einstein's model required that the redshift was due entirely to galaxy motion.  This implied that the redshift was thereby a Doppler effect, and this explanation is still used, despite the problems that Misner, Thorne and Wheeler have shown with this concept.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agreement with Lemaitre, and in opposition to Einstein, Friedmann and Lemaitre’s universe had the very ‘fabric’ of space-time expanding, so that the universe’s spatial co-ordinates are time dependent. Importantly, Lemaitre pointed out that if the fabric of space was itself expanding, then photons of light in transit should have their wavelengths stretched in a manner proportional to the expansion. This concept is illustrated in Figure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154601" cy="2581275"/>
            <wp:effectExtent l="19050" t="0" r="7949" b="0"/>
            <wp:docPr id="1530"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t="8743" r="1437" b="15301"/>
                    <a:stretch>
                      <a:fillRect/>
                    </a:stretch>
                  </pic:blipFill>
                  <pic:spPr bwMode="auto">
                    <a:xfrm>
                      <a:off x="0" y="0"/>
                      <a:ext cx="5154601" cy="25812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6:</w:t>
      </w:r>
      <w:r w:rsidRPr="004A5722">
        <w:rPr>
          <w:rFonts w:ascii="Book Antiqua" w:hAnsi="Book Antiqua"/>
          <w:i/>
          <w:sz w:val="18"/>
          <w:szCs w:val="18"/>
        </w:rPr>
        <w:t xml:space="preserve"> A wave is drawn on a piece of unstretched elastic fabric. Then the fabric is stretched. As it does so, the wavelength is stretched proportionally. This is how it is proposed that expanding the fabric of space causes the redshift.</w:t>
      </w:r>
    </w:p>
    <w:p w:rsidR="00CA1383" w:rsidRPr="00372C58" w:rsidRDefault="00CA1383" w:rsidP="00265840">
      <w:pPr>
        <w:pStyle w:val="NoSpacing"/>
        <w:jc w:val="both"/>
        <w:rPr>
          <w:rFonts w:ascii="Book Antiqua" w:hAnsi="Book Antiqua"/>
          <w:sz w:val="20"/>
        </w:rPr>
      </w:pPr>
    </w:p>
    <w:p w:rsidR="00CA1383" w:rsidRPr="00372C58" w:rsidRDefault="00CA1383"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These hypothesized space-time expansion redshifts can then be described by the relationship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r>
          <m:rPr>
            <m:sty m:val="bi"/>
          </m:rP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(11)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oMath>
      <w:r w:rsidRPr="00372C58">
        <w:rPr>
          <w:rFonts w:ascii="Book Antiqua" w:hAnsi="Book Antiqua"/>
          <w:sz w:val="20"/>
          <w:vertAlign w:val="subscript"/>
        </w:rPr>
        <w:t xml:space="preserve"> </w:t>
      </w:r>
      <w:r w:rsidRPr="00372C58">
        <w:rPr>
          <w:rFonts w:ascii="Book Antiqua" w:hAnsi="Book Antiqua"/>
          <w:sz w:val="20"/>
        </w:rPr>
        <w:t xml:space="preserve">are the values of the space-time expansion factor at the time of photon emission from a distant galaxy and at the time of reception respectively [16].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It is on this basis that a balloon analogy is often used to describe the redshift. As it is being inflated, the fabric of the balloon expands in the same way that the fabric of space-time is proposed to be expanding. According to this explanation, wavelengths of light in transit through space will be stretched proportionally resulting in a redshift when that light is compared with the laboratory standard.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sz w:val="20"/>
        </w:rPr>
        <w:t>1.4. Three Further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this approach is adopted, there are three </w:t>
      </w:r>
      <w:r w:rsidR="009554D2">
        <w:rPr>
          <w:rFonts w:ascii="Book Antiqua" w:hAnsi="Book Antiqua"/>
          <w:sz w:val="20"/>
        </w:rPr>
        <w:t>more</w:t>
      </w:r>
      <w:r w:rsidRPr="00372C58">
        <w:rPr>
          <w:rFonts w:ascii="Book Antiqua" w:hAnsi="Book Antiqua"/>
          <w:sz w:val="20"/>
        </w:rPr>
        <w:t xml:space="preserve"> problems. First, let us assume that the expansion of space-time really is the cause of the redshift.  But, if light waves in transit are lengthened, it necessarily means that all spectral lines will also be proportionally broadened, as well as being redshifted. This has not been observed, as Lyndon Ashmore pointed out in </w:t>
      </w:r>
      <w:r w:rsidRPr="00372C58">
        <w:rPr>
          <w:rFonts w:ascii="Book Antiqua" w:hAnsi="Book Antiqua"/>
          <w:i/>
          <w:sz w:val="20"/>
        </w:rPr>
        <w:t>'An Explanation of Redshift in a Static Universe</w:t>
      </w:r>
      <w:r w:rsidRPr="00372C58">
        <w:rPr>
          <w:rFonts w:ascii="Book Antiqua" w:hAnsi="Book Antiqua"/>
          <w:sz w:val="20"/>
        </w:rPr>
        <w:t xml:space="preserve">’ [17]. What this observational evidence means is that the stretching of wavelengths cannot be the cause of the redshift. </w:t>
      </w:r>
      <w:r w:rsidR="009554D2">
        <w:rPr>
          <w:rFonts w:ascii="Book Antiqua" w:hAnsi="Book Antiqua"/>
          <w:sz w:val="20"/>
        </w:rPr>
        <w:t>This, then, indicates that</w:t>
      </w:r>
      <w:r w:rsidRPr="00372C58">
        <w:rPr>
          <w:rFonts w:ascii="Book Antiqua" w:hAnsi="Book Antiqua"/>
          <w:sz w:val="20"/>
        </w:rPr>
        <w:t xml:space="preserve"> the stretching of space-time is not the reason for the redshift.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Second, if space-time expanded light waves in transit, atoms </w:t>
      </w:r>
      <w:r w:rsidR="009554D2">
        <w:rPr>
          <w:rFonts w:ascii="Book Antiqua" w:hAnsi="Book Antiqua"/>
          <w:sz w:val="20"/>
        </w:rPr>
        <w:t xml:space="preserve">themselves </w:t>
      </w:r>
      <w:r w:rsidRPr="00372C58">
        <w:rPr>
          <w:rFonts w:ascii="Book Antiqua" w:hAnsi="Book Antiqua"/>
          <w:sz w:val="20"/>
        </w:rPr>
        <w:t xml:space="preserve">should undergo expansion </w:t>
      </w:r>
      <w:r w:rsidR="009554D2">
        <w:rPr>
          <w:rFonts w:ascii="Book Antiqua" w:hAnsi="Book Antiqua"/>
          <w:sz w:val="20"/>
        </w:rPr>
        <w:t>as well</w:t>
      </w:r>
      <w:r w:rsidRPr="00372C58">
        <w:rPr>
          <w:rFonts w:ascii="Book Antiqua" w:hAnsi="Book Antiqua"/>
          <w:sz w:val="20"/>
        </w:rPr>
        <w:t xml:space="preserve">. If this were the case, then shouldn’t this expansion be unobservable, since everything would be expanding, including our measuring sticks? In 1994, W. Q. Sumner thoroughly examined both this question and the Friedmann equations involved. Sumner established that, due to the effects of cosmological expansion on the atom, the results would indeed be observable; and, contrary to expectations, would lead to a blue-shift of light received from such atoms [18]. When Sumner followed Friedmann’s equations through to their logical conclusion, he noted that the observed redshift implies that the very fabric of space must be contracting rather than expanding [18]. </w:t>
      </w:r>
      <w:r w:rsidR="009554D2">
        <w:rPr>
          <w:rFonts w:ascii="Book Antiqua" w:hAnsi="Book Antiqua"/>
          <w:sz w:val="20"/>
        </w:rPr>
        <w:t xml:space="preserve">  This requires some further explanation before we get to the third problem.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Interestingly, it is not customary for the Friedmann equations to be logically followed through </w:t>
      </w:r>
      <w:r w:rsidR="009554D2">
        <w:rPr>
          <w:rFonts w:ascii="Book Antiqua" w:hAnsi="Book Antiqua"/>
          <w:sz w:val="20"/>
        </w:rPr>
        <w:t>as described above</w:t>
      </w:r>
      <w:r w:rsidRPr="00372C58">
        <w:rPr>
          <w:rFonts w:ascii="Book Antiqua" w:hAnsi="Book Antiqua"/>
          <w:sz w:val="20"/>
        </w:rPr>
        <w:t xml:space="preserve">. </w:t>
      </w:r>
      <w:r w:rsidR="009554D2">
        <w:rPr>
          <w:rFonts w:ascii="Book Antiqua" w:hAnsi="Book Antiqua"/>
          <w:sz w:val="20"/>
        </w:rPr>
        <w:t xml:space="preserve"> </w:t>
      </w:r>
      <w:r w:rsidRPr="00372C58">
        <w:rPr>
          <w:rFonts w:ascii="Book Antiqua" w:hAnsi="Book Antiqua"/>
          <w:sz w:val="20"/>
        </w:rPr>
        <w:t>Indeed, Sumner was accused of a conceptual error because he failed to follow the accepted position which stated that not everything expands. In a segment whose side-bar reads "</w:t>
      </w:r>
      <w:r w:rsidRPr="00372C58">
        <w:rPr>
          <w:rFonts w:ascii="Book Antiqua" w:hAnsi="Book Antiqua"/>
          <w:i/>
          <w:iCs/>
          <w:sz w:val="20"/>
        </w:rPr>
        <w:t>What expands in the universe and what does not,"</w:t>
      </w:r>
      <w:r w:rsidRPr="00372C58">
        <w:rPr>
          <w:rFonts w:ascii="Book Antiqua" w:hAnsi="Book Antiqua"/>
          <w:sz w:val="20"/>
        </w:rPr>
        <w:t xml:space="preserve"> Misner, Thorne and Wheeler refer to this common problem and then comment:</w:t>
      </w:r>
      <w:r w:rsidRPr="00372C58">
        <w:rPr>
          <w:rFonts w:ascii="Book Antiqua" w:hAnsi="Book Antiqua"/>
          <w:i/>
          <w:iCs/>
          <w:sz w:val="20"/>
        </w:rPr>
        <w:t xml:space="preserve"> "Only later does [the student] realize that the atom does not expand, the meter stick does not expand, the distance between the sun and earth does not expand. Only distances between clusters of galaxies and greater distances are subject to the expansion. No model more quickly illustrates the actual situation than a rubber balloon with pennies affixed to it, each by a drop of glue. As the balloon is inflated the pennies increase their separation one from another but not a single one of them expands!"</w:t>
      </w:r>
      <w:r w:rsidRPr="00372C58">
        <w:rPr>
          <w:rFonts w:ascii="Book Antiqua" w:hAnsi="Book Antiqua"/>
          <w:sz w:val="20"/>
        </w:rPr>
        <w:t xml:space="preserve"> [18] Evidently, however, they missed the point that while atomic particles are the substance of which the expanding universe is made, </w:t>
      </w:r>
      <w:r w:rsidR="009554D2">
        <w:rPr>
          <w:rFonts w:ascii="Book Antiqua" w:hAnsi="Book Antiqua"/>
          <w:sz w:val="20"/>
        </w:rPr>
        <w:t xml:space="preserve">somehow </w:t>
      </w:r>
      <w:r w:rsidRPr="00372C58">
        <w:rPr>
          <w:rFonts w:ascii="Book Antiqua" w:hAnsi="Book Antiqua"/>
          <w:sz w:val="20"/>
        </w:rPr>
        <w:t>the pennies glued to a balloon are not.</w:t>
      </w:r>
    </w:p>
    <w:p w:rsidR="00265840" w:rsidRPr="00372C58" w:rsidRDefault="00265840" w:rsidP="00265840">
      <w:pPr>
        <w:pStyle w:val="NoSpacing"/>
        <w:jc w:val="both"/>
        <w:rPr>
          <w:rFonts w:ascii="Book Antiqua" w:hAnsi="Book Antiqua"/>
          <w:sz w:val="20"/>
        </w:rPr>
      </w:pPr>
    </w:p>
    <w:p w:rsidR="00265840" w:rsidRPr="00372C58" w:rsidRDefault="009554D2" w:rsidP="00265840">
      <w:pPr>
        <w:pStyle w:val="NoSpacing"/>
        <w:ind w:firstLine="720"/>
        <w:jc w:val="both"/>
        <w:rPr>
          <w:rFonts w:ascii="Book Antiqua" w:hAnsi="Book Antiqua"/>
          <w:sz w:val="20"/>
        </w:rPr>
      </w:pPr>
      <w:r>
        <w:rPr>
          <w:rFonts w:ascii="Book Antiqua" w:hAnsi="Book Antiqua"/>
          <w:sz w:val="20"/>
        </w:rPr>
        <w:t>W</w:t>
      </w:r>
      <w:r w:rsidR="00265840" w:rsidRPr="00372C58">
        <w:rPr>
          <w:rFonts w:ascii="Book Antiqua" w:hAnsi="Book Antiqua"/>
          <w:sz w:val="20"/>
        </w:rPr>
        <w:t>e are</w:t>
      </w:r>
      <w:r>
        <w:rPr>
          <w:rFonts w:ascii="Book Antiqua" w:hAnsi="Book Antiqua"/>
          <w:sz w:val="20"/>
        </w:rPr>
        <w:t xml:space="preserve"> then</w:t>
      </w:r>
      <w:r w:rsidR="00265840" w:rsidRPr="00372C58">
        <w:rPr>
          <w:rFonts w:ascii="Book Antiqua" w:hAnsi="Book Antiqua"/>
          <w:sz w:val="20"/>
        </w:rPr>
        <w:t xml:space="preserve"> supposed to conclude that the expansion of space is not meant to occur within the galaxies themselves, </w:t>
      </w:r>
      <w:r>
        <w:rPr>
          <w:rFonts w:ascii="Book Antiqua" w:hAnsi="Book Antiqua"/>
          <w:sz w:val="20"/>
        </w:rPr>
        <w:t xml:space="preserve">due to their being </w:t>
      </w:r>
      <w:r w:rsidR="00265840" w:rsidRPr="00372C58">
        <w:rPr>
          <w:rFonts w:ascii="Book Antiqua" w:hAnsi="Book Antiqua"/>
          <w:sz w:val="20"/>
        </w:rPr>
        <w:t>held together by the force of gravity. Rather the expansion of space is external to them (since the expansion force there is meant to be greater than gravity). Misner, Thorne and Wheeler’s classic text on gravity would have been an excellent place to outline the details of their argument [19]. Yet nothing of substance is presented. Their key, and only, defense for this position is to give a reference to a paper by Noerdlinger and Petrosian [20]. One would have thought that this paper would give the definitive proof required. However, when this paper is examined in detail, it is also seen to be ambiguous in addressing the matter of the expansion of galaxies.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It is at this point that Robert Gentry makes a significant contribution to the discussion. Using basic Newtonian mathematics, he showed that the gravitational forces within galaxies were not enough to resist the force causing the supposed expansion of the universe. He also demonstrated that the gravitational pull between the galaxies and clusters of galaxies is stronger than the gravitational fields within them.  In other words, they should be expanding too</w:t>
      </w:r>
      <w:r w:rsidR="009554D2">
        <w:rPr>
          <w:rFonts w:ascii="Book Antiqua" w:hAnsi="Book Antiqua"/>
          <w:sz w:val="20"/>
        </w:rPr>
        <w:t xml:space="preserve">. </w:t>
      </w:r>
      <w:r w:rsidR="007A2834">
        <w:rPr>
          <w:rFonts w:ascii="Book Antiqua" w:hAnsi="Book Antiqua"/>
          <w:sz w:val="20"/>
        </w:rPr>
        <w:t>But</w:t>
      </w:r>
      <w:r w:rsidRPr="00372C58">
        <w:rPr>
          <w:rFonts w:ascii="Book Antiqua" w:hAnsi="Book Antiqua"/>
          <w:sz w:val="20"/>
        </w:rPr>
        <w:t xml:space="preserve"> they are not. </w:t>
      </w:r>
      <w:r w:rsidR="00962D40">
        <w:rPr>
          <w:rFonts w:ascii="Book Antiqua" w:hAnsi="Book Antiqua"/>
          <w:sz w:val="20"/>
        </w:rPr>
        <w:t>Let us examine this in detail.</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Gentry calculated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between two clusters of galaxies. Each cluster has about 500 Milky Way sized galaxies, and every galaxy has a mass of about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r>
          <w:rPr>
            <w:rFonts w:ascii="Cambria Math" w:hAnsi="Book Antiqua"/>
            <w:sz w:val="20"/>
          </w:rPr>
          <m:t xml:space="preserve"> </m:t>
        </m:r>
      </m:oMath>
      <w:r w:rsidRPr="00372C58">
        <w:rPr>
          <w:rFonts w:ascii="Book Antiqua" w:hAnsi="Book Antiqua"/>
          <w:sz w:val="20"/>
        </w:rPr>
        <w:t>times the mass of the Sun. In Newtonian mechanics, the force between galaxy clusters is given by the equation</w:t>
      </w:r>
    </w:p>
    <w:p w:rsidR="00265840" w:rsidRPr="00372C58" w:rsidRDefault="00265840" w:rsidP="00265840">
      <w:pPr>
        <w:pStyle w:val="NoSpacing"/>
        <w:ind w:firstLine="720"/>
        <w:jc w:val="both"/>
        <w:rPr>
          <w:rFonts w:ascii="Book Antiqua" w:hAnsi="Book Antiqua"/>
          <w:sz w:val="20"/>
        </w:rPr>
      </w:pPr>
    </w:p>
    <w:p w:rsidR="00ED221B" w:rsidRDefault="00241D2F" w:rsidP="00265840">
      <w:pPr>
        <w:pStyle w:val="NoSpacing"/>
        <w:ind w:firstLine="720"/>
        <w:jc w:val="center"/>
        <w:rPr>
          <w:rFonts w:ascii="Book Antiqua" w:hAnsi="Book Antiqua"/>
          <w:i/>
          <w:sz w:val="20"/>
          <w:vertAlign w:val="superscript"/>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rPr>
          <m:t xml:space="preserve"> = </m:t>
        </m:r>
        <m:r>
          <w:rPr>
            <w:rFonts w:ascii="Book Antiqua" w:hAnsi="Book Antiqua"/>
            <w:sz w:val="20"/>
          </w:rPr>
          <m:t>-</m:t>
        </m:r>
        <m:r>
          <w:rPr>
            <w:rFonts w:ascii="Cambria Math" w:hAnsi="Cambria Math"/>
            <w:sz w:val="20"/>
          </w:rPr>
          <m:t>G</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e>
          <m:sup>
            <m:r>
              <w:rPr>
                <w:rFonts w:ascii="Cambria Math" w:hAnsi="Book Antiqua"/>
                <w:sz w:val="20"/>
              </w:rPr>
              <m:t>2</m:t>
            </m:r>
          </m:sup>
        </m:sSup>
      </m:oMath>
      <w:r w:rsidR="00265840" w:rsidRPr="00372C58">
        <w:rPr>
          <w:rFonts w:ascii="Book Antiqua" w:hAnsi="Book Antiqua"/>
          <w:i/>
          <w:sz w:val="20"/>
        </w:rPr>
        <w:t>.</w:t>
      </w:r>
      <w:r w:rsidR="00265840" w:rsidRPr="00372C58">
        <w:rPr>
          <w:rFonts w:ascii="Book Antiqua" w:hAnsi="Book Antiqua"/>
          <w:i/>
          <w:sz w:val="20"/>
          <w:vertAlign w:val="superscript"/>
        </w:rPr>
        <w:tab/>
      </w:r>
    </w:p>
    <w:p w:rsidR="00265840" w:rsidRPr="00372C58" w:rsidRDefault="00265840" w:rsidP="00265840">
      <w:pPr>
        <w:pStyle w:val="NoSpacing"/>
        <w:ind w:firstLine="720"/>
        <w:jc w:val="center"/>
        <w:rPr>
          <w:rFonts w:ascii="Book Antiqua" w:hAnsi="Book Antiqua"/>
          <w:sz w:val="20"/>
        </w:rPr>
      </w:pP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equation, the center to center distance between clusters,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m:t>
        </m:r>
      </m:oMath>
      <w:r w:rsidRPr="00372C58">
        <w:rPr>
          <w:rFonts w:ascii="Book Antiqua" w:hAnsi="Book Antiqua"/>
          <w:sz w:val="20"/>
        </w:rPr>
        <w:t xml:space="preserve"> is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 years; the mass of each cluster is given by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10</m:t>
            </m:r>
          </m:e>
          <m:sup>
            <m:r>
              <w:rPr>
                <w:rFonts w:ascii="Cambria Math" w:hAnsi="Book Antiqua"/>
                <w:sz w:val="20"/>
              </w:rPr>
              <m:t>14</m:t>
            </m:r>
          </m:sup>
        </m:sSup>
      </m:oMath>
      <w:r w:rsidRPr="00372C58">
        <w:rPr>
          <w:rFonts w:ascii="Book Antiqua" w:hAnsi="Book Antiqua"/>
          <w:sz w:val="20"/>
        </w:rPr>
        <w:t xml:space="preserve"> times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(where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is the mass of the Sun and equals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33</m:t>
            </m:r>
          </m:sup>
        </m:sSup>
      </m:oMath>
      <w:r w:rsidRPr="00372C58">
        <w:rPr>
          <w:rFonts w:ascii="Book Antiqua" w:hAnsi="Book Antiqua"/>
          <w:sz w:val="20"/>
        </w:rPr>
        <w:t xml:space="preserve"> grams).  Gentry then uses the spherical mass approximation for the galaxy to find the gravitational force exerted on the sun by our galaxy’s mass interior to the sun’s position (the part of our galaxy between us and the center of our galaxy).  This is given by the standard Newtonian formula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m:t>
        </m:r>
        <m:r>
          <w:rPr>
            <w:rFonts w:ascii="Book Antiqua" w:hAnsi="Book Antiqua"/>
            <w:sz w:val="20"/>
          </w:rPr>
          <m:t>-</m:t>
        </m:r>
        <m:r>
          <w:rPr>
            <w:rFonts w:ascii="Cambria Math" w:hAnsi="Book Antiqua"/>
            <w:sz w:val="20"/>
          </w:rPr>
          <m:t>4</m:t>
        </m:r>
        <m:r>
          <w:rPr>
            <w:rFonts w:ascii="Cambria Math" w:hAnsi="Cambria Math"/>
            <w:sz w:val="20"/>
          </w:rPr>
          <m:t>πG</m:t>
        </m:r>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r>
          <w:rPr>
            <w:rFonts w:ascii="Cambria Math" w:hAnsi="Cambria Math"/>
            <w:sz w:val="20"/>
          </w:rPr>
          <m:t>ρ</m:t>
        </m:r>
        <m:r>
          <w:rPr>
            <w:rFonts w:ascii="Cambria Math" w:hAnsi="Book Antiqua"/>
            <w:sz w:val="20"/>
          </w:rPr>
          <m:t>/3</m:t>
        </m:r>
      </m:oMath>
      <w:r w:rsidRPr="00372C58">
        <w:rPr>
          <w:rFonts w:ascii="Book Antiqua" w:hAnsi="Book Antiqua"/>
          <w:sz w:val="20"/>
        </w:rPr>
        <w:t xml:space="preserve">, where the Sun's position from the centre of the Galaxy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roughly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and the average matter density, </w:t>
      </w:r>
      <m:oMath>
        <m:r>
          <w:rPr>
            <w:rFonts w:ascii="Cambria Math" w:hAnsi="Cambria Math"/>
            <w:sz w:val="20"/>
          </w:rPr>
          <m:t>ρ</m:t>
        </m:r>
      </m:oMath>
      <w:r w:rsidRPr="00372C58">
        <w:rPr>
          <w:rFonts w:ascii="Book Antiqua" w:hAnsi="Book Antiqua"/>
          <w:sz w:val="20"/>
        </w:rPr>
        <w:t xml:space="preserve">, is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oMath>
      <w:r w:rsidRPr="00372C58">
        <w:rPr>
          <w:rFonts w:ascii="Book Antiqua" w:hAnsi="Book Antiqua"/>
          <w:sz w:val="20"/>
        </w:rPr>
        <w:t xml:space="preserve">grams per cubic centimetre. The result is that the gravitational force acting on the galaxy clusters,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turns out to be close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oMath>
      <w:r w:rsidRPr="00372C58">
        <w:rPr>
          <w:rFonts w:ascii="Book Antiqua" w:hAnsi="Book Antiqua"/>
          <w:sz w:val="20"/>
        </w:rPr>
        <w:t xml:space="preserve">, exerted on the Sun [21]. We can therefore write </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00265840" w:rsidRPr="00372C58">
        <w:rPr>
          <w:rFonts w:ascii="Book Antiqua" w:hAnsi="Book Antiqua"/>
          <w:sz w:val="20"/>
          <w:vertAlign w:val="superscript"/>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(12)</w:t>
      </w:r>
      <w:r w:rsidR="00265840"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means that the gravitational force between clusters which tends to prevent expansion is greater than the gravitational force acting on the sun and stars that is meant to stop our galaxy expanding. Misner, Thorne and Wheeler say the gravitational force within a galaxy prevents it from expanding.  If this is true, then there is a big problem for universal expansion, since the gravitational force between galaxy clusters is so much greater.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also important to find out the relative sizes of the cosmological expansion factors both within and between galaxies.  These then need to be compared with equation (12). Since Gentry's distance between clusters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oMath>
      <w:r w:rsidRPr="00372C58">
        <w:rPr>
          <w:rFonts w:ascii="Book Antiqua" w:hAnsi="Book Antiqua"/>
          <w:sz w:val="20"/>
        </w:rPr>
        <w:t xml:space="preserve"> ) is of the order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light-years, while he gives the distance of the Sun from our galactic centre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 as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the ratio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At any given time, the expansion factor, </w:t>
      </w:r>
      <m:oMath>
        <m:r>
          <w:rPr>
            <w:rFonts w:ascii="Cambria Math" w:hAnsi="Cambria Math"/>
            <w:sz w:val="20"/>
          </w:rPr>
          <m:t>R</m:t>
        </m:r>
      </m:oMath>
      <w:r w:rsidRPr="00372C58">
        <w:rPr>
          <w:rFonts w:ascii="Book Antiqua" w:hAnsi="Book Antiqua"/>
          <w:sz w:val="20"/>
        </w:rPr>
        <w:t xml:space="preserve">,  is essentially linear in distance over the scales being considered here, as shown by Landsberg and Evans [22]. It then follows that the expansion factor between galaxies is only about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greater than the expansion force between the middle of our galaxy and the sun.  However, the gravitational force acting on the clusters is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on the Sun.  This gravitational force between clusters effectively prevents the expansion </w:t>
      </w:r>
      <w:r w:rsidR="002B0E41">
        <w:rPr>
          <w:rFonts w:ascii="Book Antiqua" w:hAnsi="Book Antiqua"/>
          <w:sz w:val="20"/>
        </w:rPr>
        <w:t xml:space="preserve">of the cosmos </w:t>
      </w:r>
      <w:r w:rsidRPr="00372C58">
        <w:rPr>
          <w:rFonts w:ascii="Book Antiqua" w:hAnsi="Book Antiqua"/>
          <w:sz w:val="20"/>
        </w:rPr>
        <w:t>currently used as an explanation for the red shift.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Nevertheless, the red shift is still being explained as a product of an expanding universe.  So how are these problems being explained?  Despite the math shown above, some say the acceleration of an expanding universe overcomes gravitational acceleration which pulls things together. In their paper, Cooperstock, Faraoni and Vollick calculated the gravitational acceleration for galaxy clusters is of the order of </w:t>
      </w:r>
      <m:oMath>
        <m:r>
          <w:rPr>
            <w:rFonts w:ascii="Cambria Math" w:hAnsi="Book Antiqua"/>
            <w:sz w:val="20"/>
          </w:rPr>
          <m:t xml:space="preserve">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372C58">
        <w:rPr>
          <w:rFonts w:ascii="Book Antiqua" w:hAnsi="Book Antiqua"/>
          <w:sz w:val="20"/>
        </w:rPr>
        <w:t xml:space="preserve"> meters per second /sec, while the acceleration due to cosmological expansion is merely </w:t>
      </w:r>
      <m:oMath>
        <m:r>
          <w:rPr>
            <w:rFonts w:ascii="Cambria Math" w:hAnsi="Book Antiqua"/>
            <w:sz w:val="20"/>
          </w:rPr>
          <m:t xml:space="preserve">5.6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18</m:t>
            </m:r>
          </m:sup>
        </m:sSup>
      </m:oMath>
      <w:r w:rsidR="00201C96">
        <w:rPr>
          <w:rFonts w:ascii="Book Antiqua" w:hAnsi="Book Antiqua"/>
          <w:sz w:val="20"/>
        </w:rPr>
        <w:t xml:space="preserve"> m</w:t>
      </w:r>
      <w:r w:rsidRPr="00372C58">
        <w:rPr>
          <w:rFonts w:ascii="Book Antiqua" w:hAnsi="Book Antiqua"/>
          <w:sz w:val="20"/>
        </w:rPr>
        <w:t>eters per second /sec. [23]. As they point out, these figures indicate that the gravitational acceleration tending to hold the galaxy clusters together, is 7 orders of magnitude greater than that of the cosmological acceleration which tends to push them apart.  In fact, this calculation suggests that even when comparing the gravitational and cosmological accelerations, not only do the stars and galaxies not expand, it seems that even the space between clusters does not expand either.</w:t>
      </w:r>
    </w:p>
    <w:p w:rsidR="00CA1383" w:rsidRPr="00372C58" w:rsidRDefault="00CA1383"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Cooperstock, Faraoni and Vollick then try to overcome this problem by doing a different calculation using the local equations of motion under Newtonian conditions, as applied to two bodies. Using this approach, the cumulative effect of cosmological expansion on the Sun-Earth system is considered negligible. In other words, space within our solar system would not expand on the basis of these local equations. However, cosmological expansion would become increasingly significant for larger systems over the lifetime of the cosmos. This is what the standard approach requires to back up the contention that our solar system does not expand, while inter-cluster space does. But this presents a huge problem: Cooperstock, Faraoni and Vollick admit that when using the solar system equation for large distances: </w:t>
      </w:r>
      <w:r w:rsidRPr="00372C58">
        <w:rPr>
          <w:rFonts w:ascii="Book Antiqua" w:hAnsi="Book Antiqua"/>
          <w:i/>
          <w:iCs/>
          <w:sz w:val="20"/>
        </w:rPr>
        <w:t>"In this case, the approximation used in this paper becomes invalid."</w:t>
      </w:r>
      <w:r w:rsidRPr="00372C58">
        <w:rPr>
          <w:rFonts w:ascii="Book Antiqua" w:hAnsi="Book Antiqua"/>
          <w:iCs/>
          <w:sz w:val="20"/>
        </w:rPr>
        <w:t xml:space="preserve"> In other words, the physics and math used </w:t>
      </w:r>
      <w:r w:rsidR="002B0E41">
        <w:rPr>
          <w:rFonts w:ascii="Book Antiqua" w:hAnsi="Book Antiqua"/>
          <w:iCs/>
          <w:sz w:val="20"/>
        </w:rPr>
        <w:t xml:space="preserve">for the solar system </w:t>
      </w:r>
      <w:r w:rsidRPr="00372C58">
        <w:rPr>
          <w:rFonts w:ascii="Book Antiqua" w:hAnsi="Book Antiqua"/>
          <w:iCs/>
          <w:sz w:val="20"/>
        </w:rPr>
        <w:t>do not apply on a large scale [23]. They are back where they began, with a problem they cannot seem to solve regarding an expanding universe.</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inevitable conclusion is</w:t>
      </w:r>
      <w:r w:rsidR="003B74DF">
        <w:rPr>
          <w:rFonts w:ascii="Book Antiqua" w:hAnsi="Book Antiqua"/>
          <w:sz w:val="20"/>
        </w:rPr>
        <w:t xml:space="preserve"> </w:t>
      </w:r>
      <w:r w:rsidRPr="00372C58">
        <w:rPr>
          <w:rFonts w:ascii="Book Antiqua" w:hAnsi="Book Antiqua"/>
          <w:sz w:val="20"/>
        </w:rPr>
        <w:t xml:space="preserve">that if the gravitational forces acting on the Sun in our Galaxy are too strong for the cosmological expansion factor to affect it, then, by the same token, the even stronger gravitational forces acting between clusters will also prevent the expansion factor from operating there, too. Yet if the expansion of space-time is called into </w:t>
      </w:r>
      <w:r w:rsidRPr="00372C58">
        <w:rPr>
          <w:rFonts w:ascii="Book Antiqua" w:hAnsi="Book Antiqua"/>
          <w:sz w:val="20"/>
        </w:rPr>
        <w:lastRenderedPageBreak/>
        <w:t xml:space="preserve">question by these considerations, the usual procedure is to invoke the movement of galaxies through a static space-time. </w:t>
      </w:r>
      <w:r w:rsidR="003B74DF">
        <w:rPr>
          <w:rFonts w:ascii="Book Antiqua" w:hAnsi="Book Antiqua"/>
          <w:sz w:val="20"/>
        </w:rPr>
        <w:t>But</w:t>
      </w:r>
      <w:r w:rsidRPr="00372C58">
        <w:rPr>
          <w:rFonts w:ascii="Book Antiqua" w:hAnsi="Book Antiqua"/>
          <w:sz w:val="20"/>
        </w:rPr>
        <w:t xml:space="preserve"> in that case, the problems associated with high galaxy velocities, pointed out by Misner</w:t>
      </w:r>
      <w:r w:rsidR="003B74DF">
        <w:rPr>
          <w:rFonts w:ascii="Book Antiqua" w:hAnsi="Book Antiqua"/>
          <w:sz w:val="20"/>
        </w:rPr>
        <w:t xml:space="preserve"> et al</w:t>
      </w:r>
      <w:r w:rsidRPr="00372C58">
        <w:rPr>
          <w:rFonts w:ascii="Book Antiqua" w:hAnsi="Book Antiqua"/>
          <w:sz w:val="20"/>
        </w:rPr>
        <w:t xml:space="preserve"> rear their heads in denial.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Cs/>
          <w:sz w:val="20"/>
        </w:rPr>
      </w:pPr>
      <w:r w:rsidRPr="00372C58">
        <w:rPr>
          <w:rFonts w:ascii="Book Antiqua" w:hAnsi="Book Antiqua"/>
          <w:sz w:val="20"/>
        </w:rPr>
        <w:tab/>
      </w:r>
      <w:r w:rsidR="007A2834">
        <w:rPr>
          <w:rFonts w:ascii="Book Antiqua" w:hAnsi="Book Antiqua"/>
          <w:sz w:val="20"/>
        </w:rPr>
        <w:t>The third problem involves</w:t>
      </w:r>
      <w:r w:rsidRPr="00372C58">
        <w:rPr>
          <w:rFonts w:ascii="Book Antiqua" w:hAnsi="Book Antiqua"/>
          <w:sz w:val="20"/>
        </w:rPr>
        <w:t xml:space="preserve"> the</w:t>
      </w:r>
      <w:r w:rsidR="007A2834">
        <w:rPr>
          <w:rFonts w:ascii="Book Antiqua" w:hAnsi="Book Antiqua"/>
          <w:sz w:val="20"/>
        </w:rPr>
        <w:t xml:space="preserve"> space-time expansion factor, </w:t>
      </w:r>
      <w:r w:rsidR="007A2834" w:rsidRPr="007A2834">
        <w:rPr>
          <w:rFonts w:ascii="Book Antiqua" w:hAnsi="Book Antiqua"/>
          <w:i/>
          <w:sz w:val="20"/>
        </w:rPr>
        <w:t>R</w:t>
      </w:r>
      <w:r w:rsidRPr="00372C58">
        <w:rPr>
          <w:rFonts w:ascii="Book Antiqua" w:hAnsi="Book Antiqua"/>
          <w:sz w:val="20"/>
        </w:rPr>
        <w:t>.</w:t>
      </w:r>
      <w:r w:rsidR="007A2834">
        <w:rPr>
          <w:rFonts w:ascii="Book Antiqua" w:hAnsi="Book Antiqua"/>
          <w:sz w:val="20"/>
        </w:rPr>
        <w:t xml:space="preserve"> </w:t>
      </w:r>
      <w:r w:rsidRPr="00372C58">
        <w:rPr>
          <w:rFonts w:ascii="Book Antiqua" w:hAnsi="Book Antiqua"/>
          <w:sz w:val="20"/>
        </w:rPr>
        <w:t xml:space="preserve"> Following an examination of the Lemaitre model, Robert Gentry made a pertinent comment </w:t>
      </w:r>
      <w:r w:rsidR="007A2834">
        <w:rPr>
          <w:rFonts w:ascii="Book Antiqua" w:hAnsi="Book Antiqua"/>
          <w:sz w:val="20"/>
        </w:rPr>
        <w:t>regarding this factor as shown in</w:t>
      </w:r>
      <w:r w:rsidRPr="00372C58">
        <w:rPr>
          <w:rFonts w:ascii="Book Antiqua" w:hAnsi="Book Antiqua"/>
          <w:sz w:val="20"/>
        </w:rPr>
        <w:t xml:space="preserve"> equation (11). He states: </w:t>
      </w:r>
      <w:r w:rsidRPr="00372C58">
        <w:rPr>
          <w:rFonts w:ascii="Book Antiqua" w:hAnsi="Book Antiqua"/>
          <w:i/>
          <w:iCs/>
          <w:sz w:val="20"/>
        </w:rPr>
        <w:t xml:space="preserve">“Despite its crucial role in big-bang cosmology, the foregoing expression </w:t>
      </w:r>
      <w:r w:rsidRPr="00372C58">
        <w:rPr>
          <w:rFonts w:ascii="Book Antiqua" w:hAnsi="Book Antiqua"/>
          <w:iCs/>
          <w:sz w:val="20"/>
        </w:rPr>
        <w:t>[essentially equation (11) here]</w:t>
      </w:r>
      <w:r w:rsidRPr="00372C58">
        <w:rPr>
          <w:rFonts w:ascii="Book Antiqua" w:hAnsi="Book Antiqua"/>
          <w:i/>
          <w:iCs/>
          <w:sz w:val="20"/>
        </w:rPr>
        <w:t xml:space="preserve"> is unique in that the physical presence of </w:t>
      </w:r>
      <m:oMath>
        <m:r>
          <w:rPr>
            <w:rFonts w:ascii="Cambria Math" w:hAnsi="Cambria Math"/>
            <w:sz w:val="20"/>
          </w:rPr>
          <m:t>R</m:t>
        </m:r>
      </m:oMath>
      <w:r w:rsidRPr="00372C58">
        <w:rPr>
          <w:rFonts w:ascii="Book Antiqua" w:hAnsi="Book Antiqua"/>
          <w:i/>
          <w:iCs/>
          <w:sz w:val="20"/>
        </w:rPr>
        <w:t xml:space="preserve"> has never been verified by experiment; the reason is that no method has yet been proposed to measure </w:t>
      </w:r>
      <m:oMath>
        <m:r>
          <w:rPr>
            <w:rFonts w:ascii="Cambria Math" w:hAnsi="Cambria Math"/>
            <w:sz w:val="20"/>
          </w:rPr>
          <m:t>R</m:t>
        </m:r>
      </m:oMath>
      <w:r w:rsidRPr="00372C58">
        <w:rPr>
          <w:rFonts w:ascii="Book Antiqua" w:hAnsi="Book Antiqua"/>
          <w:i/>
          <w:iCs/>
          <w:sz w:val="20"/>
        </w:rPr>
        <w:t>, either past or present.”</w:t>
      </w:r>
      <w:r w:rsidRPr="00372C58">
        <w:rPr>
          <w:rFonts w:ascii="Book Antiqua" w:hAnsi="Book Antiqua"/>
          <w:iCs/>
          <w:sz w:val="20"/>
        </w:rPr>
        <w:t>[24]</w:t>
      </w:r>
    </w:p>
    <w:p w:rsidR="00265840" w:rsidRPr="00372C58" w:rsidRDefault="00265840" w:rsidP="00265840">
      <w:pPr>
        <w:pStyle w:val="NoSpacing"/>
        <w:jc w:val="both"/>
        <w:rPr>
          <w:rFonts w:ascii="Book Antiqua" w:hAnsi="Book Antiqua"/>
          <w:iCs/>
          <w:color w:val="FF0000"/>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Whether or not the universe is expanding, there is a formula for the red shift.  When everything is taken into consideration, </w:t>
      </w:r>
      <w:r w:rsidR="00BB64FF">
        <w:rPr>
          <w:rFonts w:ascii="Book Antiqua" w:hAnsi="Book Antiqua"/>
          <w:sz w:val="20"/>
        </w:rPr>
        <w:t>the equation</w:t>
      </w:r>
      <w:r w:rsidRPr="00372C58">
        <w:rPr>
          <w:rFonts w:ascii="Book Antiqua" w:hAnsi="Book Antiqua"/>
          <w:sz w:val="20"/>
        </w:rPr>
        <w:t xml:space="preserve"> dictated by the Doppler formula,</w:t>
      </w:r>
      <w:r w:rsidR="00BB64FF">
        <w:rPr>
          <w:rFonts w:ascii="Book Antiqua" w:hAnsi="Book Antiqua"/>
          <w:sz w:val="20"/>
        </w:rPr>
        <w:t xml:space="preserve"> which is the standard redshift equation (shown on the left of equation (13) below), must be equal to</w:t>
      </w:r>
      <w:r w:rsidRPr="00372C58">
        <w:rPr>
          <w:rFonts w:ascii="Book Antiqua" w:hAnsi="Book Antiqua"/>
          <w:sz w:val="20"/>
        </w:rPr>
        <w:t xml:space="preserve"> the cosmological expansion factor (‘</w:t>
      </w:r>
      <m:oMath>
        <m:r>
          <w:rPr>
            <w:rFonts w:ascii="Cambria Math" w:hAnsi="Cambria Math"/>
            <w:sz w:val="20"/>
          </w:rPr>
          <m:t>R</m:t>
        </m:r>
      </m:oMath>
      <w:r w:rsidRPr="00372C58">
        <w:rPr>
          <w:rFonts w:ascii="Book Antiqua" w:hAnsi="Book Antiqua"/>
          <w:sz w:val="20"/>
        </w:rPr>
        <w:t xml:space="preserve">’ in equation 11) </w:t>
      </w:r>
      <w:r w:rsidR="00BB64FF">
        <w:rPr>
          <w:rFonts w:ascii="Book Antiqua" w:hAnsi="Book Antiqua"/>
          <w:sz w:val="20"/>
        </w:rPr>
        <w:t>(shown on</w:t>
      </w:r>
      <w:r w:rsidRPr="00372C58">
        <w:rPr>
          <w:rFonts w:ascii="Book Antiqua" w:hAnsi="Book Antiqua"/>
          <w:sz w:val="20"/>
        </w:rPr>
        <w:t xml:space="preserve"> the right</w:t>
      </w:r>
      <w:r w:rsidR="00BB64FF">
        <w:rPr>
          <w:rFonts w:ascii="Book Antiqua" w:hAnsi="Book Antiqua"/>
          <w:sz w:val="20"/>
        </w:rPr>
        <w:t xml:space="preserve"> in equation (13) below). These terms</w:t>
      </w:r>
      <w:r w:rsidRPr="00372C58">
        <w:rPr>
          <w:rFonts w:ascii="Book Antiqua" w:hAnsi="Book Antiqua"/>
          <w:sz w:val="20"/>
        </w:rPr>
        <w:t xml:space="preserve"> should also be equal to th</w:t>
      </w:r>
      <w:r w:rsidR="00BB64FF">
        <w:rPr>
          <w:rFonts w:ascii="Book Antiqua" w:hAnsi="Book Antiqua"/>
          <w:sz w:val="20"/>
        </w:rPr>
        <w:t xml:space="preserve">e standard red shift equations, </w:t>
      </w:r>
      <w:r w:rsidRPr="00372C58">
        <w:rPr>
          <w:rFonts w:ascii="Book Antiqua" w:hAnsi="Book Antiqua"/>
          <w:sz w:val="20"/>
        </w:rPr>
        <w:t>(9) or (10), so that we get</w:t>
      </w:r>
      <w:r w:rsidR="00BB64FF">
        <w:rPr>
          <w:rFonts w:ascii="Book Antiqua" w:hAnsi="Book Antiqua"/>
          <w:sz w:val="20"/>
        </w:rPr>
        <w:t>:</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r>
          <w:rPr>
            <w:rFonts w:ascii="Cambria Math" w:hAnsi="Cambria Math"/>
            <w:sz w:val="20"/>
          </w:rPr>
          <m:t xml:space="preserve"> =</m:t>
        </m:r>
      </m:oMath>
      <w:r w:rsidRPr="00372C58">
        <w:rPr>
          <w:rFonts w:ascii="Book Antiqua" w:hAnsi="Book Antiqua"/>
          <w:sz w:val="20"/>
        </w:rPr>
        <w:t xml:space="preserve"> </w:t>
      </w:r>
      <m:oMath>
        <m:r>
          <w:rPr>
            <w:rFonts w:ascii="Cambria Math" w:hAnsi="Cambria Math"/>
            <w:sz w:val="20"/>
          </w:rPr>
          <m:t xml:space="preserve">  (1 + z).</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(13)</w:t>
      </w:r>
    </w:p>
    <w:p w:rsidR="00265840" w:rsidRPr="00372C58" w:rsidRDefault="00265840" w:rsidP="00265840">
      <w:pPr>
        <w:pStyle w:val="NoSpacing"/>
        <w:jc w:val="right"/>
        <w:rPr>
          <w:rFonts w:ascii="Book Antiqua" w:hAnsi="Book Antiqua"/>
          <w:sz w:val="20"/>
        </w:rPr>
      </w:pPr>
      <w:r w:rsidRPr="00372C58">
        <w:rPr>
          <w:rFonts w:ascii="Book Antiqua" w:hAnsi="Book Antiqua"/>
          <w:sz w:val="20"/>
        </w:rPr>
        <w:t xml:space="preserve"> </w:t>
      </w:r>
    </w:p>
    <w:p w:rsidR="00ED221B" w:rsidRDefault="00265840" w:rsidP="00ED221B">
      <w:pPr>
        <w:pStyle w:val="NoSpacing"/>
        <w:jc w:val="both"/>
        <w:rPr>
          <w:rFonts w:ascii="Book Antiqua" w:hAnsi="Book Antiqua"/>
          <w:sz w:val="20"/>
        </w:rPr>
      </w:pPr>
      <w:r w:rsidRPr="00372C58">
        <w:rPr>
          <w:rFonts w:ascii="Book Antiqua" w:hAnsi="Book Antiqua"/>
          <w:sz w:val="20"/>
        </w:rPr>
        <w:tab/>
        <w:t xml:space="preserve">In other words, the space-time expansion factor </w:t>
      </w:r>
      <m:oMath>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must be behaving in a way that mimics the relativistic Doppler formula. Therefore, no matter what the actual origin of the redshift is and no matter what interpretation of the data is used, the relativistic Doppler formula may be considered to be a good approximation to the actual behavior of the red shift. On that basis, a graph of redshift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on the y-axis against distance, </w:t>
      </w:r>
      <m:oMath>
        <m:r>
          <w:rPr>
            <w:rFonts w:ascii="Cambria Math" w:hAnsi="Cambria Math"/>
            <w:sz w:val="20"/>
          </w:rPr>
          <m:t>x</m:t>
        </m:r>
      </m:oMath>
      <w:r w:rsidRPr="00372C58">
        <w:rPr>
          <w:rFonts w:ascii="Book Antiqua" w:hAnsi="Book Antiqua"/>
          <w:sz w:val="20"/>
        </w:rPr>
        <w:t>, on the x-axis is usually drawn [2, 25].</w:t>
      </w:r>
      <w:r w:rsidRPr="00372C58">
        <w:rPr>
          <w:rFonts w:ascii="Book Antiqua" w:hAnsi="Book Antiqua"/>
          <w:position w:val="10"/>
          <w:sz w:val="20"/>
          <w:vertAlign w:val="superscript"/>
        </w:rPr>
        <w:t xml:space="preserve"> </w:t>
      </w:r>
      <w:r w:rsidRPr="00372C58">
        <w:rPr>
          <w:rFonts w:ascii="Book Antiqua" w:hAnsi="Book Antiqua"/>
          <w:sz w:val="20"/>
        </w:rPr>
        <w:t>A typical graph of this relativistic redshift/distance relationship is given in Figure 7.</w:t>
      </w:r>
    </w:p>
    <w:p w:rsidR="00887D16" w:rsidRDefault="00887D16" w:rsidP="00ED221B">
      <w:pPr>
        <w:pStyle w:val="NoSpacing"/>
        <w:jc w:val="both"/>
        <w:rPr>
          <w:rFonts w:ascii="Book Antiqua" w:hAnsi="Book Antiqua"/>
          <w:sz w:val="20"/>
        </w:rPr>
      </w:pPr>
    </w:p>
    <w:p w:rsidR="00ED221B" w:rsidRDefault="00887D16" w:rsidP="00ED221B">
      <w:pPr>
        <w:pStyle w:val="NoSpacing"/>
        <w:jc w:val="center"/>
        <w:rPr>
          <w:rFonts w:ascii="Book Antiqua" w:hAnsi="Book Antiqua"/>
          <w:b/>
          <w:i/>
          <w:sz w:val="18"/>
          <w:szCs w:val="18"/>
        </w:rPr>
      </w:pPr>
      <w:r w:rsidRPr="00887D16">
        <w:rPr>
          <w:rFonts w:ascii="Book Antiqua" w:hAnsi="Book Antiqua"/>
          <w:noProof/>
          <w:sz w:val="20"/>
        </w:rPr>
        <w:drawing>
          <wp:inline distT="0" distB="0" distL="0" distR="0">
            <wp:extent cx="2946987" cy="2981405"/>
            <wp:effectExtent l="19050" t="0" r="5763" b="0"/>
            <wp:docPr id="770" name="Picture 4" descr="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 2"/>
                    <pic:cNvPicPr>
                      <a:picLocks noChangeAspect="1" noChangeArrowheads="1"/>
                    </pic:cNvPicPr>
                  </pic:nvPicPr>
                  <pic:blipFill>
                    <a:blip r:embed="rId177" cstate="print"/>
                    <a:srcRect l="8416" t="17933" r="26206" b="1778"/>
                    <a:stretch>
                      <a:fillRect/>
                    </a:stretch>
                  </pic:blipFill>
                  <pic:spPr bwMode="auto">
                    <a:xfrm>
                      <a:off x="0" y="0"/>
                      <a:ext cx="2953110" cy="2987600"/>
                    </a:xfrm>
                    <a:prstGeom prst="rect">
                      <a:avLst/>
                    </a:prstGeom>
                    <a:noFill/>
                    <a:ln w="9525">
                      <a:noFill/>
                      <a:miter lim="800000"/>
                      <a:headEnd/>
                      <a:tailEnd/>
                    </a:ln>
                  </pic:spPr>
                </pic:pic>
              </a:graphicData>
            </a:graphic>
          </wp:inline>
        </w:drawing>
      </w:r>
    </w:p>
    <w:p w:rsidR="00887D16" w:rsidRPr="00D1635A" w:rsidRDefault="00887D16" w:rsidP="00ED221B">
      <w:pPr>
        <w:pStyle w:val="NoSpacing"/>
        <w:jc w:val="center"/>
        <w:rPr>
          <w:rFonts w:ascii="Book Antiqua" w:hAnsi="Book Antiqua"/>
          <w:b/>
          <w:i/>
          <w:sz w:val="18"/>
          <w:szCs w:val="18"/>
        </w:rPr>
      </w:pPr>
    </w:p>
    <w:p w:rsidR="00265840" w:rsidRPr="004223A5" w:rsidRDefault="00265840" w:rsidP="00265840">
      <w:pPr>
        <w:pStyle w:val="NoSpacing"/>
        <w:rPr>
          <w:rFonts w:ascii="Book Antiqua" w:hAnsi="Book Antiqua"/>
          <w:i/>
          <w:noProof/>
          <w:sz w:val="18"/>
          <w:szCs w:val="18"/>
        </w:rPr>
      </w:pPr>
      <w:r w:rsidRPr="004223A5">
        <w:rPr>
          <w:rFonts w:ascii="Book Antiqua" w:hAnsi="Book Antiqua"/>
          <w:b/>
          <w:i/>
          <w:sz w:val="18"/>
          <w:szCs w:val="18"/>
        </w:rPr>
        <w:t>F</w:t>
      </w:r>
      <w:r w:rsidRPr="004223A5">
        <w:rPr>
          <w:rFonts w:ascii="Book Antiqua" w:hAnsi="Book Antiqua"/>
          <w:b/>
          <w:i/>
          <w:noProof/>
          <w:sz w:val="18"/>
          <w:szCs w:val="18"/>
        </w:rPr>
        <w:t>igure 7:</w:t>
      </w:r>
      <w:r w:rsidRPr="004223A5">
        <w:rPr>
          <w:rFonts w:ascii="Book Antiqua" w:hAnsi="Book Antiqua"/>
          <w:i/>
          <w:noProof/>
          <w:sz w:val="18"/>
          <w:szCs w:val="18"/>
        </w:rPr>
        <w:t xml:space="preserve"> The relativistic Doppler redshift graph. The horizontal axis has distance running from zero </w:t>
      </w:r>
      <w:r w:rsidR="00887D16">
        <w:rPr>
          <w:rFonts w:ascii="Book Antiqua" w:hAnsi="Book Antiqua"/>
          <w:i/>
          <w:noProof/>
          <w:sz w:val="18"/>
          <w:szCs w:val="18"/>
        </w:rPr>
        <w:t xml:space="preserve">(near us) </w:t>
      </w:r>
      <w:r w:rsidRPr="004223A5">
        <w:rPr>
          <w:rFonts w:ascii="Book Antiqua" w:hAnsi="Book Antiqua"/>
          <w:i/>
          <w:noProof/>
          <w:sz w:val="18"/>
          <w:szCs w:val="18"/>
        </w:rPr>
        <w:t>to one</w:t>
      </w:r>
      <w:r w:rsidR="00887D16">
        <w:rPr>
          <w:rFonts w:ascii="Book Antiqua" w:hAnsi="Book Antiqua"/>
          <w:i/>
          <w:noProof/>
          <w:sz w:val="18"/>
          <w:szCs w:val="18"/>
        </w:rPr>
        <w:t xml:space="preserve"> (at the origin)</w:t>
      </w:r>
      <w:r w:rsidRPr="004223A5">
        <w:rPr>
          <w:rFonts w:ascii="Book Antiqua" w:hAnsi="Book Antiqua"/>
          <w:i/>
          <w:noProof/>
          <w:sz w:val="18"/>
          <w:szCs w:val="18"/>
        </w:rPr>
        <w:t xml:space="preserve">. The graph starts out near zero (bottom </w:t>
      </w:r>
      <w:r w:rsidR="00887D16">
        <w:rPr>
          <w:rFonts w:ascii="Book Antiqua" w:hAnsi="Book Antiqua"/>
          <w:i/>
          <w:noProof/>
          <w:sz w:val="18"/>
          <w:szCs w:val="18"/>
        </w:rPr>
        <w:t>left</w:t>
      </w:r>
      <w:r w:rsidRPr="004223A5">
        <w:rPr>
          <w:rFonts w:ascii="Book Antiqua" w:hAnsi="Book Antiqua"/>
          <w:i/>
          <w:noProof/>
          <w:sz w:val="18"/>
          <w:szCs w:val="18"/>
        </w:rPr>
        <w:t>) as nearly linear, (like Hubble's 1929 graph of nearby galaxies), but then curves up dramatically at higher redshifts.</w:t>
      </w:r>
    </w:p>
    <w:p w:rsidR="00ED221B" w:rsidRDefault="00ED221B" w:rsidP="00265840">
      <w:pPr>
        <w:pStyle w:val="NoSpacing"/>
        <w:rPr>
          <w:rFonts w:ascii="Book Antiqua" w:hAnsi="Book Antiqua"/>
          <w:noProof/>
          <w:sz w:val="20"/>
        </w:rPr>
      </w:pPr>
    </w:p>
    <w:p w:rsidR="00ED221B" w:rsidRPr="00372C58" w:rsidRDefault="00ED221B" w:rsidP="00ED221B">
      <w:pPr>
        <w:pStyle w:val="NoSpacing"/>
        <w:ind w:firstLine="720"/>
        <w:jc w:val="both"/>
        <w:rPr>
          <w:rFonts w:ascii="Book Antiqua" w:hAnsi="Book Antiqua"/>
          <w:sz w:val="20"/>
        </w:rPr>
      </w:pPr>
      <w:r w:rsidRPr="00372C58">
        <w:rPr>
          <w:rFonts w:ascii="Book Antiqua" w:hAnsi="Book Antiqua"/>
          <w:sz w:val="20"/>
        </w:rPr>
        <w:t xml:space="preserve">Until recently, the precise distance scale was in doubt since the Hubble constant,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which determines the distance scale, had not been accurately delineated. To overcome this problem on the horizontal axis, the values are often arranged to go from </w:t>
      </w:r>
      <m:oMath>
        <m:r>
          <w:rPr>
            <w:rFonts w:ascii="Cambria Math" w:hAnsi="Cambria Math"/>
            <w:sz w:val="20"/>
          </w:rPr>
          <m:t>x</m:t>
        </m:r>
        <m:r>
          <w:rPr>
            <w:rFonts w:ascii="Cambria Math" w:hAnsi="Book Antiqua"/>
            <w:sz w:val="20"/>
          </w:rPr>
          <m:t xml:space="preserve"> = 0</m:t>
        </m:r>
      </m:oMath>
      <w:r w:rsidRPr="00372C58">
        <w:rPr>
          <w:rFonts w:ascii="Book Antiqua" w:hAnsi="Book Antiqua"/>
          <w:i/>
          <w:iCs/>
          <w:sz w:val="20"/>
        </w:rPr>
        <w:t xml:space="preserve"> </w:t>
      </w:r>
      <w:r w:rsidRPr="00372C58">
        <w:rPr>
          <w:rFonts w:ascii="Book Antiqua" w:hAnsi="Book Antiqua"/>
          <w:iCs/>
          <w:sz w:val="20"/>
        </w:rPr>
        <w:t>at</w:t>
      </w:r>
      <w:r w:rsidRPr="00372C58">
        <w:rPr>
          <w:rFonts w:ascii="Book Antiqua" w:hAnsi="Book Antiqua"/>
          <w:sz w:val="20"/>
        </w:rPr>
        <w:t xml:space="preserve"> our own locality in space, to </w:t>
      </w:r>
      <m:oMath>
        <m:r>
          <w:rPr>
            <w:rFonts w:ascii="Cambria Math" w:hAnsi="Cambria Math"/>
            <w:sz w:val="20"/>
          </w:rPr>
          <m:t>x</m:t>
        </m:r>
        <m:r>
          <w:rPr>
            <w:rFonts w:ascii="Cambria Math" w:hAnsi="Book Antiqua"/>
            <w:sz w:val="20"/>
          </w:rPr>
          <m:t xml:space="preserve"> = 1</m:t>
        </m:r>
      </m:oMath>
      <w:r w:rsidRPr="00372C58">
        <w:rPr>
          <w:rFonts w:ascii="Book Antiqua" w:hAnsi="Book Antiqua"/>
          <w:sz w:val="20"/>
        </w:rPr>
        <w:t xml:space="preserve">, the furthest distance in space (essentially at the origin of the cosmos).  Figure </w:t>
      </w:r>
      <w:r w:rsidR="00CB7A62">
        <w:rPr>
          <w:rFonts w:ascii="Book Antiqua" w:hAnsi="Book Antiqua"/>
          <w:sz w:val="20"/>
        </w:rPr>
        <w:t>7</w:t>
      </w:r>
      <w:r w:rsidRPr="00372C58">
        <w:rPr>
          <w:rFonts w:ascii="Book Antiqua" w:hAnsi="Book Antiqua"/>
          <w:sz w:val="20"/>
        </w:rPr>
        <w:t xml:space="preserve"> follows this convention. This means </w:t>
      </w:r>
      <m:oMath>
        <m:r>
          <w:rPr>
            <w:rFonts w:ascii="Cambria Math" w:hAnsi="Cambria Math"/>
            <w:sz w:val="20"/>
          </w:rPr>
          <m:t>x</m:t>
        </m:r>
      </m:oMath>
      <w:r w:rsidRPr="00372C58">
        <w:rPr>
          <w:rFonts w:ascii="Book Antiqua" w:hAnsi="Book Antiqua"/>
          <w:i/>
          <w:iCs/>
          <w:sz w:val="20"/>
        </w:rPr>
        <w:t xml:space="preserve"> </w:t>
      </w:r>
      <w:r w:rsidRPr="00372C58">
        <w:rPr>
          <w:rFonts w:ascii="Book Antiqua" w:hAnsi="Book Antiqua"/>
          <w:sz w:val="20"/>
        </w:rPr>
        <w:t>becomes a dimensionless number since it is then the ratio of the distance of any given object to the furthest distance in space. On this approach, the redshift/distance relationship can then be expressed as [26]:</w:t>
      </w:r>
      <w:r w:rsidRPr="00372C58">
        <w:rPr>
          <w:rFonts w:ascii="Book Antiqua" w:hAnsi="Book Antiqua"/>
          <w:position w:val="10"/>
          <w:sz w:val="20"/>
          <w:vertAlign w:val="superscript"/>
        </w:rPr>
        <w:t xml:space="preserve"> </w:t>
      </w:r>
    </w:p>
    <w:p w:rsidR="00ED221B" w:rsidRPr="00372C58" w:rsidRDefault="00ED221B" w:rsidP="00ED221B">
      <w:pPr>
        <w:pStyle w:val="NoSpacing"/>
        <w:jc w:val="both"/>
        <w:rPr>
          <w:rFonts w:ascii="Book Antiqua" w:hAnsi="Book Antiqua"/>
          <w:sz w:val="20"/>
        </w:rPr>
      </w:pPr>
    </w:p>
    <w:p w:rsidR="00ED221B" w:rsidRPr="00372C58" w:rsidRDefault="00ED221B" w:rsidP="00ED221B">
      <w:pPr>
        <w:pStyle w:val="NoSpacing"/>
        <w:jc w:val="right"/>
        <w:rPr>
          <w:rFonts w:ascii="Book Antiqua" w:hAnsi="Book Antiqua"/>
          <w:sz w:val="20"/>
        </w:rPr>
      </w:pPr>
      <m:oMath>
        <m:r>
          <w:rPr>
            <w:rFonts w:ascii="Cambria Math" w:hAnsi="Book Antiqua"/>
            <w:sz w:val="20"/>
          </w:rPr>
          <w:lastRenderedPageBreak/>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(14)</w:t>
      </w:r>
      <w:r w:rsidRPr="00372C58">
        <w:rPr>
          <w:rFonts w:ascii="Book Antiqua" w:hAnsi="Book Antiqua"/>
          <w:sz w:val="20"/>
        </w:rPr>
        <w:t xml:space="preserve"> </w:t>
      </w:r>
    </w:p>
    <w:p w:rsidR="00ED221B" w:rsidRPr="00372C58" w:rsidRDefault="00ED221B" w:rsidP="00ED221B">
      <w:pPr>
        <w:pStyle w:val="NoSpacing"/>
        <w:jc w:val="both"/>
        <w:rPr>
          <w:rFonts w:ascii="Book Antiqua" w:hAnsi="Book Antiqua"/>
          <w:sz w:val="20"/>
        </w:rPr>
      </w:pPr>
    </w:p>
    <w:p w:rsidR="00ED221B" w:rsidRDefault="00ED221B" w:rsidP="00ED221B">
      <w:pPr>
        <w:pStyle w:val="NoSpacing"/>
        <w:rPr>
          <w:rFonts w:ascii="Book Antiqua" w:hAnsi="Book Antiqua"/>
          <w:sz w:val="20"/>
        </w:rPr>
      </w:pPr>
      <w:r w:rsidRPr="00372C58">
        <w:rPr>
          <w:rFonts w:ascii="Book Antiqua" w:hAnsi="Book Antiqua"/>
          <w:sz w:val="20"/>
        </w:rPr>
        <w:t xml:space="preserve">The total distance in LY at </w:t>
      </w:r>
      <m:oMath>
        <m:r>
          <w:rPr>
            <w:rFonts w:ascii="Cambria Math" w:hAnsi="Cambria Math"/>
            <w:sz w:val="20"/>
          </w:rPr>
          <m:t>x</m:t>
        </m:r>
        <m:r>
          <w:rPr>
            <w:rFonts w:ascii="Cambria Math" w:hAnsi="Book Antiqua"/>
            <w:sz w:val="20"/>
          </w:rPr>
          <m:t xml:space="preserve"> = 1</m:t>
        </m:r>
      </m:oMath>
      <w:r w:rsidRPr="00372C58">
        <w:rPr>
          <w:rFonts w:ascii="Book Antiqua" w:hAnsi="Book Antiqua"/>
          <w:iCs/>
          <w:sz w:val="20"/>
        </w:rPr>
        <w:t xml:space="preserve"> </w:t>
      </w:r>
      <w:r w:rsidRPr="00372C58">
        <w:rPr>
          <w:rFonts w:ascii="Book Antiqua" w:hAnsi="Book Antiqua"/>
          <w:sz w:val="20"/>
        </w:rPr>
        <w:t>is then dependent upon the value of the Hubble constant.</w:t>
      </w:r>
    </w:p>
    <w:p w:rsidR="007A2834" w:rsidRDefault="007A2834" w:rsidP="00ED221B">
      <w:pPr>
        <w:pStyle w:val="NoSpacing"/>
        <w:rPr>
          <w:rFonts w:ascii="Book Antiqua" w:hAnsi="Book Antiqua"/>
          <w:sz w:val="20"/>
        </w:rPr>
      </w:pPr>
    </w:p>
    <w:p w:rsidR="007A2834" w:rsidRDefault="007A2834" w:rsidP="00ED221B">
      <w:pPr>
        <w:pStyle w:val="NoSpacing"/>
        <w:rPr>
          <w:rFonts w:ascii="Book Antiqua" w:hAnsi="Book Antiqua"/>
          <w:sz w:val="20"/>
        </w:rPr>
      </w:pPr>
      <w:r>
        <w:rPr>
          <w:rFonts w:ascii="Book Antiqua" w:hAnsi="Book Antiqua"/>
          <w:sz w:val="20"/>
        </w:rPr>
        <w:tab/>
        <w:t>These three problems involving the lack of broadening of spectral lines, the lack of expansion in atoms themselves, and the fact that gravity can be shown to be stronger than the expansion force between clusters all indicate that there needs to be another explanation for the red shift.</w:t>
      </w:r>
    </w:p>
    <w:p w:rsidR="00265840" w:rsidRPr="00372C58" w:rsidRDefault="00265840" w:rsidP="00265840">
      <w:pPr>
        <w:pStyle w:val="NoSpacing"/>
        <w:jc w:val="both"/>
        <w:rPr>
          <w:rFonts w:ascii="Book Antiqua" w:hAnsi="Book Antiqua"/>
          <w:b/>
          <w:i/>
          <w:noProof/>
          <w:sz w:val="20"/>
        </w:rPr>
      </w:pPr>
      <w:r w:rsidRPr="00372C58">
        <w:rPr>
          <w:rFonts w:ascii="Book Antiqua" w:hAnsi="Book Antiqua"/>
          <w:b/>
          <w:i/>
          <w:noProof/>
          <w:sz w:val="20"/>
        </w:rPr>
        <w:t xml:space="preserve"> </w:t>
      </w:r>
    </w:p>
    <w:p w:rsidR="00265840" w:rsidRPr="00372C58" w:rsidRDefault="00265840" w:rsidP="00265840">
      <w:pPr>
        <w:pStyle w:val="NoSpacing"/>
        <w:rPr>
          <w:rFonts w:ascii="Book Antiqua" w:hAnsi="Book Antiqua"/>
          <w:b/>
          <w:bCs/>
          <w:iCs/>
          <w:color w:val="000000"/>
          <w:sz w:val="20"/>
        </w:rPr>
      </w:pPr>
      <w:r w:rsidRPr="003D33FE">
        <w:rPr>
          <w:rFonts w:ascii="Book Antiqua" w:hAnsi="Book Antiqua"/>
          <w:b/>
          <w:bCs/>
          <w:iCs/>
          <w:color w:val="000000"/>
          <w:sz w:val="20"/>
        </w:rPr>
        <w:t>2.  The Accuracy of the Redshift Equation.</w:t>
      </w:r>
    </w:p>
    <w:p w:rsidR="00265840" w:rsidRPr="00372C58" w:rsidRDefault="00265840" w:rsidP="00265840">
      <w:pPr>
        <w:pStyle w:val="NoSpacing"/>
        <w:ind w:left="720"/>
        <w:rPr>
          <w:rFonts w:ascii="Book Antiqua" w:hAnsi="Book Antiqua"/>
          <w:b/>
          <w:bCs/>
          <w:iCs/>
          <w:color w:val="000000"/>
          <w:sz w:val="20"/>
        </w:rPr>
      </w:pPr>
    </w:p>
    <w:p w:rsidR="00265840" w:rsidRPr="00372C58" w:rsidRDefault="00265840" w:rsidP="00265840">
      <w:pPr>
        <w:pStyle w:val="NoSpacing"/>
        <w:numPr>
          <w:ilvl w:val="1"/>
          <w:numId w:val="29"/>
        </w:numPr>
        <w:rPr>
          <w:rFonts w:ascii="Book Antiqua" w:hAnsi="Book Antiqua"/>
          <w:bCs/>
          <w:i/>
          <w:iCs/>
          <w:color w:val="000000"/>
          <w:sz w:val="20"/>
        </w:rPr>
      </w:pPr>
      <w:r w:rsidRPr="00372C58">
        <w:rPr>
          <w:rFonts w:ascii="Book Antiqua" w:hAnsi="Book Antiqua"/>
          <w:bCs/>
          <w:i/>
          <w:iCs/>
          <w:color w:val="000000"/>
          <w:sz w:val="20"/>
        </w:rPr>
        <w:t>An Accelerating Cosmos?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Equation (14) is usually considered definitive of redshift behavior with distance. It is therefore thought that any deviation from this equation needs an explanation. It is in this context that evidence relating to Type Ia supernovae have created an interesting situation. A supernova is essentially an exploding star, and all Type Ia supernovae have been presumed to explode with a standard brightness, rather like light bulbs with a known wattage. This presumption then allows an accurate distance measurement to be made when we see these Type Ia supernovae in very distant galaxies.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In 1998, Saul Perlmutter examined data that measured the brightness of these stellar explosions at redshifts from </w:t>
      </w:r>
      <m:oMath>
        <m:r>
          <w:rPr>
            <w:rFonts w:ascii="Cambria Math" w:hAnsi="Cambria Math"/>
            <w:sz w:val="20"/>
          </w:rPr>
          <m:t>z</m:t>
        </m:r>
        <m:r>
          <w:rPr>
            <w:rFonts w:ascii="Cambria Math" w:hAnsi="Book Antiqua"/>
            <w:sz w:val="20"/>
          </w:rPr>
          <m:t xml:space="preserve"> = 0.83</m:t>
        </m:r>
      </m:oMath>
      <w:r w:rsidRPr="00372C58">
        <w:rPr>
          <w:rFonts w:ascii="Book Antiqua" w:hAnsi="Book Antiqua"/>
          <w:i/>
          <w:iCs/>
          <w:sz w:val="20"/>
        </w:rPr>
        <w:t xml:space="preserve"> </w:t>
      </w:r>
      <w:r w:rsidRPr="00372C58">
        <w:rPr>
          <w:rFonts w:ascii="Book Antiqua" w:hAnsi="Book Antiqua"/>
          <w:sz w:val="20"/>
        </w:rPr>
        <w:t xml:space="preserve">to about </w:t>
      </w:r>
      <m:oMath>
        <m:r>
          <w:rPr>
            <w:rFonts w:ascii="Cambria Math" w:hAnsi="Cambria Math"/>
            <w:sz w:val="20"/>
          </w:rPr>
          <m:t>z</m:t>
        </m:r>
        <m:r>
          <w:rPr>
            <w:rFonts w:ascii="Cambria Math" w:hAnsi="Book Antiqua"/>
            <w:sz w:val="20"/>
          </w:rPr>
          <m:t xml:space="preserve"> = 1.2</m:t>
        </m:r>
      </m:oMath>
      <w:r w:rsidRPr="00372C58">
        <w:rPr>
          <w:rFonts w:ascii="Book Antiqua" w:hAnsi="Book Antiqua"/>
          <w:sz w:val="20"/>
        </w:rPr>
        <w:t xml:space="preserve"> [27-32]. These explosions were about 20% fainter than expected. Their observed change in brightness by 0.2 magnitudes corresponds to a reduction in intensity by a factor of 1.2. This meant that they were further away than their redshift indicated by a factor of </w:t>
      </w:r>
      <m:oMath>
        <m:r>
          <w:rPr>
            <w:rFonts w:ascii="Cambria Math" w:hAnsi="Book Antiqua"/>
            <w:sz w:val="20"/>
          </w:rPr>
          <m:t>(</m:t>
        </m:r>
        <m:r>
          <w:rPr>
            <w:rFonts w:ascii="Book Antiqua" w:hAnsi="Book Antiqua"/>
            <w:sz w:val="20"/>
          </w:rPr>
          <m:t>√</m:t>
        </m:r>
        <m:r>
          <w:rPr>
            <w:rFonts w:ascii="Cambria Math" w:hAnsi="Book Antiqua"/>
            <w:sz w:val="20"/>
          </w:rPr>
          <m:t>1.2 = 1.1</m:t>
        </m:r>
      </m:oMath>
      <w:r w:rsidRPr="00372C58">
        <w:rPr>
          <w:rFonts w:ascii="Book Antiqua" w:hAnsi="Book Antiqua"/>
          <w:sz w:val="20"/>
        </w:rPr>
        <w:t>), or about 10% [33].</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This disconcerting result spawned a number of explanations, but two were predominant. The first attributed the dimming of the light from these supernovae to the action of interstellar dust. The more distant they are, the fainter they should be compared with predictions from the redshift/distance relation. This (minority) approach was subsequently shown to be incorrect. In the meantime, the other (majority) interpretation was that these results could be accounted for if the Big Bang expansion rate was speeding up with time. Up until then, the majority of astronomers had accepted that the Big Bang expansion rate was gradually slowing under the action of gravity.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the integrity of Big Bang modeling and equation (14) was to be maintained, this new result could only be accounted for if cosmological expansion was speeding up.  This is also the only way the red shift data could be harmonized with what was being seen. This required the existence of a cosmological constant, </w:t>
      </w:r>
      <m:oMath>
        <m:r>
          <w:rPr>
            <w:rFonts w:ascii="Cambria Math" w:hAnsi="Cambria Math"/>
            <w:sz w:val="20"/>
          </w:rPr>
          <m:t>Λ</m:t>
        </m:r>
      </m:oMath>
      <w:r w:rsidRPr="00372C58">
        <w:rPr>
          <w:rFonts w:ascii="Book Antiqua" w:hAnsi="Book Antiqua"/>
          <w:sz w:val="20"/>
        </w:rPr>
        <w:t xml:space="preserve">, (often referred to as “dark energy”) which would act like gravity in reverse, pushing the universe out. While Einstein had postulated the existence of this mathematical term, most had regarded its existence with some skepticism. This was because its calculated size, when compared with observational data, resulted in a large discrepancy (as noted in Chapter 1 in the section on the ZPE and the cosmological constant). Because of that discrepancy, the existence as well as the effect of a cosmological constant must be seriously questioned.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Astronomers had hardly recovered from their surprise regarding Perlmutter’s observations when a further shock came in 2001. Adam Riess had just examined the most distant Type Ia supernova yet discovered. It was at a redshift of </w:t>
      </w:r>
      <m:oMath>
        <m:r>
          <w:rPr>
            <w:rFonts w:ascii="Cambria Math" w:hAnsi="Cambria Math"/>
            <w:sz w:val="20"/>
          </w:rPr>
          <m:t>z</m:t>
        </m:r>
        <m:r>
          <w:rPr>
            <w:rFonts w:ascii="Cambria Math" w:hAnsi="Book Antiqua"/>
            <w:sz w:val="20"/>
          </w:rPr>
          <m:t xml:space="preserve"> = 1.7</m:t>
        </m:r>
      </m:oMath>
      <w:r w:rsidRPr="00372C58">
        <w:rPr>
          <w:rFonts w:ascii="Book Antiqua" w:hAnsi="Book Antiqua"/>
          <w:sz w:val="20"/>
        </w:rPr>
        <w:t xml:space="preserve"> and was not fainter, but brighter than expected</w:t>
      </w:r>
      <w:r w:rsidR="00B60979">
        <w:rPr>
          <w:rFonts w:ascii="Book Antiqua" w:hAnsi="Book Antiqua"/>
          <w:sz w:val="20"/>
        </w:rPr>
        <w:t xml:space="preserve"> </w:t>
      </w:r>
      <w:r w:rsidRPr="00372C58">
        <w:rPr>
          <w:rFonts w:ascii="Book Antiqua" w:hAnsi="Book Antiqua"/>
          <w:sz w:val="20"/>
        </w:rPr>
        <w:t xml:space="preserve">[34]. This meant that it was closer to us than the redshift/distance relationship indicated. This result was confirmed on 10th October 2003 when Riess announced that ten more distant supernovae were all brighter than expected [35-36]. Since dust can only make things dimmer, but never brighter, some other factor had to be the cause. This was then interpreted as indicating that universal expansion had slowed under gravity initially, and then accelerated later, as the effects of the cosmological constant began to be manifested.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Initially Riess's work suggested the transition from slowing to accelerating expansion occurred at a redshift of about </w:t>
      </w:r>
      <m:oMath>
        <m:r>
          <w:rPr>
            <w:rFonts w:ascii="Cambria Math" w:hAnsi="Cambria Math"/>
            <w:sz w:val="20"/>
          </w:rPr>
          <m:t>z</m:t>
        </m:r>
        <m:r>
          <w:rPr>
            <w:rFonts w:ascii="Cambria Math" w:hAnsi="Book Antiqua"/>
            <w:sz w:val="20"/>
          </w:rPr>
          <m:t xml:space="preserve"> = 1.5</m:t>
        </m:r>
      </m:oMath>
      <w:r w:rsidRPr="00372C58">
        <w:rPr>
          <w:rFonts w:ascii="Book Antiqua" w:hAnsi="Book Antiqua"/>
          <w:sz w:val="20"/>
        </w:rPr>
        <w:t xml:space="preserve">. Since then, further work has suggested that the change-over might have occurred at a redshift as low as </w:t>
      </w:r>
      <m:oMath>
        <m:r>
          <w:rPr>
            <w:rFonts w:ascii="Cambria Math" w:hAnsi="Cambria Math"/>
            <w:sz w:val="20"/>
          </w:rPr>
          <m:t>z</m:t>
        </m:r>
        <m:r>
          <w:rPr>
            <w:rFonts w:ascii="Cambria Math" w:hAnsi="Book Antiqua"/>
            <w:sz w:val="20"/>
          </w:rPr>
          <m:t xml:space="preserve"> = 0.46</m:t>
        </m:r>
      </m:oMath>
      <w:r w:rsidRPr="00372C58">
        <w:rPr>
          <w:rFonts w:ascii="Book Antiqua" w:hAnsi="Book Antiqua"/>
          <w:sz w:val="20"/>
        </w:rPr>
        <w:t xml:space="preserve"> [37], while other work suggests that this transition point might be in the middle of the range at </w:t>
      </w:r>
      <m:oMath>
        <m:r>
          <w:rPr>
            <w:rFonts w:ascii="Cambria Math" w:hAnsi="Cambria Math"/>
            <w:sz w:val="20"/>
          </w:rPr>
          <m:t>z</m:t>
        </m:r>
        <m:r>
          <w:rPr>
            <w:rFonts w:ascii="Cambria Math" w:hAnsi="Book Antiqua"/>
            <w:sz w:val="20"/>
          </w:rPr>
          <m:t xml:space="preserve"> = 0.72</m:t>
        </m:r>
      </m:oMath>
      <w:r w:rsidRPr="00372C58">
        <w:rPr>
          <w:rFonts w:ascii="Book Antiqua" w:hAnsi="Book Antiqua"/>
          <w:sz w:val="20"/>
        </w:rPr>
        <w:t xml:space="preserve"> [38]. In 2006, theory-driven research found the evolution of the universe critically depended on the time when that changeover </w:t>
      </w:r>
      <w:r w:rsidRPr="00372C58">
        <w:rPr>
          <w:rFonts w:ascii="Book Antiqua" w:hAnsi="Book Antiqua"/>
          <w:sz w:val="20"/>
        </w:rPr>
        <w:lastRenderedPageBreak/>
        <w:t xml:space="preserve">occurred [39]. If the transition point occurred at redshifts greater than about </w:t>
      </w:r>
      <m:oMath>
        <m:r>
          <w:rPr>
            <w:rFonts w:ascii="Cambria Math" w:hAnsi="Cambria Math"/>
            <w:sz w:val="20"/>
          </w:rPr>
          <m:t>z</m:t>
        </m:r>
        <m:r>
          <w:rPr>
            <w:rFonts w:ascii="Cambria Math" w:hAnsi="Book Antiqua"/>
            <w:sz w:val="20"/>
          </w:rPr>
          <m:t xml:space="preserve"> = 0.64</m:t>
        </m:r>
      </m:oMath>
      <w:r w:rsidRPr="00372C58">
        <w:rPr>
          <w:rFonts w:ascii="Book Antiqua" w:hAnsi="Book Antiqua"/>
          <w:sz w:val="20"/>
        </w:rPr>
        <w:t xml:space="preserve">, the cosmos would eventually collapse [39].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Beginning in 2008, some doubts began to be expressed. In February of that year, Marina Seikel and Dominik J. Schwarz pointed out in </w:t>
      </w:r>
      <w:r w:rsidRPr="00372C58">
        <w:rPr>
          <w:rFonts w:ascii="Book Antiqua" w:hAnsi="Book Antiqua"/>
          <w:i/>
          <w:sz w:val="20"/>
        </w:rPr>
        <w:t>Journal of Cosmology and Astroparticle Physics</w:t>
      </w:r>
      <w:r w:rsidRPr="00372C58">
        <w:rPr>
          <w:rFonts w:ascii="Book Antiqua" w:hAnsi="Book Antiqua"/>
          <w:sz w:val="20"/>
        </w:rPr>
        <w:t xml:space="preserve">, volume </w:t>
      </w:r>
      <w:r w:rsidRPr="003D33FE">
        <w:rPr>
          <w:rFonts w:ascii="Book Antiqua" w:hAnsi="Book Antiqua"/>
          <w:sz w:val="20"/>
        </w:rPr>
        <w:t>2008</w:t>
      </w:r>
      <w:r w:rsidRPr="00372C58">
        <w:rPr>
          <w:rFonts w:ascii="Book Antiqua" w:hAnsi="Book Antiqua"/>
          <w:sz w:val="20"/>
        </w:rPr>
        <w:t xml:space="preserve">, that in the case of all these data </w:t>
      </w:r>
      <w:r w:rsidRPr="00372C58">
        <w:rPr>
          <w:rFonts w:ascii="Book Antiqua" w:hAnsi="Book Antiqua"/>
          <w:i/>
          <w:sz w:val="20"/>
        </w:rPr>
        <w:t>"The result strongly depends on the data set, the light curve fitting method and the calibration of the absolute magnitude used for the test, indicating strong systematic errors."</w:t>
      </w:r>
      <w:r w:rsidRPr="00372C58">
        <w:rPr>
          <w:rFonts w:ascii="Book Antiqua" w:hAnsi="Book Antiqua"/>
          <w:sz w:val="20"/>
        </w:rPr>
        <w:t xml:space="preserve"> When this is considered, there is a suspicion that these supernova results may perhaps be an artifact of errors in our treatment of data, or perhaps an intrinsic variability in the brightness of the supernovas themselves. This variability is possible, as studies from 2006 to 2011 have proven. (See, for example references [40-42]).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Nevertheless, if the supernova data were to be accepted without question, then the Big Bang model needed to be revised to account for them. The explanation offered was that in the early universe with </w:t>
      </w:r>
      <m:oMath>
        <m:r>
          <w:rPr>
            <w:rFonts w:ascii="Cambria Math" w:hAnsi="Cambria Math"/>
            <w:sz w:val="20"/>
          </w:rPr>
          <m:t>z</m:t>
        </m:r>
        <m:r>
          <w:rPr>
            <w:rFonts w:ascii="Cambria Math" w:hAnsi="Book Antiqua"/>
            <w:sz w:val="20"/>
          </w:rPr>
          <m:t xml:space="preserve"> &gt; 1.5</m:t>
        </m:r>
      </m:oMath>
      <w:r w:rsidRPr="00372C58">
        <w:rPr>
          <w:rFonts w:ascii="Book Antiqua" w:hAnsi="Book Antiqua"/>
          <w:sz w:val="20"/>
        </w:rPr>
        <w:t xml:space="preserve">, expansion was slowing under gravity. However, at about </w:t>
      </w:r>
      <m:oMath>
        <m:r>
          <w:rPr>
            <w:rFonts w:ascii="Cambria Math" w:hAnsi="Cambria Math"/>
            <w:sz w:val="20"/>
          </w:rPr>
          <m:t>z</m:t>
        </m:r>
        <m:r>
          <w:rPr>
            <w:rFonts w:ascii="Cambria Math" w:hAnsi="Book Antiqua"/>
            <w:sz w:val="20"/>
          </w:rPr>
          <m:t xml:space="preserve"> = 1.5</m:t>
        </m:r>
      </m:oMath>
      <w:r w:rsidRPr="00372C58">
        <w:rPr>
          <w:rFonts w:ascii="Book Antiqua" w:hAnsi="Book Antiqua"/>
          <w:i/>
          <w:iCs/>
          <w:sz w:val="20"/>
        </w:rPr>
        <w:t xml:space="preserve"> </w:t>
      </w:r>
      <w:r w:rsidRPr="00372C58">
        <w:rPr>
          <w:rFonts w:ascii="Book Antiqua" w:hAnsi="Book Antiqua"/>
          <w:sz w:val="20"/>
        </w:rPr>
        <w:t xml:space="preserve">the action of the cosmological constant, </w:t>
      </w:r>
      <m:oMath>
        <m:r>
          <w:rPr>
            <w:rFonts w:ascii="Cambria Math" w:hAnsi="Cambria Math"/>
            <w:sz w:val="20"/>
          </w:rPr>
          <m:t>Λ</m:t>
        </m:r>
      </m:oMath>
      <w:r w:rsidRPr="00372C58">
        <w:rPr>
          <w:rFonts w:ascii="Book Antiqua" w:hAnsi="Book Antiqua"/>
          <w:sz w:val="20"/>
        </w:rPr>
        <w:t xml:space="preserve">, became greater than the pull of gravity, and the expansion of the universe started to accelerate as a result of this “dark energy.”  But, as </w:t>
      </w:r>
      <w:r w:rsidRPr="00372C58">
        <w:rPr>
          <w:rFonts w:ascii="Book Antiqua" w:hAnsi="Book Antiqua"/>
          <w:i/>
          <w:sz w:val="20"/>
        </w:rPr>
        <w:t xml:space="preserve">Science News </w:t>
      </w:r>
      <w:r w:rsidRPr="00372C58">
        <w:rPr>
          <w:rFonts w:ascii="Book Antiqua" w:hAnsi="Book Antiqua"/>
          <w:sz w:val="20"/>
        </w:rPr>
        <w:t xml:space="preserve">Vol. 164:15 pointed out, science is not sure of the source of this energy. Furthermore, X-ray data from the European XMM satellite </w:t>
      </w:r>
      <w:r w:rsidRPr="00372C58">
        <w:rPr>
          <w:rFonts w:ascii="Book Antiqua" w:hAnsi="Book Antiqua"/>
          <w:i/>
          <w:iCs/>
          <w:sz w:val="20"/>
        </w:rPr>
        <w:t xml:space="preserve">“leaves little room for dark energy” </w:t>
      </w:r>
      <w:r w:rsidRPr="00372C58">
        <w:rPr>
          <w:rFonts w:ascii="Book Antiqua" w:hAnsi="Book Antiqua"/>
          <w:sz w:val="20"/>
        </w:rPr>
        <w:t xml:space="preserve">according to Alain Blanchard of the European Space Agency [43].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It must be understood that the necessity for all these explanations of changes in the rates of universal acceleration come from the suspected deviations in the redshift/distance relationship in (14). These explanations are all made on the basic assumption that the redshift is due to cosmic expansion. In turn, this expansion is assumed to be completely described by the relativistic Doppler formula. If these observations are accepted at face value, then what they are actually showing is that this formula in (14) is not an exact replication of reality. It is only an approximation to what is actually happening.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If the aberrant observations are valid, and not just faulty data analysis, or intrinsic variability in the supernovas, then perhaps the presuppositions regarding universe expansion need to be examined. If the redshift does not come from cosmological expansion at all, but has a different origin, then the relativistic Doppler formula might </w:t>
      </w:r>
      <w:r w:rsidR="00550258">
        <w:rPr>
          <w:rFonts w:ascii="Book Antiqua" w:hAnsi="Book Antiqua"/>
          <w:sz w:val="20"/>
        </w:rPr>
        <w:t>not be the needed explantion</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regard an analysis of the origin of the ZPE associated with the turbulence and recombination of Planck Particle Pairs (PPP), as discussed in Chapter 1, results in a formula very similar to the relativistic Doppler equation. This is discussed more fully in “The Redshift and the Zero Point Energy” [44]. A streamlined derivation is given here in Appendix A. It will be helpful to an analysis of the redshift-distance relationship if we write equation (14) in the form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Y</m:t>
        </m:r>
        <m:r>
          <w:rPr>
            <w:rFonts w:ascii="Cambria Math" w:hAnsi="Book Antiqua"/>
            <w:sz w:val="20"/>
          </w:rPr>
          <m:t xml:space="preserve">  =  (1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[ 1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(14A)</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the Doppler formula the exponent </w:t>
      </w:r>
      <m:oMath>
        <m:r>
          <w:rPr>
            <w:rFonts w:ascii="Cambria Math" w:hAnsi="Cambria Math"/>
            <w:sz w:val="20"/>
          </w:rPr>
          <m:t>a</m:t>
        </m:r>
      </m:oMath>
      <w:r w:rsidRPr="00372C58">
        <w:rPr>
          <w:rFonts w:ascii="Book Antiqua" w:hAnsi="Book Antiqua"/>
          <w:sz w:val="20"/>
        </w:rPr>
        <w:t xml:space="preserve"> is exactly 2, and </w:t>
      </w:r>
      <m:oMath>
        <m:r>
          <w:rPr>
            <w:rFonts w:ascii="Cambria Math" w:hAnsi="Cambria Math"/>
            <w:sz w:val="20"/>
          </w:rPr>
          <m:t>b</m:t>
        </m:r>
      </m:oMath>
      <w:r w:rsidRPr="00372C58">
        <w:rPr>
          <w:rFonts w:ascii="Book Antiqua" w:hAnsi="Book Antiqua"/>
          <w:sz w:val="20"/>
        </w:rPr>
        <w:t xml:space="preserve"> is exactly </w:t>
      </w:r>
      <m:oMath>
        <m:r>
          <w:rPr>
            <w:rFonts w:ascii="Book Antiqua" w:hAnsi="Book Antiqua"/>
            <w:sz w:val="20"/>
          </w:rPr>
          <m:t>½</m:t>
        </m:r>
      </m:oMath>
      <w:r w:rsidRPr="00372C58">
        <w:rPr>
          <w:rFonts w:ascii="Book Antiqua" w:hAnsi="Book Antiqua"/>
          <w:i/>
          <w:sz w:val="20"/>
        </w:rPr>
        <w:t>.</w:t>
      </w:r>
      <w:r w:rsidRPr="00372C58">
        <w:rPr>
          <w:rFonts w:ascii="Book Antiqua" w:hAnsi="Book Antiqua"/>
          <w:sz w:val="20"/>
        </w:rPr>
        <w:t xml:space="preserve"> However, the derivation using recombination and turbulence of PPP allows these exponents to vary over a small range of values depending on the exact system involved. For example, if </w:t>
      </w:r>
      <m:oMath>
        <m:r>
          <w:rPr>
            <w:rFonts w:ascii="Cambria Math" w:hAnsi="Cambria Math"/>
            <w:sz w:val="20"/>
          </w:rPr>
          <m:t>b</m:t>
        </m:r>
        <m:r>
          <w:rPr>
            <w:rFonts w:ascii="Cambria Math" w:hAnsi="Book Antiqua"/>
            <w:sz w:val="20"/>
          </w:rPr>
          <m:t xml:space="preserve"> </m:t>
        </m:r>
      </m:oMath>
      <w:r w:rsidRPr="00372C58">
        <w:rPr>
          <w:rFonts w:ascii="Book Antiqua" w:hAnsi="Book Antiqua"/>
          <w:sz w:val="20"/>
        </w:rPr>
        <w:t>held the value of 0.75 instead of 0.5 and</w:t>
      </w:r>
      <m:oMath>
        <m:r>
          <w:rPr>
            <w:rFonts w:ascii="Cambria Math" w:hAnsi="Book Antiqua"/>
            <w:sz w:val="20"/>
          </w:rPr>
          <m:t xml:space="preserve"> </m:t>
        </m:r>
        <m:r>
          <w:rPr>
            <w:rFonts w:ascii="Cambria Math" w:hAnsi="Cambria Math"/>
            <w:sz w:val="20"/>
          </w:rPr>
          <m:t>a</m:t>
        </m:r>
        <m:r>
          <w:rPr>
            <w:rFonts w:ascii="Cambria Math" w:hAnsi="Book Antiqua"/>
            <w:sz w:val="20"/>
          </w:rPr>
          <m:t xml:space="preserve"> </m:t>
        </m:r>
      </m:oMath>
      <w:r w:rsidRPr="00372C58">
        <w:rPr>
          <w:rFonts w:ascii="Book Antiqua" w:hAnsi="Book Antiqua"/>
          <w:sz w:val="20"/>
        </w:rPr>
        <w:t xml:space="preserve">held the value of 3 instead of 2 (both of which are in accord with results we are getting from the red shift as well as PPP recombination), then the resulting graph is plotted in Figure 8. </w:t>
      </w:r>
    </w:p>
    <w:p w:rsidR="00265840" w:rsidRPr="00372C58" w:rsidRDefault="00265840" w:rsidP="00265840">
      <w:pPr>
        <w:pStyle w:val="NoSpacing"/>
        <w:jc w:val="both"/>
        <w:rPr>
          <w:rFonts w:ascii="Book Antiqua" w:hAnsi="Book Antiqua"/>
          <w:sz w:val="20"/>
        </w:rPr>
      </w:pPr>
    </w:p>
    <w:p w:rsidR="00EC41E0" w:rsidRPr="00372C58" w:rsidRDefault="00265840" w:rsidP="00550258">
      <w:pPr>
        <w:pStyle w:val="NoSpacing"/>
        <w:ind w:firstLine="720"/>
        <w:jc w:val="both"/>
        <w:rPr>
          <w:rFonts w:ascii="Book Antiqua" w:hAnsi="Book Antiqua"/>
          <w:sz w:val="20"/>
        </w:rPr>
      </w:pPr>
      <w:r w:rsidRPr="00372C58">
        <w:rPr>
          <w:rFonts w:ascii="Book Antiqua" w:hAnsi="Book Antiqua"/>
          <w:sz w:val="20"/>
        </w:rPr>
        <w:t xml:space="preserve">In this figure, the blue line is the graph of the relativistic Doppler formula which is normally assumed to be a precise description of the redshift. The red line is the graph with the slightly altered exponents, which is actually more in accord with the observed redshifts. In the horizontal portion of the graph, the actual redshift from objects (red line) is lower for a given distance than expected from the Doppler formula (blue line). However, as distance increases, in the vertical segment of the graph, actual objects are closer than expected from the Doppler Formula. This means redshifts are somewhat higher for a given distance than the Doppler formula predicts as distances from Earth increase. The cross-over point </w:t>
      </w:r>
      <w:r w:rsidR="00EC41E0" w:rsidRPr="00372C58">
        <w:rPr>
          <w:rFonts w:ascii="Book Antiqua" w:hAnsi="Book Antiqua"/>
          <w:sz w:val="20"/>
        </w:rPr>
        <w:t xml:space="preserve">for these effects is a redshift near </w:t>
      </w:r>
      <m:oMath>
        <m:r>
          <w:rPr>
            <w:rFonts w:ascii="Cambria Math" w:hAnsi="Cambria Math"/>
            <w:sz w:val="20"/>
          </w:rPr>
          <m:t>z</m:t>
        </m:r>
        <m:r>
          <w:rPr>
            <w:rFonts w:ascii="Cambria Math" w:hAnsi="Book Antiqua"/>
            <w:sz w:val="20"/>
          </w:rPr>
          <m:t xml:space="preserve"> = 1.6</m:t>
        </m:r>
      </m:oMath>
      <w:r w:rsidR="00EC41E0" w:rsidRPr="00372C58">
        <w:rPr>
          <w:rFonts w:ascii="Book Antiqua" w:hAnsi="Book Antiqua"/>
          <w:sz w:val="20"/>
        </w:rPr>
        <w:t xml:space="preserve">. This is only one example of variability possible using the recombination and turbulence formula in Equation (14 A). For instance, when the exponent </w:t>
      </w:r>
      <m:oMath>
        <m:r>
          <w:rPr>
            <w:rFonts w:ascii="Cambria Math" w:hAnsi="Cambria Math"/>
            <w:sz w:val="20"/>
          </w:rPr>
          <m:t>b</m:t>
        </m:r>
        <m:r>
          <w:rPr>
            <w:rFonts w:ascii="Cambria Math" w:hAnsi="Book Antiqua"/>
            <w:sz w:val="20"/>
          </w:rPr>
          <m:t xml:space="preserve"> = 0.75</m:t>
        </m:r>
      </m:oMath>
      <w:r w:rsidR="00EC41E0" w:rsidRPr="00372C58">
        <w:rPr>
          <w:rFonts w:ascii="Book Antiqua" w:hAnsi="Book Antiqua"/>
          <w:i/>
          <w:sz w:val="20"/>
        </w:rPr>
        <w:t xml:space="preserve"> </w:t>
      </w:r>
      <w:r w:rsidR="00EC41E0" w:rsidRPr="00372C58">
        <w:rPr>
          <w:rFonts w:ascii="Book Antiqua" w:hAnsi="Book Antiqua"/>
          <w:sz w:val="20"/>
        </w:rPr>
        <w:t xml:space="preserve">as in Figure 5, but with the </w:t>
      </w:r>
      <w:r w:rsidR="00EC41E0" w:rsidRPr="00372C58">
        <w:rPr>
          <w:rFonts w:ascii="Book Antiqua" w:hAnsi="Book Antiqua"/>
          <w:sz w:val="20"/>
        </w:rPr>
        <w:lastRenderedPageBreak/>
        <w:t xml:space="preserve">exponent </w:t>
      </w:r>
      <m:oMath>
        <m:r>
          <w:rPr>
            <w:rFonts w:ascii="Cambria Math" w:hAnsi="Cambria Math"/>
            <w:sz w:val="20"/>
          </w:rPr>
          <m:t>a</m:t>
        </m:r>
        <m:r>
          <w:rPr>
            <w:rFonts w:ascii="Cambria Math" w:hAnsi="Book Antiqua"/>
            <w:sz w:val="20"/>
          </w:rPr>
          <m:t xml:space="preserve"> = 0.25</m:t>
        </m:r>
      </m:oMath>
      <w:r w:rsidR="00EC41E0" w:rsidRPr="00372C58">
        <w:rPr>
          <w:rFonts w:ascii="Book Antiqua" w:hAnsi="Book Antiqua"/>
          <w:sz w:val="20"/>
        </w:rPr>
        <w:t xml:space="preserve">, the crossover point moves back to a redshift of </w:t>
      </w:r>
      <m:oMath>
        <m:r>
          <w:rPr>
            <w:rFonts w:ascii="Cambria Math" w:hAnsi="Cambria Math"/>
            <w:sz w:val="20"/>
          </w:rPr>
          <m:t>z</m:t>
        </m:r>
        <m:r>
          <w:rPr>
            <w:rFonts w:ascii="Cambria Math" w:hAnsi="Book Antiqua"/>
            <w:sz w:val="20"/>
          </w:rPr>
          <m:t xml:space="preserve"> = 0.65</m:t>
        </m:r>
      </m:oMath>
      <w:r w:rsidR="00EC41E0" w:rsidRPr="00372C58">
        <w:rPr>
          <w:rFonts w:ascii="Book Antiqua" w:hAnsi="Book Antiqua"/>
          <w:sz w:val="20"/>
        </w:rPr>
        <w:t>, a point closer to Earth and therefore more recent in time.</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90925" cy="4324350"/>
            <wp:effectExtent l="19050" t="0" r="9525" b="0"/>
            <wp:docPr id="15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8:</w:t>
      </w:r>
      <w:r w:rsidRPr="004223A5">
        <w:rPr>
          <w:rFonts w:ascii="Book Antiqua" w:hAnsi="Book Antiqua"/>
          <w:i/>
          <w:sz w:val="18"/>
          <w:szCs w:val="18"/>
        </w:rPr>
        <w:t xml:space="preserve"> A graph of Y = (1 + z). The blue line</w:t>
      </w:r>
      <w:r w:rsidR="00201C96">
        <w:rPr>
          <w:rFonts w:ascii="Book Antiqua" w:hAnsi="Book Antiqua"/>
          <w:i/>
          <w:sz w:val="18"/>
          <w:szCs w:val="18"/>
        </w:rPr>
        <w:t xml:space="preserve"> (furthest to the right on the vertical section and highest on the horizontal section)</w:t>
      </w:r>
      <w:r w:rsidRPr="004223A5">
        <w:rPr>
          <w:rFonts w:ascii="Book Antiqua" w:hAnsi="Book Antiqua"/>
          <w:i/>
          <w:sz w:val="18"/>
          <w:szCs w:val="18"/>
        </w:rPr>
        <w:t xml:space="preserve"> has exponents which give the exact relativistic Doppler formula. The red line</w:t>
      </w:r>
      <w:r w:rsidR="00201C96">
        <w:rPr>
          <w:rFonts w:ascii="Book Antiqua" w:hAnsi="Book Antiqua"/>
          <w:i/>
          <w:sz w:val="18"/>
          <w:szCs w:val="18"/>
        </w:rPr>
        <w:t xml:space="preserve"> agrees with the data. It </w:t>
      </w:r>
      <w:r w:rsidRPr="004223A5">
        <w:rPr>
          <w:rFonts w:ascii="Book Antiqua" w:hAnsi="Book Antiqua"/>
          <w:i/>
          <w:sz w:val="18"/>
          <w:szCs w:val="18"/>
        </w:rPr>
        <w:t>has different exponents</w:t>
      </w:r>
      <w:r w:rsidR="00201C96">
        <w:rPr>
          <w:rFonts w:ascii="Book Antiqua" w:hAnsi="Book Antiqua"/>
          <w:i/>
          <w:sz w:val="18"/>
          <w:szCs w:val="18"/>
        </w:rPr>
        <w:t xml:space="preserve"> so that </w:t>
      </w:r>
      <w:r w:rsidRPr="004223A5">
        <w:rPr>
          <w:rFonts w:ascii="Book Antiqua" w:hAnsi="Book Antiqua"/>
          <w:i/>
          <w:sz w:val="18"/>
          <w:szCs w:val="18"/>
        </w:rPr>
        <w:t>objects with redshifts greater than z = 1.6 are closer than expected from the blue curve</w:t>
      </w:r>
      <w:r w:rsidR="00201C96">
        <w:rPr>
          <w:rFonts w:ascii="Book Antiqua" w:hAnsi="Book Antiqua"/>
          <w:i/>
          <w:sz w:val="18"/>
          <w:szCs w:val="18"/>
        </w:rPr>
        <w:t>, while</w:t>
      </w:r>
      <w:r w:rsidRPr="004223A5">
        <w:rPr>
          <w:rFonts w:ascii="Book Antiqua" w:hAnsi="Book Antiqua"/>
          <w:i/>
          <w:sz w:val="18"/>
          <w:szCs w:val="18"/>
        </w:rPr>
        <w:t xml:space="preserve"> </w:t>
      </w:r>
      <w:r w:rsidR="00201C96">
        <w:rPr>
          <w:rFonts w:ascii="Book Antiqua" w:hAnsi="Book Antiqua"/>
          <w:i/>
          <w:sz w:val="18"/>
          <w:szCs w:val="18"/>
        </w:rPr>
        <w:t xml:space="preserve">those with </w:t>
      </w:r>
      <w:r w:rsidRPr="004223A5">
        <w:rPr>
          <w:rFonts w:ascii="Book Antiqua" w:hAnsi="Book Antiqua"/>
          <w:i/>
          <w:sz w:val="18"/>
          <w:szCs w:val="18"/>
        </w:rPr>
        <w:t>redshifts less than z = 1.6 are further away than the blue curve</w:t>
      </w:r>
      <w:r w:rsidR="00201C96">
        <w:rPr>
          <w:rFonts w:ascii="Book Antiqua" w:hAnsi="Book Antiqua"/>
          <w:i/>
          <w:sz w:val="18"/>
          <w:szCs w:val="18"/>
        </w:rPr>
        <w:t xml:space="preserve"> predicts</w:t>
      </w:r>
      <w:r w:rsidRPr="004223A5">
        <w:rPr>
          <w:rFonts w:ascii="Book Antiqua" w:hAnsi="Book Antiqua"/>
          <w:i/>
          <w:sz w:val="18"/>
          <w:szCs w:val="18"/>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problem faced by cosmologists is that their approach requires a curve </w:t>
      </w:r>
      <w:r w:rsidR="00550258">
        <w:rPr>
          <w:rFonts w:ascii="Book Antiqua" w:hAnsi="Book Antiqua"/>
          <w:sz w:val="20"/>
        </w:rPr>
        <w:t>describing</w:t>
      </w:r>
      <w:r w:rsidRPr="00372C58">
        <w:rPr>
          <w:rFonts w:ascii="Book Antiqua" w:hAnsi="Book Antiqua"/>
          <w:sz w:val="20"/>
        </w:rPr>
        <w:t xml:space="preserve"> (14A) but </w:t>
      </w:r>
      <w:r w:rsidR="00550258">
        <w:rPr>
          <w:rFonts w:ascii="Book Antiqua" w:hAnsi="Book Antiqua"/>
          <w:sz w:val="20"/>
        </w:rPr>
        <w:t>they insist</w:t>
      </w:r>
      <w:r w:rsidRPr="00372C58">
        <w:rPr>
          <w:rFonts w:ascii="Book Antiqua" w:hAnsi="Book Antiqua"/>
          <w:sz w:val="20"/>
        </w:rPr>
        <w:t xml:space="preserve"> on the exponents </w:t>
      </w:r>
      <m:oMath>
        <m:r>
          <w:rPr>
            <w:rFonts w:ascii="Cambria Math" w:hAnsi="Cambria Math"/>
            <w:sz w:val="20"/>
          </w:rPr>
          <m:t>a</m:t>
        </m:r>
        <m:r>
          <w:rPr>
            <w:rFonts w:ascii="Cambria Math" w:hAnsi="Book Antiqua"/>
            <w:sz w:val="20"/>
          </w:rPr>
          <m:t xml:space="preserve"> = 2</m:t>
        </m:r>
      </m:oMath>
      <w:r w:rsidRPr="00372C58">
        <w:rPr>
          <w:rFonts w:ascii="Book Antiqua" w:hAnsi="Book Antiqua"/>
          <w:sz w:val="20"/>
        </w:rPr>
        <w:t xml:space="preserve"> and </w:t>
      </w:r>
      <m:oMath>
        <m:r>
          <w:rPr>
            <w:rFonts w:ascii="Cambria Math" w:hAnsi="Cambria Math"/>
            <w:sz w:val="20"/>
          </w:rPr>
          <m:t>b</m:t>
        </m:r>
        <m:r>
          <w:rPr>
            <w:rFonts w:ascii="Cambria Math" w:hAnsi="Book Antiqua"/>
            <w:sz w:val="20"/>
          </w:rPr>
          <m:t xml:space="preserve"> = </m:t>
        </m:r>
        <m:r>
          <w:rPr>
            <w:rFonts w:ascii="Book Antiqua" w:hAnsi="Book Antiqua"/>
            <w:sz w:val="20"/>
          </w:rPr>
          <m:t>½</m:t>
        </m:r>
      </m:oMath>
      <w:r w:rsidRPr="00372C58">
        <w:rPr>
          <w:rFonts w:ascii="Book Antiqua" w:hAnsi="Book Antiqua"/>
          <w:sz w:val="20"/>
        </w:rPr>
        <w:t xml:space="preserve"> without any possibility of variation. But the problem of an accelerating or decelerating universe does not arise in a ZPE context since the exponents can be adjusted to obtain agreement with the data. A changing Zero Point Energy explains the discrepant data. In contrast, the standard model with the Doppler formula can only consider a cosmos which is decelerating after the origin of the cosmos (on the vertical part of the curve), and then accelerating later (on the horizontal section) to attempt agreement with the data. They give no reason why the cosmological constant, “dark energy,” should kick in at that point.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As mentioned in Chapter 1, the hydrogen clouds present more solid evidence against the idea of a currently expanding universe.  Studies have shown that the hydrogen clouds are evenly spaced through redshifts from our Local Group with a redshift of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out to at least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w:t>
      </w:r>
      <w:r w:rsidR="001551AB">
        <w:rPr>
          <w:rFonts w:ascii="Book Antiqua" w:hAnsi="Book Antiqua"/>
          <w:sz w:val="20"/>
        </w:rPr>
        <w:t>with a possible upper limit of</w:t>
      </w:r>
      <w:r w:rsidRPr="00372C58">
        <w:rPr>
          <w:rFonts w:ascii="Book Antiqua" w:hAnsi="Book Antiqua"/>
          <w:sz w:val="20"/>
        </w:rPr>
        <w:t xml:space="preserve">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This indicates that no accelerating expansion has occurred in this redshift range </w:t>
      </w:r>
      <w:r w:rsidRPr="00550258">
        <w:rPr>
          <w:rFonts w:ascii="Book Antiqua" w:hAnsi="Book Antiqua"/>
          <w:sz w:val="20"/>
        </w:rPr>
        <w:t>[17].</w:t>
      </w:r>
      <w:r w:rsidRPr="00372C58">
        <w:rPr>
          <w:rFonts w:ascii="Book Antiqua" w:hAnsi="Book Antiqua"/>
          <w:sz w:val="20"/>
        </w:rPr>
        <w:t xml:space="preserve"> Yet this is the very range where accelerating expansion has </w:t>
      </w:r>
      <w:r w:rsidRPr="00372C58">
        <w:rPr>
          <w:rFonts w:ascii="Book Antiqua" w:hAnsi="Book Antiqua"/>
          <w:sz w:val="20"/>
        </w:rPr>
        <w:lastRenderedPageBreak/>
        <w:t>been used to account for the supernova Type Ia results.  If</w:t>
      </w:r>
      <w:r w:rsidR="001551AB">
        <w:rPr>
          <w:rFonts w:ascii="Book Antiqua" w:hAnsi="Book Antiqua"/>
          <w:sz w:val="20"/>
        </w:rPr>
        <w:t xml:space="preserve"> the hydrogen cloud data are valid, then the redshift </w:t>
      </w:r>
      <w:r w:rsidRPr="00372C58">
        <w:rPr>
          <w:rFonts w:ascii="Book Antiqua" w:hAnsi="Book Antiqua"/>
          <w:sz w:val="20"/>
        </w:rPr>
        <w:t>results are due to a different cause</w:t>
      </w:r>
      <w:r w:rsidR="001551AB">
        <w:rPr>
          <w:rFonts w:ascii="Book Antiqua" w:hAnsi="Book Antiqua"/>
          <w:sz w:val="20"/>
        </w:rPr>
        <w:t xml:space="preserve"> and</w:t>
      </w:r>
      <w:r w:rsidRPr="00372C58">
        <w:rPr>
          <w:rFonts w:ascii="Book Antiqua" w:hAnsi="Book Antiqua"/>
          <w:sz w:val="20"/>
        </w:rPr>
        <w:t xml:space="preserve"> there is</w:t>
      </w:r>
      <w:r w:rsidR="001551AB">
        <w:rPr>
          <w:rFonts w:ascii="Book Antiqua" w:hAnsi="Book Antiqua"/>
          <w:sz w:val="20"/>
        </w:rPr>
        <w:t xml:space="preserve"> then</w:t>
      </w:r>
      <w:r w:rsidRPr="00372C58">
        <w:rPr>
          <w:rFonts w:ascii="Book Antiqua" w:hAnsi="Book Antiqua"/>
          <w:sz w:val="20"/>
        </w:rPr>
        <w:t xml:space="preserve"> no reason to invoke exotic cosmological behavior.</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Hydrogen cloud data </w:t>
      </w:r>
      <w:r w:rsidR="00550258">
        <w:rPr>
          <w:rFonts w:ascii="Book Antiqua" w:hAnsi="Book Antiqua"/>
          <w:sz w:val="20"/>
        </w:rPr>
        <w:t xml:space="preserve">does </w:t>
      </w:r>
      <w:r w:rsidRPr="00372C58">
        <w:rPr>
          <w:rFonts w:ascii="Book Antiqua" w:hAnsi="Book Antiqua"/>
          <w:sz w:val="20"/>
        </w:rPr>
        <w:t xml:space="preserve">reveal that an initial expansion of the cosmos </w:t>
      </w:r>
      <w:r w:rsidR="00550258">
        <w:rPr>
          <w:rFonts w:ascii="Book Antiqua" w:hAnsi="Book Antiqua"/>
          <w:sz w:val="20"/>
        </w:rPr>
        <w:t>occurred</w:t>
      </w:r>
      <w:r w:rsidRPr="00372C58">
        <w:rPr>
          <w:rFonts w:ascii="Book Antiqua" w:hAnsi="Book Antiqua"/>
          <w:sz w:val="20"/>
        </w:rPr>
        <w:t xml:space="preserve">, as evidenced by the increasing separation of the hydrogen clouds from the highest redshifts down to about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Between redshifts of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and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the expansion stopped. Then the universe became static from a redshift of about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down to the present where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[45, 46].   Thus the possibility that we live in a now static universe is certainly in accord with the</w:t>
      </w:r>
      <w:r w:rsidR="001551AB">
        <w:rPr>
          <w:rFonts w:ascii="Book Antiqua" w:hAnsi="Book Antiqua"/>
          <w:sz w:val="20"/>
        </w:rPr>
        <w:t>se</w:t>
      </w:r>
      <w:r w:rsidRPr="00372C58">
        <w:rPr>
          <w:rFonts w:ascii="Book Antiqua" w:hAnsi="Book Antiqua"/>
          <w:sz w:val="20"/>
        </w:rPr>
        <w:t xml:space="preserve"> data. </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jc w:val="both"/>
        <w:rPr>
          <w:rFonts w:ascii="Book Antiqua" w:hAnsi="Book Antiqua"/>
          <w:bCs/>
          <w:i/>
          <w:iCs/>
          <w:sz w:val="20"/>
        </w:rPr>
      </w:pPr>
      <w:r w:rsidRPr="00372C58">
        <w:rPr>
          <w:rFonts w:ascii="Book Antiqua" w:hAnsi="Book Antiqua"/>
          <w:bCs/>
          <w:i/>
          <w:iCs/>
          <w:color w:val="000000"/>
          <w:sz w:val="20"/>
        </w:rPr>
        <w:t>2</w:t>
      </w:r>
      <w:r w:rsidRPr="00372C58">
        <w:rPr>
          <w:rFonts w:ascii="Book Antiqua" w:hAnsi="Book Antiqua"/>
          <w:bCs/>
          <w:i/>
          <w:iCs/>
          <w:sz w:val="20"/>
        </w:rPr>
        <w:t>.2 A different option.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1993, Narliker and Arp demonstrated that a static, matter-filled universe was stable against gravitational collapse without the action of a cosmological constant, provided that atomic masses increase with time [47].</w:t>
      </w:r>
      <w:r w:rsidRPr="00372C58">
        <w:rPr>
          <w:rFonts w:ascii="Book Antiqua" w:hAnsi="Book Antiqua"/>
          <w:position w:val="10"/>
          <w:sz w:val="20"/>
          <w:vertAlign w:val="superscript"/>
        </w:rPr>
        <w:t xml:space="preserve"> </w:t>
      </w:r>
      <w:r w:rsidRPr="00372C58">
        <w:rPr>
          <w:rFonts w:ascii="Book Antiqua" w:hAnsi="Book Antiqua"/>
          <w:sz w:val="20"/>
        </w:rPr>
        <w:t>The increase in atomic masses with time has been documented [48]</w:t>
      </w:r>
      <w:r w:rsidRPr="00372C58">
        <w:rPr>
          <w:rFonts w:ascii="Book Antiqua" w:hAnsi="Book Antiqua"/>
          <w:position w:val="10"/>
          <w:sz w:val="20"/>
          <w:vertAlign w:val="superscript"/>
        </w:rPr>
        <w:t xml:space="preserve"> </w:t>
      </w:r>
      <w:r w:rsidRPr="00372C58">
        <w:rPr>
          <w:rFonts w:ascii="Book Antiqua" w:hAnsi="Book Antiqua"/>
          <w:sz w:val="20"/>
        </w:rPr>
        <w:t xml:space="preserve">and receives support from the increase in officially declared values of electron rest-masses graphed in Chapter 4, Figure 1. </w:t>
      </w:r>
    </w:p>
    <w:p w:rsidR="00DF31D2"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DF31D2">
      <w:pPr>
        <w:pStyle w:val="NoSpacing"/>
        <w:ind w:firstLine="720"/>
        <w:jc w:val="both"/>
        <w:rPr>
          <w:rFonts w:ascii="Book Antiqua" w:hAnsi="Book Antiqua"/>
          <w:sz w:val="20"/>
        </w:rPr>
      </w:pPr>
      <w:r w:rsidRPr="00372C58">
        <w:rPr>
          <w:rFonts w:ascii="Book Antiqua" w:hAnsi="Book Antiqua"/>
          <w:sz w:val="20"/>
        </w:rPr>
        <w:t xml:space="preserve">However, Narlikar and Arp are not the only ones considering a static universe. In similar scenarios offered by both Troitskii and Van Flandern, stability was maintained by variation in some associated atomic quantities. In these approaches, a static cosmos can be stable against collapse even without the action of the cosmological constant. If the cosmos is indeed static, then the standard explanation regarding the cause of the red shift is called into question.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Halton Arp (and some of his colleagues) initially called the standard explanation of the redshift into question in 1987 with his book “</w:t>
      </w:r>
      <w:r w:rsidRPr="00372C58">
        <w:rPr>
          <w:rFonts w:ascii="Book Antiqua" w:hAnsi="Book Antiqua"/>
          <w:i/>
          <w:sz w:val="20"/>
        </w:rPr>
        <w:t>Quasars, Redshifts and Controversies</w:t>
      </w:r>
      <w:r w:rsidRPr="00372C58">
        <w:rPr>
          <w:rFonts w:ascii="Book Antiqua" w:hAnsi="Book Antiqua"/>
          <w:sz w:val="20"/>
        </w:rPr>
        <w:t xml:space="preserve">” [51]. This was followed by an updated analysis in 1998 in his book </w:t>
      </w:r>
      <w:r w:rsidRPr="00372C58">
        <w:rPr>
          <w:rFonts w:ascii="Book Antiqua" w:hAnsi="Book Antiqua"/>
          <w:i/>
          <w:sz w:val="20"/>
        </w:rPr>
        <w:t>“Seeing Red: Redshifts, Cosmology and Academic Science”</w:t>
      </w:r>
      <w:r w:rsidRPr="00372C58">
        <w:rPr>
          <w:rFonts w:ascii="Book Antiqua" w:hAnsi="Book Antiqua"/>
          <w:sz w:val="20"/>
        </w:rPr>
        <w:t xml:space="preserve"> [61].</w:t>
      </w:r>
      <w:r w:rsidRPr="00372C58">
        <w:rPr>
          <w:rFonts w:ascii="Book Antiqua" w:hAnsi="Book Antiqua"/>
          <w:color w:val="FF0000"/>
          <w:sz w:val="20"/>
        </w:rPr>
        <w:t xml:space="preserve"> </w:t>
      </w:r>
      <w:r w:rsidRPr="00372C58">
        <w:rPr>
          <w:rFonts w:ascii="Book Antiqua" w:hAnsi="Book Antiqua"/>
          <w:sz w:val="20"/>
        </w:rPr>
        <w:t>Among other matters, Arp contended that the high redshifts of quasars must have some other explanation as he had noted that a number of quasars seemed to be associated with relatively nearby galaxies. He deduced this from the fact that some quasars seemed to be aligned with the axis of galaxies which happened to be in the same line of sight. He claimed the possibility of this happening by chance was very small. In addition, lines of equal light-intensity or radio-intensity, called isophotes, enveloped both the distant quasar and the nearby galaxy. This latter feature simply attests to the fact that the quasars are extremely bright. Arp pointed out that the problem this posed for power generation would disappear if they were comparatively nearby objects.</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However, the idea that quasars are relatively nearby is shown to be false by the fact that the light from nearly all quasars comes with a suite of spectral lines that make up the Lyman Alpha Forest. As outlined above, this "forest" comes from all the gas clouds the quasar light has passed through on its journey from the quasar to earth. Each gas cloud has its own redshift dependent upon its distance. In each case, the “forest” associated with the quasar is compatible with its high redshift, and great distance</w:t>
      </w:r>
      <w:r w:rsidR="00DF31D2">
        <w:rPr>
          <w:rFonts w:ascii="Book Antiqua" w:hAnsi="Book Antiqua"/>
          <w:color w:val="000000"/>
        </w:rPr>
        <w:t xml:space="preserve"> because of the huge numbers of clouds involved</w:t>
      </w:r>
      <w:r w:rsidRPr="00372C58">
        <w:rPr>
          <w:rFonts w:ascii="Book Antiqua" w:hAnsi="Book Antiqua"/>
          <w:color w:val="000000"/>
        </w:rPr>
        <w:t>. Therefore, the conclusion must be that the redshift of quasars is a genuine distance indicator. Indeed, the huge number of lines making up the “forest” itself testifies that the quasar light has passed through an enormous number of hydrogen clouds to get here. The way that Arp and his colleagues overcome this argument is to say that all those hydrogen clouds are associated with the expulsion of the quasar from the nearby galaxy. In view of the known distribution of hydrogen clouds throughout the universe, this seems rather unlikely. Rather, the hydrogen cloud data is prima facie evidence that the quasars really are at great distances.</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The second piece of evidence is also pertinent. In the telescope that is observing the quasar, an occulting bar can be placed across the quasar itself, so that its light is blocked out. When this is done, the whole galaxy, whose nucleus holds the quasar, </w:t>
      </w:r>
      <w:r w:rsidR="00DF31D2">
        <w:rPr>
          <w:rFonts w:ascii="Book Antiqua" w:hAnsi="Book Antiqua"/>
          <w:color w:val="000000"/>
        </w:rPr>
        <w:t xml:space="preserve">usually </w:t>
      </w:r>
      <w:r w:rsidRPr="00372C58">
        <w:rPr>
          <w:rFonts w:ascii="Book Antiqua" w:hAnsi="Book Antiqua"/>
          <w:color w:val="000000"/>
        </w:rPr>
        <w:t xml:space="preserve">becomes visible. The quasar light is so strong that it swamps the light from the stars in its host galaxy. In other words, these quasars are at the centers of fully formed galaxies. If, as Arp claims, these objects were in our Local Group or nearby, we would see evidence of the presence of these full galaxies in the </w:t>
      </w:r>
      <w:r w:rsidR="00AE4BA6">
        <w:rPr>
          <w:rFonts w:ascii="Book Antiqua" w:hAnsi="Book Antiqua"/>
          <w:color w:val="000000"/>
        </w:rPr>
        <w:t xml:space="preserve">gravitationally controlled </w:t>
      </w:r>
      <w:r w:rsidRPr="00372C58">
        <w:rPr>
          <w:rFonts w:ascii="Book Antiqua" w:hAnsi="Book Antiqua"/>
          <w:color w:val="000000"/>
        </w:rPr>
        <w:t>motions of the remaining galaxies in the group. Generally, the evidence for the presence of these extra galaxies is lacking.</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The third piece of evidence is the fact that a number of distant quasars are gravitationally lensed by foreground galaxies or galaxy clusters. If the quasar was truly a part of the galaxy system which was in the foreground then it would not be gravitationally lensed by that system. Here is additional proof that the quasar is significantly further out than the </w:t>
      </w:r>
      <w:r w:rsidRPr="00372C58">
        <w:rPr>
          <w:rFonts w:ascii="Book Antiqua" w:hAnsi="Book Antiqua"/>
          <w:color w:val="000000"/>
        </w:rPr>
        <w:lastRenderedPageBreak/>
        <w:t>system doing the lensing. Therefore, while the work of Arp in many other astronomical matters is considered excellent, in this instance the weight of evidence seems to be against him.</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F10019">
      <w:pPr>
        <w:shd w:val="clear" w:color="auto" w:fill="FFFFFF"/>
        <w:ind w:firstLine="720"/>
        <w:jc w:val="both"/>
        <w:rPr>
          <w:rFonts w:ascii="Book Antiqua" w:hAnsi="Book Antiqua"/>
          <w:color w:val="000000"/>
        </w:rPr>
      </w:pPr>
      <w:r w:rsidRPr="00372C58">
        <w:rPr>
          <w:rFonts w:ascii="Book Antiqua" w:hAnsi="Book Antiqua"/>
          <w:color w:val="000000"/>
        </w:rPr>
        <w:t xml:space="preserve">In order to boost the acceptability of his argument, Arp often gives figures for the chance alignments of a galaxy and quasar. Thus he might claim, for example, that a given quasar-galaxy alignment may only have one chance in 20,000 of occurring. The implication is that the alignment is not chance, but is an actual fact. However, Arp does not appear to give the basis for these statistics. What is needed is a count of the total number of galaxies compared with the total number of quasars and the chance of a given alignment then demonstrated. Arp does not appear to have done this. Therefore his argument on this basis may be somewhat arbitrary. Finally, the power generation problem does have an answer, which emerges from the physics in Chapter 6, and is mentioned just prior to Figure 7 there.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360"/>
        <w:jc w:val="both"/>
        <w:rPr>
          <w:rFonts w:ascii="Book Antiqua" w:hAnsi="Book Antiqua"/>
        </w:rPr>
      </w:pPr>
      <w:r w:rsidRPr="00372C58">
        <w:rPr>
          <w:rFonts w:ascii="Book Antiqua" w:hAnsi="Book Antiqua"/>
          <w:color w:val="000000"/>
        </w:rPr>
        <w:t xml:space="preserve">The conclusion that emerges from all these data is that the galaxy and quasar redshifts are genuine distance indicators. However, the data also indicate that the redshift is not caused by cosmic expansion. Rather, it seems that the universe is currently static. </w:t>
      </w:r>
      <w:r w:rsidRPr="00372C58">
        <w:rPr>
          <w:rFonts w:ascii="Book Antiqua" w:hAnsi="Book Antiqua"/>
        </w:rPr>
        <w:t>The option of a static universe, along with a different cause for the red shift, was brought sharply into focus by the work of William Tifft.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3.  The Quantized Redshift.</w:t>
      </w:r>
    </w:p>
    <w:p w:rsidR="00265840" w:rsidRPr="00372C58" w:rsidRDefault="00265840" w:rsidP="00265840">
      <w:pPr>
        <w:pStyle w:val="NoSpacing"/>
        <w:ind w:left="1080"/>
        <w:rPr>
          <w:rFonts w:ascii="Book Antiqua" w:hAnsi="Book Antiqua"/>
          <w:b/>
          <w:bCs/>
          <w:iCs/>
          <w:color w:val="000000"/>
          <w:sz w:val="20"/>
        </w:rPr>
      </w:pP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3.1. Introduction</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William Tifft was the astronomer at the Steward Observatory in Tucson, Arizona.  From 1976 onward, Tifft published several papers indicating that redshift differences between galaxies did not progress smoothly, but were ‘clumped,’ or grouped, and changed in jumps.  This became referred to as being quantized [49].  If the redshift were actually due to galaxies racing away from each other, as the Doppler shift interpretation requires, then these speeds of recession should be distributed like those of cars smoothly accelerating on a highway. That is to say, the overall redshift function should be a smooth curve. But the results that Tifft obtained indicated that the redshift measurements jump from one plateau to another like a set of steps. It was as if every car on the highway traveled only at speeds that were multiples of, say, 5 miles per hour, with nothing in between.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On either the Lemaitre or the Doppler model, it was difficult to see how any cosmological expansion of space-time or, alternatively, the recession of galaxies, could go in jumps. Even more puzzling was the fact that some jumps actually occurred within galaxies.  Furthermore, if the redshift was due to motion, then a redshift quantum jump going through a galaxy would mean different halves of the galaxy would be moving at different speeds. This would force the galaxy to disrupt. This is not occurring.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 relatively nearby Coma cluster exhibited this effect in such a way that bands of redshift ran through the whole cluster [50].</w:t>
      </w:r>
      <w:r w:rsidRPr="00372C58">
        <w:rPr>
          <w:rFonts w:ascii="Book Antiqua" w:hAnsi="Book Antiqua"/>
          <w:position w:val="10"/>
          <w:sz w:val="20"/>
          <w:vertAlign w:val="superscript"/>
        </w:rPr>
        <w:t xml:space="preserve"> </w:t>
      </w:r>
      <w:r w:rsidRPr="00372C58">
        <w:rPr>
          <w:rFonts w:ascii="Book Antiqua" w:hAnsi="Book Antiqua"/>
          <w:sz w:val="20"/>
        </w:rPr>
        <w:t xml:space="preserve">Shortly after, Tifft was presented with a list of accurate redshifts using radio measurements of hydrogen. Astronomer Halton Arp reports on the outcome of Tifft’s analysis of this data set by stating: </w:t>
      </w:r>
      <w:r w:rsidRPr="00372C58">
        <w:rPr>
          <w:rFonts w:ascii="Book Antiqua" w:hAnsi="Book Antiqua"/>
          <w:i/>
          <w:iCs/>
          <w:sz w:val="20"/>
        </w:rPr>
        <w:t>“Not only did the quantization appear in this independent set of very accurate double galaxy measurements, but it was the most clear cut, obviously significant demonstration of the effect yet seen. …The results were later reconfirmed by optical measures in the Southern Hemisphere.”</w:t>
      </w:r>
      <w:r w:rsidRPr="00372C58">
        <w:rPr>
          <w:rFonts w:ascii="Book Antiqua" w:hAnsi="Book Antiqua"/>
          <w:iCs/>
          <w:sz w:val="20"/>
        </w:rPr>
        <w:t>[51]</w:t>
      </w:r>
      <w:r w:rsidRPr="00372C58">
        <w:rPr>
          <w:rFonts w:ascii="Book Antiqua" w:hAnsi="Book Antiqua"/>
          <w:i/>
          <w:iCs/>
          <w:sz w:val="20"/>
        </w:rPr>
        <w:t xml:space="preserve"> </w:t>
      </w:r>
      <w:r w:rsidRPr="00372C58">
        <w:rPr>
          <w:rFonts w:ascii="Book Antiqua" w:hAnsi="Book Antiqua"/>
          <w:iCs/>
          <w:sz w:val="20"/>
        </w:rPr>
        <w:t>The quantizations were all about 72 km/s</w:t>
      </w:r>
      <w:r w:rsidRPr="00372C58">
        <w:rPr>
          <w:rFonts w:ascii="Book Antiqua" w:hAnsi="Book Antiqua"/>
          <w:i/>
          <w:iCs/>
          <w:sz w:val="20"/>
        </w:rPr>
        <w:t>.</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1981, the results of an extensive redshift survey by astronomers Fisher and Tully were published, but did not show any apparent quantization [52]. Then, in 1984, Tifft and Cocke published their analysis of the Fisher-Tully Catalogue. They noted that the motion of the Solar System through space imparted a genuine Doppler shift of its own to all measurements of redshift. When this Doppler shift was subtracted from the survey results, redshift quantization appeared globally across the whole sky [53].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position w:val="10"/>
          <w:sz w:val="20"/>
          <w:vertAlign w:val="superscript"/>
        </w:rPr>
      </w:pPr>
      <w:r w:rsidRPr="00372C58">
        <w:rPr>
          <w:rFonts w:ascii="Book Antiqua" w:hAnsi="Book Antiqua"/>
          <w:position w:val="10"/>
          <w:sz w:val="20"/>
          <w:vertAlign w:val="superscript"/>
        </w:rPr>
        <w:t xml:space="preserve"> </w:t>
      </w:r>
      <w:r w:rsidRPr="00372C58">
        <w:rPr>
          <w:rFonts w:ascii="Book Antiqua" w:hAnsi="Book Antiqua"/>
          <w:sz w:val="20"/>
        </w:rPr>
        <w:t xml:space="preserve">In 1985, there was an unexpected and independent confirmation of this quantization. Sulentic and Arp used radio-telescopes to accurately measure the redshifts of over 260 galaxies from more than 80 different groups for an </w:t>
      </w:r>
      <w:r w:rsidRPr="00372C58">
        <w:rPr>
          <w:rFonts w:ascii="Book Antiqua" w:hAnsi="Book Antiqua"/>
          <w:sz w:val="20"/>
        </w:rPr>
        <w:lastRenderedPageBreak/>
        <w:t xml:space="preserve">entirely different purpose. </w:t>
      </w:r>
      <w:r w:rsidR="00B15A92">
        <w:rPr>
          <w:rFonts w:ascii="Book Antiqua" w:hAnsi="Book Antiqua"/>
          <w:sz w:val="20"/>
        </w:rPr>
        <w:t>T</w:t>
      </w:r>
      <w:r w:rsidRPr="00372C58">
        <w:rPr>
          <w:rFonts w:ascii="Book Antiqua" w:hAnsi="Book Antiqua"/>
          <w:sz w:val="20"/>
        </w:rPr>
        <w:t xml:space="preserve">hey were surprised to discover </w:t>
      </w:r>
      <w:r w:rsidR="00B15A92">
        <w:rPr>
          <w:rFonts w:ascii="Book Antiqua" w:hAnsi="Book Antiqua"/>
          <w:sz w:val="20"/>
        </w:rPr>
        <w:t xml:space="preserve">that </w:t>
      </w:r>
      <w:r w:rsidRPr="00372C58">
        <w:rPr>
          <w:rFonts w:ascii="Book Antiqua" w:hAnsi="Book Antiqua"/>
          <w:sz w:val="20"/>
        </w:rPr>
        <w:t xml:space="preserve">their </w:t>
      </w:r>
      <w:r w:rsidR="00B15A92">
        <w:rPr>
          <w:rFonts w:ascii="Book Antiqua" w:hAnsi="Book Antiqua"/>
          <w:sz w:val="20"/>
        </w:rPr>
        <w:t xml:space="preserve">analysis of the </w:t>
      </w:r>
      <w:r w:rsidRPr="00372C58">
        <w:rPr>
          <w:rFonts w:ascii="Book Antiqua" w:hAnsi="Book Antiqua"/>
          <w:sz w:val="20"/>
        </w:rPr>
        <w:t>data showed the same quantizations that Tifft and Cocke had discovered, with measurement errors only 1/9</w:t>
      </w:r>
      <w:r w:rsidRPr="00372C58">
        <w:rPr>
          <w:rFonts w:ascii="Book Antiqua" w:hAnsi="Book Antiqua"/>
          <w:position w:val="10"/>
          <w:sz w:val="20"/>
          <w:vertAlign w:val="superscript"/>
        </w:rPr>
        <w:t xml:space="preserve"> </w:t>
      </w:r>
      <w:r w:rsidRPr="00372C58">
        <w:rPr>
          <w:rFonts w:ascii="Book Antiqua" w:hAnsi="Book Antiqua"/>
          <w:sz w:val="20"/>
        </w:rPr>
        <w:t>of the size of the quantization [54-55].</w:t>
      </w:r>
      <w:r w:rsidRPr="00372C58">
        <w:rPr>
          <w:rFonts w:ascii="Book Antiqua" w:hAnsi="Book Antiqua"/>
          <w:position w:val="10"/>
          <w:sz w:val="20"/>
          <w:vertAlign w:val="superscript"/>
        </w:rPr>
        <w:t xml:space="preserve"> </w:t>
      </w:r>
    </w:p>
    <w:p w:rsidR="00AE4BA6" w:rsidRDefault="00AE4BA6" w:rsidP="00265840">
      <w:pPr>
        <w:pStyle w:val="NoSpacing"/>
        <w:ind w:firstLine="720"/>
        <w:jc w:val="both"/>
        <w:rPr>
          <w:rFonts w:ascii="Book Antiqua" w:hAnsi="Book Antiqua"/>
          <w:sz w:val="20"/>
        </w:rPr>
      </w:pPr>
    </w:p>
    <w:p w:rsidR="00265840" w:rsidRPr="00372C58" w:rsidRDefault="00AE4BA6" w:rsidP="00265840">
      <w:pPr>
        <w:pStyle w:val="NoSpacing"/>
        <w:ind w:firstLine="720"/>
        <w:jc w:val="both"/>
        <w:rPr>
          <w:rFonts w:ascii="Book Antiqua" w:hAnsi="Book Antiqua"/>
          <w:sz w:val="20"/>
        </w:rPr>
      </w:pPr>
      <w:r>
        <w:rPr>
          <w:rFonts w:ascii="Book Antiqua" w:hAnsi="Book Antiqua"/>
          <w:sz w:val="20"/>
        </w:rPr>
        <w:t>T</w:t>
      </w:r>
      <w:r w:rsidR="00265840" w:rsidRPr="00372C58">
        <w:rPr>
          <w:rFonts w:ascii="Book Antiqua" w:hAnsi="Book Antiqua"/>
          <w:sz w:val="20"/>
        </w:rPr>
        <w:t>hese results do not fit the concept of an expanding universe in any form. However, given the supposed openness of science to consider all relevant options, the resistance to accepting the data itself has been surprising, and a little disturbing.</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6"/>
        <w:gridCol w:w="3847"/>
        <w:gridCol w:w="3318"/>
      </w:tblGrid>
      <w:tr w:rsidR="00265840" w:rsidRPr="00372C58" w:rsidTr="00E32755">
        <w:trPr>
          <w:trHeight w:val="2054"/>
          <w:jc w:val="center"/>
        </w:trPr>
        <w:tc>
          <w:tcPr>
            <w:tcW w:w="233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076450" cy="2153398"/>
                  <wp:effectExtent l="19050" t="0" r="0" b="0"/>
                  <wp:docPr id="1529" name="il_fi" descr="http://www.robert-temple.com/images/general/fredHoyleConference/profBillTif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obert-temple.com/images/general/fredHoyleConference/profBillTifft.jpg"/>
                          <pic:cNvPicPr>
                            <a:picLocks noChangeAspect="1" noChangeArrowheads="1"/>
                          </pic:cNvPicPr>
                        </pic:nvPicPr>
                        <pic:blipFill>
                          <a:blip r:embed="rId179" cstate="print"/>
                          <a:srcRect l="25898" t="12462" r="23747" b="50601"/>
                          <a:stretch>
                            <a:fillRect/>
                          </a:stretch>
                        </pic:blipFill>
                        <pic:spPr bwMode="auto">
                          <a:xfrm>
                            <a:off x="0" y="0"/>
                            <a:ext cx="2106144" cy="2184192"/>
                          </a:xfrm>
                          <a:prstGeom prst="rect">
                            <a:avLst/>
                          </a:prstGeom>
                          <a:noFill/>
                          <a:ln w="9525">
                            <a:noFill/>
                            <a:miter lim="800000"/>
                            <a:headEnd/>
                            <a:tailEnd/>
                          </a:ln>
                        </pic:spPr>
                      </pic:pic>
                    </a:graphicData>
                  </a:graphic>
                </wp:inline>
              </w:drawing>
            </w:r>
          </w:p>
        </w:tc>
        <w:tc>
          <w:tcPr>
            <w:tcW w:w="2526"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286092" cy="2181225"/>
                  <wp:effectExtent l="19050" t="0" r="0" b="0"/>
                  <wp:docPr id="156" name="il_fi" descr="http://dev.holoscience.com/news/img/halton_a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ev.holoscience.com/news/img/halton_arp3.jpg"/>
                          <pic:cNvPicPr>
                            <a:picLocks noChangeAspect="1" noChangeArrowheads="1"/>
                          </pic:cNvPicPr>
                        </pic:nvPicPr>
                        <pic:blipFill>
                          <a:blip r:embed="rId180" cstate="print"/>
                          <a:srcRect/>
                          <a:stretch>
                            <a:fillRect/>
                          </a:stretch>
                        </pic:blipFill>
                        <pic:spPr bwMode="auto">
                          <a:xfrm>
                            <a:off x="0" y="0"/>
                            <a:ext cx="2292320" cy="2187168"/>
                          </a:xfrm>
                          <a:prstGeom prst="rect">
                            <a:avLst/>
                          </a:prstGeom>
                          <a:noFill/>
                          <a:ln w="9525">
                            <a:noFill/>
                            <a:miter lim="800000"/>
                            <a:headEnd/>
                            <a:tailEnd/>
                          </a:ln>
                        </pic:spPr>
                      </pic:pic>
                    </a:graphicData>
                  </a:graphic>
                </wp:inline>
              </w:drawing>
            </w:r>
          </w:p>
        </w:tc>
        <w:tc>
          <w:tcPr>
            <w:tcW w:w="2087"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950518" cy="2181225"/>
                  <wp:effectExtent l="19050" t="0" r="0" b="0"/>
                  <wp:docPr id="155" name="il_fi" descr="http://www.arm.ac.uk/staff/bill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m.ac.uk/staff/billn.gif"/>
                          <pic:cNvPicPr>
                            <a:picLocks noChangeAspect="1" noChangeArrowheads="1"/>
                          </pic:cNvPicPr>
                        </pic:nvPicPr>
                        <pic:blipFill>
                          <a:blip r:embed="rId181" cstate="print"/>
                          <a:srcRect/>
                          <a:stretch>
                            <a:fillRect/>
                          </a:stretch>
                        </pic:blipFill>
                        <pic:spPr bwMode="auto">
                          <a:xfrm>
                            <a:off x="0" y="0"/>
                            <a:ext cx="1952330" cy="2183251"/>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E32755">
      <w:pPr>
        <w:pStyle w:val="NoSpacing"/>
        <w:jc w:val="center"/>
        <w:rPr>
          <w:rFonts w:ascii="Book Antiqua" w:hAnsi="Book Antiqua"/>
          <w:i/>
          <w:sz w:val="18"/>
          <w:szCs w:val="18"/>
        </w:rPr>
      </w:pPr>
      <w:r w:rsidRPr="004223A5">
        <w:rPr>
          <w:rFonts w:ascii="Book Antiqua" w:hAnsi="Book Antiqua"/>
          <w:b/>
          <w:i/>
          <w:sz w:val="18"/>
          <w:szCs w:val="18"/>
        </w:rPr>
        <w:t>Figure 9:</w:t>
      </w:r>
      <w:r w:rsidRPr="004223A5">
        <w:rPr>
          <w:rFonts w:ascii="Book Antiqua" w:hAnsi="Book Antiqua"/>
          <w:i/>
          <w:sz w:val="18"/>
          <w:szCs w:val="18"/>
        </w:rPr>
        <w:t xml:space="preserve"> Astronomers </w:t>
      </w:r>
      <w:r w:rsidR="004223A5">
        <w:rPr>
          <w:rFonts w:ascii="Book Antiqua" w:hAnsi="Book Antiqua"/>
          <w:i/>
          <w:sz w:val="18"/>
          <w:szCs w:val="18"/>
        </w:rPr>
        <w:t>(</w:t>
      </w:r>
      <w:r w:rsidRPr="004223A5">
        <w:rPr>
          <w:rFonts w:ascii="Book Antiqua" w:hAnsi="Book Antiqua"/>
          <w:i/>
          <w:sz w:val="18"/>
          <w:szCs w:val="18"/>
        </w:rPr>
        <w:t>left to right</w:t>
      </w:r>
      <w:r w:rsidR="004223A5">
        <w:rPr>
          <w:rFonts w:ascii="Book Antiqua" w:hAnsi="Book Antiqua"/>
          <w:i/>
          <w:sz w:val="18"/>
          <w:szCs w:val="18"/>
        </w:rPr>
        <w:t>)</w:t>
      </w:r>
      <w:r w:rsidRPr="004223A5">
        <w:rPr>
          <w:rFonts w:ascii="Book Antiqua" w:hAnsi="Book Antiqua"/>
          <w:i/>
          <w:sz w:val="18"/>
          <w:szCs w:val="18"/>
        </w:rPr>
        <w:t xml:space="preserve">  William Tifft, Halton Arp, William Napier.</w:t>
      </w:r>
    </w:p>
    <w:p w:rsidR="007A7F0E" w:rsidRPr="00372C58" w:rsidRDefault="007A7F0E" w:rsidP="00265840">
      <w:pPr>
        <w:pStyle w:val="NoSpacing"/>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r w:rsidRPr="00CC121F">
        <w:rPr>
          <w:rFonts w:ascii="Book Antiqua" w:hAnsi="Book Antiqua"/>
          <w:bCs/>
          <w:i/>
          <w:iCs/>
          <w:color w:val="000000"/>
          <w:sz w:val="20"/>
        </w:rPr>
        <w:t>3.2. Attempting To Settle The Issue</w:t>
      </w:r>
      <w:r w:rsidRPr="00372C58">
        <w:rPr>
          <w:rFonts w:ascii="Book Antiqua" w:hAnsi="Book Antiqua"/>
          <w:b/>
          <w:bCs/>
          <w:iCs/>
          <w:color w:val="000000"/>
          <w:sz w:val="20"/>
        </w:rPr>
        <w:t>.</w:t>
      </w:r>
    </w:p>
    <w:p w:rsidR="00265840" w:rsidRPr="00372C58" w:rsidRDefault="00265840" w:rsidP="00265840">
      <w:pPr>
        <w:pStyle w:val="NoSpacing"/>
        <w:jc w:val="both"/>
        <w:rPr>
          <w:rFonts w:ascii="Book Antiqua" w:hAnsi="Book Antiqua"/>
          <w:sz w:val="20"/>
        </w:rPr>
      </w:pPr>
    </w:p>
    <w:p w:rsidR="00265840" w:rsidRDefault="00265840" w:rsidP="00265840">
      <w:pPr>
        <w:pStyle w:val="NoSpacing"/>
        <w:jc w:val="both"/>
        <w:rPr>
          <w:rFonts w:ascii="Book Antiqua" w:hAnsi="Book Antiqua"/>
          <w:sz w:val="20"/>
        </w:rPr>
      </w:pPr>
      <w:r w:rsidRPr="00372C58">
        <w:rPr>
          <w:rFonts w:ascii="Book Antiqua" w:hAnsi="Book Antiqua"/>
          <w:sz w:val="20"/>
        </w:rPr>
        <w:tab/>
      </w:r>
      <w:r w:rsidR="00A249A3" w:rsidRPr="00372C58">
        <w:rPr>
          <w:rFonts w:ascii="Book Antiqua" w:hAnsi="Book Antiqua"/>
          <w:sz w:val="20"/>
        </w:rPr>
        <w:t>In an attempt to prove Tifft – and quantization of the red shift -- wrong, Bruce Guthrie and William Napier of the Royal Observatory, Edinburgh, used the most accurate hydrogen line redshift data</w:t>
      </w:r>
      <w:r w:rsidR="00A249A3">
        <w:rPr>
          <w:rFonts w:ascii="Book Antiqua" w:hAnsi="Book Antiqua"/>
          <w:sz w:val="20"/>
        </w:rPr>
        <w:t xml:space="preserve"> available, as well as doing their own measurements</w:t>
      </w:r>
      <w:r w:rsidR="00A249A3" w:rsidRPr="00372C58">
        <w:rPr>
          <w:rFonts w:ascii="Book Antiqua" w:hAnsi="Book Antiqua"/>
          <w:sz w:val="20"/>
        </w:rPr>
        <w:t xml:space="preserve">. By 1990 and early 1991 they had developed and applied very rigorous statistical tests to galaxies in the direction of the Virgo cluster. The result is graphed in Figure 10.   </w:t>
      </w:r>
    </w:p>
    <w:p w:rsidR="00AE4BA6" w:rsidRDefault="00AE4BA6" w:rsidP="00265840">
      <w:pPr>
        <w:pStyle w:val="NoSpacing"/>
        <w:jc w:val="both"/>
        <w:rPr>
          <w:rFonts w:ascii="Book Antiqua" w:hAnsi="Book Antiqua"/>
          <w:sz w:val="20"/>
        </w:rPr>
      </w:pP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t xml:space="preserve">The horizontal axis in Figure 10 is “cz”; in other words the redshift as a “velocity.” </w:t>
      </w:r>
      <w:r>
        <w:rPr>
          <w:rFonts w:ascii="Book Antiqua" w:hAnsi="Book Antiqua"/>
          <w:sz w:val="20"/>
        </w:rPr>
        <w:t>There,</w:t>
      </w:r>
      <w:r w:rsidRPr="00574815">
        <w:rPr>
          <w:rFonts w:ascii="Book Antiqua" w:hAnsi="Book Antiqua"/>
          <w:sz w:val="20"/>
        </w:rPr>
        <w:t xml:space="preserve"> the velocity goes from 0 km/s (near our </w:t>
      </w:r>
      <w:r>
        <w:rPr>
          <w:rFonts w:ascii="Book Antiqua" w:hAnsi="Book Antiqua"/>
          <w:sz w:val="20"/>
        </w:rPr>
        <w:t>galaxy</w:t>
      </w:r>
      <w:r w:rsidRPr="00574815">
        <w:rPr>
          <w:rFonts w:ascii="Book Antiqua" w:hAnsi="Book Antiqua"/>
          <w:sz w:val="20"/>
        </w:rPr>
        <w:t>) up to 1136 km/s (</w:t>
      </w:r>
      <w:r>
        <w:rPr>
          <w:rFonts w:ascii="Book Antiqua" w:hAnsi="Book Antiqua"/>
          <w:sz w:val="20"/>
        </w:rPr>
        <w:t>towards</w:t>
      </w:r>
      <w:r w:rsidRPr="00574815">
        <w:rPr>
          <w:rFonts w:ascii="Book Antiqua" w:hAnsi="Book Antiqua"/>
          <w:sz w:val="20"/>
        </w:rPr>
        <w:t xml:space="preserve"> the Virgo cluster of galaxies). The vertical axis is “n” or the number of galaxies with a given velocity. The higher the peak, the larger the number of galaxies there is with that velocity. </w:t>
      </w:r>
    </w:p>
    <w:p w:rsidR="00AE4BA6" w:rsidRPr="00372C58" w:rsidRDefault="00AE4BA6" w:rsidP="00265840">
      <w:pPr>
        <w:pStyle w:val="NoSpacing"/>
        <w:jc w:val="both"/>
        <w:rPr>
          <w:rFonts w:ascii="Book Antiqua" w:hAnsi="Book Antiqua"/>
          <w:sz w:val="20"/>
        </w:rPr>
      </w:pP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t xml:space="preserve">As the graph shows, the velocity does not increase smoothly. If it did, there would be a random scatter about a straight line. Instead, it shows that the galaxies have preferred velocities. For example, many galaxies have preferred velocities of about </w:t>
      </w:r>
      <m:oMath>
        <m:r>
          <m:rPr>
            <m:sty m:val="p"/>
          </m:rPr>
          <w:rPr>
            <w:rFonts w:ascii="Cambria Math" w:hAnsi="Cambria Math"/>
            <w:sz w:val="20"/>
          </w:rPr>
          <m:t xml:space="preserve">142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or </w:t>
      </w:r>
      <m:oMath>
        <m:r>
          <m:rPr>
            <m:sty m:val="p"/>
          </m:rPr>
          <w:rPr>
            <w:rFonts w:ascii="Cambria Math" w:hAnsi="Cambria Math"/>
            <w:sz w:val="20"/>
          </w:rPr>
          <m:t xml:space="preserve">(2 </m:t>
        </m:r>
        <m:r>
          <w:rPr>
            <w:rFonts w:ascii="Cambria Math" w:hAnsi="Cambria Math"/>
            <w:sz w:val="20"/>
          </w:rPr>
          <m:t>x</m:t>
        </m:r>
        <m:r>
          <m:rPr>
            <m:sty m:val="p"/>
          </m:rPr>
          <w:rPr>
            <w:rFonts w:ascii="Cambria Math" w:hAnsi="Cambria Math"/>
            <w:sz w:val="20"/>
          </w:rPr>
          <m:t xml:space="preserve"> 71</m:t>
        </m:r>
      </m:oMath>
      <w:r w:rsidRPr="00574815">
        <w:rPr>
          <w:rFonts w:ascii="Book Antiqua" w:hAnsi="Book Antiqua"/>
          <w:sz w:val="20"/>
        </w:rPr>
        <w:t xml:space="preserve"> </w:t>
      </w:r>
      <m:oMath>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r w:rsidRPr="00574815">
        <w:rPr>
          <w:rFonts w:ascii="Book Antiqua" w:hAnsi="Book Antiqua"/>
          <w:sz w:val="20"/>
        </w:rPr>
        <w:t xml:space="preserve"> of about </w:t>
      </w:r>
      <m:oMath>
        <m:r>
          <m:rPr>
            <m:sty m:val="p"/>
          </m:rPr>
          <w:rPr>
            <w:rFonts w:ascii="Cambria Math" w:hAnsi="Cambria Math"/>
            <w:sz w:val="20"/>
          </w:rPr>
          <m:t xml:space="preserve">213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or </w:t>
      </w:r>
      <m:oMath>
        <m:r>
          <m:rPr>
            <m:sty m:val="p"/>
          </m:rPr>
          <w:rPr>
            <w:rFonts w:ascii="Cambria Math" w:hAnsi="Cambria Math"/>
            <w:sz w:val="20"/>
          </w:rPr>
          <m:t xml:space="preserve">(3 </m:t>
        </m:r>
        <m:r>
          <w:rPr>
            <w:rFonts w:ascii="Cambria Math" w:hAnsi="Cambria Math"/>
            <w:sz w:val="20"/>
          </w:rPr>
          <m:t>x</m:t>
        </m:r>
        <m:r>
          <m:rPr>
            <m:sty m:val="p"/>
          </m:rPr>
          <w:rPr>
            <w:rFonts w:ascii="Cambria Math" w:hAnsi="Cambria Math"/>
            <w:sz w:val="20"/>
          </w:rPr>
          <m:t xml:space="preserve"> 71</m:t>
        </m:r>
      </m:oMath>
      <w:r w:rsidRPr="00574815">
        <w:rPr>
          <w:rFonts w:ascii="Book Antiqua" w:hAnsi="Book Antiqua"/>
          <w:sz w:val="20"/>
        </w:rPr>
        <w:t xml:space="preserve"> </w:t>
      </w:r>
      <m:oMath>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r w:rsidRPr="00574815">
        <w:rPr>
          <w:rFonts w:ascii="Book Antiqua" w:hAnsi="Book Antiqua"/>
          <w:sz w:val="20"/>
        </w:rPr>
        <w:t xml:space="preserve"> or about </w:t>
      </w:r>
      <m:oMath>
        <m:r>
          <m:rPr>
            <m:sty m:val="p"/>
          </m:rPr>
          <w:rPr>
            <w:rFonts w:ascii="Cambria Math" w:hAnsi="Cambria Math"/>
            <w:sz w:val="20"/>
          </w:rPr>
          <m:t xml:space="preserve">284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w:t>
      </w:r>
      <w:r>
        <w:rPr>
          <w:rFonts w:ascii="Book Antiqua" w:hAnsi="Book Antiqua"/>
          <w:sz w:val="20"/>
        </w:rPr>
        <w:t>or</w:t>
      </w:r>
      <w:r w:rsidRPr="00574815">
        <w:rPr>
          <w:rFonts w:ascii="Book Antiqua" w:hAnsi="Book Antiqua"/>
          <w:sz w:val="20"/>
        </w:rPr>
        <w:t xml:space="preserve"> </w:t>
      </w:r>
      <m:oMath>
        <m:d>
          <m:dPr>
            <m:ctrlPr>
              <w:rPr>
                <w:rFonts w:ascii="Cambria Math" w:hAnsi="Cambria Math"/>
                <w:sz w:val="20"/>
              </w:rPr>
            </m:ctrlPr>
          </m:dPr>
          <m:e>
            <m:r>
              <m:rPr>
                <m:sty m:val="p"/>
              </m:rPr>
              <w:rPr>
                <w:rFonts w:ascii="Cambria Math" w:hAnsi="Cambria Math"/>
                <w:sz w:val="20"/>
              </w:rPr>
              <m:t xml:space="preserve">4 </m:t>
            </m:r>
            <m:r>
              <w:rPr>
                <w:rFonts w:ascii="Cambria Math" w:hAnsi="Cambria Math"/>
                <w:sz w:val="20"/>
              </w:rPr>
              <m:t>x</m:t>
            </m:r>
            <m:r>
              <m:rPr>
                <m:sty m:val="p"/>
              </m:rPr>
              <w:rPr>
                <w:rFonts w:ascii="Cambria Math" w:hAnsi="Cambria Math"/>
                <w:sz w:val="20"/>
              </w:rPr>
              <m:t xml:space="preserve"> 71 </m:t>
            </m:r>
            <m:r>
              <w:rPr>
                <w:rFonts w:ascii="Cambria Math" w:hAnsi="Cambria Math"/>
                <w:sz w:val="20"/>
              </w:rPr>
              <m:t>km/s</m:t>
            </m:r>
          </m:e>
        </m:d>
      </m:oMath>
      <w:r w:rsidRPr="00574815">
        <w:rPr>
          <w:rFonts w:ascii="Book Antiqua" w:hAnsi="Book Antiqua"/>
          <w:sz w:val="20"/>
        </w:rPr>
        <w:t xml:space="preserve">. By comparison, relatively few galaxies occur with redshift “velocities” between these preferred “peaks”. Thus the conclusion cannot be avoided that the graph shows quantization was appearing in steps of about </w:t>
      </w:r>
      <m:oMath>
        <m:r>
          <m:rPr>
            <m:sty m:val="p"/>
          </m:rPr>
          <w:rPr>
            <w:rFonts w:ascii="Cambria Math" w:hAnsi="Cambria Math"/>
            <w:sz w:val="20"/>
          </w:rPr>
          <m:t xml:space="preserve">71.1 </m:t>
        </m:r>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lastRenderedPageBreak/>
        <w:drawing>
          <wp:inline distT="0" distB="0" distL="0" distR="0">
            <wp:extent cx="5751659" cy="2368886"/>
            <wp:effectExtent l="19050" t="0" r="1441" b="0"/>
            <wp:docPr id="154" name="Picture 24" descr="GuthrieNapier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uthrieNapiergraph1"/>
                    <pic:cNvPicPr>
                      <a:picLocks noChangeAspect="1" noChangeArrowheads="1"/>
                    </pic:cNvPicPr>
                  </pic:nvPicPr>
                  <pic:blipFill>
                    <a:blip r:embed="rId182" cstate="print">
                      <a:lum/>
                    </a:blip>
                    <a:srcRect l="6471" r="4198" b="16466"/>
                    <a:stretch>
                      <a:fillRect/>
                    </a:stretch>
                  </pic:blipFill>
                  <pic:spPr bwMode="auto">
                    <a:xfrm>
                      <a:off x="0" y="0"/>
                      <a:ext cx="5767900" cy="23755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iCs/>
          <w:sz w:val="20"/>
        </w:rPr>
      </w:pPr>
    </w:p>
    <w:p w:rsidR="00265840" w:rsidRPr="004223A5" w:rsidRDefault="00265840" w:rsidP="00265840">
      <w:pPr>
        <w:pStyle w:val="NoSpacing"/>
        <w:rPr>
          <w:rFonts w:ascii="Book Antiqua" w:hAnsi="Book Antiqua"/>
          <w:i/>
          <w:iCs/>
          <w:sz w:val="18"/>
          <w:szCs w:val="18"/>
        </w:rPr>
      </w:pPr>
      <w:r w:rsidRPr="004223A5">
        <w:rPr>
          <w:rFonts w:ascii="Book Antiqua" w:hAnsi="Book Antiqua"/>
          <w:b/>
          <w:i/>
          <w:iCs/>
          <w:sz w:val="18"/>
          <w:szCs w:val="18"/>
        </w:rPr>
        <w:t>Figure 10:</w:t>
      </w:r>
      <w:r w:rsidRPr="004223A5">
        <w:rPr>
          <w:rFonts w:ascii="Book Antiqua" w:hAnsi="Book Antiqua"/>
          <w:i/>
          <w:iCs/>
          <w:sz w:val="18"/>
          <w:szCs w:val="18"/>
        </w:rPr>
        <w:t xml:space="preserve"> Redshifts of spiral galaxies in the direction of the Virgo cluster compared with the center of our own galaxy. Dotted vertical lines represent the quantization of 71.1 km/s. [Guthrie &amp; Napier 1991].</w:t>
      </w:r>
    </w:p>
    <w:p w:rsidR="00265840" w:rsidRPr="00372C58" w:rsidRDefault="00265840" w:rsidP="00265840">
      <w:pPr>
        <w:pStyle w:val="NoSpacing"/>
        <w:jc w:val="both"/>
        <w:rPr>
          <w:rFonts w:ascii="Book Antiqua" w:hAnsi="Book Antiqua"/>
          <w:i/>
          <w:iCs/>
          <w:sz w:val="20"/>
        </w:rPr>
      </w:pPr>
    </w:p>
    <w:p w:rsidR="00C30C44" w:rsidRPr="00574815" w:rsidRDefault="00C30C44" w:rsidP="00A249A3">
      <w:pPr>
        <w:pStyle w:val="NoSpacing"/>
        <w:ind w:firstLine="720"/>
        <w:jc w:val="both"/>
        <w:rPr>
          <w:rFonts w:ascii="Book Antiqua" w:hAnsi="Book Antiqua"/>
          <w:iCs/>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833450" cy="4210850"/>
            <wp:effectExtent l="19050" t="0" r="0" b="0"/>
            <wp:docPr id="153"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3" cstate="print"/>
                    <a:srcRect/>
                    <a:stretch>
                      <a:fillRect/>
                    </a:stretch>
                  </pic:blipFill>
                  <pic:spPr bwMode="auto">
                    <a:xfrm>
                      <a:off x="0" y="0"/>
                      <a:ext cx="5855629" cy="4226860"/>
                    </a:xfrm>
                    <a:prstGeom prst="rect">
                      <a:avLst/>
                    </a:prstGeom>
                    <a:noFill/>
                    <a:ln w="9525">
                      <a:noFill/>
                      <a:miter lim="800000"/>
                      <a:headEnd/>
                      <a:tailEnd/>
                    </a:ln>
                  </pic:spPr>
                </pic:pic>
              </a:graphicData>
            </a:graphic>
          </wp:inline>
        </w:drawing>
      </w:r>
    </w:p>
    <w:p w:rsidR="00265840" w:rsidRDefault="00265840" w:rsidP="00265840">
      <w:pPr>
        <w:pStyle w:val="NormalWeb"/>
        <w:rPr>
          <w:rFonts w:ascii="Book Antiqua" w:hAnsi="Book Antiqua"/>
          <w:i/>
          <w:sz w:val="18"/>
          <w:szCs w:val="18"/>
        </w:rPr>
      </w:pPr>
      <w:r w:rsidRPr="004223A5">
        <w:rPr>
          <w:rFonts w:ascii="Book Antiqua" w:hAnsi="Book Antiqua"/>
          <w:b/>
          <w:i/>
          <w:sz w:val="18"/>
          <w:szCs w:val="18"/>
        </w:rPr>
        <w:t>Figure 11:</w:t>
      </w:r>
      <w:r w:rsidRPr="004223A5">
        <w:rPr>
          <w:rFonts w:ascii="Book Antiqua" w:hAnsi="Book Antiqua"/>
          <w:i/>
          <w:sz w:val="18"/>
          <w:szCs w:val="18"/>
        </w:rPr>
        <w:t xml:space="preserve">  Guthrie and Napier's redshift quantization results for 1996 expressed as speeds of recession (</w:t>
      </w:r>
      <m:oMath>
        <m:r>
          <w:rPr>
            <w:rFonts w:ascii="Cambria Math" w:hAnsi="Book Antiqua"/>
            <w:sz w:val="18"/>
            <w:szCs w:val="18"/>
          </w:rPr>
          <m:t>cz</m:t>
        </m:r>
      </m:oMath>
      <w:r w:rsidRPr="004223A5">
        <w:rPr>
          <w:rFonts w:ascii="Book Antiqua" w:hAnsi="Book Antiqua"/>
          <w:i/>
          <w:sz w:val="18"/>
          <w:szCs w:val="18"/>
        </w:rPr>
        <w:t xml:space="preserve">) in km/sec. The peaks in the graph show where quantum steps occur in multiples of 37.5 km/sec. </w:t>
      </w: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lastRenderedPageBreak/>
        <w:t>By the end of 1991, Guthrie and Napier had studied 106 spiral galaxies, detecting a quantization of about 37.5 km/s, close to Tifft’s quantum multiple of 36.2 km/s [56].</w:t>
      </w:r>
      <w:r w:rsidRPr="00574815">
        <w:rPr>
          <w:rFonts w:ascii="Book Antiqua" w:hAnsi="Book Antiqua"/>
          <w:position w:val="10"/>
          <w:sz w:val="20"/>
          <w:vertAlign w:val="superscript"/>
        </w:rPr>
        <w:t xml:space="preserve"> </w:t>
      </w:r>
      <w:r w:rsidRPr="00574815">
        <w:rPr>
          <w:rFonts w:ascii="Book Antiqua" w:hAnsi="Book Antiqua"/>
          <w:sz w:val="20"/>
        </w:rPr>
        <w:t xml:space="preserve">By November 1992, a further 89 spiral galaxies had been examined and a quantization of 37.2 km/s emerged [57-58]. In 1995 they submitted a paper to </w:t>
      </w:r>
      <w:r w:rsidRPr="00AE4BA6">
        <w:rPr>
          <w:rFonts w:ascii="Book Antiqua" w:hAnsi="Book Antiqua"/>
          <w:i/>
          <w:sz w:val="20"/>
        </w:rPr>
        <w:t>Astronomy and Astrophysics</w:t>
      </w:r>
      <w:r w:rsidRPr="00574815">
        <w:rPr>
          <w:rFonts w:ascii="Book Antiqua" w:hAnsi="Book Antiqua"/>
          <w:sz w:val="20"/>
        </w:rPr>
        <w:t xml:space="preserve"> with the results from a further 97 spiral galaxies, showing a 37.5 km/s quantization [59]. One argument was that the quantization only appeared because the sample sizes were small – not enough galaxies had been studied.  So the referees asked them to repeat their analysis with another set of galaxies. This Guthrie and Napier did, this time with 117 additional galaxies. The same 37.5 km/s quantization was plainly in evidence in this 1996 data set, and the referees accepted the paper [60].</w:t>
      </w:r>
      <w:r w:rsidRPr="00574815">
        <w:rPr>
          <w:rFonts w:ascii="Book Antiqua" w:hAnsi="Book Antiqua"/>
          <w:color w:val="FF0000"/>
          <w:sz w:val="20"/>
        </w:rPr>
        <w:t xml:space="preserve"> </w:t>
      </w:r>
      <w:r w:rsidRPr="00574815">
        <w:rPr>
          <w:rFonts w:ascii="Book Antiqua" w:hAnsi="Book Antiqua"/>
          <w:sz w:val="20"/>
        </w:rPr>
        <w:t xml:space="preserve">Samples of their very extensive data are plotted in Figure 11.  </w:t>
      </w:r>
    </w:p>
    <w:p w:rsidR="00AE4BA6" w:rsidRPr="00574815" w:rsidRDefault="00AE4BA6" w:rsidP="00AE4BA6">
      <w:pPr>
        <w:pStyle w:val="NoSpacing"/>
        <w:ind w:firstLine="720"/>
        <w:jc w:val="both"/>
        <w:rPr>
          <w:rFonts w:ascii="Book Antiqua" w:hAnsi="Book Antiqua"/>
          <w:sz w:val="20"/>
        </w:rPr>
      </w:pPr>
    </w:p>
    <w:p w:rsidR="00AE4BA6" w:rsidRDefault="00AE4BA6" w:rsidP="00AE4BA6">
      <w:pPr>
        <w:pStyle w:val="NoSpacing"/>
        <w:ind w:firstLine="720"/>
        <w:jc w:val="both"/>
        <w:rPr>
          <w:rFonts w:ascii="Book Antiqua" w:hAnsi="Book Antiqua"/>
          <w:iCs/>
          <w:sz w:val="20"/>
        </w:rPr>
      </w:pPr>
      <w:r w:rsidRPr="00574815">
        <w:rPr>
          <w:rFonts w:ascii="Book Antiqua" w:hAnsi="Book Antiqua"/>
          <w:sz w:val="20"/>
        </w:rPr>
        <w:t xml:space="preserve">A Fourier analysis of all 399 data points showed a huge spike at 37.5 km/s with a significance of one in a million. That means the chance of this result being coincidence </w:t>
      </w:r>
      <w:r>
        <w:rPr>
          <w:rFonts w:ascii="Book Antiqua" w:hAnsi="Book Antiqua"/>
          <w:sz w:val="20"/>
        </w:rPr>
        <w:t>is</w:t>
      </w:r>
      <w:r w:rsidRPr="00574815">
        <w:rPr>
          <w:rFonts w:ascii="Book Antiqua" w:hAnsi="Book Antiqua"/>
          <w:sz w:val="20"/>
        </w:rPr>
        <w:t xml:space="preserve"> one in a million. The measurement error was about 1/10 the size of the quantization. One comment on the redshift quantization graphs in Figure 7 stated:</w:t>
      </w:r>
      <w:r w:rsidRPr="00574815">
        <w:rPr>
          <w:rFonts w:ascii="Book Antiqua" w:hAnsi="Book Antiqua"/>
          <w:i/>
          <w:iCs/>
          <w:sz w:val="20"/>
        </w:rPr>
        <w:t>“One can see at a glance how accurately the troughs and peaks of redshift march metronomically outward from 0 to over 2000 km/s.”</w:t>
      </w:r>
      <w:r w:rsidRPr="00574815">
        <w:rPr>
          <w:rFonts w:ascii="Book Antiqua" w:hAnsi="Book Antiqua"/>
          <w:iCs/>
          <w:sz w:val="20"/>
        </w:rPr>
        <w:t xml:space="preserve">[61] </w:t>
      </w:r>
    </w:p>
    <w:p w:rsidR="00AE4BA6" w:rsidRPr="004223A5" w:rsidRDefault="00AE4BA6" w:rsidP="00AE4BA6">
      <w:pPr>
        <w:pStyle w:val="NoSpacing"/>
      </w:pP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3.3. Later Evidence.</w:t>
      </w:r>
    </w:p>
    <w:p w:rsidR="00265840" w:rsidRPr="00372C58" w:rsidRDefault="00265840" w:rsidP="00265840">
      <w:pPr>
        <w:pStyle w:val="NoSpacing"/>
        <w:jc w:val="both"/>
        <w:rPr>
          <w:rFonts w:ascii="Book Antiqua" w:hAnsi="Book Antiqua"/>
          <w:sz w:val="20"/>
        </w:rPr>
      </w:pPr>
    </w:p>
    <w:p w:rsidR="00C30C44" w:rsidRPr="00372C58" w:rsidRDefault="00265840" w:rsidP="00C30C44">
      <w:pPr>
        <w:pStyle w:val="NoSpacing"/>
        <w:jc w:val="both"/>
        <w:rPr>
          <w:rFonts w:ascii="Book Antiqua" w:hAnsi="Book Antiqua"/>
          <w:sz w:val="20"/>
        </w:rPr>
      </w:pPr>
      <w:r w:rsidRPr="00372C58">
        <w:rPr>
          <w:rFonts w:ascii="Book Antiqua" w:hAnsi="Book Antiqua"/>
          <w:sz w:val="20"/>
        </w:rPr>
        <w:tab/>
      </w:r>
      <w:r w:rsidR="00C30C44" w:rsidRPr="00372C58">
        <w:rPr>
          <w:rFonts w:ascii="Book Antiqua" w:hAnsi="Book Antiqua"/>
          <w:sz w:val="20"/>
        </w:rPr>
        <w:t>The outcome of more accurate studies by Tifft in 1991 indicate a possible basic redshift quantization of about 8/3 km/s [62] with a claim by Brian Murray Lewis that the redshift measurements used had an accuracy of 0.1 km/s at a high signal to noise ratio [63].</w:t>
      </w:r>
      <w:r w:rsidR="00C30C44" w:rsidRPr="00372C58">
        <w:rPr>
          <w:rFonts w:ascii="Book Antiqua" w:hAnsi="Book Antiqua"/>
          <w:position w:val="10"/>
          <w:sz w:val="20"/>
          <w:vertAlign w:val="superscript"/>
        </w:rPr>
        <w:t xml:space="preserve"> </w:t>
      </w:r>
      <w:r w:rsidR="00C30C44" w:rsidRPr="00372C58">
        <w:rPr>
          <w:rFonts w:ascii="Book Antiqua" w:hAnsi="Book Antiqua"/>
          <w:sz w:val="20"/>
        </w:rPr>
        <w:t xml:space="preserve">Tifft </w:t>
      </w:r>
      <w:r w:rsidR="00C30C44">
        <w:rPr>
          <w:rFonts w:ascii="Book Antiqua" w:hAnsi="Book Antiqua"/>
          <w:sz w:val="20"/>
        </w:rPr>
        <w:t xml:space="preserve">showed </w:t>
      </w:r>
      <w:r w:rsidR="00C30C44" w:rsidRPr="00372C58">
        <w:rPr>
          <w:rFonts w:ascii="Book Antiqua" w:hAnsi="Book Antiqua"/>
          <w:sz w:val="20"/>
        </w:rPr>
        <w:t xml:space="preserve">that higher redshift quantum values were simply multiples of this basic figure. </w:t>
      </w:r>
    </w:p>
    <w:p w:rsidR="00C30C44" w:rsidRPr="00372C58" w:rsidRDefault="00C30C44" w:rsidP="00C30C44">
      <w:pPr>
        <w:pStyle w:val="NoSpacing"/>
        <w:jc w:val="both"/>
        <w:rPr>
          <w:rFonts w:ascii="Book Antiqua" w:hAnsi="Book Antiqua"/>
          <w:sz w:val="20"/>
        </w:rPr>
      </w:pPr>
    </w:p>
    <w:p w:rsidR="00265840" w:rsidRPr="00372C58" w:rsidRDefault="00265840" w:rsidP="00C30C44">
      <w:pPr>
        <w:pStyle w:val="NoSpacing"/>
        <w:jc w:val="both"/>
        <w:rPr>
          <w:rFonts w:ascii="Book Antiqua" w:hAnsi="Book Antiqua"/>
          <w:sz w:val="20"/>
        </w:rPr>
      </w:pPr>
    </w:p>
    <w:tbl>
      <w:tblPr>
        <w:tblStyle w:val="TableGrid"/>
        <w:tblW w:w="0" w:type="auto"/>
        <w:jc w:val="center"/>
        <w:tblLook w:val="04A0"/>
      </w:tblPr>
      <w:tblGrid>
        <w:gridCol w:w="5359"/>
        <w:gridCol w:w="5346"/>
      </w:tblGrid>
      <w:tr w:rsidR="00265840" w:rsidRPr="00372C58" w:rsidTr="00E32755">
        <w:trPr>
          <w:jc w:val="center"/>
        </w:trPr>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3246518" cy="3095625"/>
                  <wp:effectExtent l="19050" t="0" r="0" b="0"/>
                  <wp:docPr id="1531"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4" cstate="print">
                            <a:lum bright="-20000"/>
                          </a:blip>
                          <a:srcRect/>
                          <a:stretch>
                            <a:fillRect/>
                          </a:stretch>
                        </pic:blipFill>
                        <pic:spPr bwMode="auto">
                          <a:xfrm>
                            <a:off x="0" y="0"/>
                            <a:ext cx="3246518" cy="3095625"/>
                          </a:xfrm>
                          <a:prstGeom prst="rect">
                            <a:avLst/>
                          </a:prstGeom>
                          <a:noFill/>
                          <a:ln w="9525">
                            <a:noFill/>
                            <a:miter lim="800000"/>
                            <a:headEnd/>
                            <a:tailEnd/>
                          </a:ln>
                        </pic:spPr>
                      </pic:pic>
                    </a:graphicData>
                  </a:graphic>
                </wp:inline>
              </w:drawing>
            </w:r>
          </w:p>
        </w:tc>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996184" cy="3238854"/>
                  <wp:effectExtent l="133350" t="0" r="128016" b="0"/>
                  <wp:docPr id="1532"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4" cstate="print">
                            <a:lum bright="-20000"/>
                          </a:blip>
                          <a:srcRect/>
                          <a:stretch>
                            <a:fillRect/>
                          </a:stretch>
                        </pic:blipFill>
                        <pic:spPr bwMode="auto">
                          <a:xfrm rot="5400000">
                            <a:off x="0" y="0"/>
                            <a:ext cx="2997271" cy="3240029"/>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12: (Left)</w:t>
      </w:r>
      <w:r w:rsidRPr="004223A5">
        <w:rPr>
          <w:rFonts w:ascii="Book Antiqua" w:hAnsi="Book Antiqua"/>
          <w:i/>
          <w:sz w:val="18"/>
          <w:szCs w:val="18"/>
        </w:rPr>
        <w:t xml:space="preserve"> Bands of redshift going through galaxy cluster Abell 85. The vertical axis gives the redshift in km/s, which is effectively going through the cluster from the closest objects (bottom) to the furthest (at the top).  The horizontal axis gives the lateral distance across the cluster in arc minutes [64]. The comments by Arp in 2010 at the URL for this figure are also pertinent here.</w:t>
      </w:r>
      <w:r w:rsidRPr="004223A5">
        <w:rPr>
          <w:rFonts w:ascii="Book Antiqua" w:hAnsi="Book Antiqua"/>
          <w:i/>
          <w:color w:val="FF0000"/>
          <w:sz w:val="18"/>
          <w:szCs w:val="18"/>
        </w:rPr>
        <w:t xml:space="preserve"> </w:t>
      </w:r>
      <w:r w:rsidRPr="004223A5">
        <w:rPr>
          <w:rFonts w:ascii="Book Antiqua" w:hAnsi="Book Antiqua"/>
          <w:i/>
          <w:sz w:val="18"/>
          <w:szCs w:val="18"/>
        </w:rPr>
        <w:t xml:space="preserve"> </w:t>
      </w:r>
      <w:r w:rsidRPr="004223A5">
        <w:rPr>
          <w:rFonts w:ascii="Book Antiqua" w:hAnsi="Book Antiqua"/>
          <w:b/>
          <w:i/>
          <w:sz w:val="18"/>
          <w:szCs w:val="18"/>
        </w:rPr>
        <w:t>(Right)</w:t>
      </w:r>
      <w:r w:rsidRPr="004223A5">
        <w:rPr>
          <w:rFonts w:ascii="Book Antiqua" w:hAnsi="Book Antiqua"/>
          <w:i/>
          <w:sz w:val="18"/>
          <w:szCs w:val="18"/>
        </w:rPr>
        <w:t xml:space="preserve"> </w:t>
      </w:r>
      <w:r w:rsidRPr="004223A5">
        <w:rPr>
          <w:rFonts w:ascii="Book Antiqua" w:hAnsi="Book Antiqua"/>
          <w:bCs/>
          <w:i/>
          <w:iCs/>
          <w:color w:val="000000"/>
          <w:sz w:val="18"/>
          <w:szCs w:val="18"/>
        </w:rPr>
        <w:t xml:space="preserve">A presentation of Figure 12 (left) </w:t>
      </w:r>
      <w:r w:rsidR="004223A5">
        <w:rPr>
          <w:rFonts w:ascii="Book Antiqua" w:hAnsi="Book Antiqua"/>
          <w:bCs/>
          <w:i/>
          <w:iCs/>
          <w:color w:val="000000"/>
          <w:sz w:val="18"/>
          <w:szCs w:val="18"/>
        </w:rPr>
        <w:t xml:space="preserve">which is rotated to make it </w:t>
      </w:r>
      <w:r w:rsidRPr="004223A5">
        <w:rPr>
          <w:rFonts w:ascii="Book Antiqua" w:hAnsi="Book Antiqua"/>
          <w:bCs/>
          <w:i/>
          <w:iCs/>
          <w:color w:val="000000"/>
          <w:sz w:val="18"/>
          <w:szCs w:val="18"/>
        </w:rPr>
        <w:t xml:space="preserve">similar to </w:t>
      </w:r>
      <w:r w:rsidR="004223A5">
        <w:rPr>
          <w:rFonts w:ascii="Book Antiqua" w:hAnsi="Book Antiqua"/>
          <w:bCs/>
          <w:i/>
          <w:iCs/>
          <w:color w:val="000000"/>
          <w:sz w:val="18"/>
          <w:szCs w:val="18"/>
        </w:rPr>
        <w:t xml:space="preserve">the presentation in </w:t>
      </w:r>
      <w:r w:rsidRPr="004223A5">
        <w:rPr>
          <w:rFonts w:ascii="Book Antiqua" w:hAnsi="Book Antiqua"/>
          <w:bCs/>
          <w:i/>
          <w:iCs/>
          <w:color w:val="000000"/>
          <w:sz w:val="18"/>
          <w:szCs w:val="18"/>
        </w:rPr>
        <w:t>Figures 10 and 11.</w:t>
      </w:r>
    </w:p>
    <w:p w:rsidR="00265840" w:rsidRPr="00372C58" w:rsidRDefault="00265840" w:rsidP="00265840">
      <w:pPr>
        <w:pStyle w:val="NoSpacing"/>
        <w:jc w:val="both"/>
        <w:rPr>
          <w:rFonts w:ascii="Book Antiqua" w:hAnsi="Book Antiqua"/>
          <w:i/>
          <w:sz w:val="20"/>
        </w:rPr>
      </w:pPr>
    </w:p>
    <w:p w:rsidR="00236B79" w:rsidRPr="00372C58" w:rsidRDefault="00236B79" w:rsidP="00236B79">
      <w:pPr>
        <w:pStyle w:val="NoSpacing"/>
        <w:ind w:firstLine="720"/>
        <w:jc w:val="both"/>
        <w:rPr>
          <w:rFonts w:ascii="Book Antiqua" w:hAnsi="Book Antiqua"/>
          <w:bCs/>
          <w:iCs/>
          <w:sz w:val="20"/>
        </w:rPr>
      </w:pPr>
      <w:r w:rsidRPr="00372C58">
        <w:rPr>
          <w:rFonts w:ascii="Book Antiqua" w:hAnsi="Book Antiqua"/>
          <w:bCs/>
          <w:iCs/>
          <w:sz w:val="20"/>
        </w:rPr>
        <w:t xml:space="preserve">In 1996, a study of the galaxy cluster Abell 85, by Durrett et al., revealed bands of redshift going through the cluster and beyond, similar to what Tifft had first seen in the Coma Cluster. Although </w:t>
      </w:r>
      <w:r>
        <w:rPr>
          <w:rFonts w:ascii="Book Antiqua" w:hAnsi="Book Antiqua"/>
          <w:bCs/>
          <w:iCs/>
          <w:sz w:val="20"/>
        </w:rPr>
        <w:t xml:space="preserve">Durrett et al. </w:t>
      </w:r>
      <w:r w:rsidRPr="00372C58">
        <w:rPr>
          <w:rFonts w:ascii="Book Antiqua" w:hAnsi="Book Antiqua"/>
          <w:bCs/>
          <w:iCs/>
          <w:sz w:val="20"/>
        </w:rPr>
        <w:t>attributed the banding to other causes (causes which are invalid for the Coma Cluster), the basic data still stands, as shown in Figure 12</w:t>
      </w:r>
      <w:r>
        <w:rPr>
          <w:rFonts w:ascii="Book Antiqua" w:hAnsi="Book Antiqua"/>
          <w:bCs/>
          <w:iCs/>
          <w:sz w:val="20"/>
        </w:rPr>
        <w:t xml:space="preserve">. </w:t>
      </w:r>
      <w:r w:rsidRPr="00372C58">
        <w:rPr>
          <w:rFonts w:ascii="Book Antiqua" w:hAnsi="Book Antiqua"/>
          <w:bCs/>
          <w:iCs/>
          <w:sz w:val="20"/>
        </w:rPr>
        <w:t xml:space="preserve">Abell 85 is a cluster about 740 million light years away, and the graph shows bands of redshift with a quantization of around 5,000 </w:t>
      </w:r>
      <w:r w:rsidRPr="00372C58">
        <w:rPr>
          <w:rFonts w:ascii="Book Antiqua" w:hAnsi="Book Antiqua"/>
          <w:bCs/>
          <w:iCs/>
          <w:sz w:val="20"/>
        </w:rPr>
        <w:lastRenderedPageBreak/>
        <w:t xml:space="preserve">km/s [64]. This period is appropriate for the distance involved; the further out we look, the greater the quantization steps. Tifft’s basic figure of 8/3 km/s was obtained from nearby objects. </w:t>
      </w:r>
    </w:p>
    <w:p w:rsidR="00236B79" w:rsidRDefault="00236B79" w:rsidP="00753C01">
      <w:pPr>
        <w:pStyle w:val="NoSpacing"/>
        <w:ind w:firstLine="720"/>
        <w:jc w:val="both"/>
        <w:rPr>
          <w:rFonts w:ascii="Book Antiqua" w:hAnsi="Book Antiqua"/>
          <w:sz w:val="20"/>
        </w:rPr>
      </w:pPr>
    </w:p>
    <w:p w:rsidR="00236B79" w:rsidRDefault="00236B79" w:rsidP="00753C01">
      <w:pPr>
        <w:pStyle w:val="NoSpacing"/>
        <w:ind w:firstLine="720"/>
        <w:jc w:val="both"/>
        <w:rPr>
          <w:rFonts w:ascii="Book Antiqua" w:hAnsi="Book Antiqua"/>
          <w:sz w:val="20"/>
        </w:rPr>
      </w:pPr>
      <w:r w:rsidRPr="00372C58">
        <w:rPr>
          <w:rFonts w:ascii="Book Antiqua" w:hAnsi="Book Antiqua"/>
          <w:sz w:val="20"/>
        </w:rPr>
        <w:t>This can be looked at in another way. If we take the plot of galaxies in Figure 12 (left) which show the bands of redshift going through the Abell 85 cluster and turn it on its right hand side, the result is as shown in Figure 12 (right).</w:t>
      </w:r>
    </w:p>
    <w:p w:rsidR="00236B79" w:rsidRDefault="00236B79" w:rsidP="00753C01">
      <w:pPr>
        <w:pStyle w:val="NoSpacing"/>
        <w:ind w:firstLine="720"/>
        <w:jc w:val="both"/>
        <w:rPr>
          <w:rFonts w:ascii="Book Antiqua" w:hAnsi="Book Antiqua"/>
          <w:sz w:val="20"/>
        </w:rPr>
      </w:pPr>
    </w:p>
    <w:p w:rsidR="00753C01" w:rsidRPr="00372C58" w:rsidRDefault="00753C01" w:rsidP="00753C01">
      <w:pPr>
        <w:pStyle w:val="NoSpacing"/>
        <w:ind w:firstLine="720"/>
        <w:jc w:val="both"/>
        <w:rPr>
          <w:rFonts w:ascii="Book Antiqua" w:hAnsi="Book Antiqua"/>
          <w:sz w:val="20"/>
        </w:rPr>
      </w:pPr>
      <w:r w:rsidRPr="00372C58">
        <w:rPr>
          <w:rFonts w:ascii="Book Antiqua" w:hAnsi="Book Antiqua"/>
          <w:sz w:val="20"/>
        </w:rPr>
        <w:t>In Figure 12 (right), we get the same as in Fi</w:t>
      </w:r>
      <w:r>
        <w:rPr>
          <w:rFonts w:ascii="Book Antiqua" w:hAnsi="Book Antiqua"/>
          <w:sz w:val="20"/>
        </w:rPr>
        <w:t>gures 10 and 11. In Figure 12 (right</w:t>
      </w:r>
      <w:r w:rsidRPr="00372C58">
        <w:rPr>
          <w:rFonts w:ascii="Book Antiqua" w:hAnsi="Book Antiqua"/>
          <w:sz w:val="20"/>
        </w:rPr>
        <w:t>), the horizontal axis becomes the redshift “velocity”</w:t>
      </w:r>
      <w:r>
        <w:rPr>
          <w:rFonts w:ascii="Book Antiqua" w:hAnsi="Book Antiqua"/>
          <w:sz w:val="20"/>
        </w:rPr>
        <w:t xml:space="preserve"> which increases from left to right.</w:t>
      </w:r>
      <w:r w:rsidRPr="00372C58">
        <w:rPr>
          <w:rFonts w:ascii="Book Antiqua" w:hAnsi="Book Antiqua"/>
          <w:sz w:val="20"/>
        </w:rPr>
        <w:t xml:space="preserve"> It can be seen that, again, the galaxies have preferred redshift “velocities.” The most obvious is the 5000 km/s interval between groups with the same velocity. In this case the number of galaxies at a given redshift is given by the vertical line of dots. The more dots, the more galaxies there are with that redshift. It can be seen that there are “peaks” and “valleys” or “gaps” in the galaxy redshifts in this figure the same as there was in Figure 10.</w:t>
      </w:r>
    </w:p>
    <w:p w:rsidR="00753C01" w:rsidRDefault="00753C01" w:rsidP="00753C01">
      <w:pPr>
        <w:pStyle w:val="NoSpacing"/>
        <w:ind w:firstLine="720"/>
        <w:jc w:val="both"/>
        <w:rPr>
          <w:rFonts w:ascii="Book Antiqua" w:hAnsi="Book Antiqua"/>
          <w:color w:val="000000"/>
          <w:sz w:val="20"/>
        </w:rPr>
      </w:pPr>
    </w:p>
    <w:p w:rsidR="00753C01" w:rsidRPr="00372C58" w:rsidRDefault="00753C01" w:rsidP="00753C01">
      <w:pPr>
        <w:pStyle w:val="NoSpacing"/>
        <w:ind w:firstLine="720"/>
        <w:jc w:val="both"/>
        <w:rPr>
          <w:rFonts w:ascii="Book Antiqua" w:hAnsi="Book Antiqua"/>
          <w:bCs/>
          <w:iCs/>
          <w:color w:val="000000"/>
          <w:sz w:val="20"/>
        </w:rPr>
      </w:pPr>
      <w:r w:rsidRPr="00372C58">
        <w:rPr>
          <w:rFonts w:ascii="Book Antiqua" w:hAnsi="Book Antiqua"/>
          <w:color w:val="000000"/>
          <w:sz w:val="20"/>
        </w:rPr>
        <w:t>Note that in Figure 12</w:t>
      </w:r>
      <w:r>
        <w:rPr>
          <w:rFonts w:ascii="Book Antiqua" w:hAnsi="Book Antiqua"/>
          <w:color w:val="000000"/>
          <w:sz w:val="20"/>
        </w:rPr>
        <w:t xml:space="preserve"> (right)</w:t>
      </w:r>
      <w:r w:rsidRPr="00372C58">
        <w:rPr>
          <w:rFonts w:ascii="Book Antiqua" w:hAnsi="Book Antiqua"/>
          <w:color w:val="000000"/>
          <w:sz w:val="20"/>
        </w:rPr>
        <w:t xml:space="preserve"> there are some galaxies which are recorded at intermediate “velocities” between the main quantum values. This happens in the centers of galaxy clusters, where, deep in the gravitational potential well, the motion of galaxies is high. </w:t>
      </w:r>
      <w:r>
        <w:rPr>
          <w:rFonts w:ascii="Book Antiqua" w:hAnsi="Book Antiqua"/>
          <w:color w:val="000000"/>
          <w:sz w:val="20"/>
        </w:rPr>
        <w:t xml:space="preserve">This produces a genuine Doppler component with smears out the straightforward quantization.  </w:t>
      </w:r>
      <w:r w:rsidRPr="00372C58">
        <w:rPr>
          <w:rFonts w:ascii="Book Antiqua" w:hAnsi="Book Antiqua"/>
          <w:color w:val="000000"/>
          <w:sz w:val="20"/>
        </w:rPr>
        <w:t>This is seen in the center of the Virgo cluster where the gravitational motion of the individual galaxies is so high that the quantization disappears. Thus we have an additional pointer to the fact that the quantized redshift is not due to motion because real motion, or real velocities, actually destroy the quantization. This is discussed further below.</w:t>
      </w:r>
    </w:p>
    <w:p w:rsidR="00753C01" w:rsidRPr="00372C58" w:rsidRDefault="00753C01" w:rsidP="00753C01">
      <w:pPr>
        <w:pStyle w:val="NoSpacing"/>
        <w:ind w:firstLine="720"/>
        <w:jc w:val="both"/>
        <w:rPr>
          <w:rFonts w:ascii="Book Antiqua" w:hAnsi="Book Antiqua"/>
          <w:bCs/>
          <w:iCs/>
          <w:color w:val="000000"/>
          <w:sz w:val="20"/>
        </w:rPr>
      </w:pPr>
    </w:p>
    <w:p w:rsidR="00753C01" w:rsidRPr="00372C58" w:rsidRDefault="00753C01" w:rsidP="00753C01">
      <w:pPr>
        <w:pStyle w:val="NoSpacing"/>
        <w:ind w:firstLine="720"/>
        <w:jc w:val="both"/>
        <w:rPr>
          <w:rFonts w:ascii="Book Antiqua" w:hAnsi="Book Antiqua"/>
          <w:i/>
          <w:iCs/>
          <w:sz w:val="20"/>
        </w:rPr>
      </w:pPr>
      <w:r w:rsidRPr="00372C58">
        <w:rPr>
          <w:rFonts w:ascii="Book Antiqua" w:hAnsi="Book Antiqua"/>
          <w:sz w:val="20"/>
        </w:rPr>
        <w:t xml:space="preserve">In a more recent development, on 5th and 7th May 2003, two Abstracts appeared in </w:t>
      </w:r>
      <w:r w:rsidRPr="00372C58">
        <w:rPr>
          <w:rFonts w:ascii="Book Antiqua" w:hAnsi="Book Antiqua"/>
          <w:i/>
          <w:iCs/>
          <w:sz w:val="20"/>
        </w:rPr>
        <w:t xml:space="preserve">Astrophysics </w:t>
      </w:r>
      <w:r w:rsidRPr="00372C58">
        <w:rPr>
          <w:rFonts w:ascii="Book Antiqua" w:hAnsi="Book Antiqua"/>
          <w:sz w:val="20"/>
        </w:rPr>
        <w:t xml:space="preserve">authored by Morley Bell. One Abstract read in part: </w:t>
      </w:r>
      <w:r w:rsidRPr="00372C58">
        <w:rPr>
          <w:rFonts w:ascii="Book Antiqua" w:hAnsi="Book Antiqua"/>
          <w:i/>
          <w:iCs/>
          <w:sz w:val="20"/>
        </w:rPr>
        <w:t>“Evidence was presented recently suggesting that [galaxy] clusters studied by the Hubble Key Project may contain quantized intrinsic redshift components that are related to those reported by Tifft. Here we report the results of a similar analysis using 55 spiral … and 36 Type Ia supernovae galaxies. We find that even when more objects are included in the sample there is still clear evidence that the same quantized intrinsic redshifts are present…”</w:t>
      </w:r>
    </w:p>
    <w:p w:rsidR="00753C01" w:rsidRPr="00372C58" w:rsidRDefault="00753C01" w:rsidP="00753C01">
      <w:pPr>
        <w:pStyle w:val="NoSpacing"/>
        <w:jc w:val="both"/>
        <w:rPr>
          <w:rFonts w:ascii="Book Antiqua" w:hAnsi="Book Antiqua"/>
          <w:sz w:val="20"/>
        </w:rPr>
      </w:pPr>
    </w:p>
    <w:p w:rsidR="00753C01" w:rsidRPr="00372C58" w:rsidRDefault="00753C01" w:rsidP="00753C01">
      <w:pPr>
        <w:pStyle w:val="NoSpacing"/>
        <w:ind w:firstLine="720"/>
        <w:jc w:val="both"/>
        <w:rPr>
          <w:rFonts w:ascii="Book Antiqua" w:hAnsi="Book Antiqua"/>
          <w:iCs/>
          <w:sz w:val="20"/>
        </w:rPr>
      </w:pPr>
      <w:r w:rsidRPr="00372C58">
        <w:rPr>
          <w:rFonts w:ascii="Book Antiqua" w:hAnsi="Book Antiqua"/>
          <w:iCs/>
          <w:sz w:val="20"/>
        </w:rPr>
        <w:t xml:space="preserve">Further developments occurred in September 2006.  It was reported that </w:t>
      </w:r>
      <w:r w:rsidRPr="00372C58">
        <w:rPr>
          <w:rFonts w:ascii="Book Antiqua" w:hAnsi="Book Antiqua"/>
          <w:i/>
          <w:sz w:val="20"/>
        </w:rPr>
        <w:t xml:space="preserve">“The redshift distribution of all 46,400 quasars in the Sloan Digital Sky Survey (SDSS) Quasar Catalog, Third Data Release (DR3), is examined. Six [quantization] peaks that fall within the redshift window below </w:t>
      </w:r>
      <m:oMath>
        <m:r>
          <w:rPr>
            <w:rFonts w:ascii="Cambria Math" w:hAnsi="Cambria Math"/>
            <w:sz w:val="20"/>
          </w:rPr>
          <m:t>z</m:t>
        </m:r>
        <m:r>
          <w:rPr>
            <w:rFonts w:ascii="Cambria Math" w:hAnsi="Book Antiqua"/>
            <w:sz w:val="20"/>
          </w:rPr>
          <m:t xml:space="preserve"> = 4</m:t>
        </m:r>
      </m:oMath>
      <w:r w:rsidRPr="00372C58">
        <w:rPr>
          <w:rFonts w:ascii="Book Antiqua" w:hAnsi="Book Antiqua"/>
          <w:i/>
          <w:sz w:val="20"/>
        </w:rPr>
        <w:t xml:space="preserve"> are visible. … A power spectrum analysis of the distribution of over 46,000 SDSS quasar redshifts has been found to show a single, distinct power peak … [which] corresponds to a redshift period of </w:t>
      </w:r>
      <m:oMath>
        <m:r>
          <w:rPr>
            <w:rFonts w:ascii="Cambria Math" w:hAnsi="Cambria Math"/>
            <w:sz w:val="20"/>
          </w:rPr>
          <m:t>Δ</m:t>
        </m:r>
        <m:r>
          <w:rPr>
            <w:rFonts w:ascii="Cambria Math" w:hAnsi="Book Antiqua"/>
            <w:sz w:val="20"/>
          </w:rPr>
          <m:t xml:space="preserve"> </m:t>
        </m:r>
        <m:r>
          <w:rPr>
            <w:rFonts w:ascii="Cambria Math" w:hAnsi="Cambria Math"/>
            <w:sz w:val="20"/>
          </w:rPr>
          <m:t>z</m:t>
        </m:r>
        <m:r>
          <w:rPr>
            <w:rFonts w:ascii="Cambria Math" w:hAnsi="Book Antiqua"/>
            <w:sz w:val="20"/>
          </w:rPr>
          <m:t xml:space="preserve"> </m:t>
        </m:r>
        <m:r>
          <w:rPr>
            <w:rFonts w:ascii="Cambria Math" w:hAnsi="Book Antiqua"/>
            <w:i/>
            <w:noProof/>
            <w:sz w:val="20"/>
          </w:rPr>
          <w:drawing>
            <wp:inline distT="0" distB="0" distL="0" distR="0">
              <wp:extent cx="104775" cy="38100"/>
              <wp:effectExtent l="19050" t="0" r="9525" b="0"/>
              <wp:docPr id="786"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85" cstate="print"/>
                      <a:srcRect/>
                      <a:stretch>
                        <a:fillRect/>
                      </a:stretch>
                    </pic:blipFill>
                    <pic:spPr bwMode="auto">
                      <a:xfrm>
                        <a:off x="0" y="0"/>
                        <a:ext cx="104775" cy="38100"/>
                      </a:xfrm>
                      <a:prstGeom prst="rect">
                        <a:avLst/>
                      </a:prstGeom>
                      <a:noFill/>
                      <a:ln w="9525">
                        <a:noFill/>
                        <a:miter lim="800000"/>
                        <a:headEnd/>
                        <a:tailEnd/>
                      </a:ln>
                    </pic:spPr>
                  </pic:pic>
                </a:graphicData>
              </a:graphic>
            </wp:inline>
          </w:drawing>
        </m:r>
        <m:r>
          <w:rPr>
            <w:rFonts w:ascii="Cambria Math" w:hAnsi="Book Antiqua"/>
            <w:sz w:val="20"/>
          </w:rPr>
          <m:t xml:space="preserve"> 0.70</m:t>
        </m:r>
      </m:oMath>
      <w:r w:rsidRPr="00372C58">
        <w:rPr>
          <w:rFonts w:ascii="Book Antiqua" w:hAnsi="Book Antiqua"/>
          <w:i/>
          <w:sz w:val="20"/>
        </w:rPr>
        <w:t>.”</w:t>
      </w:r>
      <w:r w:rsidRPr="00372C58">
        <w:rPr>
          <w:rFonts w:ascii="Book Antiqua" w:hAnsi="Book Antiqua"/>
          <w:iCs/>
          <w:sz w:val="20"/>
        </w:rPr>
        <w:t xml:space="preserve"> [65] Here </w:t>
      </w:r>
      <m:oMath>
        <m:r>
          <w:rPr>
            <w:rFonts w:ascii="Cambria Math" w:hAnsi="Cambria Math"/>
            <w:sz w:val="20"/>
          </w:rPr>
          <m:t>cΔz</m:t>
        </m:r>
        <m:r>
          <w:rPr>
            <w:rFonts w:ascii="Cambria Math" w:hAnsi="Book Antiqua"/>
            <w:sz w:val="20"/>
          </w:rPr>
          <m:t xml:space="preserve"> = 209,850</m:t>
        </m:r>
      </m:oMath>
      <w:r w:rsidRPr="00372C58">
        <w:rPr>
          <w:rFonts w:ascii="Book Antiqua" w:hAnsi="Book Antiqua"/>
          <w:iCs/>
          <w:sz w:val="20"/>
        </w:rPr>
        <w:t xml:space="preserve"> km/s.</w:t>
      </w:r>
      <w:r w:rsidR="00C740AD">
        <w:rPr>
          <w:rFonts w:ascii="Book Antiqua" w:hAnsi="Book Antiqua"/>
          <w:iCs/>
          <w:sz w:val="20"/>
        </w:rPr>
        <w:t xml:space="preserve"> Shortly after, a thorough review in 2007, Bajan et al said </w:t>
      </w:r>
      <w:r w:rsidR="00C740AD" w:rsidRPr="00C740AD">
        <w:rPr>
          <w:rFonts w:ascii="Book Antiqua" w:hAnsi="Book Antiqua"/>
          <w:i/>
          <w:iCs/>
          <w:sz w:val="20"/>
        </w:rPr>
        <w:t>“We conclude that galaxy redshift periodisation is an effect which can really exist.”</w:t>
      </w:r>
      <w:r w:rsidR="00C740AD">
        <w:rPr>
          <w:rFonts w:ascii="Book Antiqua" w:hAnsi="Book Antiqua"/>
          <w:iCs/>
          <w:sz w:val="20"/>
        </w:rPr>
        <w:t xml:space="preserve"> [</w:t>
      </w:r>
      <w:r w:rsidR="00C740AD" w:rsidRPr="00C740AD">
        <w:rPr>
          <w:rFonts w:ascii="Book Antiqua" w:hAnsi="Book Antiqua"/>
          <w:i/>
          <w:iCs/>
          <w:sz w:val="20"/>
        </w:rPr>
        <w:t>Phys. Part. Nuc.Lett.</w:t>
      </w:r>
      <w:r w:rsidR="00C740AD">
        <w:rPr>
          <w:rFonts w:ascii="Book Antiqua" w:hAnsi="Book Antiqua"/>
          <w:iCs/>
          <w:sz w:val="20"/>
        </w:rPr>
        <w:t xml:space="preserve"> </w:t>
      </w:r>
      <w:r w:rsidR="00C740AD" w:rsidRPr="00C740AD">
        <w:rPr>
          <w:rFonts w:ascii="Book Antiqua" w:hAnsi="Book Antiqua"/>
          <w:b/>
          <w:iCs/>
          <w:sz w:val="20"/>
        </w:rPr>
        <w:t>4:</w:t>
      </w:r>
      <w:r w:rsidR="00C740AD">
        <w:rPr>
          <w:rFonts w:ascii="Book Antiqua" w:hAnsi="Book Antiqua"/>
          <w:iCs/>
          <w:sz w:val="20"/>
        </w:rPr>
        <w:t xml:space="preserve">5-10, 2007 see: </w:t>
      </w:r>
      <w:r w:rsidR="00C740AD" w:rsidRPr="00C740AD">
        <w:rPr>
          <w:rFonts w:ascii="Book Antiqua" w:hAnsi="Book Antiqua"/>
          <w:i/>
          <w:iCs/>
          <w:sz w:val="20"/>
        </w:rPr>
        <w:t>arXiv:astro-ph/0606294v1</w:t>
      </w:r>
      <w:r w:rsidR="00C740AD">
        <w:rPr>
          <w:rFonts w:ascii="Book Antiqua" w:hAnsi="Book Antiqua"/>
          <w:iCs/>
          <w:sz w:val="20"/>
        </w:rPr>
        <w:t>].</w:t>
      </w:r>
    </w:p>
    <w:p w:rsidR="00753C01" w:rsidRPr="00372C58" w:rsidRDefault="00753C01" w:rsidP="00753C01">
      <w:pPr>
        <w:pStyle w:val="NoSpacing"/>
        <w:ind w:firstLine="720"/>
        <w:jc w:val="both"/>
        <w:rPr>
          <w:rFonts w:ascii="Book Antiqua" w:hAnsi="Book Antiqua"/>
          <w:iCs/>
          <w:sz w:val="20"/>
        </w:rPr>
      </w:pPr>
    </w:p>
    <w:p w:rsidR="00753C01" w:rsidRPr="00CA6987" w:rsidRDefault="00753C01" w:rsidP="00C740AD">
      <w:pPr>
        <w:pStyle w:val="NoSpacing"/>
        <w:ind w:firstLine="720"/>
        <w:rPr>
          <w:rFonts w:ascii="Book Antiqua" w:hAnsi="Book Antiqua"/>
          <w:sz w:val="20"/>
        </w:rPr>
      </w:pPr>
      <w:r w:rsidRPr="00CA6987">
        <w:rPr>
          <w:rFonts w:ascii="Book Antiqua" w:hAnsi="Book Antiqua"/>
          <w:iCs/>
          <w:sz w:val="20"/>
        </w:rPr>
        <w:t xml:space="preserve">Finally, Halton Arp and his colleagues noted in 2010 that </w:t>
      </w:r>
      <w:r w:rsidRPr="00CA6987">
        <w:rPr>
          <w:rFonts w:ascii="Book Antiqua" w:hAnsi="Book Antiqua"/>
          <w:sz w:val="20"/>
        </w:rPr>
        <w:t xml:space="preserve">if quasar clusters are examined and the central redshift is taken, then the redshift differences hover around the Karlsson Peak redshift values of z = 0.06; 0.30; 0.60; 0.96; 1.41; 1.96 and 2.64 with most at z = 1.96. See for example Arp et al's paper at: </w:t>
      </w:r>
    </w:p>
    <w:p w:rsidR="00753C01" w:rsidRPr="00CA6987" w:rsidRDefault="00241D2F" w:rsidP="00753C01">
      <w:pPr>
        <w:pStyle w:val="NoSpacing"/>
        <w:rPr>
          <w:rFonts w:ascii="Book Antiqua" w:hAnsi="Book Antiqua"/>
          <w:i/>
          <w:sz w:val="20"/>
        </w:rPr>
      </w:pPr>
      <w:hyperlink r:id="rId186" w:tgtFrame="_blank" w:history="1">
        <w:r w:rsidR="00753C01" w:rsidRPr="00CA6987">
          <w:rPr>
            <w:rStyle w:val="Hyperlink"/>
            <w:rFonts w:ascii="Book Antiqua" w:eastAsiaTheme="majorEastAsia" w:hAnsi="Book Antiqua"/>
            <w:i/>
            <w:sz w:val="20"/>
          </w:rPr>
          <w:t>http://www.haltonarp.com/articles/intrinsic_redshifts_in_quasars_and_galaxies.pdf</w:t>
        </w:r>
      </w:hyperlink>
    </w:p>
    <w:p w:rsidR="00753C01" w:rsidRPr="00CA6987" w:rsidRDefault="00753C01" w:rsidP="00753C01">
      <w:pPr>
        <w:pStyle w:val="NoSpacing"/>
        <w:rPr>
          <w:rFonts w:ascii="Book Antiqua" w:hAnsi="Book Antiqua"/>
          <w:sz w:val="20"/>
        </w:rPr>
      </w:pPr>
    </w:p>
    <w:p w:rsidR="00753C01" w:rsidRPr="00CA6987" w:rsidRDefault="00753C01" w:rsidP="00753C01">
      <w:pPr>
        <w:pStyle w:val="NoSpacing"/>
        <w:ind w:firstLine="720"/>
        <w:jc w:val="both"/>
        <w:rPr>
          <w:rFonts w:ascii="Book Antiqua" w:hAnsi="Book Antiqua"/>
          <w:sz w:val="20"/>
        </w:rPr>
      </w:pPr>
      <w:r w:rsidRPr="00CA6987">
        <w:rPr>
          <w:rFonts w:ascii="Book Antiqua" w:hAnsi="Book Antiqua"/>
          <w:sz w:val="20"/>
        </w:rPr>
        <w:t xml:space="preserve">A search through recent literature reveals that quasar "clustering" at about the same redshifts is currently being openly discussed. </w:t>
      </w:r>
      <w:r>
        <w:rPr>
          <w:rFonts w:ascii="Book Antiqua" w:hAnsi="Book Antiqua"/>
          <w:sz w:val="20"/>
        </w:rPr>
        <w:t>This is basically the same as</w:t>
      </w:r>
      <w:r w:rsidRPr="00CA6987">
        <w:rPr>
          <w:rFonts w:ascii="Book Antiqua" w:hAnsi="Book Antiqua"/>
          <w:sz w:val="20"/>
        </w:rPr>
        <w:t xml:space="preserve"> saying that these objects have a preferred redshift, or, more bluntly, are quantized. This is apparent from articles such as </w:t>
      </w:r>
      <w:hyperlink r:id="rId187" w:tgtFrame="_blank" w:history="1">
        <w:r w:rsidRPr="00CA6987">
          <w:rPr>
            <w:rStyle w:val="Hyperlink"/>
            <w:rFonts w:ascii="Book Antiqua" w:eastAsiaTheme="majorEastAsia" w:hAnsi="Book Antiqua"/>
            <w:i/>
            <w:sz w:val="20"/>
          </w:rPr>
          <w:t>http://arxiv.org/pdf/astro-ph/0612191.pdf</w:t>
        </w:r>
      </w:hyperlink>
      <w:r w:rsidRPr="00CA6987">
        <w:rPr>
          <w:rFonts w:ascii="Book Antiqua" w:hAnsi="Book Antiqua"/>
          <w:i/>
          <w:sz w:val="20"/>
        </w:rPr>
        <w:t xml:space="preserve"> </w:t>
      </w:r>
      <w:r w:rsidRPr="00CA6987">
        <w:rPr>
          <w:rFonts w:ascii="Book Antiqua" w:hAnsi="Book Antiqua"/>
          <w:sz w:val="20"/>
        </w:rPr>
        <w:t xml:space="preserve">where this phenomenon is discussed. </w:t>
      </w:r>
      <w:r w:rsidR="00236B79">
        <w:rPr>
          <w:rFonts w:ascii="Book Antiqua" w:hAnsi="Book Antiqua"/>
          <w:sz w:val="20"/>
        </w:rPr>
        <w:t>It appears that</w:t>
      </w:r>
      <w:r w:rsidRPr="00CA6987">
        <w:rPr>
          <w:rFonts w:ascii="Book Antiqua" w:hAnsi="Book Antiqua"/>
          <w:sz w:val="20"/>
        </w:rPr>
        <w:t xml:space="preserve"> quasar quantization is alive and well. It is standard to try and explain many of these results to the action of "dark matter." Although this is discussed in Chapter 6, we merely note here that since it has never been found,</w:t>
      </w:r>
      <w:r w:rsidR="00D9275E">
        <w:rPr>
          <w:rFonts w:ascii="Book Antiqua" w:hAnsi="Book Antiqua"/>
          <w:sz w:val="20"/>
        </w:rPr>
        <w:t xml:space="preserve"> despite an extensive search,</w:t>
      </w:r>
      <w:r w:rsidRPr="00CA6987">
        <w:rPr>
          <w:rFonts w:ascii="Book Antiqua" w:hAnsi="Book Antiqua"/>
          <w:sz w:val="20"/>
        </w:rPr>
        <w:t xml:space="preserve"> that option is suspect. That leaves quantization as the </w:t>
      </w:r>
      <w:r w:rsidR="00D9275E">
        <w:rPr>
          <w:rFonts w:ascii="Book Antiqua" w:hAnsi="Book Antiqua"/>
          <w:sz w:val="20"/>
        </w:rPr>
        <w:t>m</w:t>
      </w:r>
      <w:r w:rsidRPr="00CA6987">
        <w:rPr>
          <w:rFonts w:ascii="Book Antiqua" w:hAnsi="Book Antiqua"/>
          <w:sz w:val="20"/>
        </w:rPr>
        <w:t>ost viable possibility.</w:t>
      </w:r>
    </w:p>
    <w:p w:rsidR="00265840" w:rsidRPr="00372C58" w:rsidRDefault="00265840" w:rsidP="00265840">
      <w:pPr>
        <w:jc w:val="both"/>
        <w:rPr>
          <w:rFonts w:ascii="Book Antiqua" w:hAnsi="Book Antiqua"/>
          <w:color w:val="000000"/>
        </w:rPr>
      </w:pPr>
    </w:p>
    <w:p w:rsidR="00265840" w:rsidRPr="00372C58" w:rsidRDefault="00265840" w:rsidP="00265840">
      <w:pPr>
        <w:jc w:val="both"/>
        <w:rPr>
          <w:rFonts w:ascii="Book Antiqua" w:hAnsi="Book Antiqua"/>
          <w:b/>
          <w:bCs/>
          <w:iCs/>
          <w:color w:val="000000"/>
        </w:rPr>
      </w:pPr>
      <w:r w:rsidRPr="00372C58">
        <w:rPr>
          <w:rFonts w:ascii="Book Antiqua" w:hAnsi="Book Antiqua"/>
          <w:b/>
          <w:bCs/>
          <w:iCs/>
          <w:color w:val="000000"/>
        </w:rPr>
        <w:t>4. Some conclusions.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Lemaitre model says the fabric of space itself is expanding, carrying the galaxies with it like pennies glued on to an expanding balloon.  The Einstein model sees space itself as static, with the galaxies racing through it from some center, meaning the red shift is due to a Doppler effect.  The data discussed here invalidates both models.   If the fabric of space is expanding, as the Lemaitre model suggests, then it must be expanding in jumps. On the Einstein/Doppler model, </w:t>
      </w:r>
      <w:r w:rsidRPr="00372C58">
        <w:rPr>
          <w:rFonts w:ascii="Book Antiqua" w:hAnsi="Book Antiqua"/>
          <w:sz w:val="20"/>
        </w:rPr>
        <w:lastRenderedPageBreak/>
        <w:t>the galaxies are themselves moving away through static space-time. But these data show it must be happening in such a way that their velocities have to vary in fixed steps. Both options are highly unlikely. And when it is considered that the quantum jumps in redshift values have been observed to go through the middle of individual galaxies, [49-50, 66]</w:t>
      </w:r>
      <w:r w:rsidRPr="00372C58">
        <w:rPr>
          <w:rFonts w:ascii="Book Antiqua" w:hAnsi="Book Antiqua"/>
          <w:position w:val="10"/>
          <w:sz w:val="20"/>
          <w:vertAlign w:val="superscript"/>
        </w:rPr>
        <w:t xml:space="preserve"> </w:t>
      </w:r>
      <w:r w:rsidRPr="00372C58">
        <w:rPr>
          <w:rFonts w:ascii="Book Antiqua" w:hAnsi="Book Antiqua"/>
          <w:sz w:val="20"/>
        </w:rPr>
        <w:t xml:space="preserve">it becomes apparent that the redshift can have little to do with either space-time expansion or galactic velocities through space.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Tifft, Arp and others have pointed out that the quantized redshift means that the actual velocities of galaxies in clusters are very low [50, 67]. </w:t>
      </w:r>
      <w:r w:rsidRPr="00372C58">
        <w:rPr>
          <w:rFonts w:ascii="Book Antiqua" w:hAnsi="Book Antiqua"/>
          <w:position w:val="10"/>
          <w:sz w:val="20"/>
          <w:vertAlign w:val="superscript"/>
        </w:rPr>
        <w:t xml:space="preserve"> </w:t>
      </w:r>
      <w:r w:rsidRPr="00372C58">
        <w:rPr>
          <w:rFonts w:ascii="Book Antiqua" w:hAnsi="Book Antiqua"/>
          <w:sz w:val="20"/>
        </w:rPr>
        <w:t xml:space="preserve">It is only at the very centers of clusters that high velocities would be expected. This was borne out by evidence mentioned at the Tucson conference on quantization in April 1996. Observations of the Virgo cluster have shown that in the innermost parts of the cluster </w:t>
      </w:r>
      <w:r w:rsidRPr="00372C58">
        <w:rPr>
          <w:rFonts w:ascii="Book Antiqua" w:hAnsi="Book Antiqua"/>
          <w:i/>
          <w:iCs/>
          <w:sz w:val="20"/>
        </w:rPr>
        <w:t>“deeper in the potential well, [galaxies] were moving fast enough to wash out the periodicity.”</w:t>
      </w:r>
      <w:r w:rsidRPr="00372C58">
        <w:rPr>
          <w:rFonts w:ascii="Book Antiqua" w:hAnsi="Book Antiqua"/>
          <w:iCs/>
          <w:sz w:val="20"/>
        </w:rPr>
        <w:t>[61]</w:t>
      </w:r>
      <w:r w:rsidRPr="00372C58">
        <w:rPr>
          <w:rFonts w:ascii="Book Antiqua" w:hAnsi="Book Antiqua"/>
          <w:position w:val="10"/>
          <w:sz w:val="20"/>
          <w:vertAlign w:val="superscript"/>
        </w:rPr>
        <w:t xml:space="preserve"> </w:t>
      </w:r>
      <w:r w:rsidRPr="00372C58">
        <w:rPr>
          <w:rFonts w:ascii="Book Antiqua" w:hAnsi="Book Antiqua"/>
          <w:sz w:val="20"/>
        </w:rPr>
        <w:t xml:space="preserve">Here, “periodicity” is the quantization by another name. In other words, if galaxies have a genuine, significant velocity, it actually smears out the quantization.  This means that, at the speeds attributed in the Einstein model to the farthest reaches of the universe, there should be a complete smearing out of the red shift values.  Instead, it is precisely there that we see the biggest jumps in the measurements. These quantization results reveal that redshifts cannot be due to galaxy motion at all, but must have some other primary cause, with Doppler effects from motion being secondary.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This conclusion is reinforced by the final piece of evidence. Tifft has noted that, in some cases, the redshift of a set of objects has reduced by one basic quantum jump over a period of about 15 years [62]. Thus light from this set of of galaxies has become bluer with time. Not only is this not possible on the standard redshift model, it also implies that that part of the universe had started contracting if the standard model is correct. This does not </w:t>
      </w:r>
      <w:r w:rsidR="00236B79">
        <w:rPr>
          <w:sz w:val="20"/>
        </w:rPr>
        <w:t>agree</w:t>
      </w:r>
      <w:r w:rsidRPr="00372C58">
        <w:rPr>
          <w:sz w:val="20"/>
        </w:rPr>
        <w:t xml:space="preserve"> with the concept of accelerating expansion, and so most ignore this observational evidence.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Apart from what is being presented here, only one other other viable model</w:t>
      </w:r>
      <w:r w:rsidR="00236B79">
        <w:rPr>
          <w:sz w:val="20"/>
        </w:rPr>
        <w:t>, “the New Tired Light Model,”</w:t>
      </w:r>
      <w:r w:rsidRPr="00372C58">
        <w:rPr>
          <w:sz w:val="20"/>
        </w:rPr>
        <w:t xml:space="preserve"> for the redshift exists, if the universe is static. In that model it is proposed that </w:t>
      </w:r>
      <w:r w:rsidRPr="00372C58">
        <w:rPr>
          <w:i/>
          <w:sz w:val="20"/>
        </w:rPr>
        <w:t xml:space="preserve">“photons of light from distant galaxies are absorbed and reemitted by electrons in the plasma of intergalactic space and on each interaction the electron recoils. Energy is lost to the recoiling electron (New Tired Light theory) and thus the reemitted photon has less energy, a reduced frequency and therefore an increased wavelength. It has been redshifted.” </w:t>
      </w:r>
      <w:r w:rsidRPr="00372C58">
        <w:rPr>
          <w:sz w:val="20"/>
        </w:rPr>
        <w:t>[17] However, this model has difficulty in accounting for redshift quantizations between pairs of galaxies. It also fails to account for the observational evidence that indicates some redshifts have dropped by one quantum number over time.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With galactic motion, space expansion and the New Tired Light theory being ruled out, there seems to be only one option left. This is the one first mentioned by John Gribbin in 1985 [68].  He suggested that the quantized redshift is due to the atomic emitters of light within the galaxies themselves. If this is the case, there is no need to consider a change in the wavelength of the light in transit. The wavelength would be fixed at the moment of emission. This is what we would expect to see if the Zero Point Energy had been changing. This also avoids a difficulty Hubble perceived in 1936, namely that </w:t>
      </w:r>
      <w:r w:rsidRPr="00372C58">
        <w:rPr>
          <w:rFonts w:ascii="Book Antiqua" w:hAnsi="Book Antiqua"/>
          <w:i/>
          <w:iCs/>
          <w:sz w:val="20"/>
        </w:rPr>
        <w:t>“… redshifts, by increasing wavelengths, must reduce the energy in the quanta. Any plausible interpretation of redshifts must account for the loss of energy.”</w:t>
      </w:r>
      <w:r w:rsidRPr="00372C58">
        <w:rPr>
          <w:rFonts w:ascii="Book Antiqua" w:hAnsi="Book Antiqua"/>
          <w:iCs/>
          <w:sz w:val="20"/>
        </w:rPr>
        <w:t>[6]</w:t>
      </w:r>
      <w:r w:rsidRPr="00372C58">
        <w:rPr>
          <w:rFonts w:ascii="Book Antiqua" w:hAnsi="Book Antiqua"/>
          <w:position w:val="10"/>
          <w:sz w:val="20"/>
          <w:vertAlign w:val="superscript"/>
        </w:rPr>
        <w:t xml:space="preserve"> </w:t>
      </w:r>
      <w:r w:rsidRPr="00372C58">
        <w:rPr>
          <w:rFonts w:ascii="Book Antiqua" w:hAnsi="Book Antiqua"/>
          <w:sz w:val="20"/>
        </w:rPr>
        <w:t>The conservation of energy of light photons (quanta) in transit had always been a problem for cosmologists; some have claimed that this is one case where energy is not conserved [69].</w:t>
      </w:r>
      <w:r w:rsidRPr="00372C58">
        <w:rPr>
          <w:rFonts w:ascii="Book Antiqua" w:hAnsi="Book Antiqua"/>
          <w:position w:val="10"/>
          <w:sz w:val="20"/>
          <w:vertAlign w:val="superscript"/>
        </w:rPr>
        <w:t xml:space="preserve"> </w:t>
      </w:r>
      <w:r w:rsidRPr="00372C58">
        <w:rPr>
          <w:rFonts w:ascii="Book Antiqua" w:hAnsi="Book Antiqua"/>
          <w:sz w:val="20"/>
        </w:rPr>
        <w:t xml:space="preserve">However, if the atomic emitters themselves are responsible, this changes the problem entirely -- energy conservation in transit is no longer an issue. The wavelength change has happened at the moment of emission, not during transit time.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Since the amount of red</w:t>
      </w:r>
      <w:r w:rsidR="00EE5D67">
        <w:rPr>
          <w:rFonts w:ascii="Book Antiqua" w:hAnsi="Book Antiqua"/>
          <w:sz w:val="20"/>
        </w:rPr>
        <w:t>-</w:t>
      </w:r>
      <w:r w:rsidRPr="00372C58">
        <w:rPr>
          <w:rFonts w:ascii="Book Antiqua" w:hAnsi="Book Antiqua"/>
          <w:sz w:val="20"/>
        </w:rPr>
        <w:t>shift</w:t>
      </w:r>
      <w:r w:rsidR="00EE5D67">
        <w:rPr>
          <w:rFonts w:ascii="Book Antiqua" w:hAnsi="Book Antiqua"/>
          <w:sz w:val="20"/>
        </w:rPr>
        <w:t>ing</w:t>
      </w:r>
      <w:r w:rsidRPr="00372C58">
        <w:rPr>
          <w:rFonts w:ascii="Book Antiqua" w:hAnsi="Book Antiqua"/>
          <w:sz w:val="20"/>
        </w:rPr>
        <w:t xml:space="preserve"> is</w:t>
      </w:r>
      <w:r w:rsidR="00EE5D67">
        <w:rPr>
          <w:rFonts w:ascii="Book Antiqua" w:hAnsi="Book Antiqua"/>
          <w:sz w:val="20"/>
        </w:rPr>
        <w:t xml:space="preserve"> universally</w:t>
      </w:r>
      <w:r w:rsidRPr="00372C58">
        <w:rPr>
          <w:rFonts w:ascii="Book Antiqua" w:hAnsi="Book Antiqua"/>
          <w:sz w:val="20"/>
        </w:rPr>
        <w:t xml:space="preserve"> considered </w:t>
      </w:r>
      <w:r w:rsidR="00EE5D67">
        <w:rPr>
          <w:rFonts w:ascii="Book Antiqua" w:hAnsi="Book Antiqua"/>
          <w:sz w:val="20"/>
        </w:rPr>
        <w:t xml:space="preserve">as </w:t>
      </w:r>
      <w:r w:rsidRPr="00372C58">
        <w:rPr>
          <w:rFonts w:ascii="Book Antiqua" w:hAnsi="Book Antiqua"/>
          <w:sz w:val="20"/>
        </w:rPr>
        <w:t>an indicator of distance</w:t>
      </w:r>
      <w:r w:rsidR="00EE5D67">
        <w:rPr>
          <w:rFonts w:ascii="Book Antiqua" w:hAnsi="Book Antiqua"/>
          <w:sz w:val="20"/>
        </w:rPr>
        <w:t>,</w:t>
      </w:r>
      <w:r w:rsidRPr="00372C58">
        <w:rPr>
          <w:rFonts w:ascii="Book Antiqua" w:hAnsi="Book Antiqua"/>
          <w:sz w:val="20"/>
        </w:rPr>
        <w:t xml:space="preserve"> the cause of the redshift must be universal as well, and not local.  With everything else eliminated</w:t>
      </w:r>
      <w:r w:rsidR="007D7B9B">
        <w:rPr>
          <w:rFonts w:ascii="Book Antiqua" w:hAnsi="Book Antiqua"/>
          <w:sz w:val="20"/>
        </w:rPr>
        <w:t xml:space="preserve"> except for the behavior of atoms, this means that whatever is affecting atomic emitters must </w:t>
      </w:r>
      <w:r w:rsidR="00EE5D67">
        <w:rPr>
          <w:rFonts w:ascii="Book Antiqua" w:hAnsi="Book Antiqua"/>
          <w:sz w:val="20"/>
        </w:rPr>
        <w:t xml:space="preserve">also </w:t>
      </w:r>
      <w:r w:rsidR="007D7B9B">
        <w:rPr>
          <w:rFonts w:ascii="Book Antiqua" w:hAnsi="Book Antiqua"/>
          <w:sz w:val="20"/>
        </w:rPr>
        <w:t>be universal</w:t>
      </w:r>
      <w:r w:rsidR="00EE5D67">
        <w:rPr>
          <w:rFonts w:ascii="Book Antiqua" w:hAnsi="Book Antiqua"/>
          <w:sz w:val="20"/>
        </w:rPr>
        <w:t>. The one overarching factor that might be implicated is the properties of the vacuum; and they are controlled by the Zero Point Energy.</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5.  </w:t>
      </w:r>
      <w:r w:rsidRPr="001104EA">
        <w:rPr>
          <w:rFonts w:ascii="Book Antiqua" w:hAnsi="Book Antiqua"/>
          <w:b/>
          <w:bCs/>
          <w:iCs/>
          <w:color w:val="000000"/>
          <w:sz w:val="20"/>
        </w:rPr>
        <w:t>Atoms And Electron Orbits</w:t>
      </w: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b/>
          <w:bCs/>
          <w:iCs/>
          <w:color w:val="000000"/>
          <w:sz w:val="20"/>
        </w:rPr>
      </w:pPr>
    </w:p>
    <w:p w:rsidR="00265840" w:rsidRPr="00372C58" w:rsidRDefault="001104EA" w:rsidP="00265840">
      <w:pPr>
        <w:shd w:val="clear" w:color="auto" w:fill="FFFFFF"/>
        <w:ind w:firstLine="360"/>
        <w:jc w:val="both"/>
        <w:rPr>
          <w:rFonts w:ascii="Book Antiqua" w:hAnsi="Book Antiqua"/>
          <w:color w:val="000000"/>
        </w:rPr>
      </w:pPr>
      <w:r w:rsidRPr="001104EA">
        <w:rPr>
          <w:rFonts w:ascii="Book Antiqua" w:hAnsi="Book Antiqua"/>
          <w:color w:val="000000"/>
        </w:rPr>
        <w:t>The</w:t>
      </w:r>
      <w:r w:rsidR="00265840" w:rsidRPr="00372C58">
        <w:rPr>
          <w:rFonts w:ascii="Book Antiqua" w:hAnsi="Book Antiqua"/>
          <w:color w:val="000000"/>
        </w:rPr>
        <w:t xml:space="preserve"> evidence suggests that the ZPE strength changes uniformly and smoothly throughout the cosmos. It has been shown that this leads to wavelengths which remain constant from the point of emission to the point of observation. There </w:t>
      </w:r>
      <w:r w:rsidR="00265840" w:rsidRPr="00372C58">
        <w:rPr>
          <w:rFonts w:ascii="Book Antiqua" w:hAnsi="Book Antiqua"/>
          <w:color w:val="000000"/>
        </w:rPr>
        <w:lastRenderedPageBreak/>
        <w:t xml:space="preserve">is no refraction or bending or reddening in transit. If light is redder and the spectral lines are shifted to the red end of the spectrum, it can only be because it was like that at the point of emission from the atomic oscillators which produced the light. </w:t>
      </w:r>
      <w:r>
        <w:rPr>
          <w:rFonts w:ascii="Book Antiqua" w:hAnsi="Book Antiqua"/>
          <w:color w:val="000000"/>
        </w:rPr>
        <w:t>As mentioned, t</w:t>
      </w:r>
      <w:r w:rsidR="00265840" w:rsidRPr="00372C58">
        <w:rPr>
          <w:rFonts w:ascii="Book Antiqua" w:hAnsi="Book Antiqua"/>
          <w:color w:val="000000"/>
        </w:rPr>
        <w:t xml:space="preserve">his point was first made by </w:t>
      </w:r>
      <w:r w:rsidR="00265840" w:rsidRPr="001104EA">
        <w:rPr>
          <w:rFonts w:ascii="Book Antiqua" w:hAnsi="Book Antiqua"/>
          <w:color w:val="000000"/>
        </w:rPr>
        <w:t>John Gribbin</w:t>
      </w:r>
      <w:r w:rsidR="00265840" w:rsidRPr="00372C58">
        <w:rPr>
          <w:rFonts w:ascii="Book Antiqua" w:hAnsi="Book Antiqua"/>
          <w:color w:val="000000"/>
        </w:rPr>
        <w:t>.</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5.1  The ZPE And Atomic Orbits.</w:t>
      </w:r>
    </w:p>
    <w:p w:rsidR="00265840" w:rsidRPr="00372C58" w:rsidRDefault="00265840" w:rsidP="00265840">
      <w:pPr>
        <w:pStyle w:val="NoSpacing"/>
        <w:ind w:left="720"/>
        <w:rPr>
          <w:rFonts w:ascii="Book Antiqua" w:hAnsi="Book Antiqua"/>
          <w:sz w:val="20"/>
        </w:rPr>
      </w:pPr>
    </w:p>
    <w:p w:rsidR="00265840" w:rsidRDefault="00265840" w:rsidP="001104EA">
      <w:pPr>
        <w:pStyle w:val="NormPara"/>
        <w:ind w:firstLine="720"/>
        <w:rPr>
          <w:sz w:val="20"/>
        </w:rPr>
      </w:pPr>
      <w:r w:rsidRPr="00372C58">
        <w:rPr>
          <w:sz w:val="20"/>
        </w:rPr>
        <w:t xml:space="preserve">In order to understand how changes in the </w:t>
      </w:r>
      <w:r w:rsidR="001104EA">
        <w:rPr>
          <w:sz w:val="20"/>
        </w:rPr>
        <w:t>Zero Point Energy</w:t>
      </w:r>
      <w:r w:rsidRPr="00372C58">
        <w:rPr>
          <w:sz w:val="20"/>
        </w:rPr>
        <w:t xml:space="preserve"> would result in the quantization of the red shift measurements, it is necessary to see how atoms themselves react to changes in the ZPE.  </w:t>
      </w:r>
      <w:r w:rsidRPr="001104EA">
        <w:rPr>
          <w:sz w:val="20"/>
        </w:rPr>
        <w:t>A problem presented by classical physics is that an electron orbiting a proton will be radiating energy, and so must spiral into the nucleus. This does not happen</w:t>
      </w:r>
      <w:r w:rsidR="001104EA">
        <w:rPr>
          <w:sz w:val="20"/>
        </w:rPr>
        <w:t xml:space="preserve">. </w:t>
      </w:r>
      <w:r w:rsidRPr="001104EA">
        <w:rPr>
          <w:sz w:val="20"/>
        </w:rPr>
        <w:t>QED physics</w:t>
      </w:r>
      <w:r w:rsidR="001104EA">
        <w:rPr>
          <w:sz w:val="20"/>
        </w:rPr>
        <w:t xml:space="preserve"> answers this problem by</w:t>
      </w:r>
      <w:r w:rsidRPr="001104EA">
        <w:rPr>
          <w:sz w:val="20"/>
        </w:rPr>
        <w:t xml:space="preserve"> invok</w:t>
      </w:r>
      <w:r w:rsidR="001104EA">
        <w:rPr>
          <w:sz w:val="20"/>
        </w:rPr>
        <w:t>ing</w:t>
      </w:r>
      <w:r w:rsidRPr="001104EA">
        <w:rPr>
          <w:sz w:val="20"/>
        </w:rPr>
        <w:t xml:space="preserve"> quantum laws. </w:t>
      </w:r>
      <w:r w:rsidR="001104EA">
        <w:rPr>
          <w:sz w:val="20"/>
        </w:rPr>
        <w:t>Why these quantum laws exist is not answered.  Instead,</w:t>
      </w:r>
      <w:r w:rsidRPr="001104EA">
        <w:rPr>
          <w:sz w:val="20"/>
        </w:rPr>
        <w:t xml:space="preserve"> an actual physical explanation is needed.</w:t>
      </w:r>
      <w:r w:rsidRPr="00372C58">
        <w:rPr>
          <w:sz w:val="20"/>
        </w:rPr>
        <w:t xml:space="preserve"> </w:t>
      </w:r>
      <w:r w:rsidR="001104EA" w:rsidRPr="001104EA">
        <w:rPr>
          <w:sz w:val="20"/>
        </w:rPr>
        <w:t>As mentioned earlier, the all-pervasive ZPE ‘sea’ has been shown by SED physicists to maintain the stability of all atomic orbits.</w:t>
      </w:r>
      <w:r w:rsidR="001104EA">
        <w:rPr>
          <w:sz w:val="20"/>
        </w:rPr>
        <w:t>.</w:t>
      </w:r>
    </w:p>
    <w:p w:rsidR="001104EA" w:rsidRPr="00372C58" w:rsidRDefault="001104EA" w:rsidP="001104EA">
      <w:pPr>
        <w:pStyle w:val="NormPara"/>
        <w:ind w:firstLine="720"/>
        <w:rPr>
          <w:sz w:val="20"/>
        </w:rPr>
      </w:pPr>
    </w:p>
    <w:p w:rsidR="00265840" w:rsidRPr="00372C58" w:rsidRDefault="00265840" w:rsidP="00265840">
      <w:pPr>
        <w:pStyle w:val="NormPara"/>
        <w:ind w:firstLine="720"/>
        <w:rPr>
          <w:sz w:val="20"/>
        </w:rPr>
      </w:pPr>
      <w:r w:rsidRPr="00372C58">
        <w:rPr>
          <w:sz w:val="20"/>
        </w:rPr>
        <w:t>According to the SED approach, classical physics is correct in considering the electron to be radiating energy, but this must be coupled with the effects of the ZPE. The energy that electrons radiate as they orbit their protons can be calculated, along with the energy that these electrons absorb from the ZPE. Quantitative analyses were done, and the results were summarized by de la Pena who stated that “</w:t>
      </w:r>
      <w:r w:rsidRPr="00372C58">
        <w:rPr>
          <w:i/>
          <w:iCs/>
          <w:sz w:val="20"/>
        </w:rPr>
        <w:t xml:space="preserve">Boyer [70] and Claverie &amp; Diner [71]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372C58">
        <w:rPr>
          <w:iCs/>
          <w:sz w:val="20"/>
        </w:rPr>
        <w:t>[72]</w:t>
      </w:r>
    </w:p>
    <w:p w:rsidR="00265840" w:rsidRPr="00372C58" w:rsidRDefault="00265840" w:rsidP="00265840">
      <w:pPr>
        <w:pStyle w:val="NormPara"/>
        <w:ind w:firstLine="270"/>
        <w:rPr>
          <w:sz w:val="20"/>
        </w:rPr>
      </w:pPr>
    </w:p>
    <w:p w:rsidR="004F39BE" w:rsidRPr="00372C58" w:rsidRDefault="00265840" w:rsidP="00265840">
      <w:pPr>
        <w:pStyle w:val="NormPara"/>
        <w:ind w:firstLine="270"/>
        <w:rPr>
          <w:sz w:val="20"/>
        </w:rPr>
      </w:pPr>
      <w:r w:rsidRPr="00372C58">
        <w:rPr>
          <w:sz w:val="20"/>
        </w:rPr>
        <w:tab/>
        <w:t xml:space="preserve">In 1987 Puthoff examined this further in an SED context. His conclusion carries unusual significance. It reads: </w:t>
      </w:r>
    </w:p>
    <w:p w:rsidR="004F39BE" w:rsidRPr="00372C58" w:rsidRDefault="004F39BE" w:rsidP="00265840">
      <w:pPr>
        <w:pStyle w:val="NormPara"/>
        <w:ind w:firstLine="270"/>
        <w:rPr>
          <w:sz w:val="20"/>
        </w:rPr>
      </w:pPr>
    </w:p>
    <w:p w:rsidR="004F39BE" w:rsidRPr="00372C58" w:rsidRDefault="00265840" w:rsidP="00265840">
      <w:pPr>
        <w:pStyle w:val="NormPara"/>
        <w:ind w:firstLine="270"/>
        <w:rPr>
          <w:sz w:val="20"/>
        </w:rPr>
      </w:pPr>
      <w:r w:rsidRPr="00372C58">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372C58">
        <w:rPr>
          <w:sz w:val="20"/>
        </w:rPr>
        <w:t xml:space="preserve"> [73].</w:t>
      </w:r>
    </w:p>
    <w:p w:rsidR="004F39BE" w:rsidRPr="00372C58" w:rsidRDefault="004F39BE" w:rsidP="00265840">
      <w:pPr>
        <w:pStyle w:val="NormPara"/>
        <w:ind w:firstLine="270"/>
        <w:rPr>
          <w:sz w:val="20"/>
        </w:rPr>
      </w:pPr>
    </w:p>
    <w:p w:rsidR="00265840" w:rsidRPr="00372C58" w:rsidRDefault="00265840" w:rsidP="00265840">
      <w:pPr>
        <w:pStyle w:val="NormPara"/>
        <w:ind w:firstLine="270"/>
        <w:rPr>
          <w:color w:val="000000"/>
          <w:sz w:val="20"/>
        </w:rPr>
      </w:pPr>
      <w:r w:rsidRPr="00372C58">
        <w:rPr>
          <w:sz w:val="20"/>
        </w:rPr>
        <w:t xml:space="preserve"> Thus the very existence of atomic structures depends on this ZPE sea. Without it, all matter in the cosmos collapses. New Scientist discussed this in July 1987 and July 1990 under the heading </w:t>
      </w:r>
      <w:r w:rsidRPr="00372C58">
        <w:rPr>
          <w:i/>
          <w:iCs/>
          <w:sz w:val="20"/>
        </w:rPr>
        <w:t xml:space="preserve">“Why atoms don’t collapse.” </w:t>
      </w:r>
    </w:p>
    <w:p w:rsidR="00265840" w:rsidRPr="00372C58" w:rsidRDefault="00265840" w:rsidP="00265840">
      <w:pPr>
        <w:pStyle w:val="NoSpacing"/>
        <w:rPr>
          <w:rFonts w:ascii="Book Antiqua" w:hAnsi="Book Antiqua"/>
          <w:bCs/>
          <w:i/>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5.2  Atomic Orbits With Varying ZPE.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rmPara"/>
        <w:ind w:firstLine="270"/>
        <w:rPr>
          <w:sz w:val="20"/>
        </w:rPr>
      </w:pPr>
      <w:r w:rsidRPr="00372C58">
        <w:rPr>
          <w:sz w:val="20"/>
        </w:rPr>
        <w:t xml:space="preserve">Atomic orbit energies are therefore sustained by the ZPE. The ‘ground state’ of the orbiting electrons refers to the innermost orbit.  The energy in this ground state is determined by Planck’s </w:t>
      </w:r>
      <w:r w:rsidRPr="001104EA">
        <w:rPr>
          <w:sz w:val="20"/>
        </w:rPr>
        <w:t xml:space="preserve">constant, </w:t>
      </w:r>
      <m:oMath>
        <m:r>
          <w:rPr>
            <w:rFonts w:ascii="Cambria Math" w:hAnsi="Cambria Math"/>
            <w:sz w:val="20"/>
          </w:rPr>
          <m:t>h</m:t>
        </m:r>
      </m:oMath>
      <w:r w:rsidR="001104EA">
        <w:rPr>
          <w:sz w:val="20"/>
        </w:rPr>
        <w:t>.</w:t>
      </w:r>
      <w:r w:rsidRPr="001104EA">
        <w:rPr>
          <w:sz w:val="20"/>
        </w:rPr>
        <w:t xml:space="preserve"> </w:t>
      </w:r>
      <w:r w:rsidR="001104EA">
        <w:rPr>
          <w:sz w:val="20"/>
        </w:rPr>
        <w:t xml:space="preserve"> All</w:t>
      </w:r>
      <w:r w:rsidRPr="00372C58">
        <w:rPr>
          <w:sz w:val="20"/>
        </w:rPr>
        <w:t xml:space="preserve"> other orbits further out are integer multiples of this.  If the ground state orbit of any atom has an energy change, all other orbits will scale their energies proportionally. This also means that wavelengths of emitted light will be scaled in proportion to the energy of the ground state orbit of any given element. Thus, any universal changes in ZPE strength will necessarily result in simultaneous changes in the energy states of all atoms throughout the cosmos. </w:t>
      </w:r>
    </w:p>
    <w:p w:rsidR="00265840" w:rsidRPr="00372C58" w:rsidRDefault="00265840" w:rsidP="00265840">
      <w:pPr>
        <w:pStyle w:val="NormPara"/>
        <w:ind w:firstLine="270"/>
        <w:rPr>
          <w:sz w:val="20"/>
        </w:rPr>
      </w:pPr>
    </w:p>
    <w:p w:rsidR="00265840" w:rsidRDefault="00265840" w:rsidP="00265840">
      <w:pPr>
        <w:pStyle w:val="NormPara"/>
        <w:ind w:firstLine="270"/>
        <w:rPr>
          <w:sz w:val="20"/>
        </w:rPr>
      </w:pPr>
      <w:r w:rsidRPr="00372C58">
        <w:rPr>
          <w:sz w:val="20"/>
        </w:rPr>
        <w:t xml:space="preserve">Therefore, if the ZPE increased over time, as the data indicates it did, light emitted from atomic transitions would become bluer. This means that as we look back into the past, the light emitted would be redder.  This is true even in a static universe, such as that proposed by Narlikar and Arp </w:t>
      </w:r>
      <w:r w:rsidRPr="00A14F9D">
        <w:rPr>
          <w:sz w:val="20"/>
        </w:rPr>
        <w:t>[47]</w:t>
      </w:r>
      <w:r w:rsidRPr="00372C58">
        <w:rPr>
          <w:sz w:val="20"/>
        </w:rPr>
        <w:t>. Progressively more distant galaxies would have their spectral lines shifted further to the red end of the spectrum [74]. This is precisely the effect we see with an increasing redshift of light from progressively more distant galaxies.</w:t>
      </w:r>
    </w:p>
    <w:p w:rsidR="00A14F9D" w:rsidRPr="00372C58" w:rsidRDefault="00A14F9D" w:rsidP="00265840">
      <w:pPr>
        <w:pStyle w:val="NormPara"/>
        <w:ind w:firstLine="270"/>
        <w:rPr>
          <w:sz w:val="20"/>
        </w:rPr>
      </w:pPr>
    </w:p>
    <w:p w:rsidR="00265840" w:rsidRPr="00372C58" w:rsidRDefault="00265840" w:rsidP="002172B3">
      <w:pPr>
        <w:pStyle w:val="NormPara"/>
        <w:ind w:firstLine="270"/>
        <w:rPr>
          <w:sz w:val="20"/>
        </w:rPr>
      </w:pPr>
      <w:r w:rsidRPr="00372C58">
        <w:rPr>
          <w:sz w:val="20"/>
        </w:rPr>
        <w:t xml:space="preserve">As the ZPE strength increased with time, Planck’s Constant, </w:t>
      </w:r>
      <w:r w:rsidRPr="00372C58">
        <w:rPr>
          <w:i/>
          <w:sz w:val="20"/>
        </w:rPr>
        <w:t>h,</w:t>
      </w:r>
      <w:r w:rsidRPr="00372C58">
        <w:rPr>
          <w:sz w:val="20"/>
        </w:rPr>
        <w:t xml:space="preserve"> also increased, since it is a measure of the strength of the ZPE. Bohr also linked the angular momenta of the atomic orbits to </w:t>
      </w:r>
      <w:r w:rsidRPr="00372C58">
        <w:rPr>
          <w:i/>
          <w:sz w:val="20"/>
        </w:rPr>
        <w:t>h</w:t>
      </w:r>
      <w:r w:rsidRPr="00372C58">
        <w:rPr>
          <w:sz w:val="20"/>
        </w:rPr>
        <w:t xml:space="preserve">.  Since </w:t>
      </w:r>
      <w:r w:rsidRPr="00372C58">
        <w:rPr>
          <w:i/>
          <w:sz w:val="20"/>
        </w:rPr>
        <w:t>h</w:t>
      </w:r>
      <w:r w:rsidRPr="00372C58">
        <w:rPr>
          <w:sz w:val="20"/>
        </w:rPr>
        <w:t xml:space="preserve"> has been measured as increasing, we then have further evidence of the increasing energy of the atomic orbits.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lastRenderedPageBreak/>
        <w:t xml:space="preserve">5.3. Considering An Electron's Path. </w:t>
      </w:r>
    </w:p>
    <w:p w:rsidR="00265840" w:rsidRPr="00372C58" w:rsidRDefault="00265840" w:rsidP="00265840">
      <w:pPr>
        <w:pStyle w:val="NoSpacing"/>
        <w:rPr>
          <w:rFonts w:ascii="Book Antiqua" w:hAnsi="Book Antiqua"/>
          <w:b/>
          <w:bCs/>
          <w:iCs/>
          <w:color w:val="000000"/>
          <w:sz w:val="20"/>
        </w:rPr>
      </w:pPr>
    </w:p>
    <w:p w:rsidR="007E2015" w:rsidRPr="00372C58" w:rsidRDefault="00265840" w:rsidP="00265840">
      <w:pPr>
        <w:pStyle w:val="NormPara"/>
        <w:ind w:firstLine="720"/>
        <w:rPr>
          <w:sz w:val="20"/>
        </w:rPr>
      </w:pPr>
      <w:r w:rsidRPr="00372C58">
        <w:rPr>
          <w:sz w:val="20"/>
        </w:rPr>
        <w:t xml:space="preserve">In the spring of 2006, a conference discussing the role of SED physics in explaining quantum phenomena was held.  In this conference, the origin of all quantum uncertainty was traced to an actual physical </w:t>
      </w:r>
      <w:r w:rsidRPr="001104EA">
        <w:rPr>
          <w:sz w:val="20"/>
        </w:rPr>
        <w:t>cause, the</w:t>
      </w:r>
      <w:r w:rsidRPr="00372C58">
        <w:rPr>
          <w:sz w:val="20"/>
        </w:rPr>
        <w:t xml:space="preserve"> Zero Point Energy.  (In contrast, QED physics, or Quantum Electro-Dynamics, suggests that quantum uncertainty is a property inherent in the very nature of matter itself.)</w:t>
      </w:r>
      <w:r w:rsidR="007E2015" w:rsidRPr="00372C58">
        <w:rPr>
          <w:sz w:val="20"/>
        </w:rPr>
        <w:t xml:space="preserve">. </w:t>
      </w:r>
      <w:r w:rsidRPr="00372C58">
        <w:rPr>
          <w:sz w:val="20"/>
        </w:rPr>
        <w:t>In that conference presentation, on page 264, Spicka et al. state</w:t>
      </w:r>
    </w:p>
    <w:p w:rsidR="007E2015" w:rsidRPr="00372C58" w:rsidRDefault="007E2015" w:rsidP="00265840">
      <w:pPr>
        <w:pStyle w:val="NormPara"/>
        <w:ind w:firstLine="720"/>
        <w:rPr>
          <w:sz w:val="20"/>
        </w:rPr>
      </w:pPr>
    </w:p>
    <w:p w:rsidR="00265840" w:rsidRPr="00372C58" w:rsidRDefault="00265840" w:rsidP="00265840">
      <w:pPr>
        <w:pStyle w:val="NormPara"/>
        <w:ind w:firstLine="720"/>
        <w:rPr>
          <w:sz w:val="20"/>
        </w:rPr>
      </w:pPr>
      <w:r w:rsidRPr="00372C58">
        <w:rPr>
          <w:sz w:val="20"/>
        </w:rPr>
        <w:t xml:space="preserve"> </w:t>
      </w:r>
      <w:r w:rsidRPr="00372C58">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 In quantum mechanics, the stationary states being defined as solutions ... of Schroedinger's equation may be mathematically represented by a stationary wave-function pattern. Such a pattern is, speaking more physically, a result of constructive interference of electron waves which is compatible with boundary conditions characterizing a given system. The essential features of the just mentioned duality between SED and QED approach to stationary states (ZPR-recoil radiation equilibrium in SED versus constructive interference in QED) may be illustrated by the following simple model of an electron trapped on a closed orbit."</w:t>
      </w:r>
      <w:r w:rsidRPr="00372C58">
        <w:rPr>
          <w:sz w:val="20"/>
        </w:rPr>
        <w:t xml:space="preserve"> [75]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 scenario which Spicka et al. then go on to illustrate is that of an electron moving in an orbit around a proton under the influence of its electrostatic attraction. </w:t>
      </w:r>
      <w:r w:rsidRPr="001104EA">
        <w:rPr>
          <w:sz w:val="20"/>
        </w:rPr>
        <w:t>As it does so,</w:t>
      </w:r>
      <w:r w:rsidRPr="00372C58">
        <w:rPr>
          <w:sz w:val="20"/>
        </w:rPr>
        <w:t xml:space="preserve"> the electron undergoes a series of elastic collisions with the impacting waves of the ZPE which perturb this orbit</w:t>
      </w:r>
      <w:r w:rsidR="0028271E">
        <w:rPr>
          <w:sz w:val="20"/>
        </w:rPr>
        <w:t xml:space="preserve"> (see Figure 13)</w:t>
      </w:r>
      <w:r w:rsidRPr="00372C58">
        <w:rPr>
          <w:sz w:val="20"/>
        </w:rPr>
        <w:t xml:space="preserve">. These impacting waves force the electron to change direction. </w:t>
      </w:r>
      <w:r w:rsidRPr="001104EA">
        <w:rPr>
          <w:sz w:val="20"/>
        </w:rPr>
        <w:t xml:space="preserve">When </w:t>
      </w:r>
      <w:r w:rsidR="001104EA">
        <w:rPr>
          <w:sz w:val="20"/>
        </w:rPr>
        <w:t>this happens</w:t>
      </w:r>
      <w:r w:rsidRPr="00372C58">
        <w:rPr>
          <w:sz w:val="20"/>
        </w:rPr>
        <w:t xml:space="preserve">, the electron emits recoil radiation, just as classical physics explains. </w:t>
      </w:r>
    </w:p>
    <w:p w:rsidR="00265840" w:rsidRPr="00372C58" w:rsidRDefault="00265840" w:rsidP="00265840">
      <w:pPr>
        <w:pStyle w:val="NormPara"/>
        <w:ind w:firstLine="270"/>
        <w:rPr>
          <w:sz w:val="20"/>
        </w:rPr>
      </w:pPr>
    </w:p>
    <w:p w:rsidR="0028271E" w:rsidRDefault="003324C1" w:rsidP="0028271E">
      <w:pPr>
        <w:pStyle w:val="NormPara"/>
        <w:ind w:firstLine="405"/>
        <w:jc w:val="center"/>
        <w:rPr>
          <w:sz w:val="20"/>
        </w:rPr>
      </w:pPr>
      <w:r w:rsidRPr="00A14F9D">
        <w:rPr>
          <w:sz w:val="20"/>
        </w:rPr>
        <w:object w:dxaOrig="7191" w:dyaOrig="5390">
          <v:shape id="_x0000_i1030" type="#_x0000_t75" style="width:384.8pt;height:232.35pt" o:ole="">
            <v:imagedata r:id="rId188" o:title=""/>
          </v:shape>
          <o:OLEObject Type="Embed" ProgID="PowerPoint.Slide.12" ShapeID="_x0000_i1030" DrawAspect="Content" ObjectID="_1438188842" r:id="rId189"/>
        </w:object>
      </w:r>
    </w:p>
    <w:p w:rsidR="0028271E" w:rsidRPr="004223A5" w:rsidRDefault="0028271E" w:rsidP="004E3FBF">
      <w:pPr>
        <w:pStyle w:val="NormPara"/>
        <w:ind w:firstLine="0"/>
        <w:rPr>
          <w:i/>
          <w:szCs w:val="18"/>
        </w:rPr>
      </w:pPr>
      <w:r w:rsidRPr="001104EA">
        <w:rPr>
          <w:b/>
          <w:i/>
          <w:szCs w:val="18"/>
        </w:rPr>
        <w:t>Figure 13:</w:t>
      </w:r>
      <w:r w:rsidRPr="001104EA">
        <w:rPr>
          <w:i/>
          <w:szCs w:val="18"/>
        </w:rPr>
        <w:t xml:space="preserve"> </w:t>
      </w:r>
      <w:r w:rsidR="00DC557A">
        <w:rPr>
          <w:i/>
          <w:szCs w:val="18"/>
        </w:rPr>
        <w:t>A</w:t>
      </w:r>
      <w:r w:rsidR="004E3FBF">
        <w:rPr>
          <w:i/>
          <w:szCs w:val="18"/>
        </w:rPr>
        <w:t>n electron orbit with a</w:t>
      </w:r>
      <w:r w:rsidR="00DC557A">
        <w:rPr>
          <w:i/>
          <w:szCs w:val="18"/>
        </w:rPr>
        <w:t xml:space="preserve"> portion </w:t>
      </w:r>
      <w:r w:rsidRPr="001104EA">
        <w:rPr>
          <w:i/>
          <w:szCs w:val="18"/>
        </w:rPr>
        <w:t xml:space="preserve">magnified to show the effects of the </w:t>
      </w:r>
      <w:r w:rsidR="00BB2C27">
        <w:rPr>
          <w:i/>
          <w:szCs w:val="18"/>
        </w:rPr>
        <w:t xml:space="preserve">impacts of </w:t>
      </w:r>
      <w:r w:rsidRPr="001104EA">
        <w:rPr>
          <w:i/>
          <w:szCs w:val="18"/>
        </w:rPr>
        <w:t>ZPE waves</w:t>
      </w:r>
      <w:r w:rsidR="00BB2C27">
        <w:rPr>
          <w:i/>
          <w:szCs w:val="18"/>
        </w:rPr>
        <w:t xml:space="preserve"> on the path of the electron </w:t>
      </w:r>
      <w:r w:rsidRPr="001104EA">
        <w:rPr>
          <w:i/>
          <w:szCs w:val="18"/>
        </w:rPr>
        <w:t xml:space="preserve">causing </w:t>
      </w:r>
      <w:r w:rsidR="00BB2C27">
        <w:rPr>
          <w:i/>
          <w:szCs w:val="18"/>
        </w:rPr>
        <w:t>a “fuzzy”orbit</w:t>
      </w:r>
      <w:r w:rsidR="00DC557A">
        <w:rPr>
          <w:i/>
          <w:szCs w:val="18"/>
        </w:rPr>
        <w:t>.</w:t>
      </w:r>
      <w:r w:rsidR="00BB2C27">
        <w:rPr>
          <w:i/>
          <w:szCs w:val="18"/>
        </w:rPr>
        <w:t xml:space="preserve"> </w:t>
      </w:r>
      <w:r w:rsidR="00DC557A">
        <w:rPr>
          <w:i/>
          <w:szCs w:val="18"/>
        </w:rPr>
        <w:t>This fuzziness is q</w:t>
      </w:r>
      <w:r w:rsidRPr="001104EA">
        <w:rPr>
          <w:i/>
          <w:szCs w:val="18"/>
        </w:rPr>
        <w:t>uantum uncertainty.</w:t>
      </w:r>
      <w:r w:rsidR="00BB2C27">
        <w:rPr>
          <w:i/>
          <w:szCs w:val="18"/>
        </w:rPr>
        <w:t xml:space="preserve"> When viewed in this fashion, the whole orbit is composed of a series of straight-line segments between ZPE wave “hits.”</w:t>
      </w:r>
      <w:r w:rsidR="00DC557A">
        <w:rPr>
          <w:i/>
          <w:szCs w:val="18"/>
        </w:rPr>
        <w:t>The length of these straight line segments is</w:t>
      </w:r>
      <w:r w:rsidR="00BB2C27">
        <w:rPr>
          <w:i/>
          <w:szCs w:val="18"/>
        </w:rPr>
        <w:t xml:space="preserve"> the mean free path. With every “hit,” the electron emits recoil radiation. As the ZPE builds up, there are more hits per unit time, so more recoil radiation is emitted</w:t>
      </w:r>
      <w:r w:rsidR="00DC557A">
        <w:rPr>
          <w:i/>
          <w:szCs w:val="18"/>
        </w:rPr>
        <w:t>,</w:t>
      </w:r>
      <w:r w:rsidR="00BB2C27">
        <w:rPr>
          <w:i/>
          <w:szCs w:val="18"/>
        </w:rPr>
        <w:t xml:space="preserve"> and the straight line segments get shorter until eventually an orbit of smaller radius is adopted.</w:t>
      </w:r>
    </w:p>
    <w:p w:rsidR="0028271E" w:rsidRDefault="0028271E" w:rsidP="00265840">
      <w:pPr>
        <w:pStyle w:val="NormPara"/>
        <w:ind w:firstLine="405"/>
        <w:rPr>
          <w:sz w:val="20"/>
        </w:rPr>
      </w:pPr>
    </w:p>
    <w:p w:rsidR="00265840" w:rsidRPr="00372C58" w:rsidRDefault="00265840" w:rsidP="00265840">
      <w:pPr>
        <w:pStyle w:val="NormPara"/>
        <w:ind w:firstLine="405"/>
        <w:rPr>
          <w:sz w:val="20"/>
        </w:rPr>
      </w:pPr>
      <w:r w:rsidRPr="00372C58">
        <w:rPr>
          <w:sz w:val="20"/>
        </w:rPr>
        <w:t>The electron’s whole 'orbit' then becomes composed of a series of essentially straight line segments whose direction is continually being changed by the impact of the ZPE waves. With every change in direction, recoil radiation is emitted by the electron. Calculations reveal that the electron may receive over 18,700 hits from the ZPE waves for every orbit around the proton. This is obtained by dividing the frequency of the first Bohr orbit by the Compton frequency. According to the SED approach, the Compton frequency gives the number of hits per second by the ZPE waves on the electron (about 10</w:t>
      </w:r>
      <w:r w:rsidRPr="00372C58">
        <w:rPr>
          <w:sz w:val="20"/>
          <w:vertAlign w:val="superscript"/>
        </w:rPr>
        <w:t>20</w:t>
      </w:r>
      <w:r w:rsidRPr="00372C58">
        <w:rPr>
          <w:sz w:val="20"/>
        </w:rPr>
        <w:t>).  In this explanation as well, the link between the Zero Point Energy and</w:t>
      </w:r>
      <w:r w:rsidR="000D4C16">
        <w:rPr>
          <w:sz w:val="20"/>
        </w:rPr>
        <w:t xml:space="preserve"> atomic orbit</w:t>
      </w:r>
      <w:r w:rsidRPr="00372C58">
        <w:rPr>
          <w:sz w:val="20"/>
        </w:rPr>
        <w:t xml:space="preserve"> energy is established.</w:t>
      </w:r>
    </w:p>
    <w:p w:rsidR="00265840" w:rsidRPr="00372C58" w:rsidRDefault="00265840" w:rsidP="00265840">
      <w:pPr>
        <w:pStyle w:val="NormPara"/>
        <w:ind w:firstLine="0"/>
        <w:rPr>
          <w:sz w:val="20"/>
        </w:rPr>
      </w:pPr>
    </w:p>
    <w:p w:rsidR="00265840" w:rsidRPr="00372C58" w:rsidRDefault="00265840" w:rsidP="00265840">
      <w:pPr>
        <w:pStyle w:val="NoSpacing"/>
        <w:numPr>
          <w:ilvl w:val="1"/>
          <w:numId w:val="30"/>
        </w:numPr>
        <w:rPr>
          <w:rFonts w:ascii="Book Antiqua" w:hAnsi="Book Antiqua"/>
          <w:bCs/>
          <w:i/>
          <w:iCs/>
          <w:color w:val="000000"/>
          <w:sz w:val="20"/>
        </w:rPr>
      </w:pPr>
      <w:r w:rsidRPr="00372C58">
        <w:rPr>
          <w:rFonts w:ascii="Book Antiqua" w:hAnsi="Book Antiqua"/>
          <w:bCs/>
          <w:i/>
          <w:iCs/>
          <w:color w:val="000000"/>
          <w:sz w:val="20"/>
        </w:rPr>
        <w:t>Electron Recoil Radiation And The ZPE.</w:t>
      </w:r>
    </w:p>
    <w:p w:rsidR="00265840" w:rsidRPr="00372C58" w:rsidRDefault="00265840" w:rsidP="00265840">
      <w:pPr>
        <w:pStyle w:val="NoSpacing"/>
        <w:ind w:left="405"/>
        <w:rPr>
          <w:rFonts w:ascii="Book Antiqua" w:hAnsi="Book Antiqua"/>
          <w:b/>
          <w:bCs/>
          <w:iCs/>
          <w:color w:val="000000"/>
          <w:sz w:val="20"/>
        </w:rPr>
      </w:pPr>
    </w:p>
    <w:p w:rsidR="00265840" w:rsidRPr="00372C58" w:rsidRDefault="00265840" w:rsidP="00265840">
      <w:pPr>
        <w:pStyle w:val="NormPara"/>
        <w:ind w:firstLine="0"/>
        <w:rPr>
          <w:color w:val="FF0000"/>
          <w:sz w:val="20"/>
        </w:rPr>
      </w:pPr>
      <w:r w:rsidRPr="00372C58">
        <w:rPr>
          <w:sz w:val="20"/>
        </w:rPr>
        <w:t xml:space="preserve"> </w:t>
      </w:r>
      <w:r w:rsidRPr="00372C58">
        <w:rPr>
          <w:sz w:val="20"/>
        </w:rPr>
        <w:tab/>
        <w:t>The impacting ZPE waves, bring about uncertainty in both the position of the electron and its actual orbit around the proton</w:t>
      </w:r>
      <w:r w:rsidR="000D4C16">
        <w:rPr>
          <w:sz w:val="20"/>
        </w:rPr>
        <w:t xml:space="preserve"> </w:t>
      </w:r>
      <w:r w:rsidRPr="00372C58">
        <w:rPr>
          <w:sz w:val="20"/>
        </w:rPr>
        <w:t>(</w:t>
      </w:r>
      <w:r w:rsidR="000D4C16">
        <w:rPr>
          <w:sz w:val="20"/>
        </w:rPr>
        <w:t>s</w:t>
      </w:r>
      <w:r w:rsidRPr="00372C58">
        <w:rPr>
          <w:sz w:val="20"/>
        </w:rPr>
        <w:t>ee Figure 13).</w:t>
      </w:r>
      <w:r w:rsidR="0028271E">
        <w:rPr>
          <w:sz w:val="20"/>
        </w:rPr>
        <w:t xml:space="preserve"> </w:t>
      </w:r>
      <w:r w:rsidRPr="00372C58">
        <w:rPr>
          <w:sz w:val="20"/>
        </w:rPr>
        <w:t xml:space="preserve">For a stable orbit, the power absorbed by the electron from the ZPE wave collision,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A</m:t>
            </m:r>
          </m:sub>
        </m:sSub>
      </m:oMath>
      <w:r w:rsidRPr="00372C58">
        <w:rPr>
          <w:sz w:val="20"/>
        </w:rPr>
        <w:t xml:space="preserve">, is then equal to the power emitted by the electron's recoil radiation,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sz w:val="20"/>
        </w:rPr>
        <w:t>. Spicka et al. state that "</w:t>
      </w:r>
      <w:r w:rsidRPr="00372C58">
        <w:rPr>
          <w:i/>
          <w:sz w:val="20"/>
        </w:rPr>
        <w:t xml:space="preserve">Because of changes in its direction of movement, an electron moving in an environment where it suffers only elastic collisions has to emit recoil radiation of power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i/>
          <w:sz w:val="20"/>
        </w:rPr>
        <w:t xml:space="preserve"> given by Larmor's formula.</w:t>
      </w:r>
      <w:r w:rsidRPr="00372C58">
        <w:rPr>
          <w:sz w:val="20"/>
        </w:rPr>
        <w:t xml:space="preserve"> [75]</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1899" w:dyaOrig="420">
          <v:shape id="_x0000_i1031" type="#_x0000_t75" style="width:94.4pt;height:21.2pt" o:ole="">
            <v:imagedata r:id="rId190" o:title=""/>
          </v:shape>
          <o:OLEObject Type="Embed" ProgID="Equation.DSMT4" ShapeID="_x0000_i1031" DrawAspect="Content" ObjectID="_1438188843" r:id="rId191"/>
        </w:object>
      </w:r>
      <w:r w:rsidRPr="00372C58">
        <w:rPr>
          <w:rFonts w:ascii="Book Antiqua" w:hAnsi="Book Antiqua" w:cs="Times New Roman"/>
          <w:sz w:val="20"/>
          <w:szCs w:val="20"/>
        </w:rPr>
        <w:t xml:space="preserve">     </w:t>
      </w:r>
      <w:proofErr w:type="gramStart"/>
      <w:r w:rsidRPr="00372C58">
        <w:rPr>
          <w:rFonts w:ascii="Book Antiqua" w:hAnsi="Book Antiqua" w:cs="Times New Roman"/>
          <w:sz w:val="20"/>
          <w:szCs w:val="20"/>
        </w:rPr>
        <w:t>where</w:t>
      </w:r>
      <w:proofErr w:type="gramEnd"/>
      <w:r w:rsidRPr="00372C58">
        <w:rPr>
          <w:rFonts w:ascii="Book Antiqua" w:hAnsi="Book Antiqua" w:cs="Times New Roman"/>
          <w:sz w:val="20"/>
          <w:szCs w:val="20"/>
        </w:rPr>
        <w:t xml:space="preserve">     </w:t>
      </w:r>
      <w:r w:rsidRPr="00372C58">
        <w:rPr>
          <w:rFonts w:ascii="Book Antiqua" w:hAnsi="Book Antiqua" w:cs="Times New Roman"/>
          <w:position w:val="-12"/>
          <w:sz w:val="20"/>
          <w:szCs w:val="20"/>
        </w:rPr>
        <w:object w:dxaOrig="1060" w:dyaOrig="320">
          <v:shape id="_x0000_i1032" type="#_x0000_t75" style="width:52.65pt;height:15.75pt" o:ole="">
            <v:imagedata r:id="rId192" o:title=""/>
          </v:shape>
          <o:OLEObject Type="Embed" ProgID="Equation.DSMT4" ShapeID="_x0000_i1032" DrawAspect="Content" ObjectID="_1438188844" r:id="rId19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Here, </w:t>
      </w:r>
      <m:oMath>
        <m:r>
          <w:rPr>
            <w:rFonts w:ascii="Cambria Math" w:hAnsi="Cambria Math"/>
            <w:sz w:val="20"/>
          </w:rPr>
          <m:t>e</m:t>
        </m:r>
      </m:oMath>
      <w:r w:rsidRPr="00372C58">
        <w:rPr>
          <w:sz w:val="20"/>
        </w:rPr>
        <w:t xml:space="preserve"> is the charge on the electron, </w:t>
      </w:r>
      <m:oMath>
        <m:r>
          <w:rPr>
            <w:rFonts w:ascii="Cambria Math" w:hAnsi="Cambria Math"/>
            <w:sz w:val="20"/>
          </w:rPr>
          <m:t>v</m:t>
        </m:r>
      </m:oMath>
      <w:r w:rsidRPr="00372C58">
        <w:rPr>
          <w:sz w:val="20"/>
        </w:rPr>
        <w:t xml:space="preserve"> is its velocity in a straight line between impacts (not the actual orbit velocity), </w:t>
      </w:r>
      <m:oMath>
        <m:r>
          <w:rPr>
            <w:rFonts w:ascii="Cambria Math" w:hAnsi="Cambria Math"/>
            <w:sz w:val="20"/>
          </w:rPr>
          <m:t>ε</m:t>
        </m:r>
      </m:oMath>
      <w:r w:rsidRPr="00372C58">
        <w:rPr>
          <w:sz w:val="20"/>
        </w:rPr>
        <w:t xml:space="preserve"> is the permittivity of free space, </w:t>
      </w:r>
      <m:oMath>
        <m:r>
          <w:rPr>
            <w:rFonts w:ascii="Cambria Math" w:hAnsi="Cambria Math"/>
            <w:sz w:val="20"/>
          </w:rPr>
          <m:t>c</m:t>
        </m:r>
      </m:oMath>
      <w:r w:rsidRPr="00372C58">
        <w:rPr>
          <w:sz w:val="20"/>
        </w:rPr>
        <w:t xml:space="preserve"> is the speed of light, and </w:t>
      </w:r>
      <w:r w:rsidRPr="00372C58">
        <w:rPr>
          <w:position w:val="-4"/>
          <w:sz w:val="20"/>
        </w:rPr>
        <w:object w:dxaOrig="220" w:dyaOrig="220">
          <v:shape id="_x0000_i1033" type="#_x0000_t75" style="width:11.5pt;height:11.5pt" o:ole="">
            <v:imagedata r:id="rId194" o:title=""/>
          </v:shape>
          <o:OLEObject Type="Embed" ProgID="Equation.DSMT4" ShapeID="_x0000_i1033" DrawAspect="Content" ObjectID="_1438188845" r:id="rId195"/>
        </w:object>
      </w:r>
      <w:r w:rsidRPr="00372C58">
        <w:rPr>
          <w:sz w:val="20"/>
        </w:rPr>
        <w:t xml:space="preserve"> is the angular frequency. Spicka et al. show that this latter quantity can be replaced by the other terms as shown in (15) where </w:t>
      </w:r>
      <w:r w:rsidRPr="00372C58">
        <w:rPr>
          <w:i/>
          <w:sz w:val="20"/>
        </w:rPr>
        <w:t>v</w:t>
      </w:r>
      <w:r w:rsidRPr="00372C58">
        <w:rPr>
          <w:sz w:val="20"/>
        </w:rPr>
        <w:t xml:space="preserve"> is the electron’s straight line velocity between impacts, </w:t>
      </w:r>
      <m:oMath>
        <m:r>
          <w:rPr>
            <w:rFonts w:ascii="Cambria Math" w:hAnsi="Cambria Math"/>
            <w:sz w:val="20"/>
          </w:rPr>
          <m:t>λ</m:t>
        </m:r>
      </m:oMath>
      <w:r w:rsidRPr="00372C58">
        <w:rPr>
          <w:sz w:val="20"/>
        </w:rPr>
        <w:t xml:space="preserve"> is the length of the mean free path between collisions, and </w:t>
      </w:r>
      <m:oMath>
        <m:r>
          <w:rPr>
            <w:rFonts w:ascii="Cambria Math" w:hAnsi="Cambria Math"/>
            <w:sz w:val="20"/>
          </w:rPr>
          <m:t>θ</m:t>
        </m:r>
      </m:oMath>
      <w:r w:rsidRPr="00372C58">
        <w:rPr>
          <w:sz w:val="20"/>
        </w:rPr>
        <w:t xml:space="preserve"> is the angle subtended by length of the mean free path at the center of the orbit.</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Spicka et al. then point out that the power absorbed by the electron is given by</w:t>
      </w:r>
    </w:p>
    <w:p w:rsidR="00265840" w:rsidRPr="00372C58" w:rsidRDefault="00265840" w:rsidP="00265840">
      <w:pPr>
        <w:pStyle w:val="NormPara"/>
        <w:ind w:firstLine="72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179" w:dyaOrig="420">
          <v:shape id="_x0000_i1034" type="#_x0000_t75" style="width:108.9pt;height:21.2pt" o:ole="">
            <v:imagedata r:id="rId196" o:title=""/>
          </v:shape>
          <o:OLEObject Type="Embed" ProgID="Equation.DSMT4" ShapeID="_x0000_i1034" DrawAspect="Content" ObjectID="_1438188846" r:id="rId19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(16)</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0"/>
        <w:rPr>
          <w:sz w:val="20"/>
        </w:rPr>
      </w:pPr>
      <w:r w:rsidRPr="00372C58">
        <w:rPr>
          <w:sz w:val="20"/>
        </w:rPr>
        <w:t xml:space="preserve">where </w:t>
      </w:r>
      <m:oMath>
        <m:r>
          <w:rPr>
            <w:rFonts w:hAnsi="Cambria Math"/>
            <w:sz w:val="20"/>
          </w:rPr>
          <m:t>h</m:t>
        </m:r>
      </m:oMath>
      <w:r w:rsidRPr="00372C58">
        <w:rPr>
          <w:sz w:val="20"/>
        </w:rPr>
        <w:t xml:space="preserve"> is Planck's constant,</w:t>
      </w:r>
      <m:oMath>
        <m:r>
          <w:rPr>
            <w:rFonts w:ascii="Cambria Math"/>
            <w:sz w:val="20"/>
          </w:rPr>
          <m:t xml:space="preserve"> </m:t>
        </m:r>
        <m:r>
          <w:rPr>
            <w:rFonts w:ascii="Cambria Math" w:hAnsi="Cambria Math"/>
            <w:sz w:val="20"/>
          </w:rPr>
          <m:t>m</m:t>
        </m:r>
        <m:r>
          <w:rPr>
            <w:rFonts w:ascii="Cambria Math"/>
            <w:sz w:val="20"/>
          </w:rPr>
          <m:t xml:space="preserve"> </m:t>
        </m:r>
      </m:oMath>
      <w:r w:rsidRPr="00372C58">
        <w:rPr>
          <w:sz w:val="20"/>
        </w:rPr>
        <w:t xml:space="preserve">is the atomic mass of the electron, while </w:t>
      </w:r>
      <m:oMath>
        <m:r>
          <w:rPr>
            <w:rFonts w:ascii="Cambria Math" w:hAnsi="Cambria Math"/>
            <w:sz w:val="20"/>
          </w:rPr>
          <m:t>λ</m:t>
        </m:r>
        <m:r>
          <w:rPr>
            <w:rFonts w:ascii="Cambria Math"/>
            <w:sz w:val="20"/>
          </w:rPr>
          <m:t xml:space="preserve"> </m:t>
        </m:r>
      </m:oMath>
      <w:r w:rsidRPr="00372C58">
        <w:rPr>
          <w:sz w:val="20"/>
        </w:rPr>
        <w:t>is the mean free path between collisions. For a stable orbit, power absorbed equals power radiated.  This then gives us: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4140" w:dyaOrig="420">
          <v:shape id="_x0000_i1035" type="#_x0000_t75" style="width:206.9pt;height:21.2pt" o:ole="">
            <v:imagedata r:id="rId198" o:title=""/>
          </v:shape>
          <o:OLEObject Type="Embed" ProgID="Equation.DSMT4" ShapeID="_x0000_i1035" DrawAspect="Content" ObjectID="_1438188847" r:id="rId199"/>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(17)</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When dealing with a changing ZPE, the quantity (</w:t>
      </w:r>
      <w:r w:rsidRPr="00372C58">
        <w:rPr>
          <w:position w:val="-10"/>
          <w:sz w:val="20"/>
        </w:rPr>
        <w:object w:dxaOrig="419" w:dyaOrig="340">
          <v:shape id="_x0000_i1036" type="#_x0000_t75" style="width:21.2pt;height:17.55pt" o:ole="">
            <v:imagedata r:id="rId200" o:title=""/>
          </v:shape>
          <o:OLEObject Type="Embed" ProgID="Equation.DSMT4" ShapeID="_x0000_i1036" DrawAspect="Content" ObjectID="_1438188848" r:id="rId201"/>
        </w:object>
      </w:r>
      <w:r w:rsidRPr="00372C58">
        <w:rPr>
          <w:sz w:val="20"/>
        </w:rPr>
        <w:t>) has been shown to be constant experimentally [76-80]. Astronomical observations have also shown it to be constant out to the furthest reaches of the cosmos [79]. If we isolate that quantity, we obtain:</w:t>
      </w:r>
      <w:r w:rsidRPr="00372C58">
        <w:rPr>
          <w:sz w:val="20"/>
        </w:rPr>
        <w:tab/>
      </w:r>
    </w:p>
    <w:p w:rsidR="00265840" w:rsidRPr="00372C58" w:rsidRDefault="00265840" w:rsidP="00265840">
      <w:pPr>
        <w:pStyle w:val="NormPara"/>
        <w:ind w:firstLine="27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3019" w:dyaOrig="420">
          <v:shape id="_x0000_i1037" type="#_x0000_t75" style="width:150.65pt;height:21.2pt" o:ole="">
            <v:imagedata r:id="rId202" o:title=""/>
          </v:shape>
          <o:OLEObject Type="Embed" ProgID="Equation.DSMT4" ShapeID="_x0000_i1037" DrawAspect="Content" ObjectID="_1438188849" r:id="rId20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(18)</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We then substitute for </w:t>
      </w:r>
      <m:oMath>
        <m:r>
          <w:rPr>
            <w:sz w:val="20"/>
          </w:rPr>
          <m:t>Ω</m:t>
        </m:r>
      </m:oMath>
      <w:r w:rsidRPr="00372C58">
        <w:rPr>
          <w:sz w:val="20"/>
        </w:rPr>
        <w:t xml:space="preserve"> from (15) we obtain</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22"/>
          <w:sz w:val="20"/>
          <w:szCs w:val="20"/>
        </w:rPr>
        <w:object w:dxaOrig="2800" w:dyaOrig="520">
          <v:shape id="_x0000_i1038" type="#_x0000_t75" style="width:139.15pt;height:24.8pt" o:ole="">
            <v:imagedata r:id="rId204" o:title=""/>
          </v:shape>
          <o:OLEObject Type="Embed" ProgID="Equation.DSMT4" ShapeID="_x0000_i1038" DrawAspect="Content" ObjectID="_1438188850" r:id="rId20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(19)</w:t>
      </w:r>
    </w:p>
    <w:p w:rsidR="00265840" w:rsidRPr="00372C58" w:rsidRDefault="00265840" w:rsidP="00265840">
      <w:pPr>
        <w:pStyle w:val="NormPara"/>
        <w:ind w:firstLine="0"/>
        <w:rPr>
          <w:sz w:val="20"/>
        </w:rPr>
      </w:pPr>
      <w:r w:rsidRPr="00372C58">
        <w:rPr>
          <w:sz w:val="20"/>
        </w:rPr>
        <w:t>When this is simplified, it then becomes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799" w:dyaOrig="420">
          <v:shape id="_x0000_i1039" type="#_x0000_t75" style="width:139.75pt;height:21.2pt" o:ole="">
            <v:imagedata r:id="rId206" o:title=""/>
          </v:shape>
          <o:OLEObject Type="Embed" ProgID="Equation.DSMT4" ShapeID="_x0000_i1039" DrawAspect="Content" ObjectID="_1438188851" r:id="rId20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(20)</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As mentioned above, when the ZPE varies</w:t>
      </w:r>
      <w:r w:rsidR="00A14F9D">
        <w:rPr>
          <w:sz w:val="20"/>
        </w:rPr>
        <w:t>,</w:t>
      </w:r>
      <w:r w:rsidRPr="00372C58">
        <w:rPr>
          <w:sz w:val="20"/>
        </w:rPr>
        <w:t xml:space="preserve"> </w:t>
      </w:r>
      <m:oMath>
        <m:r>
          <w:rPr>
            <w:rFonts w:ascii="Cambria Math" w:hAnsi="Cambria Math"/>
            <w:sz w:val="20"/>
          </w:rPr>
          <m:t>m</m:t>
        </m:r>
        <m:r>
          <w:rPr>
            <w:rFonts w:ascii="Cambria Math"/>
            <w:sz w:val="20"/>
          </w:rPr>
          <m:t xml:space="preserve"> </m:t>
        </m:r>
      </m:oMath>
      <w:r w:rsidRPr="00372C58">
        <w:rPr>
          <w:sz w:val="20"/>
        </w:rPr>
        <w:t xml:space="preserve">is proportional to </w:t>
      </w:r>
      <m:oMath>
        <m:sSup>
          <m:sSupPr>
            <m:ctrlPr>
              <w:rPr>
                <w:rFonts w:ascii="Cambria Math" w:hAnsi="Cambria Math"/>
                <w:i/>
                <w:sz w:val="20"/>
              </w:rPr>
            </m:ctrlPr>
          </m:sSupPr>
          <m:e>
            <m:r>
              <w:rPr>
                <w:rFonts w:hAnsi="Cambria Math"/>
                <w:sz w:val="20"/>
              </w:rPr>
              <m:t>h</m:t>
            </m:r>
          </m:e>
          <m:sup>
            <m:r>
              <w:rPr>
                <w:rFonts w:ascii="Cambria Math"/>
                <w:sz w:val="20"/>
              </w:rPr>
              <m:t>2</m:t>
            </m:r>
          </m:sup>
        </m:sSup>
      </m:oMath>
      <w:r w:rsidRPr="00372C58">
        <w:rPr>
          <w:sz w:val="20"/>
        </w:rPr>
        <w:t xml:space="preserve">. This then means in (20) that </w:t>
      </w:r>
      <m:oMath>
        <m:r>
          <w:rPr>
            <w:rFonts w:ascii="Cambria Math"/>
            <w:sz w:val="20"/>
          </w:rPr>
          <m:t>(</m:t>
        </m:r>
        <m:sSup>
          <m:sSupPr>
            <m:ctrlPr>
              <w:rPr>
                <w:rFonts w:ascii="Cambria Math" w:hAnsi="Cambria Math"/>
                <w:i/>
                <w:sz w:val="20"/>
              </w:rPr>
            </m:ctrlPr>
          </m:sSupPr>
          <m:e>
            <m:r>
              <w:rPr>
                <w:rFonts w:hAnsi="Cambria Math"/>
                <w:sz w:val="20"/>
              </w:rPr>
              <m:t>h</m:t>
            </m:r>
          </m:e>
          <m:sup>
            <m:r>
              <w:rPr>
                <w:rFonts w:ascii="Cambria Math"/>
                <w:sz w:val="20"/>
              </w:rPr>
              <m:t>2</m:t>
            </m:r>
          </m:sup>
        </m:sSup>
        <m:r>
          <w:rPr>
            <w:rFonts w:ascii="Cambria Math"/>
            <w:sz w:val="20"/>
          </w:rPr>
          <m:t>/</m:t>
        </m:r>
        <m:r>
          <w:rPr>
            <w:rFonts w:ascii="Cambria Math" w:hAnsi="Cambria Math"/>
            <w:sz w:val="20"/>
          </w:rPr>
          <m:t>m</m:t>
        </m:r>
        <m:r>
          <w:rPr>
            <w:rFonts w:ascii="Cambria Math"/>
            <w:sz w:val="20"/>
          </w:rPr>
          <m:t>)</m:t>
        </m:r>
      </m:oMath>
      <w:r w:rsidRPr="00372C58">
        <w:rPr>
          <w:sz w:val="20"/>
        </w:rPr>
        <w:t xml:space="preserve"> is constant. </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This further requires that (</w:t>
      </w:r>
      <m:oMath>
        <m:sSup>
          <m:sSupPr>
            <m:ctrlPr>
              <w:rPr>
                <w:rFonts w:ascii="Cambria Math" w:hAnsi="Cambria Math"/>
                <w:i/>
                <w:sz w:val="20"/>
              </w:rPr>
            </m:ctrlPr>
          </m:sSupPr>
          <m:e>
            <m:r>
              <w:rPr>
                <w:rFonts w:ascii="Cambria Math" w:hAnsi="Cambria Math"/>
                <w:sz w:val="20"/>
              </w:rPr>
              <m:t>θ</m:t>
            </m:r>
          </m:e>
          <m:sup>
            <m:r>
              <w:rPr>
                <w:rFonts w:ascii="Cambria Math"/>
                <w:sz w:val="20"/>
              </w:rPr>
              <m:t>2</m:t>
            </m:r>
          </m:sup>
        </m:sSup>
        <m:r>
          <w:rPr>
            <w:rFonts w:ascii="Cambria Math"/>
            <w:sz w:val="20"/>
          </w:rPr>
          <m:t xml:space="preserve"> / </m:t>
        </m:r>
        <m:r>
          <w:rPr>
            <w:rFonts w:ascii="Cambria Math" w:hAnsi="Cambria Math"/>
            <w:sz w:val="20"/>
          </w:rPr>
          <m:t>λ</m:t>
        </m:r>
      </m:oMath>
      <w:r w:rsidRPr="00372C58">
        <w:rPr>
          <w:sz w:val="20"/>
        </w:rPr>
        <w:t xml:space="preserve">) must also be a constant with varying ZPE. The symbol </w:t>
      </w:r>
      <m:oMath>
        <m:r>
          <w:rPr>
            <w:rFonts w:ascii="Cambria Math" w:hAnsi="Cambria Math"/>
            <w:sz w:val="20"/>
          </w:rPr>
          <m:t>θ</m:t>
        </m:r>
      </m:oMath>
      <w:r w:rsidRPr="00372C58">
        <w:rPr>
          <w:sz w:val="20"/>
        </w:rPr>
        <w:t xml:space="preserve"> is the angle subtended at the center of the orbit by the length of the mean free path, </w:t>
      </w:r>
      <m:oMath>
        <m:r>
          <w:rPr>
            <w:rFonts w:ascii="Cambria Math" w:hAnsi="Cambria Math"/>
            <w:sz w:val="20"/>
          </w:rPr>
          <m:t>λ</m:t>
        </m:r>
      </m:oMath>
      <w:r w:rsidRPr="00372C58">
        <w:rPr>
          <w:sz w:val="20"/>
        </w:rPr>
        <w:t xml:space="preserve">. Furthermore, the angle, </w:t>
      </w:r>
      <m:oMath>
        <m:r>
          <w:rPr>
            <w:rFonts w:ascii="Cambria Math" w:hAnsi="Cambria Math"/>
            <w:sz w:val="20"/>
          </w:rPr>
          <m:t>θ</m:t>
        </m:r>
      </m:oMath>
      <w:r w:rsidRPr="00372C58">
        <w:rPr>
          <w:sz w:val="20"/>
        </w:rPr>
        <w:t xml:space="preserve">, in radians is given by the length </w:t>
      </w:r>
      <w:r w:rsidRPr="00372C58">
        <w:rPr>
          <w:sz w:val="20"/>
        </w:rPr>
        <w:lastRenderedPageBreak/>
        <w:t xml:space="preserve">of the arc divided by the radius. Here the length of the arc is </w:t>
      </w:r>
      <m:oMath>
        <m:r>
          <w:rPr>
            <w:rFonts w:ascii="Cambria Math" w:hAnsi="Cambria Math"/>
            <w:sz w:val="20"/>
          </w:rPr>
          <m:t>λ</m:t>
        </m:r>
      </m:oMath>
      <w:r w:rsidRPr="00372C58">
        <w:rPr>
          <w:sz w:val="20"/>
        </w:rPr>
        <w:t xml:space="preserve">, and the radius involved is the radius of the electron orbit, </w:t>
      </w:r>
      <m:oMath>
        <m:r>
          <w:rPr>
            <w:rFonts w:ascii="Cambria Math" w:hAnsi="Cambria Math"/>
            <w:sz w:val="20"/>
          </w:rPr>
          <m:t>r</m:t>
        </m:r>
      </m:oMath>
      <w:r w:rsidRPr="00372C58">
        <w:rPr>
          <w:sz w:val="20"/>
        </w:rPr>
        <w:t xml:space="preserve">. Substituting </w:t>
      </w:r>
      <m:oMath>
        <m:r>
          <w:rPr>
            <w:rFonts w:ascii="Cambria Math"/>
            <w:sz w:val="20"/>
          </w:rPr>
          <m:t>(</m:t>
        </m:r>
        <m:r>
          <w:rPr>
            <w:rFonts w:ascii="Cambria Math" w:hAnsi="Cambria Math"/>
            <w:sz w:val="20"/>
          </w:rPr>
          <m:t>λ</m:t>
        </m:r>
        <m:r>
          <w:rPr>
            <w:rFonts w:ascii="Cambria Math"/>
            <w:sz w:val="20"/>
          </w:rPr>
          <m:t xml:space="preserve"> / </m:t>
        </m:r>
        <m:r>
          <w:rPr>
            <w:rFonts w:ascii="Cambria Math" w:hAnsi="Cambria Math"/>
            <w:sz w:val="20"/>
          </w:rPr>
          <m:t>r</m:t>
        </m:r>
        <m:r>
          <w:rPr>
            <w:rFonts w:ascii="Cambria Math"/>
            <w:sz w:val="20"/>
          </w:rPr>
          <m:t>)</m:t>
        </m:r>
      </m:oMath>
      <w:r w:rsidRPr="00372C58">
        <w:rPr>
          <w:sz w:val="20"/>
        </w:rPr>
        <w:t xml:space="preserve"> for </w:t>
      </w:r>
      <m:oMath>
        <m:r>
          <w:rPr>
            <w:rFonts w:ascii="Cambria Math" w:hAnsi="Cambria Math"/>
            <w:sz w:val="20"/>
          </w:rPr>
          <m:t>θ</m:t>
        </m:r>
      </m:oMath>
      <w:r w:rsidRPr="00372C58">
        <w:rPr>
          <w:sz w:val="20"/>
        </w:rPr>
        <w:t xml:space="preserve"> then gives us the result</w:t>
      </w:r>
      <w:r w:rsidRPr="00372C58">
        <w:rPr>
          <w:sz w:val="20"/>
        </w:rPr>
        <w:tab/>
      </w: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859" w:dyaOrig="420">
          <v:shape id="_x0000_i1040" type="#_x0000_t75" style="width:143.4pt;height:21.2pt" o:ole="">
            <v:imagedata r:id="rId208" o:title=""/>
          </v:shape>
          <o:OLEObject Type="Embed" ProgID="Equation.DSMT4" ShapeID="_x0000_i1040" DrawAspect="Content" ObjectID="_1438188852" r:id="rId209"/>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(21)</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Therefore we can write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Kr</m:t>
        </m:r>
      </m:oMath>
      <w:r w:rsidRPr="00372C58">
        <w:rPr>
          <w:rFonts w:ascii="Book Antiqua" w:hAnsi="Book Antiqua"/>
          <w:i/>
          <w:sz w:val="20"/>
        </w:rPr>
        <w:t xml:space="preserve">   or alternately  </w:t>
      </w:r>
      <m:oMath>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(22)</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This equation (22) has some important consequences. When the ZPE is stronger, there are more ZPE waves per unit volume and so there are more hits per second on the electron. This means that the electron is now emitting more recoil radiation, and so has a tendency to move towards the nucleus, as the above quote from de la Pena points out [72]. The direct consequence of an increasing number of hits is that the mean free path, </w:t>
      </w:r>
      <m:oMath>
        <m:r>
          <w:rPr>
            <w:rFonts w:ascii="Cambria Math" w:hAnsi="Cambria Math"/>
            <w:sz w:val="20"/>
          </w:rPr>
          <m:t>λ</m:t>
        </m:r>
      </m:oMath>
      <w:r w:rsidRPr="00372C58">
        <w:rPr>
          <w:sz w:val="20"/>
        </w:rPr>
        <w:t xml:space="preserve">, is smaller. Equations (21) and (22) then indicate that, as a result, the orbit radius, </w:t>
      </w:r>
      <m:oMath>
        <m:r>
          <w:rPr>
            <w:rFonts w:ascii="Cambria Math" w:hAnsi="Cambria Math"/>
            <w:sz w:val="20"/>
          </w:rPr>
          <m:t>r</m:t>
        </m:r>
      </m:oMath>
      <w:r w:rsidRPr="00372C58">
        <w:rPr>
          <w:sz w:val="20"/>
        </w:rPr>
        <w:t>, will tend to decrease. But the quantized redshift gives evidence that there are constraints on atomic orbit radii changes. So we must examine the behavior of</w:t>
      </w:r>
      <m:oMath>
        <m:r>
          <w:rPr>
            <w:rFonts w:ascii="Cambria Math"/>
            <w:sz w:val="20"/>
          </w:rPr>
          <m:t xml:space="preserve"> </m:t>
        </m:r>
        <m:r>
          <w:rPr>
            <w:rFonts w:ascii="Cambria Math" w:hAnsi="Cambria Math"/>
            <w:sz w:val="20"/>
          </w:rPr>
          <m:t>λ</m:t>
        </m:r>
      </m:oMath>
      <w:r w:rsidRPr="00372C58">
        <w:rPr>
          <w:sz w:val="20"/>
        </w:rPr>
        <w:t xml:space="preserve"> and </w:t>
      </w:r>
      <m:oMath>
        <m:r>
          <w:rPr>
            <w:rFonts w:ascii="Cambria Math" w:hAnsi="Cambria Math"/>
            <w:sz w:val="20"/>
          </w:rPr>
          <m:t>r</m:t>
        </m:r>
        <m:r>
          <w:rPr>
            <w:rFonts w:ascii="Cambria Math"/>
            <w:sz w:val="20"/>
          </w:rPr>
          <m:t xml:space="preserve"> </m:t>
        </m:r>
      </m:oMath>
      <w:r w:rsidRPr="00372C58">
        <w:rPr>
          <w:sz w:val="20"/>
        </w:rPr>
        <w:t>with a changing ZPE and</w:t>
      </w:r>
      <w:r w:rsidR="000D4C16">
        <w:rPr>
          <w:sz w:val="20"/>
        </w:rPr>
        <w:t xml:space="preserve"> find out</w:t>
      </w:r>
      <w:r w:rsidRPr="00372C58">
        <w:rPr>
          <w:sz w:val="20"/>
        </w:rPr>
        <w:t xml:space="preserve"> how these factors affect the light that atoms emit.</w:t>
      </w:r>
    </w:p>
    <w:p w:rsidR="00265840" w:rsidRPr="00372C58" w:rsidRDefault="00265840" w:rsidP="00265840">
      <w:pPr>
        <w:pStyle w:val="NormPara"/>
        <w:ind w:firstLine="270"/>
        <w:rPr>
          <w:sz w:val="20"/>
        </w:rPr>
      </w:pPr>
    </w:p>
    <w:p w:rsidR="00265840" w:rsidRPr="00372C58" w:rsidRDefault="00265840" w:rsidP="00265840">
      <w:pPr>
        <w:pStyle w:val="NormPara"/>
        <w:ind w:firstLine="0"/>
        <w:rPr>
          <w:i/>
          <w:sz w:val="20"/>
        </w:rPr>
      </w:pPr>
      <w:r w:rsidRPr="00372C58">
        <w:rPr>
          <w:bCs/>
          <w:i/>
          <w:iCs/>
          <w:color w:val="000000"/>
          <w:sz w:val="20"/>
        </w:rPr>
        <w:t>5.5. Considering The Orbit Radius.</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wavelength (color) of light which an atom emits depends on the radius of the electron orbit involved. The mathematical dependence in a changing ZPE scenario may be discerned by the following approach. The energy of a given spectral line is given by:</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m:t>
        </m:r>
        <m:r>
          <w:rPr>
            <w:rFonts w:ascii="Cambria Math" w:hAnsi="Cambria Math"/>
            <w:sz w:val="20"/>
          </w:rPr>
          <m:t>W</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W</m:t>
        </m:r>
      </m:oMath>
      <w:r w:rsidRPr="00372C58">
        <w:rPr>
          <w:rFonts w:ascii="Book Antiqua" w:hAnsi="Book Antiqua"/>
          <w:sz w:val="20"/>
        </w:rPr>
        <w:t xml:space="preserve"> is the wavelength of the emitted photon. However, as A.P. French points out in </w:t>
      </w:r>
      <w:r w:rsidRPr="00372C58">
        <w:rPr>
          <w:rFonts w:ascii="Book Antiqua" w:hAnsi="Book Antiqua"/>
          <w:i/>
          <w:sz w:val="20"/>
        </w:rPr>
        <w:t>Principles of Modern Physics</w:t>
      </w:r>
      <w:r w:rsidRPr="00372C58">
        <w:rPr>
          <w:rFonts w:ascii="Book Antiqua" w:hAnsi="Book Antiqua"/>
          <w:sz w:val="20"/>
        </w:rPr>
        <w:t xml:space="preserve">, this can be written in the following terms where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the Rydberg constant for the so-called infinite nucleus [81]: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 xml:space="preserve"> (</m:t>
        </m:r>
        <m:r>
          <w:rPr>
            <w:rFonts w:ascii="Cambria Math" w:hAnsi="Cambria Math"/>
            <w:sz w:val="20"/>
          </w:rPr>
          <m:t>R</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i/>
          <w:sz w:val="20"/>
        </w:rPr>
        <w:t>(24)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(24), the quantity, </w:t>
      </w:r>
      <m:oMath>
        <m:r>
          <w:rPr>
            <w:rFonts w:ascii="Cambria Math" w:hAnsi="Cambria Math"/>
            <w:sz w:val="20"/>
          </w:rPr>
          <m:t>n</m:t>
        </m:r>
      </m:oMath>
      <w:r w:rsidRPr="00372C58">
        <w:rPr>
          <w:rFonts w:ascii="Book Antiqua" w:hAnsi="Book Antiqua"/>
          <w:sz w:val="20"/>
        </w:rPr>
        <w:t>, is the Bohr quantum number. Therefore a comparison of (23) and (24) shows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R</m:t>
        </m:r>
        <m:r>
          <w:rPr>
            <w:rFonts w:ascii="Book Antiqua"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(25)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Now the definition of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give by French (op. cit.)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Book Antiqua" w:hAnsi="Book Antiqua"/>
            <w:sz w:val="20"/>
          </w:rPr>
          <m:t>∞</m:t>
        </m:r>
        <m:r>
          <w:rPr>
            <w:rFonts w:ascii="Cambria Math" w:hAnsi="Book Antiqua"/>
            <w:sz w:val="20"/>
          </w:rPr>
          <m:t xml:space="preserve"> =  (2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Cambria Math"/>
            <w:sz w:val="20"/>
          </w:rPr>
          <m:t>m</m:t>
        </m:r>
        <m:r>
          <w:rPr>
            <w:rFonts w:ascii="Cambria Math" w:hAnsi="Book Antiqua"/>
            <w:sz w:val="20"/>
          </w:rPr>
          <m:t>)/(</m:t>
        </m:r>
        <m:r>
          <w:rPr>
            <w:rFonts w:ascii="Cambria Math" w:hAnsi="Cambria Math"/>
            <w:sz w:val="20"/>
          </w:rPr>
          <m:t>εc</m:t>
        </m:r>
        <m:sSup>
          <m:sSupPr>
            <m:ctrlPr>
              <w:rPr>
                <w:rFonts w:ascii="Cambria Math" w:hAnsi="Book Antiqua"/>
                <w:i/>
                <w:sz w:val="20"/>
              </w:rPr>
            </m:ctrlPr>
          </m:sSupPr>
          <m:e>
            <m:r>
              <w:rPr>
                <w:rFonts w:ascii="Book Antiqua" w:hAnsi="Cambria Math"/>
                <w:sz w:val="20"/>
              </w:rPr>
              <m:t>h</m:t>
            </m:r>
          </m:e>
          <m:sup>
            <m:r>
              <w:rPr>
                <w:rFonts w:ascii="Cambria Math" w:hAnsi="Book Antiqua"/>
                <w:sz w:val="20"/>
              </w:rPr>
              <m:t>3</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Substituting this in (25) then gives us the wavelength of the emitted photon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ε</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Book Antiqua"/>
            <w:sz w:val="20"/>
          </w:rPr>
          <m:t>)(1/2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 .</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But French points out that atomic orbit radius</w:t>
      </w:r>
      <m:oMath>
        <m:r>
          <w:rPr>
            <w:rFonts w:ascii="Cambria Math" w:hAnsi="Book Antiqua"/>
            <w:sz w:val="20"/>
          </w:rPr>
          <m:t xml:space="preserve"> </m:t>
        </m:r>
        <m:r>
          <w:rPr>
            <w:rFonts w:ascii="Cambria Math" w:hAnsi="Cambria Math"/>
            <w:sz w:val="20"/>
          </w:rPr>
          <m:t>r</m:t>
        </m:r>
      </m:oMath>
      <w:r w:rsidRPr="00372C58">
        <w:rPr>
          <w:rFonts w:ascii="Book Antiqua" w:hAnsi="Book Antiqua"/>
          <w:sz w:val="20"/>
        </w:rPr>
        <w:t xml:space="preserve"> is given by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Cambria Math" w:hAnsi="Book Antiqua"/>
            <w:sz w:val="20"/>
          </w:rPr>
          <m:t xml:space="preserve">  =  (1/4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Substitution of (28) in (27) then gives us the dependence of </w:t>
      </w:r>
      <m:oMath>
        <m:r>
          <w:rPr>
            <w:rFonts w:ascii="Cambria Math" w:hAnsi="Cambria Math"/>
            <w:sz w:val="20"/>
          </w:rPr>
          <m:t>W</m:t>
        </m:r>
      </m:oMath>
      <w:r w:rsidRPr="00372C58">
        <w:rPr>
          <w:rFonts w:ascii="Book Antiqua" w:hAnsi="Book Antiqua"/>
          <w:sz w:val="20"/>
        </w:rPr>
        <w:t xml:space="preserve"> on orbit radius </w:t>
      </w:r>
      <m:oMath>
        <m:r>
          <w:rPr>
            <w:rFonts w:ascii="Cambria Math" w:hAnsi="Cambria Math"/>
            <w:sz w:val="20"/>
          </w:rPr>
          <m:t>r</m:t>
        </m:r>
      </m:oMath>
      <w:r w:rsidRPr="00372C58">
        <w:rPr>
          <w:rFonts w:ascii="Book Antiqua" w:hAnsi="Book Antiqua"/>
          <w:sz w:val="20"/>
        </w:rPr>
        <w:t xml:space="preserve">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(1/2)( </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r>
          <w:rPr>
            <w:rFonts w:ascii="Cambria Math" w:hAnsi="Cambria Math"/>
            <w:sz w:val="20"/>
          </w:rPr>
          <m:t>r</m:t>
        </m:r>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 xml:space="preserve">However, we have seen that both </w:t>
      </w:r>
      <m:oMath>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and </w:t>
      </w:r>
      <m:oMath>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m:t>
        </m:r>
      </m:oMath>
      <w:r w:rsidRPr="00372C58">
        <w:rPr>
          <w:rFonts w:ascii="Book Antiqua" w:hAnsi="Book Antiqua"/>
          <w:sz w:val="20"/>
        </w:rPr>
        <w:t xml:space="preserve"> are invariant with increasing ZPE strength, </w:t>
      </w:r>
      <m:oMath>
        <m:r>
          <w:rPr>
            <w:rFonts w:ascii="Cambria Math" w:hAnsi="Cambria Math"/>
            <w:sz w:val="20"/>
          </w:rPr>
          <m:t>U</m:t>
        </m:r>
      </m:oMath>
      <w:r w:rsidRPr="00372C58">
        <w:rPr>
          <w:rFonts w:ascii="Book Antiqua" w:hAnsi="Book Antiqua"/>
          <w:sz w:val="20"/>
        </w:rPr>
        <w:t xml:space="preserve">. Therefore, from (29) it becomes apparent that emitted wavelengths are directly proportional to orbit radius, </w:t>
      </w:r>
      <m:oMath>
        <m:r>
          <w:rPr>
            <w:rFonts w:ascii="Cambria Math" w:hAnsi="Cambria Math"/>
            <w:sz w:val="20"/>
          </w:rPr>
          <m:t>r</m:t>
        </m:r>
      </m:oMath>
      <w:r w:rsidRPr="00372C58">
        <w:rPr>
          <w:rFonts w:ascii="Book Antiqua" w:hAnsi="Book Antiqua"/>
          <w:sz w:val="20"/>
        </w:rPr>
        <w:t>,. So applying equation (22) to this result we can write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Recall that the symbol (</w:t>
      </w:r>
      <m:oMath>
        <m:r>
          <w:rPr>
            <w:rFonts w:ascii="Cambria Math" w:hAnsi="Book Antiqua"/>
            <w:sz w:val="20"/>
          </w:rPr>
          <m:t>~</m:t>
        </m:r>
      </m:oMath>
      <w:r w:rsidRPr="00372C58">
        <w:rPr>
          <w:rFonts w:ascii="Book Antiqua" w:hAnsi="Book Antiqua"/>
          <w:sz w:val="20"/>
        </w:rPr>
        <w:t xml:space="preserve">) means </w:t>
      </w:r>
      <w:r w:rsidRPr="00372C58">
        <w:rPr>
          <w:rFonts w:ascii="Book Antiqua" w:hAnsi="Book Antiqua"/>
          <w:i/>
          <w:sz w:val="20"/>
        </w:rPr>
        <w:t xml:space="preserve">"is proportional to." </w:t>
      </w:r>
      <w:r w:rsidRPr="00372C58">
        <w:rPr>
          <w:rFonts w:ascii="Book Antiqua" w:hAnsi="Book Antiqua"/>
          <w:sz w:val="20"/>
        </w:rPr>
        <w:t>Therefore we have</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(31)</w:t>
      </w:r>
    </w:p>
    <w:p w:rsidR="009947A6" w:rsidRDefault="009947A6" w:rsidP="00265840">
      <w:pPr>
        <w:pStyle w:val="NoSpacing"/>
        <w:jc w:val="both"/>
        <w:rPr>
          <w:rFonts w:ascii="Book Antiqua" w:hAnsi="Book Antiqua"/>
          <w:sz w:val="20"/>
        </w:rPr>
      </w:pPr>
    </w:p>
    <w:p w:rsidR="00265840" w:rsidRPr="00372C58" w:rsidRDefault="009947A6" w:rsidP="009947A6">
      <w:pPr>
        <w:pStyle w:val="NoSpacing"/>
        <w:jc w:val="both"/>
        <w:rPr>
          <w:rFonts w:ascii="Book Antiqua" w:hAnsi="Book Antiqua"/>
          <w:sz w:val="20"/>
        </w:rPr>
      </w:pPr>
      <w:r>
        <w:rPr>
          <w:rFonts w:ascii="Book Antiqua" w:hAnsi="Book Antiqua"/>
          <w:sz w:val="20"/>
        </w:rPr>
        <w:t xml:space="preserve">In (31),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is the laboratory standard wavelength of a spectral line and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00265840" w:rsidRPr="00372C58">
        <w:rPr>
          <w:rFonts w:ascii="Book Antiqua" w:hAnsi="Book Antiqua"/>
          <w:sz w:val="20"/>
        </w:rPr>
        <w:t xml:space="preserve"> is the wavelength of the same spectral line emitted from a distant galaxy. Then, by definition in (5), we have </w:t>
      </w:r>
      <m:oMath>
        <m:r>
          <w:rPr>
            <w:rFonts w:ascii="Cambria Math" w:hAnsi="Book Antiqua"/>
            <w:sz w:val="20"/>
          </w:rPr>
          <m:t>(</m:t>
        </m:r>
        <m:r>
          <w:rPr>
            <w:rFonts w:ascii="Cambria Math" w:hAnsi="Cambria Math"/>
            <w:sz w:val="20"/>
          </w:rPr>
          <m:t>z</m:t>
        </m:r>
        <m:r>
          <w:rPr>
            <w:rFonts w:ascii="Cambria Math" w:hAnsi="Book Antiqua"/>
            <w:sz w:val="20"/>
          </w:rPr>
          <m:t xml:space="preserve"> + 1)</m:t>
        </m:r>
      </m:oMath>
      <w:r w:rsidR="00265840" w:rsidRPr="00372C58">
        <w:rPr>
          <w:rFonts w:ascii="Book Antiqua" w:hAnsi="Book Antiqua"/>
          <w:sz w:val="20"/>
        </w:rPr>
        <w:t xml:space="preserve"> being the redshift of light from that galaxy since it is given by the quantity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From (30) and (31) it can be seen that this is also the definition of the change in orbit radius, so we can write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center"/>
        <w:rPr>
          <w:rFonts w:ascii="Book Antiqua" w:hAnsi="Book Antiqua"/>
          <w:i/>
          <w:sz w:val="20"/>
        </w:rPr>
      </w:pPr>
      <w:r w:rsidRPr="00372C58">
        <w:rPr>
          <w:rFonts w:ascii="Book Antiqua" w:hAnsi="Book Antiqua"/>
          <w:i/>
          <w:sz w:val="20"/>
        </w:rPr>
        <w:t>.</w:t>
      </w:r>
      <w:r w:rsidRPr="00372C58">
        <w:rPr>
          <w:rFonts w:ascii="Book Antiqua" w:hAnsi="Book Antiqua"/>
          <w:sz w:val="20"/>
        </w:rPr>
        <w:tab/>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sSub>
          <m:sSubPr>
            <m:ctrlPr>
              <w:rPr>
                <w:rFonts w:ascii="Cambria Math" w:hAnsi="Book Antiqua"/>
                <w:i/>
                <w:sz w:val="20"/>
              </w:rPr>
            </m:ctrlPr>
          </m:sSubPr>
          <m:e>
            <m:r>
              <w:rPr>
                <w:rFonts w:ascii="Cambria Math" w:hAnsi="Book Antiqua"/>
                <w:sz w:val="20"/>
              </w:rPr>
              <m:t>/</m:t>
            </m:r>
            <m:r>
              <w:rPr>
                <w:rFonts w:ascii="Cambria Math" w:hAnsi="Cambria Math"/>
                <w:sz w:val="20"/>
              </w:rPr>
              <m:t>W</m:t>
            </m:r>
          </m:e>
          <m:sub>
            <m:r>
              <w:rPr>
                <w:rFonts w:ascii="Cambria Math" w:hAnsi="Cambria Math"/>
                <w:sz w:val="20"/>
              </w:rPr>
              <m:t>a</m:t>
            </m:r>
          </m:sub>
        </m:sSub>
        <m:r>
          <w:rPr>
            <w:rFonts w:ascii="Cambria Math" w:hAnsi="Book Antiqua"/>
            <w:sz w:val="20"/>
          </w:rPr>
          <m:t xml:space="preserve">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(32)</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fact, (32) is a special case. We can more generally state that</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m:rPr>
            <m:sty m:val="p"/>
          </m:rPr>
          <w:rPr>
            <w:rFonts w:ascii="Cambria Math" w:hAnsi="Book Antiqua"/>
            <w:sz w:val="20"/>
          </w:rPr>
          <m:t xml:space="preserve"> </m:t>
        </m:r>
        <m:r>
          <w:rPr>
            <w:rFonts w:ascii="Cambria Math" w:hAnsi="Book Antiqua"/>
            <w:sz w:val="20"/>
          </w:rPr>
          <m:t xml:space="preserve">=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+ 1)</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(33)</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oMath>
      <w:r w:rsidRPr="00372C58">
        <w:rPr>
          <w:rFonts w:ascii="Book Antiqua" w:hAnsi="Book Antiqua"/>
          <w:sz w:val="20"/>
        </w:rPr>
        <w:t xml:space="preserve"> is the redshift of the object emitting wavelength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 is the redshift of an object closer to us whose emitted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In the particular case where the measurements are being made here on earth,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is the standard wavelength which has a redshift </w:t>
      </w:r>
      <w:r w:rsidRPr="00372C58">
        <w:rPr>
          <w:rFonts w:ascii="Book Antiqua" w:hAnsi="Book Antiqua"/>
          <w:i/>
          <w:sz w:val="20"/>
        </w:rPr>
        <w:t>(</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oMath>
      <w:r w:rsidRPr="00372C58">
        <w:rPr>
          <w:rFonts w:ascii="Book Antiqua" w:hAnsi="Book Antiqua"/>
          <w:i/>
          <w:sz w:val="20"/>
        </w:rPr>
        <w:t xml:space="preserve"> = 0). </w:t>
      </w:r>
      <w:r w:rsidRPr="00372C58">
        <w:rPr>
          <w:rFonts w:ascii="Book Antiqua" w:hAnsi="Book Antiqua"/>
          <w:sz w:val="20"/>
        </w:rPr>
        <w:t>Therefore, when our current wavelength standards are used, (33) becomes</w:t>
      </w:r>
    </w:p>
    <w:p w:rsidR="00265840" w:rsidRPr="00372C58" w:rsidRDefault="00265840" w:rsidP="00265840">
      <w:pPr>
        <w:pStyle w:val="NoSpacing"/>
        <w:jc w:val="both"/>
        <w:rPr>
          <w:rFonts w:ascii="Book Antiqua" w:hAnsi="Book Antiqua"/>
          <w:i/>
          <w:sz w:val="20"/>
        </w:rPr>
      </w:pPr>
    </w:p>
    <w:p w:rsidR="00265840" w:rsidRPr="00372C58" w:rsidRDefault="00241D2F" w:rsidP="00265840">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(34)</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is what we have in (32). If we now make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our standard wavelength and orbit radius and so make them equal to unity we can write from (30) that</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jc w:val="right"/>
        <w:rPr>
          <w:oMath/>
          <w:rFonts w:ascii="Cambria Math"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 xml:space="preserve">/1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(35)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conclusion from equations (30) to (35) is that if the orbit radius,</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decreases as the ZPE strength increases with time, then the emitted wavelengths of light, </w:t>
      </w:r>
      <m:oMath>
        <m:r>
          <w:rPr>
            <w:rFonts w:ascii="Cambria Math" w:hAnsi="Cambria Math"/>
            <w:sz w:val="20"/>
          </w:rPr>
          <m:t>W</m:t>
        </m:r>
      </m:oMath>
      <w:r w:rsidRPr="00372C58">
        <w:rPr>
          <w:rFonts w:ascii="Book Antiqua" w:hAnsi="Book Antiqua"/>
          <w:sz w:val="20"/>
        </w:rPr>
        <w:t>, will also decrease in proportion. This gives more energetic</w:t>
      </w:r>
      <w:r w:rsidR="00FF15CA">
        <w:rPr>
          <w:rFonts w:ascii="Book Antiqua" w:hAnsi="Book Antiqua"/>
          <w:sz w:val="20"/>
        </w:rPr>
        <w:t>,</w:t>
      </w:r>
      <w:r w:rsidRPr="00372C58">
        <w:rPr>
          <w:rFonts w:ascii="Book Antiqua" w:hAnsi="Book Antiqua"/>
          <w:sz w:val="20"/>
        </w:rPr>
        <w:t xml:space="preserve"> or bluer</w:t>
      </w:r>
      <w:r w:rsidR="00FF15CA">
        <w:rPr>
          <w:rFonts w:ascii="Book Antiqua" w:hAnsi="Book Antiqua"/>
          <w:sz w:val="20"/>
        </w:rPr>
        <w:t>,</w:t>
      </w:r>
      <w:r w:rsidRPr="00372C58">
        <w:rPr>
          <w:rFonts w:ascii="Book Antiqua" w:hAnsi="Book Antiqua"/>
          <w:sz w:val="20"/>
        </w:rPr>
        <w:t xml:space="preserve"> light. Thus as we look back in time to more distant galaxies we see less energetic light which therefore has a redshift, </w:t>
      </w:r>
      <m:oMath>
        <m:r>
          <w:rPr>
            <w:rFonts w:ascii="Cambria Math" w:hAnsi="Cambria Math"/>
            <w:sz w:val="20"/>
          </w:rPr>
          <m:t>z</m:t>
        </m:r>
      </m:oMath>
      <w:r w:rsidRPr="00372C58">
        <w:rPr>
          <w:rFonts w:ascii="Book Antiqua" w:hAnsi="Book Antiqua"/>
          <w:sz w:val="20"/>
        </w:rPr>
        <w:t xml:space="preserve">, given by these equations.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Another approach shows this same result. The ‘bar codes,’ or spectral lines given by light from any atom have as their limit the outermost orbit possible for electrons of that atom.  These outer orbits are defined as being in a zero energy position.  Since this spectral line limit depends on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372C58">
        <w:rPr>
          <w:rFonts w:ascii="Book Antiqua" w:hAnsi="Book Antiqua"/>
          <w:sz w:val="20"/>
        </w:rPr>
        <w:t xml:space="preserve">, which is unchanging, then the outermost, or zero energy, orbit for any given atom is fixed. However, when the ZPE strength increases, the lowest orbit radius becomes smaller, or gets closer to the nucleus.  Since all other orbits are scaled in proportion, this should mean all other orbit radii will change proportionally. There is one exception:  the outermost orbit remains the </w:t>
      </w:r>
      <w:r w:rsidRPr="001104EA">
        <w:rPr>
          <w:rFonts w:ascii="Book Antiqua" w:hAnsi="Book Antiqua"/>
          <w:sz w:val="20"/>
        </w:rPr>
        <w:t>same</w:t>
      </w:r>
      <w:r w:rsidR="001104EA">
        <w:rPr>
          <w:rFonts w:ascii="Book Antiqua" w:hAnsi="Book Antiqua"/>
          <w:sz w:val="20"/>
        </w:rPr>
        <w:t>,</w:t>
      </w:r>
      <w:r w:rsidR="009947A6" w:rsidRPr="001104EA">
        <w:rPr>
          <w:rFonts w:ascii="Book Antiqua" w:hAnsi="Book Antiqua"/>
          <w:sz w:val="20"/>
        </w:rPr>
        <w:t xml:space="preserve"> as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009947A6" w:rsidRPr="001104EA">
        <w:rPr>
          <w:rFonts w:ascii="Book Antiqua" w:hAnsi="Book Antiqua"/>
          <w:sz w:val="20"/>
        </w:rPr>
        <w:t xml:space="preserve"> remains fixed</w:t>
      </w:r>
      <w:r w:rsidRPr="001104EA">
        <w:rPr>
          <w:rFonts w:ascii="Book Antiqua" w:hAnsi="Book Antiqua"/>
          <w:sz w:val="20"/>
        </w:rPr>
        <w:t>.</w:t>
      </w:r>
      <w:r w:rsidRPr="00372C58">
        <w:rPr>
          <w:rFonts w:ascii="Book Antiqua" w:hAnsi="Book Antiqua"/>
          <w:sz w:val="20"/>
        </w:rPr>
        <w:t xml:space="preserve"> </w:t>
      </w:r>
      <w:r w:rsidR="00A26D20">
        <w:rPr>
          <w:rFonts w:ascii="Book Antiqua" w:hAnsi="Book Antiqua"/>
          <w:sz w:val="20"/>
        </w:rPr>
        <w:t>The outermost orbit exists at the point beyond which the electrostatic attraction to</w:t>
      </w:r>
      <w:r w:rsidRPr="00372C58">
        <w:rPr>
          <w:rFonts w:ascii="Book Antiqua" w:hAnsi="Book Antiqua"/>
          <w:sz w:val="20"/>
        </w:rPr>
        <w:t xml:space="preserve"> </w:t>
      </w:r>
      <w:r w:rsidR="00A26D20">
        <w:rPr>
          <w:rFonts w:ascii="Book Antiqua" w:hAnsi="Book Antiqua"/>
          <w:sz w:val="20"/>
        </w:rPr>
        <w:t>the nucleus ceases.  Initially</w:t>
      </w:r>
      <w:r w:rsidRPr="00372C58">
        <w:rPr>
          <w:rFonts w:ascii="Book Antiqua" w:hAnsi="Book Antiqua"/>
          <w:sz w:val="20"/>
        </w:rPr>
        <w:t>, all orbits were crowded nearer to the outermost orbit. At this point, the orbits were actually fairly close together.  Then, as the ZPE strength increased, the inner orbits moved closer to the nucleus, increasing their distance from the outermost orbit.  In the process, they also increased their distance from each other.</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lastRenderedPageBreak/>
        <w:t xml:space="preserve">This increase in separation between orbits means there is a greater energy difference between </w:t>
      </w:r>
      <w:r w:rsidRPr="00A26D20">
        <w:rPr>
          <w:sz w:val="20"/>
        </w:rPr>
        <w:t xml:space="preserve">the orbits. </w:t>
      </w:r>
      <w:r w:rsidR="00A26D20" w:rsidRPr="00A26D20">
        <w:rPr>
          <w:sz w:val="20"/>
        </w:rPr>
        <w:t xml:space="preserve"> </w:t>
      </w:r>
      <w:r w:rsidR="00A26D20">
        <w:rPr>
          <w:sz w:val="20"/>
        </w:rPr>
        <w:t>S</w:t>
      </w:r>
      <w:r w:rsidR="00A26D20" w:rsidRPr="00A26D20">
        <w:rPr>
          <w:sz w:val="20"/>
        </w:rPr>
        <w:t>ince the orbit energy depends on the distance from the nucleus</w:t>
      </w:r>
      <w:r w:rsidR="00A26D20">
        <w:rPr>
          <w:sz w:val="20"/>
        </w:rPr>
        <w:t>,</w:t>
      </w:r>
      <w:r w:rsidRPr="00372C58">
        <w:rPr>
          <w:sz w:val="20"/>
        </w:rPr>
        <w:t xml:space="preserve"> this means that electron transitions between orbits will </w:t>
      </w:r>
      <w:r w:rsidR="00A26D20">
        <w:rPr>
          <w:sz w:val="20"/>
        </w:rPr>
        <w:t>result in electrons emitting</w:t>
      </w:r>
      <w:r w:rsidRPr="00372C58">
        <w:rPr>
          <w:sz w:val="20"/>
        </w:rPr>
        <w:t xml:space="preserve"> more energy. The outcome is that an atom's characteristic spectral lines will all be shifted proportionally towards the more energetic, or blue end of the spectrum as the ZPE strength increases. </w:t>
      </w:r>
      <w:r w:rsidRPr="00A26D20">
        <w:rPr>
          <w:sz w:val="20"/>
        </w:rPr>
        <w:t xml:space="preserve">As a consequence, when we look back into the past (farther out in space), </w:t>
      </w:r>
      <w:r w:rsidR="00A26D20">
        <w:rPr>
          <w:sz w:val="20"/>
        </w:rPr>
        <w:t xml:space="preserve">the lower ZPE would mean </w:t>
      </w:r>
      <w:r w:rsidRPr="00A26D20">
        <w:rPr>
          <w:sz w:val="20"/>
        </w:rPr>
        <w:t>atoms would emit less energetic, or redder, light</w:t>
      </w:r>
      <w:r w:rsidR="00A26D20">
        <w:rPr>
          <w:sz w:val="20"/>
        </w:rPr>
        <w:t>.</w:t>
      </w:r>
      <w:r w:rsidRPr="00A26D20">
        <w:rPr>
          <w:sz w:val="20"/>
        </w:rPr>
        <w:t xml:space="preserve"> </w:t>
      </w:r>
      <w:r w:rsidRPr="00372C58">
        <w:rPr>
          <w:sz w:val="20"/>
        </w:rPr>
        <w:t xml:space="preserve">This gives us the redshift as in equation (32). </w:t>
      </w:r>
      <w:r w:rsidRPr="00A26D20">
        <w:rPr>
          <w:sz w:val="20"/>
        </w:rPr>
        <w:t>Thus</w:t>
      </w:r>
      <w:r w:rsidRPr="00372C58">
        <w:rPr>
          <w:sz w:val="20"/>
        </w:rPr>
        <w:t xml:space="preserve"> the redshift and atomic orbit radii are directly linked to changes in the ZPE.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changes in orbit radii may be either smooth, as the ZPE varies smoothly, or go in jumps once the ZPE change has built up to a specific threshold level. A quantized redshift suggests the latter. All atomic orbits have specific energy values that go in jumps of a basic value, or are quantized. In addition, the orbit positions do not change smoothly but jump from one specific orbit distance to another. It might be suspected that any changes in orbit energy and/or position might similarly go in jumps. If so, then </w:t>
      </w:r>
      <w:r w:rsidRPr="00A26D20">
        <w:rPr>
          <w:rFonts w:ascii="Book Antiqua" w:hAnsi="Book Antiqua"/>
          <w:sz w:val="20"/>
        </w:rPr>
        <w:t>the changes</w:t>
      </w:r>
      <w:r w:rsidRPr="00372C58">
        <w:rPr>
          <w:rFonts w:ascii="Book Antiqua" w:hAnsi="Book Antiqua"/>
          <w:sz w:val="20"/>
        </w:rPr>
        <w:t xml:space="preserve"> in the Zero Point Energy </w:t>
      </w:r>
      <w:r w:rsidR="00A26D20">
        <w:rPr>
          <w:rFonts w:ascii="Book Antiqua" w:hAnsi="Book Antiqua"/>
          <w:sz w:val="20"/>
        </w:rPr>
        <w:t>have</w:t>
      </w:r>
      <w:r w:rsidRPr="00372C58">
        <w:rPr>
          <w:rFonts w:ascii="Book Antiqua" w:hAnsi="Book Antiqua"/>
          <w:sz w:val="20"/>
        </w:rPr>
        <w:t xml:space="preserve"> to reach a threshold amount to force the responding change in atomic orbit energies and positions.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During this ‘lag’ time between jumps, orbit energies and positions will remain fixed following which the responding jump will produce the quantized measurements for the red shift.  Orbits stay the same, throughout the universe, until the energy they are receiving has built up sufficiently to allow a simultaneous change</w:t>
      </w:r>
      <w:r w:rsidR="00A26D20">
        <w:rPr>
          <w:rFonts w:ascii="Book Antiqua" w:hAnsi="Book Antiqua"/>
          <w:sz w:val="20"/>
        </w:rPr>
        <w:t>.</w:t>
      </w:r>
      <w:r w:rsidRPr="00372C58">
        <w:rPr>
          <w:rFonts w:ascii="Book Antiqua" w:hAnsi="Book Antiqua"/>
          <w:sz w:val="20"/>
        </w:rPr>
        <w:t xml:space="preserve">  So we see red shift measurements in ‘clumps’ or groups and then a sudden shift to a new set of measu</w:t>
      </w:r>
      <w:r w:rsidR="00A26D20">
        <w:rPr>
          <w:rFonts w:ascii="Book Antiqua" w:hAnsi="Book Antiqua"/>
          <w:sz w:val="20"/>
        </w:rPr>
        <w:t>rements, with nothing in between.</w:t>
      </w:r>
      <w:r w:rsidRPr="00FF15CA">
        <w:rPr>
          <w:rFonts w:ascii="Book Antiqua" w:hAnsi="Book Antiqua"/>
          <w:sz w:val="20"/>
          <w:highlight w:val="yellow"/>
        </w:rPr>
        <w:t xml:space="preserve"> </w:t>
      </w:r>
      <w:r w:rsidRPr="00A26D20">
        <w:rPr>
          <w:rFonts w:ascii="Book Antiqua" w:hAnsi="Book Antiqua"/>
          <w:sz w:val="20"/>
        </w:rPr>
        <w:t>Quantized red shifts are thus the result of quantized orbit radii changes.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i/>
          <w:sz w:val="20"/>
        </w:rPr>
      </w:pPr>
      <w:r w:rsidRPr="00372C58">
        <w:rPr>
          <w:rFonts w:ascii="Book Antiqua" w:hAnsi="Book Antiqua"/>
          <w:bCs/>
          <w:i/>
          <w:iCs/>
          <w:color w:val="000000"/>
          <w:sz w:val="20"/>
        </w:rPr>
        <w:t>5.6. Considering The Mean Free Path.</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Equations (21) and (22) involve the atomic radius and the </w:t>
      </w:r>
      <w:r w:rsidRPr="00A26D20">
        <w:rPr>
          <w:rFonts w:ascii="Book Antiqua" w:hAnsi="Book Antiqua"/>
          <w:sz w:val="20"/>
        </w:rPr>
        <w:t>mean free path</w:t>
      </w:r>
      <w:r w:rsidR="00A26D20">
        <w:rPr>
          <w:rFonts w:ascii="Book Antiqua" w:hAnsi="Book Antiqua"/>
          <w:sz w:val="20"/>
        </w:rPr>
        <w:t xml:space="preserve"> (the average distance an electron will travel between collisions of any kind)</w:t>
      </w:r>
      <w:r w:rsidRPr="00372C58">
        <w:rPr>
          <w:rFonts w:ascii="Book Antiqua" w:hAnsi="Book Antiqua"/>
          <w:sz w:val="20"/>
        </w:rPr>
        <w:t>.  We have just discussed the orbit radius, its relationship to emitted wavelengths, the mean free path, and the redshift as in (34) and (35).  The next step is to find the value of the quantity K, which is related to the mean free path..</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t xml:space="preserve">When the electron is moving, the number of hits per unit time can be shown by standard physics to be equal to the velocity of the traveling object divided by the mean free path, </w:t>
      </w:r>
      <m:oMath>
        <m:r>
          <w:rPr>
            <w:rFonts w:ascii="Cambria Math" w:hAnsi="Cambria Math"/>
            <w:sz w:val="20"/>
          </w:rPr>
          <m:t>λ</m:t>
        </m:r>
      </m:oMath>
      <w:r w:rsidRPr="00372C58">
        <w:rPr>
          <w:sz w:val="20"/>
        </w:rPr>
        <w:t>.  Thus we can write that the mean free path</w:t>
      </w:r>
    </w:p>
    <w:p w:rsidR="00265840" w:rsidRPr="00372C58" w:rsidRDefault="00265840" w:rsidP="00265840">
      <w:pPr>
        <w:pStyle w:val="Equationparagraph"/>
        <w:tabs>
          <w:tab w:val="center" w:pos="2610"/>
          <w:tab w:val="right" w:pos="5040"/>
        </w:tabs>
        <w:spacing w:before="80" w:after="80"/>
        <w:jc w:val="right"/>
        <w:rPr>
          <w:rFonts w:ascii="Book Antiqua" w:hAnsi="Book Antiqua"/>
          <w:i/>
          <w:sz w:val="20"/>
          <w:szCs w:val="20"/>
        </w:rPr>
      </w:pPr>
      <w:r w:rsidRPr="00372C58">
        <w:rPr>
          <w:rFonts w:ascii="Book Antiqua" w:hAnsi="Book Antiqua" w:cs="Times New Roman"/>
          <w:sz w:val="20"/>
          <w:szCs w:val="20"/>
        </w:rPr>
        <w:tab/>
      </w:r>
      <m:oMath>
        <m:r>
          <w:rPr>
            <w:rFonts w:ascii="Cambria Math" w:hAnsi="Book Antiqua" w:cs="Times New Roman"/>
            <w:i/>
            <w:position w:val="-12"/>
            <w:sz w:val="20"/>
            <w:szCs w:val="20"/>
          </w:rPr>
          <w:object w:dxaOrig="3019" w:dyaOrig="320">
            <v:shape id="_x0000_i1041" type="#_x0000_t75" style="width:150.65pt;height:15.75pt" o:ole="">
              <v:imagedata r:id="rId210" o:title=""/>
            </v:shape>
            <o:OLEObject Type="Embed" ProgID="Equation.DSMT4" ShapeID="_x0000_i1041" DrawAspect="Content" ObjectID="_1438188853" r:id="rId211"/>
          </w:object>
        </m:r>
        <m:r>
          <w:rPr>
            <w:rFonts w:ascii="Cambria Math" w:hAnsi="Book Antiqua" w:cs="Times New Roman"/>
            <w:sz w:val="20"/>
            <w:szCs w:val="20"/>
          </w:rPr>
          <m:t xml:space="preserve"> = </m:t>
        </m:r>
        <m:r>
          <w:rPr>
            <w:rFonts w:ascii="Cambria Math" w:hAnsi="Cambria Math" w:cs="Times New Roman"/>
            <w:sz w:val="20"/>
            <w:szCs w:val="20"/>
          </w:rPr>
          <m:t>v</m:t>
        </m:r>
        <m:r>
          <w:rPr>
            <w:rFonts w:ascii="Cambria Math" w:hAnsi="Book Antiqua" w:cs="Times New Roman"/>
            <w:sz w:val="20"/>
            <w:szCs w:val="20"/>
          </w:rPr>
          <m:t>/</m:t>
        </m:r>
        <m:r>
          <w:rPr>
            <w:rFonts w:ascii="Cambria Math" w:hAnsi="Cambria Math" w:cs="Times New Roman"/>
            <w:sz w:val="20"/>
            <w:szCs w:val="20"/>
          </w:rPr>
          <m:t>H</m:t>
        </m:r>
      </m:oMath>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i/>
          <w:sz w:val="20"/>
          <w:szCs w:val="20"/>
        </w:rPr>
        <w:t>(36)</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But the velocity, </w:t>
      </w:r>
      <m:oMath>
        <m:r>
          <w:rPr>
            <w:rFonts w:ascii="Cambria Math" w:hAnsi="Cambria Math"/>
            <w:sz w:val="20"/>
          </w:rPr>
          <m:t>v</m:t>
        </m:r>
      </m:oMath>
      <w:r w:rsidRPr="00372C58">
        <w:rPr>
          <w:sz w:val="20"/>
        </w:rPr>
        <w:t xml:space="preserve">, of the electron in this path is inversely proportional to </w:t>
      </w:r>
      <m:oMath>
        <m:r>
          <w:rPr>
            <w:rFonts w:ascii="Cambria Math" w:hAnsi="Cambria Math"/>
            <w:sz w:val="20"/>
          </w:rPr>
          <m:t>U</m:t>
        </m:r>
      </m:oMath>
      <w:r w:rsidRPr="00372C58">
        <w:rPr>
          <w:sz w:val="20"/>
        </w:rPr>
        <w:t xml:space="preserve">, the strength of the ZPE. This follows since the kinetic energy, </w:t>
      </w:r>
      <m:oMath>
        <m:f>
          <m:fPr>
            <m:ctrlPr>
              <w:rPr>
                <w:rFonts w:ascii="Cambria Math" w:hAnsi="Cambria Math"/>
                <w:i/>
                <w:sz w:val="20"/>
              </w:rPr>
            </m:ctrlPr>
          </m:fPr>
          <m:num>
            <m:r>
              <w:rPr>
                <w:rFonts w:ascii="Cambria Math"/>
                <w:sz w:val="20"/>
              </w:rPr>
              <m:t>1</m:t>
            </m:r>
          </m:num>
          <m:den>
            <m:r>
              <w:rPr>
                <w:rFonts w:ascii="Cambria Math"/>
                <w:sz w:val="20"/>
              </w:rPr>
              <m:t>2</m:t>
            </m:r>
          </m:den>
        </m:f>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372C58">
        <w:rPr>
          <w:sz w:val="20"/>
        </w:rPr>
        <w:t>, of the electron is conserved as the ZPE changes, where</w:t>
      </w:r>
      <w:r w:rsidRPr="00372C58">
        <w:rPr>
          <w:i/>
          <w:sz w:val="20"/>
        </w:rPr>
        <w:t xml:space="preserve"> </w:t>
      </w:r>
      <m:oMath>
        <m:r>
          <w:rPr>
            <w:rFonts w:ascii="Cambria Math" w:hAnsi="Cambria Math"/>
            <w:sz w:val="20"/>
          </w:rPr>
          <m:t>m</m:t>
        </m:r>
      </m:oMath>
      <w:r w:rsidRPr="00372C58">
        <w:rPr>
          <w:sz w:val="20"/>
        </w:rPr>
        <w:t xml:space="preserve"> is the atomic mass. Since it was shown above that</w:t>
      </w:r>
    </w:p>
    <w:p w:rsidR="00265840" w:rsidRPr="00372C58" w:rsidRDefault="00265840" w:rsidP="00265840">
      <w:pPr>
        <w:pStyle w:val="Equationparagraph"/>
        <w:tabs>
          <w:tab w:val="center" w:pos="2610"/>
          <w:tab w:val="right" w:pos="5040"/>
        </w:tabs>
        <w:spacing w:after="80"/>
        <w:jc w:val="center"/>
        <w:rPr>
          <w:rFonts w:ascii="Book Antiqua" w:eastAsia="Times New Roman" w:hAnsi="Book Antiqua" w:cs="Times New Roman"/>
          <w:i/>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i/>
          <w:sz w:val="20"/>
          <w:szCs w:val="20"/>
        </w:rPr>
      </w:pPr>
      <m:oMath>
        <m:r>
          <w:rPr>
            <w:rFonts w:ascii="Cambria Math" w:hAnsi="Cambria Math" w:cs="Times New Roman"/>
            <w:sz w:val="20"/>
            <w:szCs w:val="20"/>
          </w:rPr>
          <m:t>m</m:t>
        </m:r>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Cambria Math" w:hAnsi="Cambria Math" w:cs="Times New Roman"/>
                <w:sz w:val="20"/>
                <w:szCs w:val="20"/>
              </w:rPr>
              <m:t>U</m:t>
            </m:r>
          </m:e>
          <m:sup>
            <m:r>
              <w:rPr>
                <w:rFonts w:ascii="Cambria Math" w:hAnsi="Book Antiqua" w:cs="Times New Roman"/>
                <w:sz w:val="20"/>
                <w:szCs w:val="20"/>
              </w:rPr>
              <m:t>2</m:t>
            </m:r>
          </m:sup>
        </m:sSup>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Book Antiqua" w:hAnsi="Cambria Math" w:cs="Times New Roman"/>
                <w:sz w:val="20"/>
                <w:szCs w:val="20"/>
              </w:rPr>
              <m:t>h</m:t>
            </m:r>
          </m:e>
          <m:sup>
            <m:r>
              <w:rPr>
                <w:rFonts w:ascii="Cambria Math" w:hAnsi="Book Antiqua" w:cs="Times New Roman"/>
                <w:sz w:val="20"/>
                <w:szCs w:val="20"/>
              </w:rPr>
              <m:t>2</m:t>
            </m:r>
          </m:sup>
        </m:sSup>
      </m:oMath>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vertAlign w:val="superscript"/>
        </w:rPr>
        <w:tab/>
      </w:r>
      <w:r w:rsidRPr="00372C58">
        <w:rPr>
          <w:rFonts w:ascii="Book Antiqua" w:hAnsi="Book Antiqua" w:cs="Times New Roman"/>
          <w:i/>
          <w:sz w:val="20"/>
          <w:szCs w:val="20"/>
        </w:rPr>
        <w:t>(37)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then conservation requires that</w:t>
      </w:r>
    </w:p>
    <w:p w:rsidR="00265840" w:rsidRPr="00372C58" w:rsidRDefault="00265840" w:rsidP="00265840">
      <w:pPr>
        <w:pStyle w:val="Equationparagraph"/>
        <w:tabs>
          <w:tab w:val="center" w:pos="2610"/>
          <w:tab w:val="right" w:pos="5040"/>
        </w:tabs>
        <w:spacing w:before="80" w:after="80"/>
        <w:jc w:val="right"/>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8"/>
          <w:sz w:val="20"/>
          <w:szCs w:val="20"/>
        </w:rPr>
        <w:object w:dxaOrig="920" w:dyaOrig="320">
          <v:shape id="_x0000_i1042" type="#_x0000_t75" style="width:46.6pt;height:15.75pt" o:ole="">
            <v:imagedata r:id="rId212" o:title=""/>
          </v:shape>
          <o:OLEObject Type="Embed" ProgID="Equation.DSMT4" ShapeID="_x0000_i1042" DrawAspect="Content" ObjectID="_1438188854" r:id="rId213"/>
        </w:object>
      </w:r>
      <w:r w:rsidRPr="00372C58">
        <w:rPr>
          <w:rFonts w:ascii="Book Antiqua" w:hAnsi="Book Antiqua" w:cs="Times New Roman"/>
          <w:sz w:val="20"/>
          <w:szCs w:val="20"/>
        </w:rPr>
        <w:t xml:space="preserve">     </w:t>
      </w:r>
      <w:proofErr w:type="gramStart"/>
      <w:r w:rsidRPr="00372C58">
        <w:rPr>
          <w:rFonts w:ascii="Book Antiqua" w:hAnsi="Book Antiqua" w:cs="Times New Roman"/>
          <w:b/>
          <w:i/>
          <w:sz w:val="20"/>
          <w:szCs w:val="20"/>
        </w:rPr>
        <w:t>so</w:t>
      </w:r>
      <w:proofErr w:type="gramEnd"/>
      <w:r w:rsidRPr="00372C58">
        <w:rPr>
          <w:rFonts w:ascii="Book Antiqua" w:hAnsi="Book Antiqua" w:cs="Times New Roman"/>
          <w:b/>
          <w:i/>
          <w:sz w:val="20"/>
          <w:szCs w:val="20"/>
        </w:rPr>
        <w:t xml:space="preserve"> that</w:t>
      </w:r>
      <w:r w:rsidRPr="00372C58">
        <w:rPr>
          <w:rFonts w:ascii="Book Antiqua" w:hAnsi="Book Antiqua" w:cs="Times New Roman"/>
          <w:sz w:val="20"/>
          <w:szCs w:val="20"/>
        </w:rPr>
        <w:t xml:space="preserve">      </w:t>
      </w:r>
      <w:r w:rsidRPr="00372C58">
        <w:rPr>
          <w:rFonts w:ascii="Book Antiqua" w:hAnsi="Book Antiqua" w:cs="Times New Roman"/>
          <w:position w:val="-8"/>
          <w:sz w:val="20"/>
          <w:szCs w:val="20"/>
        </w:rPr>
        <w:object w:dxaOrig="740" w:dyaOrig="260">
          <v:shape id="_x0000_i1043" type="#_x0000_t75" style="width:36.9pt;height:12.7pt" o:ole="">
            <v:imagedata r:id="rId214" o:title=""/>
          </v:shape>
          <o:OLEObject Type="Embed" ProgID="Equation.DSMT4" ShapeID="_x0000_i1043" DrawAspect="Content" ObjectID="_1438188855" r:id="rId21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(38)</w:t>
      </w:r>
    </w:p>
    <w:p w:rsidR="00265840" w:rsidRPr="00372C58" w:rsidRDefault="00265840" w:rsidP="00265840">
      <w:pPr>
        <w:pStyle w:val="Default"/>
        <w:rPr>
          <w:rFonts w:ascii="Book Antiqua" w:hAnsi="Book Antiqua"/>
          <w:sz w:val="20"/>
          <w:szCs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In addition to the electron mean free path velocity, </w:t>
      </w:r>
      <m:oMath>
        <m:r>
          <w:rPr>
            <w:rFonts w:ascii="Cambria Math" w:hAnsi="Cambria Math"/>
            <w:sz w:val="20"/>
          </w:rPr>
          <m:t>v</m:t>
        </m:r>
      </m:oMath>
      <w:r w:rsidRPr="00D81480">
        <w:rPr>
          <w:rFonts w:ascii="Book Antiqua" w:hAnsi="Book Antiqua"/>
          <w:sz w:val="20"/>
        </w:rPr>
        <w:t xml:space="preserve">, being inversely proportional to </w:t>
      </w:r>
      <m:oMath>
        <m:r>
          <w:rPr>
            <w:rFonts w:ascii="Cambria Math" w:hAnsi="Cambria Math"/>
            <w:sz w:val="20"/>
          </w:rPr>
          <m:t>U</m:t>
        </m:r>
      </m:oMath>
      <w:r w:rsidRPr="00D81480">
        <w:rPr>
          <w:rFonts w:ascii="Book Antiqua" w:hAnsi="Book Antiqua"/>
          <w:sz w:val="20"/>
        </w:rPr>
        <w:t xml:space="preserve"> in equation (38), the number of hits per unit time is also proportional to </w:t>
      </w:r>
      <m:oMath>
        <m:r>
          <w:rPr>
            <w:rFonts w:ascii="Cambria Math" w:hAnsi="Cambria Math"/>
            <w:sz w:val="20"/>
          </w:rPr>
          <m:t>U</m:t>
        </m:r>
      </m:oMath>
      <w:r w:rsidRPr="00D81480">
        <w:rPr>
          <w:rFonts w:ascii="Book Antiqua" w:hAnsi="Book Antiqua"/>
          <w:sz w:val="20"/>
        </w:rPr>
        <w:t xml:space="preserve">, which is the strength of the Zero Point Energy. This is the case since an electron has a finite radius.   The electron itself is also a finite structure and thus can be hit by the ZPE waves.  The stronger the ZPE, the more waves it has and therefore the more often the electron will be hit.  This means that the number of hits per unit time by these waves is proportional to </w:t>
      </w:r>
      <m:oMath>
        <m:r>
          <w:rPr>
            <w:rFonts w:ascii="Cambria Math" w:hAnsi="Cambria Math"/>
            <w:sz w:val="20"/>
          </w:rPr>
          <m:t>U</m:t>
        </m:r>
      </m:oMath>
      <w:r w:rsidRPr="00D81480">
        <w:rPr>
          <w:rFonts w:ascii="Book Antiqua" w:hAnsi="Book Antiqua"/>
          <w:sz w:val="20"/>
        </w:rPr>
        <w:t xml:space="preserve">. Inserting this result, as well as the result from (38), into equation (35) we obtain the outcome that </w:t>
      </w:r>
    </w:p>
    <w:p w:rsidR="00D81480" w:rsidRPr="00D81480" w:rsidRDefault="00D81480" w:rsidP="00D81480">
      <w:pPr>
        <w:pStyle w:val="NoSpacing"/>
        <w:jc w:val="both"/>
        <w:rPr>
          <w:rFonts w:ascii="Book Antiqua" w:hAnsi="Book Antiqua"/>
          <w:sz w:val="20"/>
        </w:rPr>
      </w:pPr>
      <w:r w:rsidRPr="00D81480">
        <w:rPr>
          <w:rFonts w:ascii="Book Antiqua" w:hAnsi="Book Antiqua"/>
          <w:sz w:val="20"/>
        </w:rPr>
        <w:tab/>
      </w:r>
    </w:p>
    <w:p w:rsidR="00D81480" w:rsidRPr="00D81480" w:rsidRDefault="00D81480" w:rsidP="00D81480">
      <w:pPr>
        <w:pStyle w:val="NoSpacing"/>
        <w:ind w:firstLine="720"/>
        <w:jc w:val="right"/>
        <w:rPr>
          <w:rFonts w:ascii="Book Antiqua" w:hAnsi="Book Antiqua"/>
          <w:sz w:val="20"/>
        </w:rPr>
      </w:pPr>
      <w:r w:rsidRPr="00D81480">
        <w:rPr>
          <w:rFonts w:ascii="Book Antiqua" w:hAnsi="Book Antiqua"/>
          <w:i/>
          <w:sz w:val="20"/>
        </w:rPr>
        <w:lastRenderedPageBreak/>
        <w:t xml:space="preserve"> </w:t>
      </w:r>
      <m:oMath>
        <m:r>
          <w:rPr>
            <w:rFonts w:ascii="Cambria Math" w:hAnsi="Cambria Math"/>
            <w:sz w:val="20"/>
          </w:rPr>
          <m:t>U</m:t>
        </m:r>
        <m:r>
          <w:rPr>
            <w:rFonts w:ascii="Cambria Math" w:hAnsi="Book Antiqua"/>
            <w:sz w:val="20"/>
          </w:rPr>
          <m:t xml:space="preserve"> ~ 1/(</m:t>
        </m:r>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(39)</w:t>
      </w:r>
    </w:p>
    <w:p w:rsidR="00D81480" w:rsidRPr="00D81480" w:rsidRDefault="00D81480" w:rsidP="00D81480">
      <w:pPr>
        <w:pStyle w:val="NormPara"/>
        <w:ind w:firstLine="0"/>
        <w:rPr>
          <w:sz w:val="20"/>
        </w:rPr>
      </w:pPr>
    </w:p>
    <w:p w:rsidR="00D81480" w:rsidRPr="00D81480" w:rsidRDefault="00AA3C47" w:rsidP="00D81480">
      <w:pPr>
        <w:pStyle w:val="NormPara"/>
        <w:ind w:firstLine="0"/>
        <w:rPr>
          <w:sz w:val="20"/>
        </w:rPr>
      </w:pPr>
      <w:r>
        <w:rPr>
          <w:sz w:val="20"/>
        </w:rPr>
        <w:t>It</w:t>
      </w:r>
      <w:r w:rsidR="00D81480" w:rsidRPr="00D81480">
        <w:rPr>
          <w:sz w:val="20"/>
        </w:rPr>
        <w:t xml:space="preserve"> can therefore </w:t>
      </w:r>
      <w:r>
        <w:rPr>
          <w:sz w:val="20"/>
        </w:rPr>
        <w:t xml:space="preserve">be </w:t>
      </w:r>
      <w:r w:rsidR="00D81480" w:rsidRPr="00D81480">
        <w:rPr>
          <w:sz w:val="20"/>
        </w:rPr>
        <w:t>writ</w:t>
      </w:r>
      <w:r>
        <w:rPr>
          <w:sz w:val="20"/>
        </w:rPr>
        <w:t>ten</w:t>
      </w:r>
      <w:r w:rsidR="00D81480" w:rsidRPr="00D81480">
        <w:rPr>
          <w:sz w:val="20"/>
        </w:rPr>
        <w:t xml:space="preserve"> that</w:t>
      </w:r>
    </w:p>
    <w:p w:rsidR="00D81480" w:rsidRPr="00D81480" w:rsidRDefault="00D81480" w:rsidP="00D81480">
      <w:pPr>
        <w:pStyle w:val="NormPara"/>
        <w:ind w:firstLine="0"/>
        <w:rPr>
          <w:sz w:val="20"/>
        </w:rPr>
      </w:pPr>
    </w:p>
    <w:p w:rsidR="00D81480" w:rsidRPr="00D81480" w:rsidRDefault="00241D2F" w:rsidP="00D81480">
      <w:pPr>
        <w:pStyle w:val="NormPara"/>
        <w:ind w:firstLine="720"/>
        <w:jc w:val="right"/>
        <w:rPr>
          <w:sz w:val="20"/>
        </w:rPr>
      </w:pPr>
      <m:oMath>
        <m:sSub>
          <m:sSubPr>
            <m:ctrlPr>
              <w:rPr>
                <w:rFonts w:ascii="Cambria Math" w:hAnsi="Cambria Math"/>
                <w:i/>
                <w:sz w:val="20"/>
              </w:rPr>
            </m:ctrlPr>
          </m:sSubPr>
          <m:e>
            <m:r>
              <w:rPr>
                <w:rFonts w:ascii="Cambria Math" w:hAnsi="Cambria Math"/>
                <w:sz w:val="20"/>
              </w:rPr>
              <m:t>U</m:t>
            </m:r>
          </m:e>
          <m:sub>
            <m:r>
              <w:rPr>
                <w:rFonts w:ascii="Cambria Math" w:hAnsi="Cambria Math"/>
                <w:sz w:val="20"/>
              </w:rPr>
              <m:t>a</m:t>
            </m:r>
          </m:sub>
        </m:sSub>
        <m:r>
          <w:rPr>
            <w:rFonts w:ascii="Cambria Math"/>
            <w:sz w:val="20"/>
          </w:rPr>
          <m:t>/</m:t>
        </m:r>
        <m:sSub>
          <m:sSubPr>
            <m:ctrlPr>
              <w:rPr>
                <w:rFonts w:ascii="Cambria Math" w:hAnsi="Cambria Math"/>
                <w:i/>
                <w:sz w:val="20"/>
              </w:rPr>
            </m:ctrlPr>
          </m:sSubPr>
          <m:e>
            <m:r>
              <w:rPr>
                <w:rFonts w:ascii="Cambria Math" w:hAnsi="Cambria Math"/>
                <w:sz w:val="20"/>
              </w:rPr>
              <m:t>U</m:t>
            </m:r>
          </m:e>
          <m:sub>
            <m:r>
              <w:rPr>
                <w:rFonts w:ascii="Cambria Math" w:hAnsi="Cambria Math"/>
                <w:sz w:val="20"/>
              </w:rPr>
              <m:t>b</m:t>
            </m:r>
          </m:sub>
        </m:sSub>
        <m:r>
          <w:rPr>
            <w:rFonts w:ascii="Cambria Math"/>
            <w:sz w:val="20"/>
          </w:rPr>
          <m:t xml:space="preserve"> =  </m:t>
        </m:r>
        <m:r>
          <w:rPr>
            <w:sz w:val="20"/>
          </w:rPr>
          <m:t>√</m:t>
        </m:r>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sz w:val="20"/>
          </w:rPr>
          <m:t>)]</m:t>
        </m:r>
      </m:oMath>
      <w:r w:rsidR="00D81480" w:rsidRPr="00D81480">
        <w:rPr>
          <w:sz w:val="20"/>
        </w:rPr>
        <w:t xml:space="preserve"> .</w:t>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i/>
          <w:sz w:val="20"/>
        </w:rPr>
        <w:t>(40)</w:t>
      </w:r>
    </w:p>
    <w:p w:rsidR="00D81480" w:rsidRPr="00D81480" w:rsidRDefault="00D81480" w:rsidP="00D81480">
      <w:pPr>
        <w:pStyle w:val="NormPara"/>
        <w:ind w:firstLine="0"/>
        <w:rPr>
          <w:sz w:val="20"/>
        </w:rPr>
      </w:pPr>
    </w:p>
    <w:p w:rsidR="00D81480" w:rsidRPr="00D81480" w:rsidRDefault="00D81480" w:rsidP="00B305C3">
      <w:pPr>
        <w:pStyle w:val="NormPara"/>
        <w:ind w:firstLine="720"/>
        <w:rPr>
          <w:rFonts w:cs="Arial"/>
          <w:szCs w:val="18"/>
        </w:rPr>
      </w:pPr>
      <w:r w:rsidRPr="00D81480">
        <w:rPr>
          <w:sz w:val="20"/>
        </w:rPr>
        <w:t>In (40) the subscript “</w:t>
      </w:r>
      <w:r w:rsidRPr="00D81480">
        <w:rPr>
          <w:i/>
          <w:sz w:val="20"/>
        </w:rPr>
        <w:t>a</w:t>
      </w:r>
      <w:r w:rsidRPr="00D81480">
        <w:rPr>
          <w:sz w:val="20"/>
        </w:rPr>
        <w:t>” refers to the conditions that exist now while the subscript “</w:t>
      </w:r>
      <w:r w:rsidRPr="00D81480">
        <w:rPr>
          <w:i/>
          <w:sz w:val="20"/>
        </w:rPr>
        <w:t>b</w:t>
      </w:r>
      <w:r w:rsidRPr="00D81480">
        <w:rPr>
          <w:sz w:val="20"/>
        </w:rPr>
        <w:t xml:space="preserve">” refers to some distant galaxy where the ZPE strength was lower and the speed of light was higher. In English, equation (40) is stating that the strength of the ZPE now, divided by its strength at a given time and place in the past, is the same as the square root of the mean free path then divided by the mean free path now.  These are direct proportions.  This explains that changes in the mean free path are related to the ZPE. The second part of the discussion is now how these changes in the mean fee path are related to </w:t>
      </w:r>
      <m:oMath>
        <m:r>
          <w:rPr>
            <w:rFonts w:ascii="Cambria Math" w:hAnsi="Cambria Math"/>
            <w:sz w:val="20"/>
          </w:rPr>
          <m:t>K</m:t>
        </m:r>
      </m:oMath>
      <w:r w:rsidRPr="00D81480">
        <w:rPr>
          <w:sz w:val="20"/>
        </w:rPr>
        <w:t xml:space="preserve"> and  </w:t>
      </w:r>
      <m:oMath>
        <m:r>
          <w:rPr>
            <w:rFonts w:ascii="Cambria Math" w:hAnsi="Cambria Math"/>
            <w:sz w:val="20"/>
          </w:rPr>
          <m:t>r</m:t>
        </m:r>
        <m:r>
          <w:rPr>
            <w:rFonts w:ascii="Cambria Math"/>
            <w:sz w:val="20"/>
          </w:rPr>
          <m:t>.</m:t>
        </m:r>
      </m:oMath>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rPr>
          <w:rFonts w:ascii="Book Antiqua" w:hAnsi="Book Antiqua"/>
          <w:i/>
          <w:sz w:val="20"/>
        </w:rPr>
      </w:pPr>
      <w:r w:rsidRPr="00D81480">
        <w:rPr>
          <w:rFonts w:ascii="Book Antiqua" w:hAnsi="Book Antiqua"/>
          <w:bCs/>
          <w:i/>
          <w:iCs/>
          <w:color w:val="000000"/>
          <w:sz w:val="20"/>
        </w:rPr>
        <w:t>5.7. The Link Between Mean Free Path And Orbit Radii</w:t>
      </w:r>
    </w:p>
    <w:p w:rsidR="00D81480" w:rsidRPr="00D81480" w:rsidRDefault="00D81480" w:rsidP="00D81480">
      <w:pPr>
        <w:pStyle w:val="NormPara"/>
        <w:ind w:firstLine="0"/>
        <w:rPr>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 As mentioned, the Zero Point Energy keeps electrons in their orbits.  </w:t>
      </w:r>
      <w:r w:rsidR="006334BD">
        <w:rPr>
          <w:rFonts w:ascii="Book Antiqua" w:hAnsi="Book Antiqua"/>
          <w:sz w:val="20"/>
        </w:rPr>
        <w:t>When</w:t>
      </w:r>
      <w:r w:rsidRPr="00D81480">
        <w:rPr>
          <w:rFonts w:ascii="Book Antiqua" w:hAnsi="Book Antiqua"/>
          <w:sz w:val="20"/>
        </w:rPr>
        <w:t xml:space="preserve"> the ZPE was zero, at the beginning, atomic structure was impossible.  As the ZPE built up, </w:t>
      </w:r>
      <w:r w:rsidR="006334BD">
        <w:rPr>
          <w:rFonts w:ascii="Book Antiqua" w:hAnsi="Book Antiqua"/>
          <w:sz w:val="20"/>
        </w:rPr>
        <w:t>finally</w:t>
      </w:r>
      <w:r w:rsidRPr="00D81480">
        <w:rPr>
          <w:rFonts w:ascii="Book Antiqua" w:hAnsi="Book Antiqua"/>
          <w:sz w:val="20"/>
        </w:rPr>
        <w:t xml:space="preserve"> sufficient impacts from ZPE waves </w:t>
      </w:r>
      <w:r w:rsidR="006334BD">
        <w:rPr>
          <w:rFonts w:ascii="Book Antiqua" w:hAnsi="Book Antiqua"/>
          <w:sz w:val="20"/>
        </w:rPr>
        <w:t xml:space="preserve">occurred </w:t>
      </w:r>
      <w:r w:rsidRPr="00D81480">
        <w:rPr>
          <w:rFonts w:ascii="Book Antiqua" w:hAnsi="Book Antiqua"/>
          <w:sz w:val="20"/>
        </w:rPr>
        <w:t>to obtain</w:t>
      </w:r>
      <w:r w:rsidR="006334BD">
        <w:rPr>
          <w:rFonts w:ascii="Book Antiqua" w:hAnsi="Book Antiqua"/>
          <w:sz w:val="20"/>
        </w:rPr>
        <w:t xml:space="preserve"> and sustain</w:t>
      </w:r>
      <w:r w:rsidRPr="00D81480">
        <w:rPr>
          <w:rFonts w:ascii="Book Antiqua" w:hAnsi="Book Antiqua"/>
          <w:sz w:val="20"/>
        </w:rPr>
        <w:t xml:space="preserve"> the first stable atomic orbits. This allowed the first neutral atoms to form. </w:t>
      </w:r>
      <w:r w:rsidR="006334BD">
        <w:rPr>
          <w:rFonts w:ascii="Book Antiqua" w:hAnsi="Book Antiqua"/>
          <w:sz w:val="20"/>
        </w:rPr>
        <w:t>All cosmology models agree that it required t</w:t>
      </w:r>
      <w:r w:rsidRPr="006334BD">
        <w:rPr>
          <w:rFonts w:ascii="Book Antiqua" w:hAnsi="Book Antiqua"/>
          <w:sz w:val="20"/>
        </w:rPr>
        <w:t xml:space="preserve">hese neutral atoms </w:t>
      </w:r>
      <w:r w:rsidR="006334BD">
        <w:rPr>
          <w:rFonts w:ascii="Book Antiqua" w:hAnsi="Book Antiqua"/>
          <w:sz w:val="20"/>
        </w:rPr>
        <w:t xml:space="preserve"> to </w:t>
      </w:r>
      <w:r w:rsidRPr="006334BD">
        <w:rPr>
          <w:rFonts w:ascii="Book Antiqua" w:hAnsi="Book Antiqua"/>
          <w:sz w:val="20"/>
        </w:rPr>
        <w:t>allow</w:t>
      </w:r>
      <w:r w:rsidRPr="00D81480">
        <w:rPr>
          <w:rFonts w:ascii="Book Antiqua" w:hAnsi="Book Antiqua"/>
          <w:sz w:val="20"/>
        </w:rPr>
        <w:t xml:space="preserve"> light to escape through the primordial plasma, forming the Cosmic Microwave Background Radiation (CMBR). The commonly quoted redshift of this event is about </w:t>
      </w:r>
      <m:oMath>
        <m:r>
          <w:rPr>
            <w:rFonts w:ascii="Cambria Math" w:hAnsi="Cambria Math"/>
            <w:sz w:val="20"/>
          </w:rPr>
          <m:t>z</m:t>
        </m:r>
        <m:r>
          <w:rPr>
            <w:rFonts w:ascii="Cambria Math" w:hAnsi="Book Antiqua"/>
            <w:sz w:val="20"/>
          </w:rPr>
          <m:t xml:space="preserve"> =1100</m:t>
        </m:r>
      </m:oMath>
      <w:r w:rsidRPr="00D81480">
        <w:rPr>
          <w:rFonts w:ascii="Book Antiqua" w:hAnsi="Book Antiqua"/>
          <w:sz w:val="20"/>
        </w:rPr>
        <w:t>. However, it is explicitly stated that the mean CMBR Gaussian peak does not occur precisely at</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1100</m:t>
        </m:r>
      </m:oMath>
      <w:r w:rsidRPr="00D81480">
        <w:rPr>
          <w:rFonts w:ascii="Book Antiqua" w:hAnsi="Book Antiqua"/>
          <w:sz w:val="20"/>
        </w:rPr>
        <w:t xml:space="preserve"> but rather occurs at </w:t>
      </w:r>
      <m:oMath>
        <m:r>
          <w:rPr>
            <w:rFonts w:ascii="Cambria Math" w:hAnsi="Cambria Math"/>
            <w:sz w:val="20"/>
          </w:rPr>
          <m:t>z</m:t>
        </m:r>
        <m:r>
          <w:rPr>
            <w:rFonts w:ascii="Cambria Math" w:hAnsi="Book Antiqua"/>
            <w:sz w:val="20"/>
          </w:rPr>
          <m:t xml:space="preserve"> = 1089 </m:t>
        </m:r>
        <m:r>
          <w:rPr>
            <w:rFonts w:ascii="Book Antiqua" w:hAnsi="Book Antiqua"/>
            <w:sz w:val="20"/>
          </w:rPr>
          <m:t>±</m:t>
        </m:r>
        <m:r>
          <w:rPr>
            <w:rFonts w:ascii="Cambria Math" w:hAnsi="Book Antiqua"/>
            <w:sz w:val="20"/>
          </w:rPr>
          <m:t xml:space="preserve"> 97</m:t>
        </m:r>
      </m:oMath>
      <w:r w:rsidRPr="00D81480">
        <w:rPr>
          <w:rFonts w:ascii="Book Antiqua" w:hAnsi="Book Antiqua"/>
          <w:sz w:val="20"/>
        </w:rPr>
        <w:t xml:space="preserve"> according to the WMAP satellite data [82]. Let us take the maximum value given by these data, namely </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1186</m:t>
        </m:r>
      </m:oMath>
      <w:r w:rsidRPr="00D81480">
        <w:rPr>
          <w:rFonts w:ascii="Book Antiqua" w:hAnsi="Book Antiqua"/>
          <w:sz w:val="20"/>
        </w:rPr>
        <w:t>, even though evidence is produced later that the redshift at the earliest time when neutral atom formation began may have been somewhat higher. These early redshifts represent the time that the ZPE had commenced to support atomic structures.</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The ZPE then built up to its present strength</w:t>
      </w:r>
      <w:r w:rsidR="006334BD">
        <w:rPr>
          <w:rFonts w:ascii="Book Antiqua" w:hAnsi="Book Antiqua"/>
          <w:sz w:val="20"/>
        </w:rPr>
        <w:t>,</w:t>
      </w:r>
      <w:r w:rsidRPr="00D81480">
        <w:rPr>
          <w:rFonts w:ascii="Book Antiqua" w:hAnsi="Book Antiqua"/>
          <w:sz w:val="20"/>
        </w:rPr>
        <w:t xml:space="preserve"> </w:t>
      </w:r>
      <w:r w:rsidR="006334BD">
        <w:rPr>
          <w:rFonts w:ascii="Book Antiqua" w:hAnsi="Book Antiqua"/>
          <w:sz w:val="20"/>
        </w:rPr>
        <w:t>at which</w:t>
      </w:r>
      <w:r w:rsidRPr="006334BD">
        <w:rPr>
          <w:rFonts w:ascii="Book Antiqua" w:hAnsi="Book Antiqua"/>
          <w:sz w:val="20"/>
        </w:rPr>
        <w:t xml:space="preserve"> the electron is</w:t>
      </w:r>
      <w:r w:rsidRPr="00D81480">
        <w:rPr>
          <w:rFonts w:ascii="Book Antiqua" w:hAnsi="Book Antiqua"/>
          <w:sz w:val="20"/>
        </w:rPr>
        <w:t xml:space="preserve"> oscillating at an angular frequency of </w:t>
      </w:r>
      <m:oMath>
        <m:r>
          <w:rPr>
            <w:rFonts w:ascii="Cambria Math" w:hAnsi="Book Antiqua"/>
            <w:sz w:val="20"/>
          </w:rPr>
          <m:t xml:space="preserve">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D81480">
        <w:rPr>
          <w:rFonts w:ascii="Book Antiqua" w:hAnsi="Book Antiqua"/>
          <w:sz w:val="20"/>
        </w:rPr>
        <w:t xml:space="preserve"> resonant hits per second. This is determined by the linear Compton frequency of </w:t>
      </w:r>
      <m:oMath>
        <m:r>
          <w:rPr>
            <w:rFonts w:ascii="Cambria Math" w:hAnsi="Book Antiqua"/>
            <w:sz w:val="20"/>
          </w:rPr>
          <m:t xml:space="preserve">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D81480">
        <w:rPr>
          <w:rFonts w:ascii="Book Antiqua" w:hAnsi="Book Antiqua"/>
          <w:sz w:val="20"/>
        </w:rPr>
        <w:t xml:space="preserve"> multiplied by </w:t>
      </w:r>
      <m:oMath>
        <m:r>
          <w:rPr>
            <w:rFonts w:ascii="Cambria Math" w:hAnsi="Book Antiqua"/>
            <w:sz w:val="20"/>
          </w:rPr>
          <m:t>2</m:t>
        </m:r>
        <m:r>
          <w:rPr>
            <w:rFonts w:ascii="Cambria Math" w:hAnsi="Cambria Math"/>
            <w:sz w:val="20"/>
          </w:rPr>
          <m:t>π</m:t>
        </m:r>
      </m:oMath>
      <w:r w:rsidRPr="00D81480">
        <w:rPr>
          <w:rFonts w:ascii="Book Antiqua" w:hAnsi="Book Antiqua"/>
          <w:sz w:val="20"/>
        </w:rPr>
        <w:t xml:space="preserve">. There is thus some factor, </w:t>
      </w:r>
      <m:oMath>
        <m:r>
          <w:rPr>
            <w:rFonts w:ascii="Cambria Math" w:hAnsi="Cambria Math"/>
            <w:sz w:val="20"/>
          </w:rPr>
          <m:t>K</m:t>
        </m:r>
      </m:oMath>
      <w:r w:rsidRPr="00D81480">
        <w:rPr>
          <w:rFonts w:ascii="Book Antiqua" w:hAnsi="Book Antiqua"/>
          <w:sz w:val="20"/>
        </w:rPr>
        <w:t xml:space="preserve">, related to atomic orbits which require a threshold to be passed in the number of impacts on the electron before its initial orbit was attained.  In a similar fashion this </w:t>
      </w:r>
      <m:oMath>
        <m:r>
          <w:rPr>
            <w:rFonts w:ascii="Cambria Math" w:hAnsi="Cambria Math"/>
            <w:sz w:val="20"/>
          </w:rPr>
          <m:t>K</m:t>
        </m:r>
      </m:oMath>
      <w:r w:rsidRPr="00D81480">
        <w:rPr>
          <w:rFonts w:ascii="Book Antiqua" w:hAnsi="Book Antiqua"/>
          <w:sz w:val="20"/>
        </w:rPr>
        <w:t xml:space="preserve"> must be reached before a new orbit will be adopted. This is relevant for</w:t>
      </w:r>
      <w:r w:rsidRPr="00D81480">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oMath>
      <w:r w:rsidRPr="00D81480">
        <w:rPr>
          <w:rFonts w:ascii="Book Antiqua" w:hAnsi="Book Antiqua"/>
          <w:sz w:val="20"/>
        </w:rPr>
        <w:t xml:space="preserve"> (the current mean free path) which we now must use as the standard of measurement.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if the current standards are used, all the other quantities must be expressed in terms of those standards. We can thus write </w:t>
      </w:r>
      <m:oMath>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m:t>
        </m:r>
      </m:oMath>
      <w:r w:rsidRPr="00D81480">
        <w:rPr>
          <w:rFonts w:ascii="Book Antiqua" w:hAnsi="Book Antiqua"/>
          <w:sz w:val="20"/>
        </w:rPr>
        <w:t xml:space="preserve"> and all other quantities must be adjusted to be in accord with these standards. In line with this we also put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vertAlign w:val="subscript"/>
          </w:rPr>
          <m:t xml:space="preserve"> </m:t>
        </m:r>
        <m:r>
          <w:rPr>
            <w:rFonts w:ascii="Cambria Math" w:hAnsi="Book Antiqua"/>
            <w:sz w:val="20"/>
          </w:rPr>
          <m:t>= 0</m:t>
        </m:r>
      </m:oMath>
      <w:r w:rsidRPr="00D81480">
        <w:rPr>
          <w:rFonts w:ascii="Book Antiqua" w:hAnsi="Book Antiqua"/>
          <w:sz w:val="20"/>
        </w:rPr>
        <w:t>. This means that, from (22), (33), (34), (35) and (39) we have</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right"/>
        <w:rPr>
          <w:oMath/>
          <w:rFonts w:ascii="Cambria Math"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t>(41)</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We can now use the behavior of the mean free path, </w:t>
      </w:r>
      <m:oMath>
        <m:r>
          <w:rPr>
            <w:rFonts w:ascii="Cambria Math" w:hAnsi="Cambria Math"/>
            <w:sz w:val="20"/>
          </w:rPr>
          <m:t>λ</m:t>
        </m:r>
      </m:oMath>
      <w:r w:rsidRPr="00D81480">
        <w:rPr>
          <w:rFonts w:ascii="Book Antiqua" w:hAnsi="Book Antiqua"/>
          <w:sz w:val="20"/>
        </w:rPr>
        <w:t xml:space="preserve">, and the redshift to determine the value of </w:t>
      </w:r>
      <m:oMath>
        <m:r>
          <w:rPr>
            <w:rFonts w:ascii="Cambria Math" w:hAnsi="Cambria Math"/>
            <w:sz w:val="20"/>
          </w:rPr>
          <m:t>K</m:t>
        </m:r>
      </m:oMath>
      <w:r w:rsidRPr="00D81480">
        <w:rPr>
          <w:rFonts w:ascii="Book Antiqua" w:hAnsi="Book Antiqua"/>
          <w:sz w:val="20"/>
        </w:rPr>
        <w:t xml:space="preserve"> .  In order to do so we add the information from (34) to (41) and obtain:</w:t>
      </w:r>
    </w:p>
    <w:p w:rsidR="00D81480" w:rsidRPr="00D81480" w:rsidRDefault="00D81480" w:rsidP="00D81480">
      <w:pPr>
        <w:pStyle w:val="NoSpacing"/>
        <w:ind w:firstLine="720"/>
        <w:jc w:val="both"/>
        <w:rPr>
          <w:rFonts w:ascii="Book Antiqua" w:hAnsi="Book Antiqua"/>
          <w:sz w:val="20"/>
        </w:rPr>
      </w:pPr>
    </w:p>
    <w:p w:rsidR="00D81480" w:rsidRPr="00D81480" w:rsidRDefault="00241D2F" w:rsidP="00D81480">
      <w:pPr>
        <w:pStyle w:val="NoSpacing"/>
        <w:ind w:firstLine="720"/>
        <w:jc w:val="right"/>
        <w:rPr>
          <w:rFonts w:ascii="Book Antiqua" w:hAnsi="Book Antiqua"/>
          <w:i/>
          <w:sz w:val="20"/>
        </w:rPr>
      </w:pPr>
      <m:oMath>
        <m:sSub>
          <m:sSubPr>
            <m:ctrlPr>
              <w:rPr>
                <w:rFonts w:ascii="Cambria Math" w:hAnsi="Book Antiqua"/>
                <w:i/>
                <w:sz w:val="20"/>
              </w:rPr>
            </m:ctrlPr>
          </m:sSubPr>
          <m:e>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m:t>
            </m:r>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D81480" w:rsidRPr="00D81480">
        <w:rPr>
          <w:rFonts w:ascii="Book Antiqua" w:hAnsi="Book Antiqua"/>
          <w:i/>
          <w:sz w:val="20"/>
        </w:rPr>
        <w:t xml:space="preserve"> .</w:t>
      </w:r>
      <w:r w:rsidR="00D81480" w:rsidRPr="00D81480">
        <w:rPr>
          <w:rFonts w:ascii="Book Antiqua" w:hAnsi="Book Antiqua"/>
          <w:i/>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(42)</w:t>
      </w: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We note that equation (36) shows that there are two factors which govern the behavior of the mean free path, </w:t>
      </w:r>
      <m:oMath>
        <m:r>
          <w:rPr>
            <w:rFonts w:ascii="Cambria Math" w:hAnsi="Cambria Math"/>
            <w:sz w:val="20"/>
          </w:rPr>
          <m:t>λ</m:t>
        </m:r>
      </m:oMath>
      <w:r w:rsidRPr="00D81480">
        <w:rPr>
          <w:rFonts w:ascii="Book Antiqua" w:hAnsi="Book Antiqua"/>
          <w:sz w:val="20"/>
        </w:rPr>
        <w:t xml:space="preserve">. The first of these is the number of hits per second, </w:t>
      </w:r>
      <m:oMath>
        <m:r>
          <w:rPr>
            <w:rFonts w:ascii="Cambria Math" w:hAnsi="Cambria Math"/>
            <w:sz w:val="20"/>
          </w:rPr>
          <m:t>H</m:t>
        </m:r>
      </m:oMath>
      <w:r w:rsidRPr="00D81480">
        <w:rPr>
          <w:rFonts w:ascii="Book Antiqua" w:hAnsi="Book Antiqua"/>
          <w:sz w:val="20"/>
        </w:rPr>
        <w:t xml:space="preserve">, being received by the electron as it travels. The second is the velocity of the electron, </w:t>
      </w:r>
      <m:oMath>
        <m:r>
          <w:rPr>
            <w:rFonts w:ascii="Cambria Math" w:hAnsi="Cambria Math"/>
            <w:sz w:val="20"/>
          </w:rPr>
          <m:t>v</m:t>
        </m:r>
      </m:oMath>
      <w:r w:rsidRPr="00D81480">
        <w:rPr>
          <w:rFonts w:ascii="Book Antiqua" w:hAnsi="Book Antiqua"/>
          <w:sz w:val="20"/>
        </w:rPr>
        <w:t xml:space="preserve">, as shown in (35). With this in mind, we can write </w:t>
      </w:r>
    </w:p>
    <w:p w:rsidR="00D81480" w:rsidRPr="00D81480" w:rsidRDefault="00D81480" w:rsidP="00D81480">
      <w:pPr>
        <w:pStyle w:val="NoSpacing"/>
        <w:jc w:val="both"/>
        <w:rPr>
          <w:rFonts w:ascii="Book Antiqua" w:hAnsi="Book Antiqua"/>
          <w:sz w:val="20"/>
        </w:rPr>
      </w:pPr>
    </w:p>
    <w:p w:rsidR="00D81480" w:rsidRPr="00D81480" w:rsidRDefault="00241D2F" w:rsidP="00D8148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H</m:t>
        </m:r>
      </m:oMath>
      <w:r w:rsidR="00D81480" w:rsidRPr="00D81480">
        <w:rPr>
          <w:rFonts w:ascii="Book Antiqua" w:hAnsi="Book Antiqua"/>
          <w:sz w:val="20"/>
        </w:rPr>
        <w:t xml:space="preserve"> .</w:t>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(43)</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Therefore (43) becomes:</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m:t>
        </m:r>
        <m:r>
          <w:rPr>
            <w:rFonts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λ</m:t>
            </m:r>
            <m:r>
              <w:rPr>
                <w:rFonts w:ascii="Cambria Math" w:hAnsi="Book Antiqua"/>
                <w:sz w:val="20"/>
              </w:rPr>
              <m:t xml:space="preserve"> </m:t>
            </m:r>
          </m:e>
          <m:sub>
            <m:r>
              <w:rPr>
                <w:rFonts w:ascii="Cambria Math" w:hAnsi="Cambria Math"/>
                <w:sz w:val="20"/>
              </w:rPr>
              <m:t>b</m:t>
            </m:r>
          </m:sub>
        </m:sSub>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H</m:t>
        </m:r>
        <m:r>
          <w:rPr>
            <w:rFonts w:ascii="Cambria Math" w:hAnsi="Book Antiqua"/>
            <w:sz w:val="20"/>
          </w:rPr>
          <m:t xml:space="preserve">)]  </m:t>
        </m:r>
      </m:oMath>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t>(44)</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The number of resonant hits per second today gives an angular frequency of oscillation for the electron of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hAnsi="Book Antiqua"/>
                <w:sz w:val="20"/>
              </w:rPr>
              <m:t>-</m:t>
            </m:r>
            <m:r>
              <w:rPr>
                <w:rFonts w:ascii="Cambria Math" w:hAnsi="Book Antiqua"/>
                <w:sz w:val="20"/>
              </w:rPr>
              <m:t>1</m:t>
            </m:r>
          </m:sup>
        </m:sSup>
      </m:oMath>
      <w:r w:rsidRPr="00D81480">
        <w:rPr>
          <w:rFonts w:ascii="Book Antiqua" w:hAnsi="Book Antiqua"/>
          <w:sz w:val="20"/>
        </w:rPr>
        <w:t>.</w:t>
      </w:r>
      <w:r w:rsidRPr="00D81480">
        <w:rPr>
          <w:rFonts w:ascii="Book Antiqua" w:hAnsi="Book Antiqua"/>
          <w:sz w:val="20"/>
          <w:vertAlign w:val="superscript"/>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(45)</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The next item to be considered is the magnitude of the velocity (</w:t>
      </w:r>
      <m:oMath>
        <m:r>
          <w:rPr>
            <w:rFonts w:ascii="Cambria Math" w:hAnsi="Cambria Math"/>
            <w:sz w:val="20"/>
          </w:rPr>
          <m:t>v</m:t>
        </m:r>
      </m:oMath>
      <w:r w:rsidRPr="00D81480">
        <w:rPr>
          <w:rFonts w:ascii="Book Antiqua" w:hAnsi="Book Antiqua"/>
          <w:sz w:val="20"/>
        </w:rPr>
        <w:t>) in equations (43) and (44).  The actual orbit velocity is related to this straight line velocity of the electron between impacts. What is relevant here is the change in velocity due to the change in orbit radii. The equation which links velocity and radius in atomic orbits is the standard</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Cambria Math"/>
            <w:sz w:val="20"/>
          </w:rPr>
          <m:t>r</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 xml:space="preserve"> (46)</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we are only concerned with the effects that a change in orbit radius has on velocity. At that change, and at all quantum changes, </w:t>
      </w:r>
      <m:oMath>
        <m:r>
          <w:rPr>
            <w:rFonts w:ascii="Cambria Math" w:hAnsi="Cambria Math"/>
            <w:sz w:val="20"/>
          </w:rPr>
          <m:t>m</m:t>
        </m:r>
      </m:oMath>
      <w:r w:rsidRPr="00D81480">
        <w:rPr>
          <w:rFonts w:ascii="Book Antiqua" w:hAnsi="Book Antiqua"/>
          <w:sz w:val="20"/>
        </w:rPr>
        <w:t xml:space="preserve"> is constant, since there is only an infinitesimally small change in </w:t>
      </w:r>
      <m:oMath>
        <m:r>
          <w:rPr>
            <w:rFonts w:ascii="Cambria Math" w:hAnsi="Cambria Math"/>
            <w:sz w:val="20"/>
          </w:rPr>
          <m:t>U</m:t>
        </m:r>
      </m:oMath>
      <w:r w:rsidRPr="00D81480">
        <w:rPr>
          <w:rFonts w:ascii="Book Antiqua" w:hAnsi="Book Antiqua"/>
          <w:sz w:val="20"/>
        </w:rPr>
        <w:t xml:space="preserve">. Equation (46) then shows us that any change in orbit radius, </w:t>
      </w:r>
      <m:oMath>
        <m:r>
          <w:rPr>
            <w:rFonts w:ascii="Cambria Math" w:hAnsi="Cambria Math"/>
            <w:sz w:val="20"/>
          </w:rPr>
          <m:t>r</m:t>
        </m:r>
      </m:oMath>
      <w:r w:rsidRPr="00D81480">
        <w:rPr>
          <w:rFonts w:ascii="Book Antiqua" w:hAnsi="Book Antiqua"/>
          <w:sz w:val="20"/>
        </w:rPr>
        <w:t>, will produce a change in electron velocity,</w:t>
      </w:r>
      <w:r w:rsidRPr="00D81480">
        <w:rPr>
          <w:rFonts w:ascii="Book Antiqua" w:hAnsi="Book Antiqua"/>
          <w:i/>
          <w:sz w:val="20"/>
        </w:rPr>
        <w:t xml:space="preserve"> </w:t>
      </w:r>
      <m:oMath>
        <m:r>
          <w:rPr>
            <w:rFonts w:ascii="Cambria Math" w:hAnsi="Cambria Math"/>
            <w:sz w:val="20"/>
          </w:rPr>
          <m:t>v</m:t>
        </m:r>
      </m:oMath>
      <w:r w:rsidRPr="00D81480">
        <w:rPr>
          <w:rFonts w:ascii="Book Antiqua" w:hAnsi="Book Antiqua"/>
          <w:sz w:val="20"/>
        </w:rPr>
        <w:t>, such that</w:t>
      </w:r>
    </w:p>
    <w:p w:rsidR="00D81480" w:rsidRPr="00355340" w:rsidRDefault="00D81480" w:rsidP="00D81480">
      <w:pPr>
        <w:pStyle w:val="NoSpacing"/>
        <w:jc w:val="both"/>
        <w:rPr>
          <w:sz w:val="20"/>
        </w:rPr>
      </w:pPr>
    </w:p>
    <w:p w:rsidR="00D81480" w:rsidRDefault="00D81480" w:rsidP="00265840">
      <w:pPr>
        <w:pStyle w:val="NoSpacing"/>
        <w:ind w:firstLine="720"/>
        <w:jc w:val="both"/>
        <w:rPr>
          <w:rFonts w:ascii="Book Antiqua" w:hAnsi="Book Antiqua"/>
          <w:sz w:val="20"/>
        </w:rPr>
      </w:pPr>
    </w:p>
    <w:p w:rsidR="00D81480" w:rsidRDefault="00D81480" w:rsidP="00265840">
      <w:pPr>
        <w:pStyle w:val="NoSpacing"/>
        <w:ind w:firstLine="720"/>
        <w:jc w:val="both"/>
        <w:rPr>
          <w:rFonts w:ascii="Book Antiqua" w:hAnsi="Book Antiqua"/>
          <w:sz w:val="20"/>
        </w:rPr>
      </w:pPr>
    </w:p>
    <w:p w:rsidR="00265840" w:rsidRPr="00372C58" w:rsidRDefault="00241D2F" w:rsidP="00265840">
      <w:pPr>
        <w:pStyle w:val="NoSpacing"/>
        <w:ind w:firstLine="720"/>
        <w:jc w:val="right"/>
        <w:rPr>
          <w:rFonts w:ascii="Book Antiqua" w:hAnsi="Book Antiqua"/>
          <w:i/>
          <w:sz w:val="20"/>
        </w:rPr>
      </w:pPr>
      <m:oMath>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  ~ 1/r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(47)</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v  ~  √(1/r)</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From (42) we also have the relationship between the redshift and orbit radii which shows that orbit radii,</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are proportional to </w:t>
      </w:r>
      <m:oMath>
        <m:r>
          <w:rPr>
            <w:rFonts w:ascii="Cambria Math" w:hAnsi="Cambria Math"/>
            <w:sz w:val="20"/>
          </w:rPr>
          <m:t>(z + 1)</m:t>
        </m:r>
      </m:oMath>
      <w:r w:rsidRPr="00372C58">
        <w:rPr>
          <w:rFonts w:ascii="Book Antiqua" w:hAnsi="Book Antiqua"/>
          <w:sz w:val="20"/>
        </w:rPr>
        <w:t xml:space="preserve">. Thus we have </w:t>
      </w:r>
      <m:oMath>
        <m:r>
          <w:rPr>
            <w:rFonts w:ascii="Cambria Math" w:hAnsi="Cambria Math"/>
            <w:sz w:val="20"/>
          </w:rPr>
          <m:t>(z + 1) = 1187</m:t>
        </m:r>
      </m:oMath>
      <w:r w:rsidRPr="00372C58">
        <w:rPr>
          <w:rFonts w:ascii="Book Antiqua" w:hAnsi="Book Antiqua"/>
          <w:sz w:val="20"/>
        </w:rPr>
        <w:t xml:space="preserve"> as the generally accepted time of the beginning of the CMBR formation.  As a result, we then get that </w:t>
      </w:r>
    </w:p>
    <w:p w:rsidR="00265840" w:rsidRPr="00372C58" w:rsidRDefault="00265840" w:rsidP="00265840">
      <w:pPr>
        <w:pStyle w:val="NoSpacing"/>
        <w:ind w:firstLine="720"/>
        <w:jc w:val="both"/>
        <w:rPr>
          <w:rFonts w:ascii="Book Antiqua" w:hAnsi="Book Antiqua"/>
          <w:sz w:val="20"/>
        </w:rPr>
      </w:pPr>
    </w:p>
    <w:p w:rsidR="00265840" w:rsidRPr="00372C58" w:rsidRDefault="00241D2F"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+1)/1 = 1187</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leads to the proportionality that</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/1187</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Thus, the orbit radius now,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is </w:t>
      </w:r>
      <w:r w:rsidRPr="00372C58">
        <w:rPr>
          <w:rFonts w:ascii="Book Antiqua" w:hAnsi="Book Antiqua"/>
          <w:i/>
          <w:sz w:val="20"/>
        </w:rPr>
        <w:t>(1/1187)</w:t>
      </w:r>
      <w:r w:rsidRPr="00372C58">
        <w:rPr>
          <w:rFonts w:ascii="Book Antiqua" w:hAnsi="Book Antiqua"/>
          <w:sz w:val="20"/>
        </w:rPr>
        <w:t xml:space="preserve"> of what it was at the time of the formation of the CMBR. This helps us find the change in velocity due to orbit radii changes since, from (48) we find that</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m:t>
        </m:r>
      </m:oMath>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(51)</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 from (50) and (51) we get</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ind w:firstLine="720"/>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√[1/(1/1187)] = √1187 = 34.45= v </m:t>
        </m:r>
      </m:oMath>
      <w:r w:rsidR="00265840" w:rsidRPr="00372C58">
        <w:rPr>
          <w:rFonts w:ascii="Book Antiqua" w:hAnsi="Book Antiqua"/>
          <w:i/>
          <w:sz w:val="20"/>
        </w:rPr>
        <w:t>.</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(52)</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Inserting this result plus the value of</w:t>
      </w:r>
      <m:oMath>
        <m:r>
          <w:rPr>
            <w:rFonts w:ascii="Cambria Math" w:hAnsi="Cambria Math"/>
            <w:sz w:val="20"/>
          </w:rPr>
          <m:t xml:space="preserve"> H</m:t>
        </m:r>
      </m:oMath>
      <w:r w:rsidRPr="00372C58">
        <w:rPr>
          <w:rFonts w:ascii="Book Antiqua" w:hAnsi="Book Antiqua"/>
          <w:sz w:val="20"/>
        </w:rPr>
        <w:t xml:space="preserve"> into (43) we get </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 xml:space="preserve">λ </m:t>
            </m:r>
          </m:e>
          <m:sub>
            <m:r>
              <w:rPr>
                <w:rFonts w:ascii="Cambria Math" w:hAnsi="Cambria Math"/>
                <w:sz w:val="20"/>
              </w:rPr>
              <m:t>a</m:t>
            </m:r>
          </m:sub>
        </m:sSub>
        <m:r>
          <w:rPr>
            <w:rFonts w:ascii="Cambria Math" w:hAnsi="Cambria Math"/>
            <w:sz w:val="20"/>
          </w:rPr>
          <m:t xml:space="preserve"> =  v/H = 34.45/(7.759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vertAlign w:val="superscript"/>
          </w:rPr>
          <m:t xml:space="preserve"> </m:t>
        </m:r>
        <m:r>
          <w:rPr>
            <w:rFonts w:ascii="Cambria Math" w:hAnsi="Cambria Math"/>
            <w:sz w:val="20"/>
          </w:rPr>
          <m:t xml:space="preserve">) = 4.440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(53)</w:t>
      </w:r>
    </w:p>
    <w:p w:rsidR="00265840" w:rsidRPr="00372C58" w:rsidRDefault="00265840" w:rsidP="00265840">
      <w:pPr>
        <w:pStyle w:val="NoSpacing"/>
        <w:jc w:val="both"/>
        <w:rPr>
          <w:rFonts w:ascii="Book Antiqua" w:hAnsi="Book Antiqua"/>
          <w:i/>
          <w:sz w:val="20"/>
        </w:rPr>
      </w:pPr>
    </w:p>
    <w:p w:rsidR="00265840" w:rsidRPr="00372C58" w:rsidRDefault="006334BD" w:rsidP="00265840">
      <w:pPr>
        <w:pStyle w:val="NoSpacing"/>
        <w:jc w:val="both"/>
        <w:rPr>
          <w:rFonts w:ascii="Book Antiqua" w:hAnsi="Book Antiqua"/>
          <w:sz w:val="20"/>
        </w:rPr>
      </w:pPr>
      <w:r>
        <w:rPr>
          <w:rFonts w:ascii="Book Antiqua" w:hAnsi="Book Antiqua"/>
          <w:sz w:val="20"/>
        </w:rPr>
        <w:t>T</w:t>
      </w:r>
      <w:r w:rsidR="00265840" w:rsidRPr="006334BD">
        <w:rPr>
          <w:rFonts w:ascii="Book Antiqua" w:hAnsi="Book Antiqua"/>
          <w:sz w:val="20"/>
        </w:rPr>
        <w: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w:lastRenderedPageBreak/>
          <m:t>√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(54)</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it is required that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oMath>
      <w:r w:rsidRPr="00372C58">
        <w:rPr>
          <w:rFonts w:ascii="Book Antiqua" w:hAnsi="Book Antiqua"/>
          <w:sz w:val="20"/>
        </w:rPr>
        <w:t xml:space="preserve"> to be equal to unity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1</m:t>
        </m:r>
      </m:oMath>
      <w:r w:rsidRPr="00372C58">
        <w:rPr>
          <w:rFonts w:ascii="Book Antiqua" w:hAnsi="Book Antiqua"/>
          <w:sz w:val="20"/>
        </w:rPr>
        <w:t xml:space="preserve">] so that it is in accord with the standard in (41). To achieve this we multiply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by (</w:t>
      </w:r>
      <m:oMath>
        <m:r>
          <w:rPr>
            <w:rFonts w:ascii="Cambria Math" w:hAnsi="Cambria Math"/>
            <w:sz w:val="20"/>
          </w:rPr>
          <m:t xml:space="preserve">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oMath>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we had from (41) and (42) it can be deduced that </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jc w:val="right"/>
        <w:rPr>
          <w:oMath/>
          <w:rFonts w:ascii="Cambria Math" w:hAnsi="Cambria Math"/>
          <w:sz w:val="20"/>
        </w:rPr>
      </w:pPr>
      <m:oMath>
        <m:rad>
          <m:radPr>
            <m:degHide m:val="on"/>
            <m:ctrlPr>
              <w:rPr>
                <w:rFonts w:ascii="Cambria Math" w:hAnsi="Cambria Math"/>
                <w:i/>
                <w:sz w:val="20"/>
              </w:rPr>
            </m:ctrlPr>
          </m:radPr>
          <m:deg/>
          <m:e>
            <m:d>
              <m:dPr>
                <m:begChr m:val="["/>
                <m:endChr m:val="]"/>
                <m:ctrlPr>
                  <w:rPr>
                    <w:rFonts w:ascii="Cambria Math" w:hAnsi="Cambria Math"/>
                    <w:i/>
                    <w:sz w:val="20"/>
                  </w:rPr>
                </m:ctrlPr>
              </m:dPr>
              <m:e>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num>
                  <m:den>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den>
                </m:f>
              </m:e>
            </m:d>
          </m:e>
        </m:rad>
        <m:r>
          <w:rPr>
            <w:rFonts w:ascii="Cambria Math" w:hAnsi="Cambria Math"/>
            <w:sz w:val="20"/>
          </w:rPr>
          <m:t>~  K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r>
          <m:rPr>
            <m:sty m:val="p"/>
          </m:rPr>
          <w:rPr>
            <w:rFonts w:ascii="Cambria Math" w:hAnsi="Cambria Math"/>
            <w:sz w:val="20"/>
          </w:rPr>
          <m:t>.</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ab/>
        <w:t>(56)</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that from (55) and (56) it can be written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 xml:space="preserve">(2.107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K[(</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therefore</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(58)</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then becomes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gives the information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ab/>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(60)</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conclusion will be supported by a different line of evidence in a moment. We now have the relationships between the redshift and the mean free path. When equation (61) is combined with the standard red shift – distance relationship [equation (14)] and with the equations from Chapter 2, which linked the speed of light with Planck’s Constant and the strength of the ZPE, we obtain the following equation, which describes the behavior of all these factors along with atomic frequencies and mass:  </w:t>
      </w:r>
    </w:p>
    <w:p w:rsidR="00265840" w:rsidRPr="00372C58" w:rsidRDefault="00265840" w:rsidP="00265840">
      <w:pPr>
        <w:pStyle w:val="NoSpacing"/>
        <w:jc w:val="both"/>
        <w:rPr>
          <w:rFonts w:ascii="Book Antiqua" w:hAnsi="Book Antiqua"/>
          <w:sz w:val="20"/>
        </w:rPr>
      </w:pPr>
    </w:p>
    <w:p w:rsidR="00265840" w:rsidRPr="00372C58" w:rsidRDefault="00241D2F" w:rsidP="00265840">
      <w:pPr>
        <w:pStyle w:val="NoSpacing"/>
        <w:jc w:val="right"/>
        <w:rPr>
          <w:rFonts w:ascii="Book Antiqua" w:hAnsi="Book Antiqua"/>
          <w:i/>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 xml:space="preserve"> ~ K[(1+x) / √(1–</m:t>
        </m:r>
        <m:sSup>
          <m:sSupPr>
            <m:ctrlPr>
              <w:rPr>
                <w:rFonts w:ascii="Cambria Math" w:hAnsi="Cambria Math"/>
                <w:i/>
                <w:sz w:val="20"/>
              </w:rPr>
            </m:ctrlPr>
          </m:sSupPr>
          <m:e>
            <m:r>
              <w:rPr>
                <w:rFonts w:ascii="Cambria Math" w:hAnsi="Cambria Math"/>
                <w:sz w:val="20"/>
              </w:rPr>
              <m:t>x</m:t>
            </m:r>
          </m:e>
          <m:sup>
            <m:r>
              <w:rPr>
                <w:rFonts w:ascii="Cambria Math" w:hAnsi="Cambria Math"/>
                <w:sz w:val="20"/>
              </w:rPr>
              <m:t>2</m:t>
            </m:r>
          </m:sup>
        </m:sSup>
        <m:r>
          <w:rPr>
            <w:rFonts w:ascii="Cambria Math" w:hAnsi="Cambria Math"/>
            <w:sz w:val="20"/>
          </w:rPr>
          <m:t>)]</m:t>
        </m:r>
      </m:oMath>
      <w:r w:rsidR="00265840" w:rsidRPr="00372C58">
        <w:rPr>
          <w:rFonts w:ascii="Book Antiqua" w:hAnsi="Book Antiqua"/>
          <w:sz w:val="20"/>
        </w:rPr>
        <w:t xml:space="preserve"> .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(61)</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t xml:space="preserve">In (61), the distance </w:t>
      </w:r>
      <m:oMath>
        <m:r>
          <w:rPr>
            <w:rFonts w:ascii="Cambria Math" w:hAnsi="Cambria Math"/>
            <w:sz w:val="20"/>
          </w:rPr>
          <m:t>x</m:t>
        </m:r>
      </m:oMath>
      <w:r w:rsidRPr="00372C58">
        <w:rPr>
          <w:sz w:val="20"/>
        </w:rPr>
        <w:t xml:space="preserve"> is a fraction so that </w:t>
      </w:r>
      <m:oMath>
        <m:r>
          <w:rPr>
            <w:rFonts w:ascii="Cambria Math" w:hAnsi="Cambria Math"/>
            <w:sz w:val="20"/>
          </w:rPr>
          <m:t>x = 0</m:t>
        </m:r>
      </m:oMath>
      <w:r w:rsidRPr="00372C58">
        <w:rPr>
          <w:sz w:val="20"/>
        </w:rPr>
        <w:t xml:space="preserve"> where the redshift function ends, and </w:t>
      </w:r>
      <m:oMath>
        <m:r>
          <w:rPr>
            <w:rFonts w:ascii="Cambria Math" w:hAnsi="Cambria Math"/>
            <w:sz w:val="20"/>
          </w:rPr>
          <m:t>x = 1</m:t>
        </m:r>
      </m:oMath>
      <w:r w:rsidRPr="00372C58">
        <w:rPr>
          <w:sz w:val="20"/>
        </w:rPr>
        <w:t xml:space="preserve"> at the distance that corresponds with the inception of the cosmos. Since looking out into space at progressively more distant galaxies is equivalent to looking further back in actual orbital time,</w:t>
      </w:r>
      <m:oMath>
        <m:r>
          <w:rPr>
            <w:rFonts w:ascii="Cambria Math" w:hAnsi="Cambria Math"/>
            <w:sz w:val="20"/>
          </w:rPr>
          <m:t xml:space="preserve"> T</m:t>
        </m:r>
      </m:oMath>
      <w:r w:rsidRPr="00372C58">
        <w:rPr>
          <w:sz w:val="20"/>
        </w:rPr>
        <w:t xml:space="preserve">. Since we take orbital time as passing in a linear fashion, and since distance is also a linear quantity, we can substitute orbital time </w:t>
      </w:r>
      <m:oMath>
        <m:r>
          <w:rPr>
            <w:rFonts w:ascii="Cambria Math" w:hAnsi="Cambria Math"/>
            <w:sz w:val="20"/>
          </w:rPr>
          <m:t>T</m:t>
        </m:r>
      </m:oMath>
      <w:r w:rsidRPr="00372C58">
        <w:rPr>
          <w:sz w:val="20"/>
        </w:rPr>
        <w:t xml:space="preserve"> for distance </w:t>
      </w:r>
      <w:r w:rsidRPr="00372C58">
        <w:rPr>
          <w:i/>
          <w:sz w:val="20"/>
        </w:rPr>
        <w:t>x</w:t>
      </w:r>
      <w:r w:rsidRPr="00372C58">
        <w:rPr>
          <w:sz w:val="20"/>
        </w:rPr>
        <w:t xml:space="preserve"> so that we have</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sz w:val="20"/>
          <w:szCs w:val="20"/>
        </w:rPr>
      </w:pPr>
      <m:oMath>
        <m:r>
          <w:rPr>
            <w:rFonts w:ascii="Cambria Math" w:hAnsi="Cambria Math" w:cs="Times New Roman"/>
            <w:sz w:val="20"/>
            <w:szCs w:val="20"/>
          </w:rPr>
          <m:t xml:space="preserve">(1 +  z) = (1 + T)/ √(1 - </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2</m:t>
            </m:r>
          </m:sup>
        </m:sSup>
        <m:r>
          <w:rPr>
            <w:rFonts w:ascii="Cambria Math" w:hAnsi="Cambria Math" w:cs="Times New Roman"/>
            <w:sz w:val="20"/>
            <w:szCs w:val="20"/>
          </w:rPr>
          <m:t>)</m:t>
        </m:r>
      </m:oMath>
      <w:r w:rsidRPr="00372C58">
        <w:rPr>
          <w:rFonts w:ascii="Book Antiqua" w:hAnsi="Book Antiqua" w:cs="Times New Roman"/>
          <w:i/>
          <w:sz w:val="20"/>
          <w:szCs w:val="20"/>
        </w:rPr>
        <w:t xml:space="preserve">.          </w:t>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t xml:space="preserve">   </w:t>
      </w:r>
      <w:r w:rsidRPr="00372C58">
        <w:rPr>
          <w:rFonts w:ascii="Book Antiqua" w:hAnsi="Book Antiqua" w:cs="Times New Roman"/>
          <w:i/>
          <w:sz w:val="20"/>
          <w:szCs w:val="20"/>
        </w:rPr>
        <w:tab/>
      </w:r>
      <w:r w:rsidRPr="00372C58">
        <w:rPr>
          <w:rFonts w:ascii="Book Antiqua" w:hAnsi="Book Antiqua" w:cs="Times New Roman"/>
          <w:sz w:val="20"/>
          <w:szCs w:val="20"/>
        </w:rPr>
        <w:t xml:space="preserve">         (62)</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720"/>
        <w:rPr>
          <w:sz w:val="20"/>
        </w:rPr>
      </w:pPr>
      <w:r w:rsidRPr="00372C58">
        <w:rPr>
          <w:sz w:val="20"/>
        </w:rPr>
        <w:t>In equation (6</w:t>
      </w:r>
      <w:r w:rsidR="00B036AA">
        <w:rPr>
          <w:sz w:val="20"/>
        </w:rPr>
        <w:t>2</w:t>
      </w:r>
      <w:r w:rsidRPr="00372C58">
        <w:rPr>
          <w:sz w:val="20"/>
        </w:rPr>
        <w:t xml:space="preserve">), </w:t>
      </w:r>
      <m:oMath>
        <m:r>
          <w:rPr>
            <w:rFonts w:ascii="Cambria Math" w:hAnsi="Cambria Math"/>
            <w:sz w:val="20"/>
          </w:rPr>
          <m:t>T</m:t>
        </m:r>
      </m:oMath>
      <w:r w:rsidRPr="00372C58">
        <w:rPr>
          <w:sz w:val="20"/>
        </w:rPr>
        <w:t xml:space="preserve"> is in orbital time such that, as with </w:t>
      </w:r>
      <m:oMath>
        <m:r>
          <w:rPr>
            <w:rFonts w:ascii="Cambria Math" w:hAnsi="Cambria Math"/>
            <w:sz w:val="20"/>
          </w:rPr>
          <m:t>x</m:t>
        </m:r>
      </m:oMath>
      <w:r w:rsidRPr="00372C58">
        <w:rPr>
          <w:sz w:val="20"/>
        </w:rPr>
        <w:t xml:space="preserve">, </w:t>
      </w:r>
      <m:oMath>
        <m:r>
          <w:rPr>
            <w:rFonts w:ascii="Cambria Math" w:hAnsi="Cambria Math"/>
            <w:sz w:val="20"/>
          </w:rPr>
          <m:t>T = 1</m:t>
        </m:r>
      </m:oMath>
      <w:r w:rsidRPr="00372C58">
        <w:rPr>
          <w:sz w:val="20"/>
        </w:rPr>
        <w:t xml:space="preserve"> at the origin of the cosmos and </w:t>
      </w:r>
      <m:oMath>
        <m:r>
          <w:rPr>
            <w:rFonts w:ascii="Cambria Math" w:hAnsi="Cambria Math"/>
            <w:sz w:val="20"/>
          </w:rPr>
          <m:t xml:space="preserve">T = 0 </m:t>
        </m:r>
      </m:oMath>
      <w:r w:rsidRPr="00372C58">
        <w:rPr>
          <w:sz w:val="20"/>
        </w:rPr>
        <w:t xml:space="preserve">when the redshift function ceases in, or near, our galaxy. If, alternately, </w:t>
      </w:r>
      <m:oMath>
        <m:r>
          <w:rPr>
            <w:rFonts w:ascii="Cambria Math" w:hAnsi="Cambria Math"/>
            <w:sz w:val="20"/>
          </w:rPr>
          <m:t>T</m:t>
        </m:r>
      </m:oMath>
      <w:r w:rsidRPr="00372C58">
        <w:rPr>
          <w:sz w:val="20"/>
        </w:rPr>
        <w:t xml:space="preserve"> is required in terms of redshift,</w:t>
      </w:r>
      <m:oMath>
        <m:r>
          <w:rPr>
            <w:rFonts w:ascii="Cambria Math" w:hAnsi="Cambria Math"/>
            <w:sz w:val="20"/>
          </w:rPr>
          <m:t xml:space="preserve"> z</m:t>
        </m:r>
      </m:oMath>
      <w:r w:rsidRPr="00372C58">
        <w:rPr>
          <w:sz w:val="20"/>
        </w:rPr>
        <w:t>, then the relationship is given by:</w:t>
      </w:r>
    </w:p>
    <w:p w:rsidR="00265840" w:rsidRPr="00372C58" w:rsidRDefault="00265840" w:rsidP="00265840">
      <w:pPr>
        <w:pStyle w:val="NormPara"/>
        <w:ind w:firstLine="0"/>
        <w:rPr>
          <w:sz w:val="20"/>
        </w:rPr>
      </w:pPr>
    </w:p>
    <w:p w:rsidR="00265840" w:rsidRPr="00372C58" w:rsidRDefault="00265840" w:rsidP="00265840">
      <w:pPr>
        <w:pStyle w:val="NormPara"/>
        <w:ind w:firstLine="0"/>
        <w:jc w:val="right"/>
        <w:rPr>
          <w:i/>
          <w:sz w:val="20"/>
        </w:rPr>
      </w:pPr>
      <m:oMath>
        <m:r>
          <w:rPr>
            <w:rFonts w:ascii="Cambria Math" w:hAnsi="Cambria Math"/>
            <w:sz w:val="20"/>
          </w:rPr>
          <m:t>T = z(z+2)/(</m:t>
        </m:r>
        <m:sSup>
          <m:sSupPr>
            <m:ctrlPr>
              <w:rPr>
                <w:rFonts w:ascii="Cambria Math" w:hAnsi="Cambria Math"/>
                <w:i/>
                <w:sz w:val="20"/>
              </w:rPr>
            </m:ctrlPr>
          </m:sSupPr>
          <m:e>
            <m:r>
              <w:rPr>
                <w:rFonts w:ascii="Cambria Math" w:hAnsi="Cambria Math"/>
                <w:sz w:val="20"/>
              </w:rPr>
              <m:t>z</m:t>
            </m:r>
          </m:e>
          <m:sup>
            <m:r>
              <w:rPr>
                <w:rFonts w:ascii="Cambria Math" w:hAnsi="Cambria Math"/>
                <w:sz w:val="20"/>
              </w:rPr>
              <m:t>2</m:t>
            </m:r>
          </m:sup>
        </m:sSup>
        <m:r>
          <w:rPr>
            <w:rFonts w:ascii="Cambria Math" w:hAnsi="Cambria Math"/>
            <w:sz w:val="20"/>
          </w:rPr>
          <m:t xml:space="preserve"> + 2z + 2)</m:t>
        </m:r>
      </m:oMath>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(63)</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 Thus the behavior through time of the ZPE-dependent quantities discussed in Chapters 1-4 follows from the proportionalities in (61) so that</w:t>
      </w:r>
    </w:p>
    <w:p w:rsidR="00265840" w:rsidRPr="00372C58" w:rsidRDefault="00265840" w:rsidP="00265840">
      <w:pPr>
        <w:pStyle w:val="NormPara"/>
        <w:ind w:firstLine="0"/>
        <w:rPr>
          <w:sz w:val="20"/>
        </w:rPr>
      </w:pPr>
    </w:p>
    <w:p w:rsidR="00265840" w:rsidRPr="00372C58" w:rsidRDefault="00241D2F" w:rsidP="00265840">
      <w:pPr>
        <w:pStyle w:val="NormPara"/>
        <w:ind w:firstLine="0"/>
        <w:jc w:val="right"/>
        <w:rPr>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K</m:t>
        </m:r>
        <m:d>
          <m:dPr>
            <m:begChr m:val="["/>
            <m:endChr m:val="]"/>
            <m:ctrlPr>
              <w:rPr>
                <w:rFonts w:ascii="Cambria Math" w:hAnsi="Cambria Math"/>
                <w:i/>
                <w:sz w:val="20"/>
              </w:rPr>
            </m:ctrlPr>
          </m:dPr>
          <m:e>
            <m:f>
              <m:fPr>
                <m:ctrlPr>
                  <w:rPr>
                    <w:rFonts w:ascii="Cambria Math" w:hAnsi="Cambria Math"/>
                    <w:i/>
                    <w:sz w:val="20"/>
                  </w:rPr>
                </m:ctrlPr>
              </m:fPr>
              <m:num>
                <m:d>
                  <m:dPr>
                    <m:ctrlPr>
                      <w:rPr>
                        <w:rFonts w:ascii="Cambria Math" w:hAnsi="Cambria Math"/>
                        <w:i/>
                        <w:sz w:val="20"/>
                      </w:rPr>
                    </m:ctrlPr>
                  </m:dPr>
                  <m:e>
                    <m:r>
                      <w:rPr>
                        <w:rFonts w:ascii="Cambria Math" w:hAnsi="Cambria Math"/>
                        <w:sz w:val="20"/>
                      </w:rPr>
                      <m:t>1+T</m:t>
                    </m:r>
                  </m:e>
                </m:d>
              </m:num>
              <m:den>
                <m:rad>
                  <m:radPr>
                    <m:degHide m:val="on"/>
                    <m:ctrlPr>
                      <w:rPr>
                        <w:rFonts w:ascii="Cambria Math" w:hAnsi="Cambria Math"/>
                        <w:i/>
                        <w:sz w:val="20"/>
                      </w:rPr>
                    </m:ctrlPr>
                  </m:radPr>
                  <m:deg/>
                  <m:e>
                    <m:r>
                      <w:rPr>
                        <w:rFonts w:ascii="Cambria Math" w:hAnsi="Cambria Math"/>
                        <w:sz w:val="20"/>
                      </w:rPr>
                      <m: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den>
            </m:f>
          </m:e>
        </m:d>
        <m:r>
          <w:rPr>
            <w:rFonts w:ascii="Cambria Math" w:hAnsi="Cambria Math"/>
            <w:sz w:val="20"/>
          </w:rPr>
          <m:t>= K</m:t>
        </m:r>
        <m:d>
          <m:dPr>
            <m:ctrlPr>
              <w:rPr>
                <w:rFonts w:ascii="Cambria Math" w:hAnsi="Cambria Math"/>
                <w:i/>
                <w:sz w:val="20"/>
              </w:rPr>
            </m:ctrlPr>
          </m:dPr>
          <m:e>
            <m:r>
              <w:rPr>
                <w:rFonts w:ascii="Cambria Math" w:hAnsi="Cambria Math"/>
                <w:sz w:val="20"/>
              </w:rPr>
              <m:t>1 + z</m:t>
            </m:r>
          </m:e>
        </m:d>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 xml:space="preserve">    (64)</w:t>
      </w:r>
    </w:p>
    <w:p w:rsidR="00265840" w:rsidRPr="00372C58" w:rsidRDefault="00265840" w:rsidP="00265840">
      <w:pPr>
        <w:pStyle w:val="NoSpacing"/>
        <w:jc w:val="both"/>
        <w:rPr>
          <w:rFonts w:ascii="Book Antiqua" w:hAnsi="Book Antiqua"/>
          <w:sz w:val="20"/>
        </w:rPr>
      </w:pPr>
    </w:p>
    <w:p w:rsidR="007C0564" w:rsidRPr="00372C58" w:rsidRDefault="007C0564" w:rsidP="00265840">
      <w:pPr>
        <w:pStyle w:val="NoSpacing"/>
        <w:jc w:val="right"/>
        <w:rPr>
          <w:rFonts w:ascii="Book Antiqua" w:hAnsi="Book Antiqua"/>
          <w:sz w:val="20"/>
        </w:rPr>
      </w:pPr>
    </w:p>
    <w:p w:rsidR="00265840" w:rsidRPr="00372C58" w:rsidRDefault="00265840" w:rsidP="00265840">
      <w:pPr>
        <w:jc w:val="center"/>
        <w:rPr>
          <w:rFonts w:ascii="Book Antiqua" w:hAnsi="Book Antiqua"/>
        </w:rPr>
      </w:pPr>
      <w:r w:rsidRPr="00372C58">
        <w:rPr>
          <w:rFonts w:ascii="Book Antiqua" w:hAnsi="Book Antiqua"/>
          <w:noProof/>
          <w:lang w:val="en-US"/>
        </w:rPr>
        <w:drawing>
          <wp:inline distT="0" distB="0" distL="0" distR="0">
            <wp:extent cx="4102895" cy="4587368"/>
            <wp:effectExtent l="19050" t="0" r="11905" b="3682"/>
            <wp:docPr id="15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265840" w:rsidRPr="00372C58" w:rsidRDefault="00265840" w:rsidP="00265840">
      <w:pPr>
        <w:pStyle w:val="NoSpacing"/>
        <w:jc w:val="both"/>
        <w:rPr>
          <w:rFonts w:ascii="Book Antiqua" w:hAnsi="Book Antiqua"/>
          <w:b/>
          <w:i/>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4</w:t>
      </w:r>
      <w:r w:rsidRPr="004223A5">
        <w:rPr>
          <w:rFonts w:ascii="Book Antiqua" w:hAnsi="Book Antiqua"/>
          <w:b/>
          <w:i/>
          <w:sz w:val="18"/>
          <w:szCs w:val="18"/>
        </w:rPr>
        <w:t>:</w:t>
      </w:r>
      <w:r w:rsidRPr="004223A5">
        <w:rPr>
          <w:rFonts w:ascii="Book Antiqua" w:hAnsi="Book Antiqua"/>
          <w:i/>
          <w:sz w:val="18"/>
          <w:szCs w:val="18"/>
        </w:rPr>
        <w:t xml:space="preserve"> In the above graph, the horizontal axis is distance, x, which is the same as time, T.  The vertical axis is the red shift measurement at that time/distance. </w:t>
      </w:r>
      <w:r w:rsidR="00E51DB1" w:rsidRPr="004223A5">
        <w:rPr>
          <w:rFonts w:ascii="Book Antiqua" w:hAnsi="Book Antiqua"/>
          <w:i/>
          <w:sz w:val="18"/>
          <w:szCs w:val="18"/>
        </w:rPr>
        <w:t xml:space="preserve">On the horizontal axis </w:t>
      </w:r>
      <w:r w:rsidRPr="004223A5">
        <w:rPr>
          <w:rFonts w:ascii="Book Antiqua" w:hAnsi="Book Antiqua"/>
          <w:i/>
          <w:sz w:val="18"/>
          <w:szCs w:val="18"/>
        </w:rPr>
        <w:t xml:space="preserve">“0” is </w:t>
      </w:r>
      <w:r w:rsidR="00E51DB1" w:rsidRPr="004223A5">
        <w:rPr>
          <w:rFonts w:ascii="Book Antiqua" w:hAnsi="Book Antiqua"/>
          <w:i/>
          <w:sz w:val="18"/>
          <w:szCs w:val="18"/>
        </w:rPr>
        <w:t>the time when the time when the redshift function ceased. This is close to us astronomically, and is discussed in detail at the close of this Chapter. A</w:t>
      </w:r>
      <w:r w:rsidRPr="004223A5">
        <w:rPr>
          <w:rFonts w:ascii="Book Antiqua" w:hAnsi="Book Antiqua"/>
          <w:i/>
          <w:sz w:val="18"/>
          <w:szCs w:val="18"/>
        </w:rPr>
        <w:t>s we go to the right</w:t>
      </w:r>
      <w:r w:rsidR="00E51DB1" w:rsidRPr="004223A5">
        <w:rPr>
          <w:rFonts w:ascii="Book Antiqua" w:hAnsi="Book Antiqua"/>
          <w:i/>
          <w:sz w:val="18"/>
          <w:szCs w:val="18"/>
        </w:rPr>
        <w:t xml:space="preserve"> from this point on the horizontal axis,</w:t>
      </w:r>
      <w:r w:rsidRPr="004223A5">
        <w:rPr>
          <w:rFonts w:ascii="Book Antiqua" w:hAnsi="Book Antiqua"/>
          <w:i/>
          <w:sz w:val="18"/>
          <w:szCs w:val="18"/>
        </w:rPr>
        <w:t xml:space="preserve"> we are looking further and further out in space, where “1” </w:t>
      </w:r>
      <w:r w:rsidR="00E51DB1" w:rsidRPr="004223A5">
        <w:rPr>
          <w:rFonts w:ascii="Book Antiqua" w:hAnsi="Book Antiqua"/>
          <w:i/>
          <w:sz w:val="18"/>
          <w:szCs w:val="18"/>
        </w:rPr>
        <w:t>is</w:t>
      </w:r>
      <w:r w:rsidRPr="004223A5">
        <w:rPr>
          <w:rFonts w:ascii="Book Antiqua" w:hAnsi="Book Antiqua"/>
          <w:i/>
          <w:sz w:val="18"/>
          <w:szCs w:val="18"/>
        </w:rPr>
        <w:t xml:space="preserve"> the origin of the cosmos.</w:t>
      </w:r>
    </w:p>
    <w:p w:rsidR="00265840" w:rsidRPr="00372C58" w:rsidRDefault="00265840" w:rsidP="00265840">
      <w:pPr>
        <w:pStyle w:val="NoSpacing"/>
        <w:jc w:val="both"/>
        <w:rPr>
          <w:rFonts w:ascii="Book Antiqua" w:hAnsi="Book Antiqua"/>
          <w:i/>
          <w:sz w:val="20"/>
        </w:rPr>
      </w:pPr>
    </w:p>
    <w:p w:rsidR="003324C1" w:rsidRDefault="003324C1" w:rsidP="003324C1">
      <w:pPr>
        <w:pStyle w:val="NoSpacing"/>
        <w:ind w:firstLine="720"/>
        <w:jc w:val="both"/>
        <w:rPr>
          <w:rFonts w:ascii="Book Antiqua" w:hAnsi="Book Antiqua"/>
          <w:sz w:val="20"/>
        </w:rPr>
      </w:pPr>
      <w:r w:rsidRPr="00372C58">
        <w:rPr>
          <w:rFonts w:ascii="Book Antiqua" w:hAnsi="Book Antiqua"/>
          <w:sz w:val="20"/>
        </w:rPr>
        <w:t xml:space="preserve">In (64) </w:t>
      </w:r>
      <m:oMath>
        <m:r>
          <w:rPr>
            <w:rFonts w:ascii="Cambria Math" w:hAnsi="Cambria Math"/>
            <w:sz w:val="20"/>
          </w:rPr>
          <m:t>U</m:t>
        </m:r>
      </m:oMath>
      <w:r w:rsidRPr="00372C58">
        <w:rPr>
          <w:rFonts w:ascii="Book Antiqua" w:hAnsi="Book Antiqua"/>
          <w:sz w:val="20"/>
        </w:rPr>
        <w:t xml:space="preserve"> is the ZPE strength, </w:t>
      </w:r>
      <m:oMath>
        <m:r>
          <w:rPr>
            <w:rFonts w:ascii="Cambria Math" w:hAnsi="Cambria Math"/>
            <w:sz w:val="20"/>
          </w:rPr>
          <m:t xml:space="preserve">h </m:t>
        </m:r>
      </m:oMath>
      <w:r w:rsidRPr="00372C58">
        <w:rPr>
          <w:rFonts w:ascii="Book Antiqua" w:hAnsi="Book Antiqua"/>
          <w:sz w:val="20"/>
        </w:rPr>
        <w:t xml:space="preserve">is Planck’s constant, </w:t>
      </w:r>
      <m:oMath>
        <m:r>
          <w:rPr>
            <w:rFonts w:ascii="Cambria Math" w:hAnsi="Cambria Math"/>
            <w:sz w:val="20"/>
          </w:rPr>
          <m:t>c</m:t>
        </m:r>
      </m:oMath>
      <w:r w:rsidRPr="00372C58">
        <w:rPr>
          <w:rFonts w:ascii="Book Antiqua" w:hAnsi="Book Antiqua"/>
          <w:sz w:val="20"/>
        </w:rPr>
        <w:t xml:space="preserve"> is light-speed,</w:t>
      </w:r>
      <m:oMath>
        <m:r>
          <w:rPr>
            <w:rFonts w:ascii="Cambria Math" w:hAnsi="Cambria Math"/>
            <w:sz w:val="20"/>
          </w:rPr>
          <m:t xml:space="preserve"> f</m:t>
        </m:r>
      </m:oMath>
      <w:r w:rsidRPr="00372C58">
        <w:rPr>
          <w:rFonts w:ascii="Book Antiqua" w:hAnsi="Book Antiqua"/>
          <w:sz w:val="20"/>
        </w:rPr>
        <w:t xml:space="preserve"> is atomic frequencies including the rate of ticking of atomic clocks, </w:t>
      </w:r>
      <m:oMath>
        <m:r>
          <w:rPr>
            <w:rFonts w:ascii="Cambria Math" w:hAnsi="Cambria Math"/>
            <w:sz w:val="20"/>
          </w:rPr>
          <m:t>t</m:t>
        </m:r>
      </m:oMath>
      <w:r w:rsidRPr="00372C58">
        <w:rPr>
          <w:rFonts w:ascii="Book Antiqua" w:hAnsi="Book Antiqua"/>
          <w:sz w:val="20"/>
        </w:rPr>
        <w:t xml:space="preserve"> is atomic time intervals, </w:t>
      </w:r>
      <m:oMath>
        <m:r>
          <w:rPr>
            <w:rFonts w:ascii="Cambria Math" w:hAnsi="Cambria Math"/>
            <w:sz w:val="20"/>
          </w:rPr>
          <m:t>m</m:t>
        </m:r>
      </m:oMath>
      <w:r w:rsidRPr="00372C58">
        <w:rPr>
          <w:rFonts w:ascii="Book Antiqua" w:hAnsi="Book Antiqua"/>
          <w:sz w:val="20"/>
        </w:rPr>
        <w:t xml:space="preserve"> is atomic masses, </w:t>
      </w:r>
      <m:oMath>
        <m:r>
          <w:rPr>
            <w:rFonts w:ascii="Cambria Math" w:hAnsi="Cambria Math"/>
            <w:sz w:val="20"/>
          </w:rPr>
          <m:t>z</m:t>
        </m:r>
      </m:oMath>
      <w:r w:rsidRPr="00372C58">
        <w:rPr>
          <w:rFonts w:ascii="Book Antiqua" w:hAnsi="Book Antiqua"/>
          <w:sz w:val="20"/>
        </w:rPr>
        <w:t xml:space="preserve"> is the redshift, and</w:t>
      </w:r>
      <m:oMath>
        <m:r>
          <w:rPr>
            <w:rFonts w:ascii="Cambria Math" w:hAnsi="Cambria Math"/>
            <w:sz w:val="20"/>
          </w:rPr>
          <m:t xml:space="preserve"> T</m:t>
        </m:r>
      </m:oMath>
      <w:r w:rsidRPr="00372C58">
        <w:rPr>
          <w:rFonts w:ascii="Book Antiqua" w:hAnsi="Book Antiqua"/>
          <w:sz w:val="20"/>
        </w:rPr>
        <w:t xml:space="preserve"> is orbital time. Equation (64) also gives us the form of function </w:t>
      </w:r>
      <m:oMath>
        <m:r>
          <w:rPr>
            <w:rFonts w:ascii="Cambria Math" w:hAnsi="Cambria Math"/>
            <w:sz w:val="20"/>
          </w:rPr>
          <m:t>Y</m:t>
        </m:r>
      </m:oMath>
      <w:r w:rsidRPr="00372C58">
        <w:rPr>
          <w:rFonts w:ascii="Book Antiqua" w:hAnsi="Book Antiqua"/>
          <w:sz w:val="20"/>
        </w:rPr>
        <w:t>, mentioned at the close of Chapter 1, which describes the behavior of the ZPE as it built up. Figure 1</w:t>
      </w:r>
      <w:r>
        <w:rPr>
          <w:rFonts w:ascii="Book Antiqua" w:hAnsi="Book Antiqua"/>
          <w:sz w:val="20"/>
        </w:rPr>
        <w:t>4</w:t>
      </w:r>
      <w:r w:rsidRPr="00372C58">
        <w:rPr>
          <w:rFonts w:ascii="Book Antiqua" w:hAnsi="Book Antiqua"/>
          <w:sz w:val="20"/>
        </w:rPr>
        <w:t xml:space="preserve"> shows (64) in terms of </w:t>
      </w:r>
      <m:oMath>
        <m:r>
          <w:rPr>
            <w:rFonts w:ascii="Cambria Math" w:hAnsi="Cambria Math"/>
            <w:sz w:val="20"/>
          </w:rPr>
          <m:t xml:space="preserve">(1+z) </m:t>
        </m:r>
      </m:oMath>
      <w:r w:rsidRPr="00372C58">
        <w:rPr>
          <w:rFonts w:ascii="Book Antiqua" w:hAnsi="Book Antiqua"/>
          <w:sz w:val="20"/>
        </w:rPr>
        <w:t xml:space="preserve"> going back in time from now. </w:t>
      </w:r>
    </w:p>
    <w:p w:rsidR="003324C1" w:rsidRPr="00372C58" w:rsidRDefault="003324C1" w:rsidP="003324C1">
      <w:pPr>
        <w:pStyle w:val="NoSpacing"/>
        <w:ind w:firstLine="720"/>
        <w:jc w:val="both"/>
        <w:rPr>
          <w:rFonts w:ascii="Book Antiqua" w:hAnsi="Book Antiqua"/>
          <w:sz w:val="20"/>
        </w:rPr>
      </w:pPr>
    </w:p>
    <w:p w:rsidR="00DB51B9" w:rsidRDefault="00DB51B9" w:rsidP="00DB51B9">
      <w:pPr>
        <w:pStyle w:val="NormPara"/>
        <w:ind w:firstLine="720"/>
        <w:rPr>
          <w:sz w:val="20"/>
        </w:rPr>
      </w:pPr>
      <w:r w:rsidRPr="00372C58">
        <w:rPr>
          <w:noProof/>
          <w:sz w:val="20"/>
        </w:rPr>
        <w:lastRenderedPageBreak/>
        <w:t>As shown in equation (64), t</w:t>
      </w:r>
      <w:r w:rsidRPr="00372C58">
        <w:rPr>
          <w:sz w:val="20"/>
        </w:rPr>
        <w:t xml:space="preserve">he speed of light, </w:t>
      </w:r>
      <m:oMath>
        <m:r>
          <w:rPr>
            <w:rFonts w:ascii="Cambria Math" w:hAnsi="Cambria Math"/>
            <w:sz w:val="20"/>
          </w:rPr>
          <m:t>c</m:t>
        </m:r>
      </m:oMath>
      <w:r w:rsidRPr="00372C58">
        <w:rPr>
          <w:i/>
          <w:sz w:val="20"/>
        </w:rPr>
        <w:t>,</w:t>
      </w:r>
      <w:r w:rsidRPr="00372C58">
        <w:rPr>
          <w:sz w:val="20"/>
        </w:rPr>
        <w:t xml:space="preserve"> atomic frequencies, </w:t>
      </w:r>
      <m:oMath>
        <m:r>
          <w:rPr>
            <w:rFonts w:ascii="Cambria Math" w:hAnsi="Cambria Math"/>
            <w:sz w:val="20"/>
          </w:rPr>
          <m:t>f</m:t>
        </m:r>
      </m:oMath>
      <w:r w:rsidRPr="00372C58">
        <w:rPr>
          <w:sz w:val="20"/>
        </w:rPr>
        <w:t xml:space="preserve">, and the rate of ticking of atomic clocks follow the same curve with a constant of proportionality, which is different from </w:t>
      </w:r>
      <m:oMath>
        <m:r>
          <w:rPr>
            <w:rFonts w:ascii="Cambria Math" w:hAnsi="Cambria Math"/>
            <w:sz w:val="20"/>
          </w:rPr>
          <m:t>K,</m:t>
        </m:r>
      </m:oMath>
      <w:r w:rsidRPr="00372C58">
        <w:rPr>
          <w:sz w:val="20"/>
        </w:rPr>
        <w:t xml:space="preserve"> as the multiplier of the vertical scale.  </w:t>
      </w:r>
      <w:r w:rsidRPr="00372C58">
        <w:rPr>
          <w:noProof/>
          <w:sz w:val="20"/>
        </w:rPr>
        <w:t>The total distance traveled in light years and/or the total time elapsed on the atomic clock is given by equation (65) below.</w:t>
      </w:r>
      <w:r w:rsidRPr="00372C58">
        <w:rPr>
          <w:sz w:val="20"/>
        </w:rPr>
        <w:t xml:space="preserve"> </w:t>
      </w:r>
    </w:p>
    <w:p w:rsidR="00DB51B9" w:rsidRDefault="00DB51B9" w:rsidP="00DB51B9">
      <w:pPr>
        <w:pStyle w:val="NormPara"/>
        <w:ind w:firstLine="720"/>
        <w:rPr>
          <w:sz w:val="20"/>
        </w:rPr>
      </w:pPr>
    </w:p>
    <w:p w:rsidR="00DB51B9" w:rsidRDefault="00DB51B9" w:rsidP="00DB51B9">
      <w:pPr>
        <w:pStyle w:val="NormPara"/>
        <w:ind w:firstLine="720"/>
        <w:rPr>
          <w:sz w:val="20"/>
        </w:rPr>
      </w:pPr>
      <w:r w:rsidRPr="00372C58">
        <w:rPr>
          <w:sz w:val="20"/>
        </w:rPr>
        <w:t xml:space="preserve"> The point marked ‘0’ on the graph in Figure 1</w:t>
      </w:r>
      <w:r w:rsidR="003D33FE">
        <w:rPr>
          <w:sz w:val="20"/>
        </w:rPr>
        <w:t>4</w:t>
      </w:r>
      <w:r w:rsidRPr="00372C58">
        <w:rPr>
          <w:sz w:val="20"/>
        </w:rPr>
        <w:t xml:space="preserve"> is not our time now</w:t>
      </w:r>
      <w:r>
        <w:rPr>
          <w:sz w:val="20"/>
        </w:rPr>
        <w:t xml:space="preserve">. </w:t>
      </w:r>
      <w:r w:rsidR="006334BD">
        <w:rPr>
          <w:sz w:val="20"/>
        </w:rPr>
        <w:t>It</w:t>
      </w:r>
      <w:r>
        <w:rPr>
          <w:sz w:val="20"/>
        </w:rPr>
        <w:t xml:space="preserve"> is the point at which the redshift function ceased, namely when </w:t>
      </w:r>
      <m:oMath>
        <m:r>
          <w:rPr>
            <w:rFonts w:ascii="Cambria Math" w:hAnsi="Cambria Math"/>
            <w:sz w:val="20"/>
          </w:rPr>
          <m:t>z = 0</m:t>
        </m:r>
      </m:oMath>
      <w:r>
        <w:rPr>
          <w:sz w:val="20"/>
        </w:rPr>
        <w:t xml:space="preserve"> and so </w:t>
      </w:r>
      <m:oMath>
        <m:r>
          <w:rPr>
            <w:rFonts w:ascii="Cambria Math" w:hAnsi="Cambria Math"/>
            <w:sz w:val="20"/>
          </w:rPr>
          <m:t>T = 0</m:t>
        </m:r>
      </m:oMath>
      <w:r>
        <w:rPr>
          <w:sz w:val="20"/>
        </w:rPr>
        <w:t xml:space="preserve"> also. </w:t>
      </w:r>
      <w:r w:rsidRPr="00372C58">
        <w:rPr>
          <w:sz w:val="20"/>
        </w:rPr>
        <w:t xml:space="preserve">Since that time, </w:t>
      </w:r>
      <w:r>
        <w:rPr>
          <w:sz w:val="20"/>
        </w:rPr>
        <w:t xml:space="preserve">other events have occurred, including </w:t>
      </w:r>
      <w:r w:rsidRPr="00372C58">
        <w:rPr>
          <w:sz w:val="20"/>
        </w:rPr>
        <w:t>a slight oscillation in the size of the cosmos, which has been picked up in a number of atomic measurements.</w:t>
      </w:r>
      <w:r>
        <w:rPr>
          <w:sz w:val="20"/>
        </w:rPr>
        <w:t xml:space="preserve"> The behavior of the ZPE since that time of </w:t>
      </w:r>
      <m:oMath>
        <m:r>
          <w:rPr>
            <w:rFonts w:ascii="Cambria Math" w:hAnsi="Cambria Math"/>
            <w:sz w:val="20"/>
          </w:rPr>
          <m:t>T = 0</m:t>
        </m:r>
      </m:oMath>
      <w:r>
        <w:rPr>
          <w:sz w:val="20"/>
        </w:rPr>
        <w:t xml:space="preserve"> is discussed in more detail at the close of this chapter. </w:t>
      </w:r>
    </w:p>
    <w:p w:rsidR="00DB51B9" w:rsidRPr="00372C58" w:rsidRDefault="00DB51B9" w:rsidP="00DB51B9">
      <w:pPr>
        <w:pStyle w:val="NormPara"/>
        <w:ind w:firstLine="720"/>
        <w:rPr>
          <w:sz w:val="20"/>
        </w:rPr>
      </w:pPr>
    </w:p>
    <w:p w:rsidR="00DB51B9" w:rsidRPr="00372C58" w:rsidRDefault="00DB51B9" w:rsidP="00DB51B9">
      <w:pPr>
        <w:pStyle w:val="NoSpacing"/>
        <w:ind w:firstLine="720"/>
        <w:jc w:val="both"/>
        <w:rPr>
          <w:rFonts w:ascii="Book Antiqua" w:hAnsi="Book Antiqua"/>
          <w:sz w:val="20"/>
        </w:rPr>
      </w:pPr>
      <w:r w:rsidRPr="00372C58">
        <w:rPr>
          <w:rFonts w:ascii="Book Antiqua" w:hAnsi="Book Antiqua"/>
          <w:sz w:val="20"/>
        </w:rPr>
        <w:t>From equations (61) and (64), the distance traveled by light or the time elapsed on the atomic clock can be obtained from the indefinite integral which is</w:t>
      </w:r>
    </w:p>
    <w:p w:rsidR="00DB51B9" w:rsidRPr="00372C58" w:rsidRDefault="00DB51B9" w:rsidP="00DB51B9">
      <w:pPr>
        <w:pStyle w:val="NoSpacing"/>
        <w:jc w:val="both"/>
        <w:rPr>
          <w:rFonts w:ascii="Book Antiqua" w:hAnsi="Book Antiqua"/>
          <w:sz w:val="20"/>
        </w:rPr>
      </w:pPr>
    </w:p>
    <w:p w:rsidR="00DB51B9" w:rsidRDefault="00DB51B9" w:rsidP="00DB51B9">
      <w:pPr>
        <w:pStyle w:val="NoSpacing"/>
        <w:jc w:val="right"/>
        <w:rPr>
          <w:rFonts w:ascii="Book Antiqua" w:hAnsi="Book Antiqua"/>
          <w:i/>
          <w:sz w:val="20"/>
        </w:rPr>
      </w:pPr>
      <m:oMath>
        <m:r>
          <w:rPr>
            <w:rFonts w:ascii="Cambria Math" w:hAnsi="Cambria Math"/>
            <w:sz w:val="20"/>
          </w:rPr>
          <m:t>ʃ [(1+T)/√(1-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r>
          <w:rPr>
            <w:rFonts w:ascii="Cambria Math" w:hAnsi="Cambria Math"/>
            <w:sz w:val="20"/>
          </w:rPr>
          <m:t xml:space="preserve">)]dT =  K[Arcsin T – √(1 – </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r>
          <w:rPr>
            <w:rFonts w:ascii="Cambria Math" w:hAnsi="Cambria Math"/>
            <w:sz w:val="20"/>
          </w:rPr>
          <m:t>)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(65)</w:t>
      </w:r>
    </w:p>
    <w:p w:rsidR="00265840" w:rsidRDefault="00265840" w:rsidP="00265840">
      <w:pPr>
        <w:pStyle w:val="NoSpacing"/>
        <w:rPr>
          <w:rFonts w:ascii="Book Antiqua" w:hAnsi="Book Antiqua"/>
          <w:sz w:val="20"/>
        </w:rPr>
      </w:pPr>
    </w:p>
    <w:p w:rsidR="00DB51B9" w:rsidRPr="00372C58" w:rsidRDefault="00DB51B9" w:rsidP="00265840">
      <w:pPr>
        <w:pStyle w:val="NoSpacing"/>
        <w:rPr>
          <w:rFonts w:ascii="Book Antiqua" w:hAnsi="Book Antiqua"/>
          <w:sz w:val="20"/>
        </w:rPr>
      </w:pPr>
    </w:p>
    <w:p w:rsidR="00DC557A" w:rsidRDefault="00265840" w:rsidP="00265840">
      <w:pPr>
        <w:pStyle w:val="NoSpacing"/>
        <w:ind w:firstLine="720"/>
        <w:jc w:val="both"/>
        <w:rPr>
          <w:rFonts w:ascii="Book Antiqua" w:hAnsi="Book Antiqua"/>
          <w:sz w:val="20"/>
        </w:rPr>
      </w:pPr>
      <w:r w:rsidRPr="00372C58">
        <w:rPr>
          <w:rFonts w:ascii="Book Antiqua" w:hAnsi="Book Antiqua"/>
          <w:sz w:val="20"/>
        </w:rPr>
        <w:t xml:space="preserve">In (65), the value of K is that given in equation (60), namely </w:t>
      </w: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.There are two cross-checks on this value of K. One is to insert the value </w:t>
      </w:r>
      <m:oMath>
        <m:r>
          <w:rPr>
            <w:rFonts w:ascii="Cambria Math" w:hAnsi="Cambria Math"/>
            <w:sz w:val="20"/>
          </w:rPr>
          <m:t>T = 1</m:t>
        </m:r>
      </m:oMath>
      <w:r w:rsidRPr="00372C58">
        <w:rPr>
          <w:rFonts w:ascii="Book Antiqua" w:hAnsi="Book Antiqua"/>
          <w:sz w:val="20"/>
        </w:rPr>
        <w:t xml:space="preserve"> for the inception of the cosmos. This gives a maximum value of 2.5707 inside the square brackets of (65). When multiplied by the value of </w:t>
      </w:r>
      <w:r w:rsidRPr="00372C58">
        <w:rPr>
          <w:rFonts w:ascii="Book Antiqua" w:hAnsi="Book Antiqua"/>
          <w:i/>
          <w:sz w:val="20"/>
        </w:rPr>
        <w:t>K</w:t>
      </w:r>
      <w:r w:rsidRPr="00372C58">
        <w:rPr>
          <w:rFonts w:ascii="Book Antiqua" w:hAnsi="Book Antiqua"/>
          <w:sz w:val="20"/>
        </w:rPr>
        <w:t xml:space="preserve">, this gives the maximum distance that light has travelled in light years (or the maximum number of years elapsed on the atomic clock). When the value of K in (65) is inserted here, the maximum age on the atomic clock is 12.2 billion years or a corresponding distance of 12.2 billion light years. However, the data released in early 2013 suggested this was 13.8 billion atomic years. This would give the numerical value for K as 5.3679 billion. </w:t>
      </w:r>
    </w:p>
    <w:p w:rsidR="00DC557A" w:rsidRDefault="00DC557A"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However, a second cross-check suggests this must be slightly modified by data from the Cosmic Microwave Background Radiation (CMBR). These data suggest a value for K of around 4.1012 billion as explained in Section 8 at the end of this </w:t>
      </w:r>
      <w:r w:rsidR="002D18D6">
        <w:rPr>
          <w:rFonts w:ascii="Book Antiqua" w:hAnsi="Book Antiqua"/>
          <w:sz w:val="20"/>
        </w:rPr>
        <w:t>c</w:t>
      </w:r>
      <w:r w:rsidRPr="00372C58">
        <w:rPr>
          <w:rFonts w:ascii="Book Antiqua" w:hAnsi="Book Antiqua"/>
          <w:sz w:val="20"/>
        </w:rPr>
        <w:t xml:space="preserve">hapter. The arithmetical </w:t>
      </w:r>
      <w:r w:rsidR="00BF6FF9">
        <w:rPr>
          <w:rFonts w:ascii="Book Antiqua" w:hAnsi="Book Antiqua"/>
          <w:sz w:val="20"/>
        </w:rPr>
        <w:t>mean</w:t>
      </w:r>
      <w:r w:rsidRPr="00372C58">
        <w:rPr>
          <w:rFonts w:ascii="Book Antiqua" w:hAnsi="Book Antiqua"/>
          <w:sz w:val="20"/>
        </w:rPr>
        <w:t xml:space="preserve"> of these two values is therefore</w:t>
      </w:r>
      <m:oMath>
        <m:r>
          <w:rPr>
            <w:rFonts w:ascii="Cambria Math" w:hAnsi="Cambria Math"/>
            <w:sz w:val="20"/>
          </w:rPr>
          <m:t xml:space="preserve"> K = 4.735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This </w:t>
      </w:r>
      <w:r w:rsidR="00BF6FF9">
        <w:rPr>
          <w:rFonts w:ascii="Book Antiqua" w:hAnsi="Book Antiqua"/>
          <w:sz w:val="20"/>
        </w:rPr>
        <w:t xml:space="preserve">mean </w:t>
      </w:r>
      <w:r w:rsidRPr="00372C58">
        <w:rPr>
          <w:rFonts w:ascii="Book Antiqua" w:hAnsi="Book Antiqua"/>
          <w:sz w:val="20"/>
        </w:rPr>
        <w:t xml:space="preserve">value is in close accord with the value obtained from atomic considerations. It can therefore be concluded that this value for K is substantially correct. Any errors will then either be due to the estimate of the electron angular frequency of oscillation, or the precise redshift of the Cosmic Microwave Background.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6.   The ZPE And The Redshift. </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6334BD">
        <w:rPr>
          <w:rFonts w:ascii="Book Antiqua" w:hAnsi="Book Antiqua"/>
          <w:bCs/>
          <w:i/>
          <w:iCs/>
          <w:color w:val="000000"/>
          <w:sz w:val="20"/>
        </w:rPr>
        <w:t>1</w:t>
      </w:r>
      <w:r w:rsidRPr="00372C58">
        <w:rPr>
          <w:rFonts w:ascii="Book Antiqua" w:hAnsi="Book Antiqua"/>
          <w:bCs/>
          <w:i/>
          <w:iCs/>
          <w:color w:val="000000"/>
          <w:sz w:val="20"/>
        </w:rPr>
        <w:t>. Considering The Quantum Jump.</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Because the mathematical model of the Bohr atom often gives results that are numerically correct with less complicated procedures than more sophisticated models [83], that model is employed here.</w:t>
      </w:r>
    </w:p>
    <w:p w:rsidR="007C0564"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F228A9">
      <w:pPr>
        <w:pStyle w:val="NoSpacing"/>
        <w:ind w:firstLine="720"/>
        <w:jc w:val="both"/>
        <w:rPr>
          <w:rFonts w:ascii="Book Antiqua" w:hAnsi="Book Antiqua"/>
          <w:sz w:val="20"/>
        </w:rPr>
      </w:pPr>
      <w:r w:rsidRPr="00372C58">
        <w:rPr>
          <w:rFonts w:ascii="Book Antiqua" w:hAnsi="Book Antiqua"/>
          <w:sz w:val="20"/>
        </w:rPr>
        <w:t xml:space="preserve">The first equation of importance in that model follows from the fact that all moving subatomic particles have a de Broglie wave associated with them. This wave has a wavelength,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which is given by </w:t>
      </w:r>
      <m:oMath>
        <m:r>
          <w:rPr>
            <w:rFonts w:ascii="Cambria Math" w:hAnsi="Cambria Math"/>
            <w:sz w:val="20"/>
          </w:rPr>
          <m:t>h/mv</m:t>
        </m:r>
      </m:oMath>
      <w:r w:rsidRPr="00372C58">
        <w:rPr>
          <w:rFonts w:ascii="Book Antiqua" w:hAnsi="Book Antiqua"/>
          <w:sz w:val="20"/>
        </w:rPr>
        <w:t xml:space="preserve">, where </w:t>
      </w:r>
      <m:oMath>
        <m:r>
          <w:rPr>
            <w:rFonts w:ascii="Cambria Math" w:hAnsi="Cambria Math"/>
            <w:sz w:val="20"/>
          </w:rPr>
          <m:t>m</m:t>
        </m:r>
      </m:oMath>
      <w:r w:rsidRPr="00372C58">
        <w:rPr>
          <w:rFonts w:ascii="Book Antiqua" w:hAnsi="Book Antiqua"/>
          <w:sz w:val="20"/>
        </w:rPr>
        <w:t xml:space="preserve"> is the mass of the particle whose velocity is </w:t>
      </w:r>
      <m:oMath>
        <m:r>
          <w:rPr>
            <w:rFonts w:ascii="Cambria Math" w:hAnsi="Cambria Math"/>
            <w:sz w:val="20"/>
          </w:rPr>
          <m:t>v</m:t>
        </m:r>
      </m:oMath>
      <w:r w:rsidRPr="00372C58">
        <w:rPr>
          <w:rFonts w:ascii="Book Antiqua" w:hAnsi="Book Antiqua"/>
          <w:sz w:val="20"/>
        </w:rPr>
        <w:t>, and</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i/>
          <w:sz w:val="20"/>
        </w:rPr>
        <w:t xml:space="preserve"> </w:t>
      </w:r>
      <w:r w:rsidRPr="00372C58">
        <w:rPr>
          <w:rFonts w:ascii="Book Antiqua" w:hAnsi="Book Antiqua"/>
          <w:sz w:val="20"/>
        </w:rPr>
        <w:t>is Planck’s constant.</w:t>
      </w:r>
      <w:r w:rsidR="00F228A9">
        <w:rPr>
          <w:rFonts w:ascii="Book Antiqua" w:hAnsi="Book Antiqua"/>
          <w:sz w:val="20"/>
        </w:rPr>
        <w:t xml:space="preserve"> </w:t>
      </w:r>
      <w:r w:rsidRPr="00372C58">
        <w:rPr>
          <w:rFonts w:ascii="Book Antiqua" w:hAnsi="Book Antiqua"/>
          <w:sz w:val="20"/>
        </w:rPr>
        <w:t xml:space="preserve">For an electron moving in a stable atomic orbit whose radius is </w:t>
      </w:r>
      <m:oMath>
        <m:r>
          <w:rPr>
            <w:rFonts w:ascii="Cambria Math" w:hAnsi="Cambria Math"/>
            <w:sz w:val="20"/>
          </w:rPr>
          <m:t>r</m:t>
        </m:r>
      </m:oMath>
      <w:r w:rsidRPr="00372C58">
        <w:rPr>
          <w:rFonts w:ascii="Book Antiqua" w:hAnsi="Book Antiqua"/>
          <w:sz w:val="20"/>
        </w:rPr>
        <w:t xml:space="preserve">, the wave associated with the electron must be a standing or stationary wave pattern  (meaning the wave pattern is exactly the same for each orbit) or it would self-destruct. In other words, the length of the orbit divided by the wavelength must be a whole number, </w:t>
      </w:r>
      <m:oMath>
        <m:r>
          <w:rPr>
            <w:rFonts w:ascii="Cambria Math" w:hAnsi="Cambria Math"/>
            <w:sz w:val="20"/>
          </w:rPr>
          <m:t>n</m:t>
        </m:r>
      </m:oMath>
      <w:r w:rsidRPr="00372C58">
        <w:rPr>
          <w:rFonts w:ascii="Book Antiqua" w:hAnsi="Book Antiqua"/>
          <w:sz w:val="20"/>
        </w:rPr>
        <w:t>. In this way the peaks and troughs of the electron's de Broglie wave are reinforced. The situation is illustrated in Fig. 1</w:t>
      </w:r>
      <w:r w:rsidR="003D33FE">
        <w:rPr>
          <w:rFonts w:ascii="Book Antiqua" w:hAnsi="Book Antiqua"/>
          <w:sz w:val="20"/>
        </w:rPr>
        <w:t>5</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16"/>
        <w:gridCol w:w="3152"/>
        <w:gridCol w:w="3246"/>
      </w:tblGrid>
      <w:tr w:rsidR="00265840" w:rsidRPr="00372C58" w:rsidTr="005B6606">
        <w:trPr>
          <w:trHeight w:val="2900"/>
          <w:jc w:val="center"/>
        </w:trPr>
        <w:tc>
          <w:tcPr>
            <w:tcW w:w="2744"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lastRenderedPageBreak/>
              <w:drawing>
                <wp:inline distT="0" distB="0" distL="0" distR="0">
                  <wp:extent cx="1695450" cy="1776962"/>
                  <wp:effectExtent l="19050" t="0" r="0" b="0"/>
                  <wp:docPr id="1533"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7" cstate="print">
                            <a:lum bright="-10000"/>
                          </a:blip>
                          <a:srcRect l="23788" t="21498" r="51373" b="5197"/>
                          <a:stretch>
                            <a:fillRect/>
                          </a:stretch>
                        </pic:blipFill>
                        <pic:spPr bwMode="auto">
                          <a:xfrm>
                            <a:off x="0" y="0"/>
                            <a:ext cx="1695663" cy="1777185"/>
                          </a:xfrm>
                          <a:prstGeom prst="rect">
                            <a:avLst/>
                          </a:prstGeom>
                          <a:noFill/>
                          <a:ln w="9525">
                            <a:noFill/>
                            <a:miter lim="800000"/>
                            <a:headEnd/>
                            <a:tailEnd/>
                          </a:ln>
                        </pic:spPr>
                      </pic:pic>
                    </a:graphicData>
                  </a:graphic>
                </wp:inline>
              </w:drawing>
            </w:r>
          </w:p>
        </w:tc>
        <w:tc>
          <w:tcPr>
            <w:tcW w:w="307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863786" cy="1762125"/>
                  <wp:effectExtent l="0" t="0" r="0" b="0"/>
                  <wp:docPr id="1534" name="Picture 10" descr="http://www.kentchemistry.com/images/links/atomic/6c4b6bad-bf4a-4eaa-8df2-d04c1542560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kentchemistry.com/images/links/atomic/6c4b6bad-bf4a-4eaa-8df2-d04c1542560c.gif"/>
                          <pic:cNvPicPr>
                            <a:picLocks noChangeAspect="1" noChangeArrowheads="1"/>
                          </pic:cNvPicPr>
                        </pic:nvPicPr>
                        <pic:blipFill>
                          <a:blip r:embed="rId218" cstate="print">
                            <a:lum/>
                          </a:blip>
                          <a:srcRect l="51385" t="2715"/>
                          <a:stretch>
                            <a:fillRect/>
                          </a:stretch>
                        </pic:blipFill>
                        <pic:spPr bwMode="auto">
                          <a:xfrm>
                            <a:off x="0" y="0"/>
                            <a:ext cx="1868529" cy="1766609"/>
                          </a:xfrm>
                          <a:prstGeom prst="rect">
                            <a:avLst/>
                          </a:prstGeom>
                          <a:noFill/>
                          <a:ln w="9525">
                            <a:noFill/>
                            <a:miter lim="800000"/>
                            <a:headEnd/>
                            <a:tailEnd/>
                          </a:ln>
                        </pic:spPr>
                      </pic:pic>
                    </a:graphicData>
                  </a:graphic>
                </wp:inline>
              </w:drawing>
            </w:r>
          </w:p>
        </w:tc>
        <w:tc>
          <w:tcPr>
            <w:tcW w:w="305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896382" cy="1762125"/>
                  <wp:effectExtent l="19050" t="0" r="8618" b="0"/>
                  <wp:docPr id="1535"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9" cstate="print">
                            <a:lum bright="-10000"/>
                          </a:blip>
                          <a:srcRect l="48035" t="22150" r="24605" b="5862"/>
                          <a:stretch>
                            <a:fillRect/>
                          </a:stretch>
                        </pic:blipFill>
                        <pic:spPr bwMode="auto">
                          <a:xfrm>
                            <a:off x="0" y="0"/>
                            <a:ext cx="1896382" cy="1762125"/>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5</w:t>
      </w:r>
      <w:r w:rsidRPr="004223A5">
        <w:rPr>
          <w:rFonts w:ascii="Book Antiqua" w:hAnsi="Book Antiqua"/>
          <w:b/>
          <w:i/>
          <w:sz w:val="18"/>
          <w:szCs w:val="18"/>
        </w:rPr>
        <w:t>:</w:t>
      </w:r>
      <w:r w:rsidRPr="004223A5">
        <w:rPr>
          <w:rFonts w:ascii="Book Antiqua" w:hAnsi="Book Antiqua"/>
          <w:i/>
          <w:sz w:val="18"/>
          <w:szCs w:val="18"/>
        </w:rPr>
        <w:t xml:space="preserve"> A stable atomic orbit for an electron only occurs when the de Broglie wave associated with the moving electron has the peaks and troughs of its wavelength matching up perfectly around the orbit (shown on the left and right examples above). The center example shows that if the wave</w:t>
      </w:r>
      <w:r w:rsidR="003324C1">
        <w:rPr>
          <w:rFonts w:ascii="Book Antiqua" w:hAnsi="Book Antiqua"/>
          <w:i/>
          <w:sz w:val="18"/>
          <w:szCs w:val="18"/>
        </w:rPr>
        <w:t>-</w:t>
      </w:r>
      <w:r w:rsidRPr="004223A5">
        <w:rPr>
          <w:rFonts w:ascii="Book Antiqua" w:hAnsi="Book Antiqua"/>
          <w:i/>
          <w:sz w:val="18"/>
          <w:szCs w:val="18"/>
        </w:rPr>
        <w:t>length was slightly different from these other two examples, the wavelength would no longer exactly fit around the circumference of the circle making up the orbit. The result is that the waves circling around the orbit would interfere and mutually destruct.</w:t>
      </w:r>
    </w:p>
    <w:p w:rsidR="00DB51B9" w:rsidRDefault="00DB51B9"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 we can write that:</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2πr/</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2πr/(h/mv)  = n</m:t>
        </m:r>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(66)</w:t>
      </w:r>
      <w:r w:rsidRPr="00372C58">
        <w:rPr>
          <w:sz w:val="20"/>
        </w:rPr>
        <w:t xml:space="preserve">  </w:t>
      </w:r>
    </w:p>
    <w:p w:rsidR="00265840" w:rsidRPr="00372C58" w:rsidRDefault="00265840" w:rsidP="00265840">
      <w:pPr>
        <w:pStyle w:val="NormPara"/>
        <w:ind w:firstLine="270"/>
        <w:rPr>
          <w:sz w:val="20"/>
        </w:rPr>
      </w:pPr>
    </w:p>
    <w:p w:rsidR="00265840" w:rsidRPr="00372C58" w:rsidRDefault="00265840" w:rsidP="00DB51B9">
      <w:pPr>
        <w:pStyle w:val="NormPara"/>
        <w:ind w:firstLine="270"/>
        <w:rPr>
          <w:sz w:val="20"/>
        </w:rPr>
      </w:pPr>
      <w:r w:rsidRPr="00372C58">
        <w:rPr>
          <w:sz w:val="20"/>
        </w:rPr>
        <w:t>From this, the first of the two main equations describing the behavior of this model of the atom follows, namely [38]:</w:t>
      </w:r>
    </w:p>
    <w:p w:rsidR="00265840" w:rsidRPr="00372C58" w:rsidRDefault="00265840" w:rsidP="00265840">
      <w:pPr>
        <w:pStyle w:val="NormPara"/>
        <w:ind w:firstLine="270"/>
        <w:rPr>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sz w:val="20"/>
        </w:rPr>
        <w:tab/>
      </w:r>
      <m:oMath>
        <m:r>
          <w:rPr>
            <w:rFonts w:ascii="Cambria Math" w:hAnsi="Cambria Math"/>
            <w:sz w:val="20"/>
          </w:rPr>
          <m:t>mvr  =  nh/(2π).</m:t>
        </m:r>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(67)</w:t>
      </w:r>
      <w:r w:rsidRPr="00372C58">
        <w:rPr>
          <w:rFonts w:ascii="Book Antiqua" w:hAnsi="Book Antiqua"/>
          <w:sz w:val="20"/>
        </w:rPr>
        <w:t xml:space="preserve">  </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(67), </w:t>
      </w:r>
      <m:oMath>
        <m:r>
          <w:rPr>
            <w:rFonts w:ascii="Cambria Math" w:hAnsi="Cambria Math"/>
            <w:sz w:val="20"/>
          </w:rPr>
          <m:t>n</m:t>
        </m:r>
      </m:oMath>
      <w:r w:rsidRPr="00372C58">
        <w:rPr>
          <w:rFonts w:ascii="Book Antiqua" w:hAnsi="Book Antiqua"/>
          <w:sz w:val="20"/>
        </w:rPr>
        <w:t xml:space="preserve"> is the standard Bohr quantum number. For the purposes of this exercise with changing ZPE, let us assume that only one de Broglie wave is involved in the orbit under consideration. Thus we can simply write from (66) that</w:t>
      </w: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Let us now impose the ZPE quantum conditions on the orbit radius </w:t>
      </w:r>
      <m:oMath>
        <m:r>
          <w:rPr>
            <w:rFonts w:ascii="Cambria Math" w:hAnsi="Cambria Math"/>
            <w:sz w:val="20"/>
          </w:rPr>
          <m:t>r</m:t>
        </m:r>
      </m:oMath>
      <w:r w:rsidRPr="00372C58">
        <w:rPr>
          <w:rFonts w:ascii="Book Antiqua" w:hAnsi="Book Antiqua"/>
          <w:i/>
          <w:sz w:val="20"/>
        </w:rPr>
        <w:t>.</w:t>
      </w:r>
      <w:r w:rsidRPr="00372C58">
        <w:rPr>
          <w:rFonts w:ascii="Book Antiqua" w:hAnsi="Book Antiqua"/>
          <w:sz w:val="20"/>
        </w:rPr>
        <w:t xml:space="preserve"> We assume that there was an original orbit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xml:space="preserve">. This original radius was the position that the </w:t>
      </w:r>
      <m:oMath>
        <m:r>
          <w:rPr>
            <w:rFonts w:ascii="Cambria Math" w:hAnsi="Cambria Math"/>
            <w:sz w:val="20"/>
          </w:rPr>
          <m:t>n=1</m:t>
        </m:r>
      </m:oMath>
      <w:r w:rsidRPr="00372C58">
        <w:rPr>
          <w:rFonts w:ascii="Book Antiqua" w:hAnsi="Book Antiqua"/>
          <w:sz w:val="20"/>
        </w:rPr>
        <w:t xml:space="preserve"> orbit occupied when the cosmic microwave background radiation was formed. Its position in relation to the nucleus was governed by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Since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invariant in a changing ZPE scenario, except in strong gravitational fields, then it follows that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is a fixed quantity. However, as the ZPE builds, the orbit radius will become progressively smaller from that original radius in quantum steps, so we then assign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r  = </m:t>
        </m:r>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xml:space="preserve">/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N</m:t>
        </m:r>
      </m:oMath>
      <w:r w:rsidRPr="00372C58">
        <w:rPr>
          <w:rFonts w:ascii="Book Antiqua" w:hAnsi="Book Antiqua"/>
          <w:sz w:val="20"/>
        </w:rPr>
        <w:t xml:space="preserve"> is the redshift quantum number. By using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 xml:space="preserve"> </m:t>
        </m:r>
      </m:oMath>
      <w:r w:rsidRPr="00372C58">
        <w:rPr>
          <w:rFonts w:ascii="Book Antiqua" w:hAnsi="Book Antiqua"/>
          <w:sz w:val="20"/>
        </w:rPr>
        <w:t xml:space="preserve">in (69) instead of </w:t>
      </w:r>
      <w:r w:rsidRPr="00372C58">
        <w:rPr>
          <w:rFonts w:ascii="Book Antiqua" w:hAnsi="Book Antiqua"/>
          <w:i/>
          <w:sz w:val="20"/>
        </w:rPr>
        <w:t>N</w:t>
      </w:r>
      <w:r w:rsidRPr="00372C58">
        <w:rPr>
          <w:rFonts w:ascii="Book Antiqua" w:hAnsi="Book Antiqua"/>
          <w:sz w:val="20"/>
        </w:rPr>
        <w:t xml:space="preserve"> we overcome problems with square-roots further on. The redshift quantum number, </w:t>
      </w:r>
      <m:oMath>
        <m:r>
          <w:rPr>
            <w:rFonts w:ascii="Cambria Math" w:hAnsi="Cambria Math"/>
            <w:sz w:val="20"/>
          </w:rPr>
          <m:t>N</m:t>
        </m:r>
      </m:oMath>
      <w:r w:rsidRPr="00372C58">
        <w:rPr>
          <w:rFonts w:ascii="Book Antiqua" w:hAnsi="Book Antiqua"/>
          <w:sz w:val="20"/>
        </w:rPr>
        <w:t xml:space="preserve">, is a fixed quantity in the interval between quantum jumps. However, at the jump, when the ZPE has built up sufficiently, </w:t>
      </w:r>
      <m:oMath>
        <m:r>
          <w:rPr>
            <w:rFonts w:ascii="Cambria Math" w:hAnsi="Cambria Math"/>
            <w:sz w:val="20"/>
          </w:rPr>
          <m:t>N</m:t>
        </m:r>
      </m:oMath>
      <w:r w:rsidRPr="00372C58">
        <w:rPr>
          <w:rFonts w:ascii="Book Antiqua" w:hAnsi="Book Antiqua"/>
          <w:sz w:val="20"/>
        </w:rPr>
        <w:t xml:space="preserve"> increases by one integer value, so that </w:t>
      </w:r>
      <m:oMath>
        <m:r>
          <w:rPr>
            <w:rFonts w:ascii="Cambria Math" w:hAnsi="Cambria Math"/>
            <w:sz w:val="20"/>
          </w:rPr>
          <m:t>N</m:t>
        </m:r>
      </m:oMath>
      <w:r w:rsidRPr="00372C58">
        <w:rPr>
          <w:rFonts w:ascii="Book Antiqua" w:hAnsi="Book Antiqua"/>
          <w:sz w:val="20"/>
        </w:rPr>
        <w:t xml:space="preserve"> takes on successive values of 1, 2, 3, 4, etc. (This means that </w:t>
      </w:r>
      <m:oMath>
        <m:r>
          <w:rPr>
            <w:rFonts w:ascii="Cambria Math" w:hAnsi="Cambria Math"/>
            <w:sz w:val="20"/>
          </w:rPr>
          <m:t>N=1</m:t>
        </m:r>
      </m:oMath>
      <w:r w:rsidRPr="00372C58">
        <w:rPr>
          <w:rFonts w:ascii="Book Antiqua" w:hAnsi="Book Antiqua"/>
          <w:sz w:val="20"/>
        </w:rPr>
        <w:t xml:space="preserve"> is further back in time than </w:t>
      </w:r>
      <m:oMath>
        <m:r>
          <w:rPr>
            <w:rFonts w:ascii="Cambria Math" w:hAnsi="Cambria Math"/>
            <w:sz w:val="20"/>
          </w:rPr>
          <m:t>N=2</m:t>
        </m:r>
      </m:oMath>
      <w:r w:rsidRPr="00372C58">
        <w:rPr>
          <w:rFonts w:ascii="Book Antiqua" w:hAnsi="Book Antiqua"/>
          <w:i/>
          <w:sz w:val="20"/>
        </w:rPr>
        <w:t>)</w:t>
      </w:r>
      <w:r w:rsidRPr="00372C58">
        <w:rPr>
          <w:rFonts w:ascii="Book Antiqua" w:hAnsi="Book Antiqua"/>
          <w:sz w:val="20"/>
        </w:rPr>
        <w:t>. Equation (67) can now be expressed in such a way that if the orbit radius before the jump was</w:t>
      </w:r>
      <w:r w:rsidRPr="00372C58">
        <w:rPr>
          <w:rFonts w:ascii="Book Antiqua" w:hAnsi="Book Antiqua"/>
          <w:i/>
          <w:sz w:val="20"/>
        </w:rPr>
        <w:t xml:space="preserve">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oMath>
      <w:r w:rsidRPr="00372C58">
        <w:rPr>
          <w:rFonts w:ascii="Book Antiqua" w:hAnsi="Book Antiqua"/>
          <w:i/>
          <w:sz w:val="20"/>
        </w:rPr>
        <w:t xml:space="preserve"> </w:t>
      </w:r>
      <w:r w:rsidRPr="00372C58">
        <w:rPr>
          <w:rFonts w:ascii="Book Antiqua" w:hAnsi="Book Antiqua"/>
          <w:sz w:val="20"/>
        </w:rPr>
        <w:t xml:space="preserve">with redshift quantum number </w:t>
      </w:r>
      <m:oMath>
        <m:r>
          <w:rPr>
            <w:rFonts w:ascii="Cambria Math" w:hAnsi="Cambria Math"/>
            <w:sz w:val="20"/>
          </w:rPr>
          <m:t>N</m:t>
        </m:r>
      </m:oMath>
      <w:r w:rsidRPr="00372C58">
        <w:rPr>
          <w:rFonts w:ascii="Book Antiqua" w:hAnsi="Book Antiqua"/>
          <w:sz w:val="20"/>
        </w:rPr>
        <w:t xml:space="preserve"> and the radius after the quantum jump with time increasing was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oMath>
      <w:r w:rsidRPr="00372C58">
        <w:rPr>
          <w:rFonts w:ascii="Book Antiqua" w:hAnsi="Book Antiqua"/>
          <w:sz w:val="20"/>
        </w:rPr>
        <w:t>, with redshift quantum number (</w:t>
      </w:r>
      <m:oMath>
        <m:r>
          <w:rPr>
            <w:rFonts w:ascii="Cambria Math" w:hAnsi="Cambria Math"/>
            <w:sz w:val="20"/>
          </w:rPr>
          <m:t>N+1</m:t>
        </m:r>
      </m:oMath>
      <w:r w:rsidRPr="00372C58">
        <w:rPr>
          <w:rFonts w:ascii="Book Antiqua" w:hAnsi="Book Antiqua"/>
          <w:sz w:val="20"/>
        </w:rPr>
        <w:t>), then we have: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2</m:t>
            </m:r>
          </m:sup>
        </m:sSup>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We now impose the ZPE quantum condition on the de Broglie wavelength of the electron. Let there be an original de Broglie wavelength, given by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h/mv</m:t>
        </m:r>
      </m:oMath>
      <w:r w:rsidRPr="00372C58">
        <w:rPr>
          <w:rFonts w:ascii="Book Antiqua" w:hAnsi="Book Antiqua"/>
          <w:i/>
          <w:sz w:val="20"/>
        </w:rPr>
        <w:t>,</w:t>
      </w:r>
      <w:r w:rsidRPr="00372C58">
        <w:rPr>
          <w:rFonts w:ascii="Book Antiqua" w:hAnsi="Book Antiqua"/>
          <w:sz w:val="20"/>
        </w:rPr>
        <w:t xml:space="preserve"> which gets smaller in quantum steps governed by the redshift quantum number, </w:t>
      </w:r>
      <m:oMath>
        <m:r>
          <w:rPr>
            <w:rFonts w:ascii="Cambria Math" w:hAnsi="Cambria Math"/>
            <w:sz w:val="20"/>
          </w:rPr>
          <m:t>N</m:t>
        </m:r>
      </m:oMath>
      <w:r w:rsidRPr="00372C58">
        <w:rPr>
          <w:rFonts w:ascii="Book Antiqua" w:hAnsi="Book Antiqua"/>
          <w:sz w:val="20"/>
        </w:rPr>
        <w:t>, so that generally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lastRenderedPageBreak/>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By analogy with </w:t>
      </w:r>
      <m:oMath>
        <m:r>
          <w:rPr>
            <w:rFonts w:ascii="Cambria Math" w:hAnsi="Cambria Math"/>
            <w:sz w:val="20"/>
          </w:rPr>
          <m:t>r</m:t>
        </m:r>
      </m:oMath>
      <w:r w:rsidRPr="00372C58">
        <w:rPr>
          <w:rFonts w:ascii="Book Antiqua" w:hAnsi="Book Antiqua"/>
          <w:sz w:val="20"/>
        </w:rPr>
        <w:t xml:space="preserve">, we remember that any change in </w:t>
      </w:r>
      <m:oMath>
        <m:r>
          <w:rPr>
            <w:rFonts w:ascii="Cambria Math" w:hAnsi="Cambria Math"/>
            <w:sz w:val="20"/>
          </w:rPr>
          <m:t>h</m:t>
        </m:r>
      </m:oMath>
      <w:r w:rsidRPr="00372C58">
        <w:rPr>
          <w:rFonts w:ascii="Book Antiqua" w:hAnsi="Book Antiqua"/>
          <w:sz w:val="20"/>
        </w:rPr>
        <w:t xml:space="preserve"> and </w:t>
      </w:r>
      <m:oMath>
        <m:r>
          <w:rPr>
            <w:rFonts w:ascii="Cambria Math" w:hAnsi="Cambria Math"/>
            <w:sz w:val="20"/>
          </w:rPr>
          <m:t>m</m:t>
        </m:r>
      </m:oMath>
      <w:r w:rsidRPr="00372C58">
        <w:rPr>
          <w:rFonts w:ascii="Book Antiqua" w:hAnsi="Book Antiqua"/>
          <w:sz w:val="20"/>
        </w:rPr>
        <w:t xml:space="preserve"> is infinitesimally small at the jump, so essentially they are a fixed quantity at the quantum jump. However, because we suspect that the velocity of the electron changes under these conditions, we can then write from (71):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 [N/(N+1)][</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oMath>
      <w:r w:rsidRPr="00372C58">
        <w:rPr>
          <w:rFonts w:ascii="Book Antiqua" w:hAnsi="Book Antiqua"/>
          <w:i/>
          <w:sz w:val="20"/>
        </w:rPr>
        <w:t>.</w:t>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 </w:t>
      </w:r>
      <w:r w:rsidRPr="00372C58">
        <w:rPr>
          <w:rFonts w:ascii="Book Antiqua" w:hAnsi="Book Antiqua"/>
          <w:i/>
          <w:sz w:val="20"/>
        </w:rPr>
        <w:t>(72)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order to find the dependency of the orbit velocity, </w:t>
      </w:r>
      <m:oMath>
        <m:r>
          <w:rPr>
            <w:rFonts w:ascii="Cambria Math" w:hAnsi="Cambria Math"/>
            <w:sz w:val="20"/>
          </w:rPr>
          <m:t>v</m:t>
        </m:r>
      </m:oMath>
      <w:r w:rsidRPr="00372C58">
        <w:rPr>
          <w:rFonts w:ascii="Book Antiqua" w:hAnsi="Book Antiqua"/>
          <w:sz w:val="20"/>
        </w:rPr>
        <w:t>, at the jump we make use of the second standard Bohr equation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r = </m:t>
        </m:r>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 = invariant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(73)</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invariance follows because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essentially invariant in a changing ZPE scenario, as mentioned above. 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invariant</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(74)</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that, when (68) is substituted in (74), it emerges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[(N+1)/N]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(75)</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means that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 xml:space="preserve">  =  (N+1)/N </m:t>
        </m:r>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the electron velocity undergoes a discrete increase at the jump. Substituting (76) back into (72) then tells us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=[N/(N+1)][N/(N+ 1)]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 xml:space="preserve">2     </m:t>
            </m:r>
          </m:sup>
        </m:sSup>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(77)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Since (77) has the same form as (70), this means that the orbit radii [from (70)] and the de Broglie wavelength [from (77)] will remain in synchrony; the new wavelength will fit the new orbit. Substitution for</w:t>
      </w:r>
      <w:r w:rsidRPr="00372C58">
        <w:rPr>
          <w:rFonts w:ascii="Book Antiqua" w:hAnsi="Book Antiqua"/>
          <w:i/>
          <w:sz w:val="20"/>
        </w:rPr>
        <w:t xml:space="preserve"> λ</w:t>
      </w:r>
      <w:r w:rsidRPr="00372C58">
        <w:rPr>
          <w:rFonts w:ascii="Book Antiqua" w:hAnsi="Book Antiqua"/>
          <w:i/>
          <w:sz w:val="20"/>
          <w:vertAlign w:val="subscript"/>
        </w:rPr>
        <w:t>B</w:t>
      </w:r>
      <w:r w:rsidRPr="00372C58">
        <w:rPr>
          <w:rFonts w:ascii="Book Antiqua" w:hAnsi="Book Antiqua"/>
          <w:sz w:val="20"/>
        </w:rPr>
        <w:t xml:space="preserve"> [from (71)] in (68) then gives us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mvr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t>
        </m:r>
        <m:r>
          <w:rPr>
            <w:rFonts w:ascii="Cambria Math" w:hAnsi="Cambria Math"/>
            <w:sz w:val="20"/>
          </w:rPr>
          <m:t>2π)</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is the ZPE quantized redshift counterpart of (67). This then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N/(N+1)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(80)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Substitution of (76) and (70) on the left hand side of (80) confirm that the right hand side is correct. And, finally, a comparison between (79) and (67) indicates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Bohr quantum number </w:t>
      </w:r>
      <m:oMath>
        <m:r>
          <w:rPr>
            <w:rFonts w:ascii="Cambria Math" w:hAnsi="Cambria Math"/>
            <w:sz w:val="20"/>
          </w:rPr>
          <m:t>n</m:t>
        </m:r>
      </m:oMath>
      <w:r w:rsidRPr="00372C58">
        <w:rPr>
          <w:rFonts w:ascii="Book Antiqua" w:hAnsi="Book Antiqua"/>
          <w:sz w:val="20"/>
        </w:rPr>
        <w:t xml:space="preserve"> increases in an integer fashion for orbits which go progressively further out from the nucleus. Thus an orbit with </w:t>
      </w:r>
      <m:oMath>
        <m:r>
          <w:rPr>
            <w:rFonts w:ascii="Cambria Math" w:hAnsi="Cambria Math"/>
            <w:sz w:val="20"/>
          </w:rPr>
          <m:t>n = 4</m:t>
        </m:r>
      </m:oMath>
      <w:r w:rsidRPr="00372C58">
        <w:rPr>
          <w:rFonts w:ascii="Book Antiqua" w:hAnsi="Book Antiqua"/>
          <w:sz w:val="20"/>
        </w:rPr>
        <w:t xml:space="preserve"> is further out from the nucleus than the orbit with </w:t>
      </w:r>
      <m:oMath>
        <m:r>
          <w:rPr>
            <w:rFonts w:ascii="Cambria Math" w:hAnsi="Cambria Math"/>
            <w:sz w:val="20"/>
          </w:rPr>
          <m:t>n = 1</m:t>
        </m:r>
      </m:oMath>
      <w:r w:rsidRPr="00372C58">
        <w:rPr>
          <w:rFonts w:ascii="Book Antiqua" w:hAnsi="Book Antiqua"/>
          <w:sz w:val="20"/>
        </w:rPr>
        <w:t xml:space="preserve">. But for an increasing ZPE, any given orbit becomes closer to the nucleus, not further out. Therefore the action of the redshift quantum number, </w:t>
      </w:r>
      <m:oMath>
        <m:r>
          <w:rPr>
            <w:rFonts w:ascii="Cambria Math" w:hAnsi="Cambria Math"/>
            <w:sz w:val="20"/>
          </w:rPr>
          <m:t>N</m:t>
        </m:r>
      </m:oMath>
      <w:r w:rsidRPr="00372C58">
        <w:rPr>
          <w:rFonts w:ascii="Book Antiqua" w:hAnsi="Book Antiqua"/>
          <w:sz w:val="20"/>
        </w:rPr>
        <w:t xml:space="preserve">, is to reduce the value of the Bohr quantum number, </w:t>
      </w:r>
      <m:oMath>
        <m:r>
          <w:rPr>
            <w:rFonts w:ascii="Cambria Math" w:hAnsi="Cambria Math"/>
            <w:sz w:val="20"/>
          </w:rPr>
          <m:t>n</m:t>
        </m:r>
      </m:oMath>
      <w:r w:rsidRPr="00372C58">
        <w:rPr>
          <w:rFonts w:ascii="Book Antiqua" w:hAnsi="Book Antiqua"/>
          <w:sz w:val="20"/>
        </w:rPr>
        <w:t xml:space="preserve">. In the same manner as our treatment for </w:t>
      </w:r>
      <m:oMath>
        <m:r>
          <w:rPr>
            <w:rFonts w:ascii="Cambria Math" w:hAnsi="Cambria Math"/>
            <w:sz w:val="20"/>
          </w:rPr>
          <m:t>r</m:t>
        </m:r>
      </m:oMath>
      <w:r w:rsidRPr="00372C58">
        <w:rPr>
          <w:rFonts w:ascii="Book Antiqua" w:hAnsi="Book Antiqua"/>
          <w:sz w:val="20"/>
        </w:rPr>
        <w:t xml:space="preserve"> prior to (69), let us assume that for each orbit of quantum number </w:t>
      </w:r>
      <m:oMath>
        <m:r>
          <w:rPr>
            <w:rFonts w:ascii="Cambria Math" w:hAnsi="Cambria Math"/>
            <w:sz w:val="20"/>
          </w:rPr>
          <m:t>n</m:t>
        </m:r>
      </m:oMath>
      <w:r w:rsidRPr="00372C58">
        <w:rPr>
          <w:rFonts w:ascii="Book Antiqua" w:hAnsi="Book Antiqua"/>
          <w:sz w:val="20"/>
        </w:rPr>
        <w:t xml:space="preserve">, there was an original orbit of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whose position was </w:t>
      </w:r>
      <w:r w:rsidRPr="00372C58">
        <w:rPr>
          <w:rFonts w:ascii="Book Antiqua" w:hAnsi="Book Antiqua"/>
          <w:sz w:val="20"/>
        </w:rPr>
        <w:lastRenderedPageBreak/>
        <w:t xml:space="preserve">governed by </w:t>
      </w:r>
      <w:r w:rsidRPr="006334BD">
        <w:rPr>
          <w:rFonts w:ascii="Book Antiqua" w:hAnsi="Book Antiqua"/>
          <w:sz w:val="20"/>
        </w:rPr>
        <w:t>the quantity</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6334BD">
        <w:rPr>
          <w:rFonts w:ascii="Book Antiqua" w:hAnsi="Book Antiqua"/>
          <w:i/>
          <w:sz w:val="20"/>
        </w:rPr>
        <w:t>.</w:t>
      </w:r>
      <w:r w:rsidRPr="00372C58">
        <w:rPr>
          <w:rFonts w:ascii="Book Antiqua" w:hAnsi="Book Antiqua"/>
          <w:sz w:val="20"/>
        </w:rPr>
        <w:t xml:space="preserve">  </w:t>
      </w:r>
      <w:r w:rsidR="00435369">
        <w:rPr>
          <w:rFonts w:ascii="Book Antiqua" w:hAnsi="Book Antiqua"/>
          <w:sz w:val="20"/>
        </w:rPr>
        <w:t xml:space="preserve">(The outer orbit is fixed by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00435369">
        <w:rPr>
          <w:rFonts w:ascii="Book Antiqua" w:hAnsi="Book Antiqua"/>
          <w:sz w:val="20"/>
        </w:rPr>
        <w:t xml:space="preserve">  and all other inner orbits are scaled accordingly.) </w:t>
      </w:r>
      <w:r w:rsidRPr="00372C58">
        <w:rPr>
          <w:rFonts w:ascii="Book Antiqua" w:hAnsi="Book Antiqua"/>
          <w:sz w:val="20"/>
        </w:rPr>
        <w:t>Then as the ZPE increased, the action of the redshift quantum number would have been such that equation (81) was followed.</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6334BD">
        <w:rPr>
          <w:rFonts w:ascii="Book Antiqua" w:hAnsi="Book Antiqua"/>
          <w:bCs/>
          <w:i/>
          <w:iCs/>
          <w:color w:val="000000"/>
          <w:sz w:val="20"/>
        </w:rPr>
        <w:t>2</w:t>
      </w:r>
      <w:r w:rsidRPr="00372C58">
        <w:rPr>
          <w:rFonts w:ascii="Book Antiqua" w:hAnsi="Book Antiqua"/>
          <w:bCs/>
          <w:i/>
          <w:iCs/>
          <w:color w:val="000000"/>
          <w:sz w:val="20"/>
        </w:rPr>
        <w:t>. Atomic Orbit Energies At The Jump.</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At the instant of the jump, there is, universally, an infinitesimally small change in the strength of the ZPE, and hence an infinitesimally small changes in </w:t>
      </w:r>
      <m:oMath>
        <m:r>
          <w:rPr>
            <w:rFonts w:ascii="Cambria Math" w:hAnsi="Cambria Math"/>
            <w:sz w:val="20"/>
          </w:rPr>
          <m:t>h</m:t>
        </m:r>
      </m:oMath>
      <w:r w:rsidRPr="00372C58">
        <w:rPr>
          <w:sz w:val="20"/>
        </w:rPr>
        <w:t xml:space="preserve"> and </w:t>
      </w:r>
      <m:oMath>
        <m:r>
          <w:rPr>
            <w:rFonts w:ascii="Cambria Math" w:hAnsi="Cambria Math"/>
            <w:sz w:val="20"/>
          </w:rPr>
          <m:t>m</m:t>
        </m:r>
      </m:oMath>
      <w:r w:rsidRPr="00372C58">
        <w:rPr>
          <w:sz w:val="20"/>
        </w:rPr>
        <w:t xml:space="preserve">, while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remains a fixed quantity.  But, for all practical purposes, </w:t>
      </w:r>
      <m:oMath>
        <m:r>
          <w:rPr>
            <w:rFonts w:ascii="Cambria Math" w:hAnsi="Cambria Math"/>
            <w:sz w:val="20"/>
          </w:rPr>
          <m:t>h</m:t>
        </m:r>
      </m:oMath>
      <w:r w:rsidRPr="00372C58">
        <w:rPr>
          <w:sz w:val="20"/>
        </w:rPr>
        <w:t xml:space="preserve">, </w:t>
      </w:r>
      <m:oMath>
        <m:r>
          <w:rPr>
            <w:rFonts w:ascii="Cambria Math" w:hAnsi="Cambria Math"/>
            <w:sz w:val="20"/>
          </w:rPr>
          <m:t>m</m:t>
        </m:r>
      </m:oMath>
      <w:r w:rsidRPr="00372C58">
        <w:rPr>
          <w:sz w:val="20"/>
        </w:rPr>
        <w:t xml:space="preserve">,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are unchanged as the jump occurs. We can go on from there to note that the energy,</w:t>
      </w:r>
      <m:oMath>
        <m:r>
          <w:rPr>
            <w:rFonts w:ascii="Cambria Math" w:hAnsi="Cambria Math"/>
            <w:sz w:val="20"/>
          </w:rPr>
          <m:t xml:space="preserve"> E</m:t>
        </m:r>
      </m:oMath>
      <w:r w:rsidRPr="00372C58">
        <w:rPr>
          <w:sz w:val="20"/>
        </w:rPr>
        <w:t xml:space="preserve">, of any atomic orbit, </w:t>
      </w:r>
      <m:oMath>
        <m:r>
          <w:rPr>
            <w:rFonts w:ascii="Cambria Math" w:hAnsi="Cambria Math"/>
            <w:sz w:val="20"/>
          </w:rPr>
          <m:t>n</m:t>
        </m:r>
      </m:oMath>
      <w:r w:rsidRPr="00372C58">
        <w:rPr>
          <w:sz w:val="20"/>
        </w:rPr>
        <w:t>, is given by [84] as:</w:t>
      </w:r>
    </w:p>
    <w:p w:rsidR="00265840" w:rsidRPr="00372C58" w:rsidRDefault="00265840" w:rsidP="00265840">
      <w:pPr>
        <w:pStyle w:val="Equationparagraph"/>
        <w:tabs>
          <w:tab w:val="center" w:pos="2610"/>
          <w:tab w:val="right" w:pos="5040"/>
        </w:tabs>
        <w:spacing w:before="40"/>
        <w:jc w:val="right"/>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460" w:dyaOrig="480">
          <v:shape id="_x0000_i1044" type="#_x0000_t75" style="width:122.8pt;height:24.8pt" o:ole="">
            <v:imagedata r:id="rId220" o:title=""/>
          </v:shape>
          <o:OLEObject Type="Embed" ProgID="Equation.DSMT4" ShapeID="_x0000_i1044" DrawAspect="Content" ObjectID="_1438188856" r:id="rId221"/>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(82)</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By inserting the results of (81) into (82) we obtain</w:t>
      </w:r>
    </w:p>
    <w:p w:rsidR="00265840" w:rsidRPr="00372C58" w:rsidRDefault="00265840" w:rsidP="00265840">
      <w:pPr>
        <w:pStyle w:val="Equationparagraph"/>
        <w:tabs>
          <w:tab w:val="center" w:pos="2610"/>
          <w:tab w:val="right" w:pos="5040"/>
        </w:tabs>
        <w:spacing w:after="4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40"/>
        <w:jc w:val="right"/>
        <w:rPr>
          <w:rFonts w:ascii="Book Antiqua" w:hAnsi="Book Antiqua" w:cs="Times New Roman"/>
          <w:sz w:val="20"/>
          <w:szCs w:val="20"/>
        </w:rPr>
      </w:pPr>
      <m:oMath>
        <m:r>
          <w:rPr>
            <w:rFonts w:ascii="Cambria Math" w:hAnsi="Cambria Math" w:cs="Times New Roman"/>
            <w:sz w:val="20"/>
            <w:szCs w:val="20"/>
          </w:rPr>
          <m:t>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m:t>
        </m:r>
      </m:oMath>
      <w:r w:rsidRPr="00372C58">
        <w:rPr>
          <w:rFonts w:ascii="Book Antiqua" w:hAnsi="Book Antiqua" w:cs="Times New Roman"/>
          <w:sz w:val="20"/>
          <w:szCs w:val="20"/>
        </w:rPr>
        <w:t>.</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(83)</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As previously mentioned,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unchanging in a varying ZPE scenario and </w:t>
      </w:r>
      <m:oMath>
        <m:r>
          <w:rPr>
            <w:rFonts w:ascii="Cambria Math" w:hAnsi="Cambria Math"/>
            <w:sz w:val="20"/>
          </w:rPr>
          <m:t>m</m:t>
        </m:r>
      </m:oMath>
      <w:r w:rsidRPr="00372C58">
        <w:rPr>
          <w:sz w:val="20"/>
        </w:rPr>
        <w:t xml:space="preserve"> is proportional to </w:t>
      </w:r>
      <m:oMath>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in the interval between jumps. Therefore, (83) indicates that, in the interval, the energy of a given orbit is constant, since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r>
          <w:rPr>
            <w:rFonts w:ascii="Cambria Math" w:hAnsi="Cambria Math"/>
            <w:sz w:val="20"/>
          </w:rPr>
          <m:t>N</m:t>
        </m:r>
      </m:oMath>
      <w:r w:rsidRPr="00372C58">
        <w:rPr>
          <w:sz w:val="20"/>
        </w:rPr>
        <w:t xml:space="preserve"> remain fixed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i/>
          <w:sz w:val="20"/>
        </w:rPr>
        <w:t xml:space="preserve"> </w:t>
      </w:r>
      <w:r w:rsidRPr="00372C58">
        <w:rPr>
          <w:sz w:val="20"/>
        </w:rPr>
        <w:t xml:space="preserve">is invariant at all times  Furthermore, at the quantum jump, since there is only an infinitesimally small change in </w:t>
      </w:r>
      <m:oMath>
        <m:r>
          <w:rPr>
            <w:rFonts w:ascii="Cambria Math" w:hAnsi="Cambria Math"/>
            <w:sz w:val="20"/>
          </w:rPr>
          <m:t>m</m:t>
        </m:r>
      </m:oMath>
      <w:r w:rsidRPr="00372C58">
        <w:rPr>
          <w:sz w:val="20"/>
        </w:rPr>
        <w:t xml:space="preserve"> and </w:t>
      </w:r>
      <m:oMath>
        <m:r>
          <w:rPr>
            <w:rFonts w:ascii="Cambria Math" w:hAnsi="Cambria Math"/>
            <w:sz w:val="20"/>
          </w:rPr>
          <m:t>h</m:t>
        </m:r>
      </m:oMath>
      <w:r w:rsidRPr="00372C58">
        <w:rPr>
          <w:sz w:val="20"/>
        </w:rPr>
        <w:t>, then (</w:t>
      </w:r>
      <m:oMath>
        <m:r>
          <w:rPr>
            <w:rFonts w:ascii="Cambria Math" w:hAnsi="Cambria Math"/>
            <w:sz w:val="20"/>
          </w:rPr>
          <m:t xml:space="preserve">m / </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remains fixed. Therefore, at the jump, the only variation that does occur is that </w:t>
      </w:r>
      <m:oMath>
        <m:r>
          <w:rPr>
            <w:rFonts w:ascii="Cambria Math" w:hAnsi="Cambria Math"/>
            <w:sz w:val="20"/>
          </w:rPr>
          <m:t>N</m:t>
        </m:r>
      </m:oMath>
      <w:r w:rsidRPr="00372C58">
        <w:rPr>
          <w:sz w:val="20"/>
        </w:rPr>
        <w:t xml:space="preserve"> increases by one so that the numerical value of the energy increases.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3</w:t>
      </w:r>
      <w:r w:rsidRPr="00372C58">
        <w:rPr>
          <w:rFonts w:ascii="Book Antiqua" w:hAnsi="Book Antiqua"/>
          <w:bCs/>
          <w:i/>
          <w:iCs/>
          <w:color w:val="000000"/>
          <w:sz w:val="20"/>
        </w:rPr>
        <w:t>. Two Situations.</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There are thus two situations to consider. First, there is the behavior of electrons in orbit during the time in which orbit radii remain unchanged. Second, there is the behavior of the electron in its orbit at the quantum change. </w:t>
      </w:r>
    </w:p>
    <w:p w:rsidR="00265840" w:rsidRPr="00372C58" w:rsidRDefault="00265840" w:rsidP="00265840">
      <w:pPr>
        <w:pStyle w:val="NoSpacing"/>
        <w:jc w:val="both"/>
        <w:rPr>
          <w:rFonts w:ascii="Book Antiqua" w:hAnsi="Book Antiqua"/>
          <w:sz w:val="20"/>
        </w:rPr>
      </w:pPr>
    </w:p>
    <w:p w:rsidR="00265840" w:rsidRDefault="00265840" w:rsidP="00265840">
      <w:pPr>
        <w:pStyle w:val="NoSpacing"/>
        <w:ind w:firstLine="720"/>
        <w:jc w:val="both"/>
        <w:rPr>
          <w:rFonts w:ascii="Book Antiqua" w:hAnsi="Book Antiqua"/>
          <w:sz w:val="20"/>
        </w:rPr>
      </w:pPr>
      <w:r w:rsidRPr="00372C58">
        <w:rPr>
          <w:rFonts w:ascii="Book Antiqua" w:hAnsi="Book Antiqua"/>
          <w:sz w:val="20"/>
        </w:rPr>
        <w:t>The reason for the quantum jump is that an increasing ZPE is bombarding the orbiting electron with increasing numbers of electromagnetic waves and/or virtual particles. This results in more and more recoil radiation being emitted by the orbiting electron. As Boyer and Claverie &amp; Diner point out, if an electron radiates too much energy in this fashion, it will move towards the nucleus until the radiation absorbed and emitted is again balanced [71].</w:t>
      </w:r>
    </w:p>
    <w:p w:rsidR="004D5BCC" w:rsidRPr="00372C58" w:rsidRDefault="004D5BCC"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r w:rsidRPr="00372C58">
        <w:rPr>
          <w:rFonts w:ascii="Book Antiqua" w:hAnsi="Book Antiqua"/>
          <w:sz w:val="20"/>
        </w:rPr>
        <w:tab/>
        <w:t>In the interval between jumps, as the ZPE strength increa</w:t>
      </w:r>
      <w:r w:rsidR="00435369">
        <w:rPr>
          <w:rFonts w:ascii="Book Antiqua" w:hAnsi="Book Antiqua"/>
          <w:sz w:val="20"/>
        </w:rPr>
        <w:t>sed</w:t>
      </w:r>
      <w:r w:rsidRPr="00372C58">
        <w:rPr>
          <w:rFonts w:ascii="Book Antiqua" w:hAnsi="Book Antiqua"/>
          <w:sz w:val="20"/>
        </w:rPr>
        <w:t>, the number of hits on the electron by the ZPE waves and/or virtual particles also increas</w:t>
      </w:r>
      <w:r w:rsidR="00435369">
        <w:rPr>
          <w:rFonts w:ascii="Book Antiqua" w:hAnsi="Book Antiqua"/>
          <w:sz w:val="20"/>
        </w:rPr>
        <w:t>ed</w:t>
      </w:r>
      <w:r w:rsidRPr="00372C58">
        <w:rPr>
          <w:rFonts w:ascii="Book Antiqua" w:hAnsi="Book Antiqua"/>
          <w:sz w:val="20"/>
        </w:rPr>
        <w:t>. This slo</w:t>
      </w:r>
      <w:r w:rsidR="00435369">
        <w:rPr>
          <w:rFonts w:ascii="Book Antiqua" w:hAnsi="Book Antiqua"/>
          <w:sz w:val="20"/>
        </w:rPr>
        <w:t>wed</w:t>
      </w:r>
      <w:r w:rsidRPr="00372C58">
        <w:rPr>
          <w:rFonts w:ascii="Book Antiqua" w:hAnsi="Book Antiqua"/>
          <w:sz w:val="20"/>
        </w:rPr>
        <w:t xml:space="preserve"> the electron down so its velocity, </w:t>
      </w:r>
      <m:oMath>
        <m:r>
          <w:rPr>
            <w:rFonts w:ascii="Cambria Math" w:hAnsi="Cambria Math"/>
            <w:sz w:val="20"/>
          </w:rPr>
          <m:t>v</m:t>
        </m:r>
      </m:oMath>
      <w:r w:rsidRPr="00372C58">
        <w:rPr>
          <w:rFonts w:ascii="Book Antiqua" w:hAnsi="Book Antiqua"/>
          <w:sz w:val="20"/>
        </w:rPr>
        <w:t>, decreas</w:t>
      </w:r>
      <w:r w:rsidR="00435369">
        <w:rPr>
          <w:rFonts w:ascii="Book Antiqua" w:hAnsi="Book Antiqua"/>
          <w:sz w:val="20"/>
        </w:rPr>
        <w:t>ed</w:t>
      </w:r>
      <w:r w:rsidRPr="00372C58">
        <w:rPr>
          <w:rFonts w:ascii="Book Antiqua" w:hAnsi="Book Antiqua"/>
          <w:sz w:val="20"/>
        </w:rPr>
        <w:t xml:space="preserve"> in inverse proportion to ZPE strength. This is given previously in equations (36) and (37). At the same time, the interaction of the increasing ZPE with the electron increas</w:t>
      </w:r>
      <w:r w:rsidR="00435369">
        <w:rPr>
          <w:rFonts w:ascii="Book Antiqua" w:hAnsi="Book Antiqua"/>
          <w:sz w:val="20"/>
        </w:rPr>
        <w:t>ed</w:t>
      </w:r>
      <w:r w:rsidRPr="00372C58">
        <w:rPr>
          <w:rFonts w:ascii="Book Antiqua" w:hAnsi="Book Antiqua"/>
          <w:sz w:val="20"/>
        </w:rPr>
        <w:t xml:space="preserve"> the electron's atomic mass, </w:t>
      </w:r>
      <m:oMath>
        <m:r>
          <w:rPr>
            <w:rFonts w:ascii="Cambria Math" w:hAnsi="Cambria Math"/>
            <w:sz w:val="20"/>
          </w:rPr>
          <m:t>m</m:t>
        </m:r>
      </m:oMath>
      <w:r w:rsidRPr="00372C58">
        <w:rPr>
          <w:rFonts w:ascii="Book Antiqua" w:hAnsi="Book Antiqua"/>
          <w:sz w:val="20"/>
        </w:rPr>
        <w:t xml:space="preserve">. These changes are such that the kinetic energy of the electron in its orbit is conserved, so </w:t>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w:t>
      </w:r>
      <w:r w:rsidR="00435369">
        <w:rPr>
          <w:rFonts w:ascii="Book Antiqua" w:hAnsi="Book Antiqua"/>
          <w:sz w:val="20"/>
        </w:rPr>
        <w:t>ed</w:t>
      </w:r>
      <w:r w:rsidRPr="00372C58">
        <w:rPr>
          <w:rFonts w:ascii="Book Antiqua" w:hAnsi="Book Antiqua"/>
          <w:sz w:val="20"/>
        </w:rPr>
        <w:t xml:space="preserve"> fixed. Since the orbit radius, </w:t>
      </w:r>
      <m:oMath>
        <m:r>
          <w:rPr>
            <w:rFonts w:ascii="Cambria Math" w:hAnsi="Cambria Math"/>
            <w:sz w:val="20"/>
          </w:rPr>
          <m:t>r</m:t>
        </m:r>
      </m:oMath>
      <w:r w:rsidRPr="00372C58">
        <w:rPr>
          <w:rFonts w:ascii="Book Antiqua" w:hAnsi="Book Antiqua"/>
          <w:sz w:val="20"/>
        </w:rPr>
        <w:t>, remain</w:t>
      </w:r>
      <w:r w:rsidR="00435369">
        <w:rPr>
          <w:rFonts w:ascii="Book Antiqua" w:hAnsi="Book Antiqua"/>
          <w:sz w:val="20"/>
        </w:rPr>
        <w:t>ed</w:t>
      </w:r>
      <w:r w:rsidRPr="00372C58">
        <w:rPr>
          <w:rFonts w:ascii="Book Antiqua" w:hAnsi="Book Antiqua"/>
          <w:sz w:val="20"/>
        </w:rPr>
        <w:t xml:space="preserve"> unchanged in this interval between jumps, the condition that </w:t>
      </w:r>
      <m:oMath>
        <m:r>
          <w:rPr>
            <w:rFonts w:ascii="Cambria Math" w:hAnsi="Cambria Math"/>
            <w:sz w:val="20"/>
          </w:rPr>
          <m:t>mr</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remains constant and equal to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i/>
          <w:sz w:val="20"/>
        </w:rPr>
        <w:t xml:space="preserve"> </w:t>
      </w:r>
      <w:r w:rsidRPr="00372C58">
        <w:rPr>
          <w:rFonts w:ascii="Book Antiqua" w:hAnsi="Book Antiqua"/>
          <w:sz w:val="20"/>
        </w:rPr>
        <w:t xml:space="preserve">is maintained as in equation (73).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Since the quantity </w:t>
      </w:r>
      <m:oMath>
        <m:r>
          <w:rPr>
            <w:rFonts w:ascii="Cambria Math" w:hAnsi="Cambria Math"/>
            <w:sz w:val="20"/>
          </w:rPr>
          <m:t>mv</m:t>
        </m:r>
      </m:oMath>
      <w:r w:rsidRPr="00372C58">
        <w:rPr>
          <w:rFonts w:ascii="Book Antiqua" w:hAnsi="Book Antiqua"/>
          <w:sz w:val="20"/>
        </w:rPr>
        <w:t xml:space="preserve"> remains proportional to the ZPE strength, which itself is proportional to </w:t>
      </w:r>
      <m:oMath>
        <m:r>
          <w:rPr>
            <w:rFonts w:ascii="Cambria Math" w:hAnsi="Cambria Math"/>
            <w:sz w:val="20"/>
          </w:rPr>
          <m:t>h</m:t>
        </m:r>
      </m:oMath>
      <w:r w:rsidRPr="00372C58">
        <w:rPr>
          <w:rFonts w:ascii="Book Antiqua" w:hAnsi="Book Antiqua"/>
          <w:sz w:val="20"/>
        </w:rPr>
        <w:t>, then during the interval, the de Broglie wavelength, given by</w:t>
      </w:r>
      <w:r w:rsidRPr="00372C58">
        <w:rPr>
          <w:rFonts w:ascii="Book Antiqua" w:hAnsi="Book Antiqua"/>
          <w:i/>
          <w:sz w:val="20"/>
        </w:rPr>
        <w:t xml:space="preserve"> </w:t>
      </w:r>
      <m:oMath>
        <m:r>
          <w:rPr>
            <w:rFonts w:ascii="Cambria Math" w:hAnsi="Cambria Math"/>
            <w:sz w:val="20"/>
          </w:rPr>
          <m:t>h/mv</m:t>
        </m:r>
      </m:oMath>
      <w:r w:rsidRPr="00372C58">
        <w:rPr>
          <w:rFonts w:ascii="Book Antiqua" w:hAnsi="Book Antiqua"/>
          <w:i/>
          <w:sz w:val="20"/>
        </w:rPr>
        <w:t xml:space="preserve"> </w:t>
      </w:r>
      <w:r w:rsidRPr="00372C58">
        <w:rPr>
          <w:rFonts w:ascii="Book Antiqua" w:hAnsi="Book Antiqua"/>
          <w:sz w:val="20"/>
        </w:rPr>
        <w:t xml:space="preserve">also remains constant. At the same time, the angular momentum, given by </w:t>
      </w:r>
      <m:oMath>
        <m:r>
          <w:rPr>
            <w:rFonts w:ascii="Cambria Math" w:hAnsi="Cambria Math"/>
            <w:sz w:val="20"/>
          </w:rPr>
          <m:t>mvr</m:t>
        </m:r>
      </m:oMath>
      <w:r w:rsidRPr="00372C58">
        <w:rPr>
          <w:rFonts w:ascii="Book Antiqua" w:hAnsi="Book Antiqua"/>
          <w:sz w:val="20"/>
        </w:rPr>
        <w:t>, is proportional to</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sz w:val="20"/>
        </w:rPr>
        <w:t xml:space="preserve"> . Thus as the ZPE strength increases, </w:t>
      </w:r>
      <m:oMath>
        <m:r>
          <w:rPr>
            <w:rFonts w:ascii="Cambria Math" w:hAnsi="Cambria Math"/>
            <w:sz w:val="20"/>
          </w:rPr>
          <m:t>h</m:t>
        </m:r>
      </m:oMath>
      <w:r w:rsidRPr="00372C58">
        <w:rPr>
          <w:rFonts w:ascii="Book Antiqua" w:hAnsi="Book Antiqua"/>
          <w:sz w:val="20"/>
        </w:rPr>
        <w:t xml:space="preserve"> increases and the outcome is that the angular momentum of all atomic orbits increases. Puthoff's equations </w:t>
      </w:r>
      <w:r w:rsidRPr="00435369">
        <w:rPr>
          <w:rFonts w:ascii="Book Antiqua" w:hAnsi="Book Antiqua"/>
          <w:sz w:val="20"/>
        </w:rPr>
        <w:t xml:space="preserve">in </w:t>
      </w:r>
      <w:r w:rsidR="00435369">
        <w:rPr>
          <w:rFonts w:ascii="Book Antiqua" w:hAnsi="Book Antiqua"/>
          <w:sz w:val="20"/>
        </w:rPr>
        <w:t xml:space="preserve">an article in </w:t>
      </w:r>
      <w:r w:rsidR="00435369" w:rsidRPr="00435369">
        <w:rPr>
          <w:rFonts w:ascii="Book Antiqua" w:hAnsi="Book Antiqua"/>
          <w:i/>
          <w:sz w:val="20"/>
        </w:rPr>
        <w:t>Physical Review D</w:t>
      </w:r>
      <w:r w:rsidR="00435369">
        <w:rPr>
          <w:rFonts w:ascii="Book Antiqua" w:hAnsi="Book Antiqua"/>
          <w:sz w:val="20"/>
        </w:rPr>
        <w:t xml:space="preserve"> </w:t>
      </w:r>
      <w:r w:rsidRPr="00435369">
        <w:rPr>
          <w:rFonts w:ascii="Book Antiqua" w:hAnsi="Book Antiqua"/>
          <w:sz w:val="20"/>
        </w:rPr>
        <w:t>[73] confirm</w:t>
      </w:r>
      <w:r w:rsidRPr="00372C58">
        <w:rPr>
          <w:rFonts w:ascii="Book Antiqua" w:hAnsi="Book Antiqua"/>
          <w:sz w:val="20"/>
        </w:rPr>
        <w:t xml:space="preserve"> that orbit angular momenta are a reflection of and dependent on the ZPE strength.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In the second situation, at the quantum jump, the conditions are now ready for a change in orbit radius to occur. Increasing amounts of recoil radiation are being emitted during the interval with the increasing ZPE strength. There is a pressure tending to push the electron into an orbit which is closer to the nucleus so that the amount of radiation emitted is balanced by that received from the ZPE.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However, since atomic orbits are quantized, the change in orbit radius, </w:t>
      </w:r>
      <m:oMath>
        <m:r>
          <w:rPr>
            <w:rFonts w:ascii="Cambria Math" w:hAnsi="Cambria Math"/>
            <w:sz w:val="20"/>
          </w:rPr>
          <m:t>r</m:t>
        </m:r>
      </m:oMath>
      <w:r w:rsidRPr="00372C58">
        <w:rPr>
          <w:rFonts w:ascii="Book Antiqua" w:hAnsi="Book Antiqua"/>
          <w:sz w:val="20"/>
        </w:rPr>
        <w:t xml:space="preserve">, can only occur when the next quantum condition is reached. This is given by equations (69) and (70). The quantity </w:t>
      </w:r>
      <m:oMath>
        <m:r>
          <w:rPr>
            <w:rFonts w:ascii="Cambria Math" w:hAnsi="Cambria Math"/>
            <w:sz w:val="20"/>
          </w:rPr>
          <m:t>N</m:t>
        </m:r>
      </m:oMath>
      <w:r w:rsidRPr="00372C58">
        <w:rPr>
          <w:rFonts w:ascii="Book Antiqua" w:hAnsi="Book Antiqua"/>
          <w:sz w:val="20"/>
        </w:rPr>
        <w:t xml:space="preserve"> is the redshift quantum integer which </w:t>
      </w:r>
      <w:r w:rsidRPr="00372C58">
        <w:rPr>
          <w:rFonts w:ascii="Book Antiqua" w:hAnsi="Book Antiqua"/>
          <w:sz w:val="20"/>
        </w:rPr>
        <w:lastRenderedPageBreak/>
        <w:t>remains fixed during the interval and increases to the next higher integer at the jump. In this case, we also require the Bohr quantum number</w:t>
      </w:r>
      <w:r w:rsidRPr="00372C58">
        <w:rPr>
          <w:rFonts w:ascii="Book Antiqua" w:hAnsi="Book Antiqua"/>
          <w:i/>
          <w:sz w:val="20"/>
        </w:rPr>
        <w:t xml:space="preserve"> </w:t>
      </w:r>
      <m:oMath>
        <m:r>
          <w:rPr>
            <w:rFonts w:ascii="Cambria Math" w:hAnsi="Cambria Math"/>
            <w:sz w:val="20"/>
          </w:rPr>
          <m:t>n</m:t>
        </m:r>
      </m:oMath>
      <w:r w:rsidRPr="00372C58">
        <w:rPr>
          <w:rFonts w:ascii="Book Antiqua" w:hAnsi="Book Antiqua"/>
          <w:sz w:val="20"/>
        </w:rPr>
        <w:t xml:space="preserve"> to be modified so that </w:t>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 xml:space="preserve">/N </m:t>
        </m:r>
      </m:oMath>
      <w:r w:rsidRPr="00372C58">
        <w:rPr>
          <w:rFonts w:ascii="Book Antiqua" w:hAnsi="Book Antiqua"/>
          <w:sz w:val="20"/>
        </w:rPr>
        <w:t xml:space="preserve">where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is the original quantum number that applied at the original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This is implied by equation (81).</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mean free path of the electron between </w:t>
      </w:r>
      <w:r w:rsidRPr="00435369">
        <w:rPr>
          <w:rFonts w:ascii="Book Antiqua" w:hAnsi="Book Antiqua"/>
          <w:sz w:val="20"/>
        </w:rPr>
        <w:t>collisions becomes</w:t>
      </w:r>
      <w:r w:rsidRPr="00372C58">
        <w:rPr>
          <w:rFonts w:ascii="Book Antiqua" w:hAnsi="Book Antiqua"/>
          <w:sz w:val="20"/>
        </w:rPr>
        <w:t xml:space="preserve"> significantly shorter, making it possible for the electron to go to the new orbit radius. However, associated with this change in orbit radius comes a discrete increase in velocity as in (76). </w:t>
      </w:r>
      <w:r w:rsidR="00435369">
        <w:rPr>
          <w:rFonts w:ascii="Book Antiqua" w:hAnsi="Book Antiqua"/>
          <w:sz w:val="20"/>
        </w:rPr>
        <w:t xml:space="preserve">As previously mentioned, </w:t>
      </w:r>
      <w:r w:rsidRPr="00435369">
        <w:rPr>
          <w:rFonts w:ascii="Book Antiqua" w:hAnsi="Book Antiqua"/>
          <w:sz w:val="20"/>
        </w:rPr>
        <w:t>at the actual instant of the change, there is only an infinitesimally small change in the ZPE strength (since it has been changing all along), so that</w:t>
      </w:r>
      <w:r w:rsidR="00435369">
        <w:rPr>
          <w:rFonts w:ascii="Book Antiqua" w:hAnsi="Book Antiqua"/>
          <w:sz w:val="20"/>
        </w:rPr>
        <w:t>, at that moment, both</w:t>
      </w:r>
      <m:oMath>
        <m:r>
          <w:rPr>
            <w:rFonts w:ascii="Cambria Math" w:hAnsi="Cambria Math"/>
            <w:sz w:val="20"/>
          </w:rPr>
          <m:t xml:space="preserve"> h</m:t>
        </m:r>
      </m:oMath>
      <w:r w:rsidRPr="00435369">
        <w:rPr>
          <w:rFonts w:ascii="Book Antiqua" w:hAnsi="Book Antiqua"/>
          <w:sz w:val="20"/>
        </w:rPr>
        <w:t xml:space="preserve">, and </w:t>
      </w:r>
      <m:oMath>
        <m:r>
          <w:rPr>
            <w:rFonts w:ascii="Cambria Math" w:hAnsi="Cambria Math"/>
            <w:sz w:val="20"/>
          </w:rPr>
          <m:t>m</m:t>
        </m:r>
      </m:oMath>
      <w:r w:rsidRPr="00435369">
        <w:rPr>
          <w:rFonts w:ascii="Book Antiqua" w:hAnsi="Book Antiqua"/>
          <w:sz w:val="20"/>
        </w:rPr>
        <w:t xml:space="preserve">, only change in an infinitesimally small way. That means for all practical purposes these quantities remain constant at the jump, as does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435369">
        <w:rPr>
          <w:rFonts w:ascii="Book Antiqua" w:hAnsi="Book Antiqua"/>
          <w:sz w:val="20"/>
        </w:rPr>
        <w: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Since both the mass of the electron and the quantity </w:t>
      </w:r>
      <m:oMath>
        <m:r>
          <w:rPr>
            <w:rFonts w:ascii="Cambria Math" w:hAnsi="Cambria Math"/>
            <w:sz w:val="20"/>
          </w:rPr>
          <m:t>h</m:t>
        </m:r>
      </m:oMath>
      <w:r w:rsidRPr="00372C58">
        <w:rPr>
          <w:rFonts w:ascii="Book Antiqua" w:hAnsi="Book Antiqua"/>
          <w:sz w:val="20"/>
        </w:rPr>
        <w:t xml:space="preserve"> remain unchanged at the jump, but the velocity increases, then the de Broglie wavelength, given by </w:t>
      </w:r>
      <m:oMath>
        <m:r>
          <w:rPr>
            <w:rFonts w:ascii="Cambria Math" w:hAnsi="Cambria Math"/>
            <w:sz w:val="20"/>
          </w:rPr>
          <m:t>h/mv</m:t>
        </m:r>
      </m:oMath>
      <w:r w:rsidRPr="00372C58">
        <w:rPr>
          <w:rFonts w:ascii="Book Antiqua" w:hAnsi="Book Antiqua"/>
          <w:sz w:val="20"/>
        </w:rPr>
        <w:t xml:space="preserve">, gets shorter at the jump. This allows the electron to enter an orbit whose circumference is smaller than before. As for the angular momentum at this jump, since </w:t>
      </w:r>
      <m:oMath>
        <m:r>
          <w:rPr>
            <w:rFonts w:ascii="Cambria Math" w:hAnsi="Cambria Math"/>
            <w:sz w:val="20"/>
          </w:rPr>
          <m:t>m</m:t>
        </m:r>
      </m:oMath>
      <w:r w:rsidRPr="00372C58">
        <w:rPr>
          <w:rFonts w:ascii="Book Antiqua" w:hAnsi="Book Antiqua"/>
          <w:sz w:val="20"/>
        </w:rPr>
        <w:t xml:space="preserve"> is fixed and </w:t>
      </w:r>
      <m:oMath>
        <m:r>
          <w:rPr>
            <w:rFonts w:ascii="Cambria Math" w:hAnsi="Cambria Math"/>
            <w:sz w:val="20"/>
          </w:rPr>
          <m:t>v</m:t>
        </m:r>
      </m:oMath>
      <w:r w:rsidRPr="00372C58">
        <w:rPr>
          <w:rFonts w:ascii="Book Antiqua" w:hAnsi="Book Antiqua"/>
          <w:sz w:val="20"/>
        </w:rPr>
        <w:t xml:space="preserve"> increases, while </w:t>
      </w:r>
      <m:oMath>
        <m:r>
          <w:rPr>
            <w:rFonts w:ascii="Cambria Math" w:hAnsi="Cambria Math"/>
            <w:sz w:val="20"/>
          </w:rPr>
          <m:t xml:space="preserve">r </m:t>
        </m:r>
      </m:oMath>
      <w:r w:rsidRPr="00372C58">
        <w:rPr>
          <w:rFonts w:ascii="Book Antiqua" w:hAnsi="Book Antiqua"/>
          <w:sz w:val="20"/>
        </w:rPr>
        <w:t xml:space="preserve">decreases, the quantity </w:t>
      </w:r>
      <m:oMath>
        <m:r>
          <w:rPr>
            <w:rFonts w:ascii="Cambria Math" w:hAnsi="Cambria Math"/>
            <w:sz w:val="20"/>
          </w:rPr>
          <m:t>mvr</m:t>
        </m:r>
      </m:oMath>
      <w:r w:rsidRPr="00372C58">
        <w:rPr>
          <w:rFonts w:ascii="Book Antiqua" w:hAnsi="Book Antiqua"/>
          <w:sz w:val="20"/>
        </w:rPr>
        <w:t xml:space="preserve"> is then given by (79).</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4</w:t>
      </w:r>
      <w:r w:rsidRPr="00372C58">
        <w:rPr>
          <w:rFonts w:ascii="Book Antiqua" w:hAnsi="Book Antiqua"/>
          <w:bCs/>
          <w:i/>
          <w:iCs/>
          <w:color w:val="000000"/>
          <w:sz w:val="20"/>
        </w:rPr>
        <w:t>. A Layman’s Explanation for Orbit Changes.</w:t>
      </w: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Until the quantum jump can be made, the de Broglie waves of the electron remain the same wavelength. Therefore, the orbit radius must remain fixed. The physical reason why the wavelength is unchanged is that the increasing </w:t>
      </w:r>
      <w:r w:rsidRPr="0015263E">
        <w:rPr>
          <w:rFonts w:ascii="Book Antiqua" w:hAnsi="Book Antiqua"/>
          <w:color w:val="000000"/>
        </w:rPr>
        <w:t>value</w:t>
      </w:r>
      <w:r w:rsidR="0015263E">
        <w:rPr>
          <w:rFonts w:ascii="Book Antiqua" w:hAnsi="Book Antiqua"/>
          <w:color w:val="000000"/>
        </w:rPr>
        <w:t>s</w:t>
      </w:r>
      <w:r w:rsidRPr="0015263E">
        <w:rPr>
          <w:rFonts w:ascii="Book Antiqua" w:hAnsi="Book Antiqua"/>
          <w:color w:val="000000"/>
        </w:rPr>
        <w:t xml:space="preserve"> of</w:t>
      </w:r>
      <m:oMath>
        <m:r>
          <w:rPr>
            <w:rFonts w:ascii="Cambria Math" w:hAnsi="Cambria Math"/>
            <w:color w:val="000000"/>
          </w:rPr>
          <m:t xml:space="preserve"> h</m:t>
        </m:r>
      </m:oMath>
      <w:r w:rsidRPr="0015263E">
        <w:rPr>
          <w:rFonts w:ascii="Book Antiqua" w:hAnsi="Book Antiqua"/>
          <w:color w:val="000000"/>
        </w:rPr>
        <w:t xml:space="preserve"> and </w:t>
      </w:r>
      <m:oMath>
        <m:r>
          <w:rPr>
            <w:rFonts w:ascii="Cambria Math" w:hAnsi="Cambria Math"/>
            <w:color w:val="000000"/>
          </w:rPr>
          <m:t>m</m:t>
        </m:r>
      </m:oMath>
      <w:r w:rsidRPr="0015263E">
        <w:rPr>
          <w:rFonts w:ascii="Book Antiqua" w:hAnsi="Book Antiqua"/>
          <w:color w:val="000000"/>
        </w:rPr>
        <w:t xml:space="preserve"> </w:t>
      </w:r>
      <w:r w:rsidR="0015263E">
        <w:rPr>
          <w:rFonts w:ascii="Book Antiqua" w:hAnsi="Book Antiqua"/>
          <w:color w:val="000000"/>
        </w:rPr>
        <w:t>are</w:t>
      </w:r>
      <w:r w:rsidRPr="00372C58">
        <w:rPr>
          <w:rFonts w:ascii="Book Antiqua" w:hAnsi="Book Antiqua"/>
          <w:color w:val="000000"/>
        </w:rPr>
        <w:t xml:space="preserve"> balanced by a slowing of orbit velocity, </w:t>
      </w:r>
      <m:oMath>
        <m:r>
          <w:rPr>
            <w:rFonts w:ascii="Cambria Math" w:hAnsi="Cambria Math"/>
            <w:color w:val="000000"/>
          </w:rPr>
          <m:t>v</m:t>
        </m:r>
      </m:oMath>
      <w:r w:rsidRPr="00372C58">
        <w:rPr>
          <w:rFonts w:ascii="Book Antiqua" w:hAnsi="Book Antiqua"/>
          <w:color w:val="000000"/>
        </w:rPr>
        <w:t xml:space="preserve">. These are the quantities that determine the de Broglie wavelength. Thus the slowing orbital velocity (proportional to </w:t>
      </w:r>
      <m:oMath>
        <m:r>
          <w:rPr>
            <w:rFonts w:ascii="Cambria Math" w:hAnsi="Cambria Math"/>
            <w:color w:val="000000"/>
          </w:rPr>
          <m:t>c</m:t>
        </m:r>
      </m:oMath>
      <w:r w:rsidRPr="00372C58">
        <w:rPr>
          <w:rFonts w:ascii="Book Antiqua" w:hAnsi="Book Antiqua"/>
          <w:color w:val="000000"/>
        </w:rPr>
        <w:t xml:space="preserve">) takes care of the changes in the other two quantities. Therefore, as the ZPE strength increases, orbit velocity slows in inverse proportion until it slows so much that a change in radius can occur.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One way of looking at this change is to say that once the velocity of the electron is too slow</w:t>
      </w:r>
      <w:r w:rsidR="0015263E">
        <w:rPr>
          <w:rFonts w:ascii="Book Antiqua" w:hAnsi="Book Antiqua"/>
          <w:color w:val="000000"/>
        </w:rPr>
        <w:t>, due to being</w:t>
      </w:r>
      <w:r w:rsidRPr="00372C58">
        <w:rPr>
          <w:rFonts w:ascii="Book Antiqua" w:hAnsi="Book Antiqua"/>
          <w:color w:val="000000"/>
        </w:rPr>
        <w:t xml:space="preserve"> impeded by the increasing number of hits by ZPE waves, it must fall towards the nucleus because of electrostatic attraction. This attraction results in a centripetal acceleration which means that it picks up speed, </w:t>
      </w:r>
      <m:oMath>
        <m:r>
          <w:rPr>
            <w:rFonts w:ascii="Cambria Math" w:hAnsi="Cambria Math"/>
            <w:color w:val="000000"/>
          </w:rPr>
          <m:t>v</m:t>
        </m:r>
      </m:oMath>
      <w:r w:rsidRPr="00372C58">
        <w:rPr>
          <w:rFonts w:ascii="Book Antiqua" w:hAnsi="Book Antiqua"/>
          <w:color w:val="000000"/>
        </w:rPr>
        <w:t xml:space="preserve">. As its speed increases, since it now has a greater mass, </w:t>
      </w:r>
      <m:oMath>
        <m:r>
          <w:rPr>
            <w:rFonts w:ascii="Cambria Math" w:hAnsi="Cambria Math"/>
            <w:color w:val="000000"/>
          </w:rPr>
          <m:t>m</m:t>
        </m:r>
      </m:oMath>
      <w:r w:rsidRPr="00372C58">
        <w:rPr>
          <w:rFonts w:ascii="Book Antiqua" w:hAnsi="Book Antiqua"/>
          <w:color w:val="000000"/>
        </w:rPr>
        <w:t xml:space="preserve">, and greater value for </w:t>
      </w:r>
      <m:oMath>
        <m:r>
          <w:rPr>
            <w:rFonts w:ascii="Cambria Math" w:hAnsi="Cambria Math"/>
            <w:color w:val="000000"/>
          </w:rPr>
          <m:t>h</m:t>
        </m:r>
      </m:oMath>
      <w:r w:rsidRPr="00372C58">
        <w:rPr>
          <w:rFonts w:ascii="Book Antiqua" w:hAnsi="Book Antiqua"/>
          <w:color w:val="000000"/>
        </w:rPr>
        <w:t xml:space="preserve">, it has more energy than in its previous orbit. Therefore it has a shorter de Broglie wavelength, </w:t>
      </w:r>
      <w:r w:rsidR="0015263E">
        <w:rPr>
          <w:rFonts w:ascii="Book Antiqua" w:hAnsi="Book Antiqua"/>
          <w:color w:val="000000"/>
        </w:rPr>
        <w:t>allowing it to fit</w:t>
      </w:r>
      <w:r w:rsidRPr="00372C58">
        <w:rPr>
          <w:rFonts w:ascii="Book Antiqua" w:hAnsi="Book Antiqua"/>
          <w:color w:val="000000"/>
        </w:rPr>
        <w:t xml:space="preserve"> into an orbit with smaller radius, </w:t>
      </w:r>
      <m:oMath>
        <m:r>
          <w:rPr>
            <w:rFonts w:ascii="Cambria Math" w:hAnsi="Cambria Math"/>
            <w:color w:val="000000"/>
          </w:rPr>
          <m:t>r</m:t>
        </m:r>
      </m:oMath>
      <w:r w:rsidRPr="00372C58">
        <w:rPr>
          <w:rFonts w:ascii="Book Antiqua" w:hAnsi="Book Antiqua"/>
          <w:color w:val="000000"/>
        </w:rPr>
        <w:t>.</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5</w:t>
      </w:r>
      <w:r w:rsidRPr="00372C58">
        <w:rPr>
          <w:rFonts w:ascii="Book Antiqua" w:hAnsi="Book Antiqua"/>
          <w:bCs/>
          <w:i/>
          <w:iCs/>
          <w:color w:val="000000"/>
          <w:sz w:val="20"/>
        </w:rPr>
        <w:t xml:space="preserve">  Photon Energies And Quantum Jumps.</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 photon of light is emitted when an electron, forced out of its proper position, snaps back, releasing the energy which forced it out.  When the quantum jump occurs, all orbits except the outermost move in a little closer to the nucleus.  A result of this is an increase in the distance between orbits.  This increase in distance means it requires more energy to force an electron out of its proper orbit and into another orbit, and therefore more energy is released when the electron snaps back.  Thus, the light released after a quantum jump will be slightly more energetic, or bluer, than before.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The energy difference between orbits is usually written as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[84]:</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3260" w:dyaOrig="500">
          <v:shape id="_x0000_i1045" type="#_x0000_t75" style="width:163.35pt;height:25.4pt" o:ole="">
            <v:imagedata r:id="rId222" o:title=""/>
          </v:shape>
          <o:OLEObject Type="Embed" ProgID="Equation.DSMT4" ShapeID="_x0000_i1045" DrawAspect="Content" ObjectID="_1438188857" r:id="rId22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(84)</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as an electron falls from an outer orbit, </w:t>
      </w:r>
      <m:oMath>
        <m:r>
          <w:rPr>
            <w:rFonts w:ascii="Cambria Math" w:hAnsi="Cambria Math"/>
            <w:sz w:val="20"/>
          </w:rPr>
          <m:t>s</m:t>
        </m:r>
      </m:oMath>
      <w:r w:rsidRPr="00372C58">
        <w:rPr>
          <w:rFonts w:ascii="Book Antiqua" w:hAnsi="Book Antiqua"/>
          <w:sz w:val="20"/>
        </w:rPr>
        <w:t xml:space="preserve">, to an inner orbit, </w:t>
      </w:r>
      <m:oMath>
        <m:r>
          <w:rPr>
            <w:rFonts w:ascii="Cambria Math" w:hAnsi="Cambria Math"/>
            <w:sz w:val="20"/>
          </w:rPr>
          <m:t>n</m:t>
        </m:r>
      </m:oMath>
      <w:r w:rsidRPr="00372C58">
        <w:rPr>
          <w:rFonts w:ascii="Book Antiqua" w:hAnsi="Book Antiqua"/>
          <w:sz w:val="20"/>
        </w:rPr>
        <w:t xml:space="preserve">. Substituting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(1/n)</m:t>
            </m:r>
          </m:e>
          <m:sup>
            <m:r>
              <w:rPr>
                <w:rFonts w:ascii="Cambria Math" w:hAnsi="Cambria Math"/>
                <w:sz w:val="20"/>
              </w:rPr>
              <m:t>2</m:t>
            </m:r>
          </m:sup>
        </m:sSup>
      </m:oMath>
      <w:r w:rsidRPr="00372C58">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(1/s)</m:t>
            </m:r>
          </m:e>
          <m:sup>
            <m:r>
              <w:rPr>
                <w:rFonts w:ascii="Cambria Math" w:hAnsi="Cambria Math"/>
                <w:sz w:val="20"/>
              </w:rPr>
              <m:t>2</m:t>
            </m:r>
          </m:sup>
        </m:sSup>
      </m:oMath>
      <w:r w:rsidRPr="00372C58">
        <w:rPr>
          <w:rFonts w:ascii="Book Antiqua" w:hAnsi="Book Antiqua"/>
          <w:sz w:val="20"/>
        </w:rPr>
        <w:t>, we obtain</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p>
    <w:p w:rsidR="00265840" w:rsidRPr="00372C58" w:rsidRDefault="00241D2F" w:rsidP="00265840">
      <w:pPr>
        <w:pStyle w:val="Equationparagraph"/>
        <w:tabs>
          <w:tab w:val="center" w:pos="2610"/>
          <w:tab w:val="right" w:pos="5040"/>
        </w:tabs>
        <w:jc w:val="right"/>
        <w:rPr>
          <w:rFonts w:ascii="Book Antiqua" w:hAnsi="Book Antiqua"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p</m:t>
            </m:r>
          </m:sub>
        </m:sSub>
        <m:r>
          <w:rPr>
            <w:rFonts w:ascii="Cambria Math" w:hAnsi="Cambria Math" w:cs="Times New Roman"/>
            <w:sz w:val="20"/>
            <w:szCs w:val="20"/>
          </w:rPr>
          <m:t xml:space="preserv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 / </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 </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m:t>
        </m:r>
      </m:oMath>
      <w:r w:rsidR="00265840" w:rsidRPr="00372C58">
        <w:rPr>
          <w:rFonts w:ascii="Book Antiqua" w:hAnsi="Book Antiqua" w:cs="Times New Roman"/>
          <w:sz w:val="20"/>
          <w:szCs w:val="20"/>
        </w:rPr>
        <w:t xml:space="preserve"> ,</w:t>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i/>
          <w:sz w:val="20"/>
          <w:szCs w:val="20"/>
        </w:rPr>
        <w:t xml:space="preserve"> (85)</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becomes</w:t>
      </w:r>
    </w:p>
    <w:p w:rsidR="00265840" w:rsidRPr="00372C58" w:rsidRDefault="00265840" w:rsidP="00265840">
      <w:pPr>
        <w:pStyle w:val="Equationparagraph"/>
        <w:tabs>
          <w:tab w:val="center" w:pos="252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4300" w:dyaOrig="500">
          <v:shape id="_x0000_i1046" type="#_x0000_t75" style="width:215.4pt;height:25.4pt" o:ole="">
            <v:imagedata r:id="rId224" o:title=""/>
          </v:shape>
          <o:OLEObject Type="Embed" ProgID="Equation.DSMT4" ShapeID="_x0000_i1046" DrawAspect="Content" ObjectID="_1438188858" r:id="rId225"/>
        </w:object>
      </w:r>
      <w:r w:rsidRPr="00372C58">
        <w:rPr>
          <w:rFonts w:ascii="Book Antiqua" w:hAnsi="Book Antiqua" w:cs="Times New Roman"/>
          <w:sz w:val="20"/>
          <w:szCs w:val="20"/>
        </w:rPr>
        <w:tab/>
        <w:t xml:space="preserve"> </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 xml:space="preserve">   (86)</w:t>
      </w:r>
    </w:p>
    <w:p w:rsidR="00CF77E4" w:rsidRDefault="00CF77E4"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where </w:t>
      </w:r>
      <m:oMath>
        <m:r>
          <w:rPr>
            <w:rFonts w:ascii="Cambria Math" w:hAnsi="Cambria Math"/>
            <w:sz w:val="20"/>
          </w:rPr>
          <m:t>K</m:t>
        </m:r>
      </m:oMath>
      <w:r w:rsidRPr="00372C58">
        <w:rPr>
          <w:sz w:val="20"/>
        </w:rPr>
        <w:t xml:space="preserve"> is some constant since </w:t>
      </w:r>
      <m:oMath>
        <m:r>
          <w:rPr>
            <w:rFonts w:ascii="Cambria Math" w:hAnsi="Cambria Math"/>
            <w:sz w:val="20"/>
          </w:rPr>
          <m:t>(m/</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r>
          <w:rPr>
            <w:rFonts w:ascii="Cambria Math" w:hAnsi="Cambria Math"/>
            <w:sz w:val="20"/>
          </w:rPr>
          <m:t>)</m:t>
        </m:r>
      </m:oMath>
      <w:r w:rsidRPr="00372C58">
        <w:rPr>
          <w:sz w:val="20"/>
        </w:rPr>
        <w:t xml:space="preserve"> is constant,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invariant, and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oMath>
      <w:r w:rsidRPr="00372C58">
        <w:rPr>
          <w:sz w:val="20"/>
        </w:rPr>
        <w:t xml:space="preserve"> are fixed. </w:t>
      </w:r>
    </w:p>
    <w:p w:rsidR="00265840" w:rsidRPr="00372C58" w:rsidRDefault="00265840" w:rsidP="00265840">
      <w:pPr>
        <w:pStyle w:val="NormPara"/>
        <w:ind w:firstLine="0"/>
        <w:rPr>
          <w:sz w:val="20"/>
        </w:rPr>
      </w:pPr>
    </w:p>
    <w:p w:rsidR="00265840" w:rsidRPr="00372C58" w:rsidRDefault="00265840" w:rsidP="00265840">
      <w:pPr>
        <w:pStyle w:val="NormPara"/>
        <w:ind w:firstLine="720"/>
        <w:rPr>
          <w:sz w:val="20"/>
        </w:rPr>
      </w:pPr>
      <w:r w:rsidRPr="00372C58">
        <w:rPr>
          <w:sz w:val="20"/>
        </w:rPr>
        <w:t xml:space="preserve">Thus, in the interval between jumps, the energy of the emitted photons will remain unchanged. But at the quantum jump, the energy of the emitted photons will increase by the factor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w:t>
      </w:r>
    </w:p>
    <w:p w:rsidR="00265840" w:rsidRPr="00372C58" w:rsidRDefault="00265840" w:rsidP="00265840">
      <w:pPr>
        <w:pStyle w:val="NormPara"/>
        <w:ind w:firstLine="270"/>
        <w:rPr>
          <w:sz w:val="20"/>
        </w:rPr>
      </w:pPr>
    </w:p>
    <w:p w:rsidR="00265840" w:rsidRDefault="00265840" w:rsidP="00265840">
      <w:pPr>
        <w:pStyle w:val="NormPara"/>
        <w:ind w:firstLine="270"/>
        <w:rPr>
          <w:sz w:val="20"/>
        </w:rPr>
      </w:pPr>
      <w:r w:rsidRPr="00372C58">
        <w:rPr>
          <w:sz w:val="20"/>
        </w:rPr>
        <w:t xml:space="preserve">The energy of emitted photons,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is given by the standard formula</w:t>
      </w:r>
    </w:p>
    <w:p w:rsidR="00CF77E4" w:rsidRPr="00372C58" w:rsidRDefault="00CF77E4" w:rsidP="00265840">
      <w:pPr>
        <w:pStyle w:val="NormPara"/>
        <w:ind w:firstLine="270"/>
        <w:rPr>
          <w:sz w:val="20"/>
        </w:rPr>
      </w:pP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4"/>
          <w:sz w:val="20"/>
          <w:szCs w:val="20"/>
        </w:rPr>
        <w:object w:dxaOrig="1440" w:dyaOrig="380">
          <v:shape id="_x0000_i1047" type="#_x0000_t75" style="width:1in;height:19.35pt" o:ole="">
            <v:imagedata r:id="rId226" o:title=""/>
          </v:shape>
          <o:OLEObject Type="Embed" ProgID="Equation.DSMT4" ShapeID="_x0000_i1047" DrawAspect="Content" ObjectID="_1438188859" r:id="rId22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(87)</w:t>
      </w:r>
    </w:p>
    <w:p w:rsidR="00265840" w:rsidRPr="00372C58" w:rsidRDefault="00265840" w:rsidP="00265840">
      <w:pPr>
        <w:pStyle w:val="NormPara"/>
        <w:ind w:firstLine="270"/>
        <w:rPr>
          <w:sz w:val="20"/>
        </w:rPr>
      </w:pPr>
      <w:r w:rsidRPr="00372C58">
        <w:rPr>
          <w:sz w:val="20"/>
        </w:rPr>
        <w:t xml:space="preserve">Here, </w:t>
      </w:r>
      <m:oMath>
        <m:r>
          <w:rPr>
            <w:rFonts w:ascii="Cambria Math" w:hAnsi="Cambria Math"/>
            <w:sz w:val="20"/>
          </w:rPr>
          <m:t>W</m:t>
        </m:r>
      </m:oMath>
      <w:r w:rsidRPr="00372C58">
        <w:rPr>
          <w:sz w:val="20"/>
        </w:rPr>
        <w:t xml:space="preserve"> is the wavelength of the emitted photon and the second part of the equation follows from (86). In equation (87), the term</w:t>
      </w:r>
      <m:oMath>
        <m:r>
          <w:rPr>
            <w:rFonts w:ascii="Cambria Math" w:hAnsi="Cambria Math"/>
            <w:sz w:val="20"/>
          </w:rPr>
          <m:t xml:space="preserve"> hc</m:t>
        </m:r>
      </m:oMath>
      <w:r w:rsidRPr="00372C58">
        <w:rPr>
          <w:sz w:val="20"/>
        </w:rPr>
        <w:t xml:space="preserve"> occurs, where</w:t>
      </w:r>
      <w:r w:rsidRPr="00372C58">
        <w:rPr>
          <w:i/>
          <w:sz w:val="20"/>
        </w:rPr>
        <w:t xml:space="preserve"> </w:t>
      </w:r>
      <m:oMath>
        <m:r>
          <w:rPr>
            <w:rFonts w:ascii="Cambria Math" w:hAnsi="Cambria Math"/>
            <w:sz w:val="20"/>
          </w:rPr>
          <m:t>c</m:t>
        </m:r>
      </m:oMath>
      <w:r w:rsidRPr="00372C58">
        <w:rPr>
          <w:sz w:val="20"/>
        </w:rPr>
        <w:t xml:space="preserve"> is the speed of light. When the ZPE is increasing, both data and theory indicate that the quantity</w:t>
      </w:r>
      <m:oMath>
        <m:r>
          <w:rPr>
            <w:rFonts w:ascii="Cambria Math" w:hAnsi="Cambria Math"/>
            <w:sz w:val="20"/>
          </w:rPr>
          <m:t xml:space="preserve"> hc </m:t>
        </m:r>
      </m:oMath>
      <w:r w:rsidRPr="00372C58">
        <w:rPr>
          <w:sz w:val="20"/>
        </w:rPr>
        <w:t xml:space="preserve">is invariant throughout the cosmos, as reviewed above. Thus, in (87), since both </w:t>
      </w:r>
      <m:oMath>
        <m:r>
          <w:rPr>
            <w:rFonts w:ascii="Cambria Math" w:hAnsi="Cambria Math"/>
            <w:sz w:val="20"/>
          </w:rPr>
          <m:t>hc</m:t>
        </m:r>
      </m:oMath>
      <w:r w:rsidRPr="00372C58">
        <w:rPr>
          <w:i/>
          <w:sz w:val="20"/>
        </w:rPr>
        <w:t xml:space="preserve"> </w:t>
      </w:r>
      <w:r w:rsidRPr="00372C58">
        <w:rPr>
          <w:sz w:val="20"/>
        </w:rPr>
        <w:t>and</w:t>
      </w:r>
      <m:oMath>
        <m:r>
          <w:rPr>
            <w:rFonts w:ascii="Cambria Math" w:hAnsi="Cambria Math"/>
            <w:sz w:val="20"/>
          </w:rPr>
          <m:t xml:space="preserve"> K</m:t>
        </m:r>
      </m:oMath>
      <w:r w:rsidRPr="00372C58">
        <w:rPr>
          <w:sz w:val="20"/>
        </w:rPr>
        <w:t xml:space="preserve"> are constant, it follows that emitted photon wavelengths, </w:t>
      </w:r>
      <m:oMath>
        <m:r>
          <w:rPr>
            <w:rFonts w:ascii="Cambria Math" w:hAnsi="Cambria Math"/>
            <w:sz w:val="20"/>
          </w:rPr>
          <m:t>W</m:t>
        </m:r>
      </m:oMath>
      <w:r w:rsidRPr="00372C58">
        <w:rPr>
          <w:sz w:val="20"/>
        </w:rPr>
        <w:t xml:space="preserve">, are proportional to </w:t>
      </w:r>
      <m:oMath>
        <m:r>
          <w:rPr>
            <w:rFonts w:ascii="Cambria Math" w:hAnsi="Cambria Math"/>
            <w:sz w:val="20"/>
          </w:rPr>
          <m:t>1/</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 so that:</w:t>
      </w:r>
    </w:p>
    <w:p w:rsidR="00265840" w:rsidRPr="00372C58" w:rsidRDefault="00265840" w:rsidP="00CF77E4">
      <w:pPr>
        <w:pStyle w:val="Equationparagraph"/>
        <w:tabs>
          <w:tab w:val="center" w:pos="2610"/>
          <w:tab w:val="right" w:pos="5040"/>
        </w:tabs>
        <w:spacing w:before="80" w:after="80"/>
        <w:jc w:val="right"/>
        <w:rPr>
          <w:rFonts w:ascii="Book Antiqua" w:hAnsi="Book Antiqua" w:cs="Times New Roman"/>
          <w:sz w:val="20"/>
          <w:szCs w:val="20"/>
        </w:rPr>
      </w:pPr>
      <w:r w:rsidRPr="00372C58">
        <w:rPr>
          <w:rFonts w:ascii="Book Antiqua" w:hAnsi="Book Antiqua" w:cs="Times New Roman"/>
          <w:sz w:val="20"/>
          <w:szCs w:val="20"/>
        </w:rPr>
        <w:tab/>
      </w:r>
      <m:oMath>
        <m:r>
          <w:rPr>
            <w:rFonts w:ascii="Cambria Math" w:hAnsi="Cambria Math" w:cs="Times New Roman"/>
            <w:sz w:val="20"/>
            <w:szCs w:val="20"/>
          </w:rPr>
          <m:t>W  ~  1/</m:t>
        </m:r>
        <m:sSup>
          <m:sSupPr>
            <m:ctrlPr>
              <w:rPr>
                <w:rFonts w:ascii="Cambria Math" w:hAnsi="Cambria Math" w:cs="Times New Roman"/>
                <w:i/>
                <w:sz w:val="20"/>
                <w:szCs w:val="20"/>
              </w:rPr>
            </m:ctrlPr>
          </m:sSupPr>
          <m:e>
            <m:r>
              <w:rPr>
                <w:rFonts w:ascii="Cambria Math" w:hAnsi="Cambria Math" w:cs="Times New Roman"/>
                <w:sz w:val="20"/>
                <w:szCs w:val="20"/>
              </w:rPr>
              <m:t>N</m:t>
            </m:r>
          </m:e>
          <m:sup>
            <m:r>
              <w:rPr>
                <w:rFonts w:ascii="Cambria Math" w:hAnsi="Cambria Math" w:cs="Times New Roman"/>
                <w:sz w:val="20"/>
                <w:szCs w:val="20"/>
              </w:rPr>
              <m:t>2</m:t>
            </m:r>
          </m:sup>
        </m:sSup>
      </m:oMath>
      <w:r w:rsidRPr="00372C58">
        <w:rPr>
          <w:rFonts w:ascii="Book Antiqua" w:hAnsi="Book Antiqua" w:cs="Times New Roman"/>
          <w:sz w:val="20"/>
          <w:szCs w:val="20"/>
        </w:rPr>
        <w:t xml:space="preserve"> .</w:t>
      </w:r>
      <w:r w:rsidR="00CF77E4">
        <w:rPr>
          <w:rFonts w:ascii="Book Antiqua" w:hAnsi="Book Antiqua" w:cs="Times New Roman"/>
          <w:sz w:val="20"/>
          <w:szCs w:val="20"/>
        </w:rPr>
        <w:tab/>
      </w:r>
      <w:r w:rsidR="00CF77E4">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vertAlign w:val="superscript"/>
        </w:rPr>
        <w:tab/>
      </w:r>
      <w:r w:rsidRPr="00372C58">
        <w:rPr>
          <w:rFonts w:ascii="Book Antiqua" w:hAnsi="Book Antiqua" w:cs="Times New Roman"/>
          <w:i/>
          <w:sz w:val="20"/>
          <w:szCs w:val="20"/>
        </w:rPr>
        <w:t>(88)</w:t>
      </w:r>
    </w:p>
    <w:p w:rsidR="00265840" w:rsidRPr="00372C58" w:rsidRDefault="00265840" w:rsidP="00265840">
      <w:pPr>
        <w:pStyle w:val="NormPara"/>
        <w:ind w:firstLine="720"/>
        <w:rPr>
          <w:sz w:val="20"/>
        </w:rPr>
      </w:pPr>
      <w:r w:rsidRPr="0015263E">
        <w:rPr>
          <w:sz w:val="20"/>
        </w:rPr>
        <w:t>Therefore, in the intervals between jumps, since</w:t>
      </w:r>
      <m:oMath>
        <m:r>
          <w:rPr>
            <w:rFonts w:ascii="Cambria Math" w:hAnsi="Cambria Math"/>
            <w:sz w:val="20"/>
          </w:rPr>
          <m:t xml:space="preserve"> N</m:t>
        </m:r>
      </m:oMath>
      <w:r w:rsidRPr="0015263E">
        <w:rPr>
          <w:sz w:val="20"/>
        </w:rPr>
        <w:t xml:space="preserve"> is constant, the emitted wavelengths in a wave-train of light will also be constant. From</w:t>
      </w:r>
      <w:r w:rsidRPr="00372C58">
        <w:rPr>
          <w:sz w:val="20"/>
        </w:rPr>
        <w:t xml:space="preserve"> equation (88) we note that, at the quantum jump, the value of</w:t>
      </w:r>
      <w:r w:rsidRPr="00372C58">
        <w:rPr>
          <w:i/>
          <w:sz w:val="20"/>
        </w:rPr>
        <w:t xml:space="preserve"> </w:t>
      </w:r>
      <m:oMath>
        <m:r>
          <w:rPr>
            <w:rFonts w:ascii="Cambria Math" w:hAnsi="Cambria Math"/>
            <w:sz w:val="20"/>
          </w:rPr>
          <m:t>N</m:t>
        </m:r>
      </m:oMath>
      <w:r w:rsidRPr="00372C58">
        <w:rPr>
          <w:i/>
          <w:sz w:val="20"/>
        </w:rPr>
        <w:t xml:space="preserve"> </w:t>
      </w:r>
      <w:r w:rsidRPr="00372C58">
        <w:rPr>
          <w:sz w:val="20"/>
        </w:rPr>
        <w:t xml:space="preserve">increases to the next integer. As given in (40), the standard definition of the redshift of light from distant galaxies is </w:t>
      </w:r>
    </w:p>
    <w:p w:rsidR="00265840" w:rsidRPr="00372C58" w:rsidRDefault="00265840" w:rsidP="00265840">
      <w:pPr>
        <w:pStyle w:val="NormPara"/>
        <w:ind w:firstLine="270"/>
        <w:rPr>
          <w:sz w:val="20"/>
        </w:rPr>
      </w:pPr>
    </w:p>
    <w:p w:rsidR="00265840" w:rsidRPr="00372C58" w:rsidRDefault="00241D2F" w:rsidP="00265840">
      <w:pPr>
        <w:pStyle w:val="NormPara"/>
        <w:ind w:firstLine="270"/>
        <w:jc w:val="right"/>
        <w:rPr>
          <w:i/>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m:t>
        </m:r>
      </m:oMath>
      <w:r w:rsidR="00265840" w:rsidRPr="00372C58">
        <w:rPr>
          <w:sz w:val="20"/>
        </w:rPr>
        <w:t>,</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(89)</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where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is the reference wavelength in our laboratories now, and</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xml:space="preserve"> is the wavelength of light emitted from a distant galaxy. The final equality holds because the reference redshift, </w:t>
      </w:r>
      <m:oMath>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oMath>
      <w:r w:rsidRPr="00372C58">
        <w:rPr>
          <w:sz w:val="20"/>
        </w:rPr>
        <w:t>, equals zero.  If we substitute the proportionality from (88) into (89) we obtain</w:t>
      </w:r>
    </w:p>
    <w:p w:rsidR="00265840" w:rsidRPr="00372C58" w:rsidRDefault="00265840" w:rsidP="00265840">
      <w:pPr>
        <w:pStyle w:val="NormPara"/>
        <w:ind w:firstLine="0"/>
        <w:rPr>
          <w:sz w:val="20"/>
        </w:rPr>
      </w:pPr>
    </w:p>
    <w:p w:rsidR="00265840" w:rsidRPr="00372C58" w:rsidRDefault="00241D2F" w:rsidP="00265840">
      <w:pPr>
        <w:pStyle w:val="NormPara"/>
        <w:ind w:firstLine="0"/>
        <w:jc w:val="right"/>
        <w:rPr>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xml:space="preserve">=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(90)</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rmPara"/>
        <w:ind w:firstLine="270"/>
        <w:rPr>
          <w:sz w:val="20"/>
        </w:rPr>
      </w:pPr>
      <w:r w:rsidRPr="00372C58">
        <w:rPr>
          <w:sz w:val="20"/>
        </w:rPr>
        <w:t xml:space="preserve">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is the redshift quantum number for the reference wavelength in our labs, which is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is the redshift quantum number for the light emitted by the distant galaxy of wavelength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The second equality then follows from equation (70) where we substitute</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sz w:val="20"/>
        </w:rPr>
        <w:t xml:space="preserve"> for the electron orbit radius in the laboratory and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oMath>
      <w:r w:rsidRPr="00372C58">
        <w:rPr>
          <w:sz w:val="20"/>
        </w:rPr>
        <w:t xml:space="preserve"> for the electron orbit radius at the distant galaxy.</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6</w:t>
      </w:r>
      <w:r w:rsidRPr="00372C58">
        <w:rPr>
          <w:rFonts w:ascii="Book Antiqua" w:hAnsi="Book Antiqua"/>
          <w:bCs/>
          <w:i/>
          <w:iCs/>
          <w:color w:val="000000"/>
          <w:sz w:val="20"/>
        </w:rPr>
        <w:t>. How Many Quantum Jumps Have Occurred?</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There is no way to actually count the number of quantum jumps that have occurred through time, but William Tifft and Halton Arp have provided the data to allow us to make calculations using equation (90). Tifft noted that the smallest redshift change that he could discern from his measurements was </w:t>
      </w:r>
      <m:oMath>
        <m:r>
          <w:rPr>
            <w:rFonts w:ascii="Cambria Math" w:hAnsi="Cambria Math"/>
            <w:sz w:val="20"/>
          </w:rPr>
          <m:t>8/3</m:t>
        </m:r>
      </m:oMath>
      <w:r w:rsidRPr="00372C58">
        <w:rPr>
          <w:sz w:val="20"/>
        </w:rPr>
        <w:t xml:space="preserve"> km/s [62]. If we take this as representing neighboring quantum changes of </w:t>
      </w:r>
      <m:oMath>
        <m:r>
          <w:rPr>
            <w:rFonts w:ascii="Cambria Math" w:hAnsi="Cambria Math"/>
            <w:sz w:val="20"/>
          </w:rPr>
          <m:t>(</m:t>
        </m:r>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+ 1)</m:t>
        </m:r>
      </m:oMath>
      <w:r w:rsidRPr="00372C58">
        <w:rPr>
          <w:sz w:val="20"/>
        </w:rPr>
        <w:t xml:space="preserve"> between us and a nearby galaxy. This gives a change in </w:t>
      </w:r>
      <m:oMath>
        <m:r>
          <w:rPr>
            <w:rFonts w:ascii="Cambria Math" w:hAnsi="Cambria Math"/>
            <w:sz w:val="20"/>
          </w:rPr>
          <m:t>z</m:t>
        </m:r>
      </m:oMath>
      <w:r w:rsidRPr="00372C58">
        <w:rPr>
          <w:sz w:val="20"/>
        </w:rPr>
        <w:t xml:space="preserve"> of (</w:t>
      </w:r>
      <m:oMath>
        <m:r>
          <w:rPr>
            <w:rFonts w:ascii="Cambria Math" w:hAnsi="Cambria Math"/>
            <w:sz w:val="20"/>
          </w:rPr>
          <m:t>2.667/299792</m:t>
        </m:r>
      </m:oMath>
      <w:r w:rsidRPr="00372C58">
        <w:rPr>
          <w:sz w:val="20"/>
        </w:rPr>
        <w:t>). We thus have:</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2.667</m:t>
                </m:r>
              </m:num>
              <m:den>
                <m:r>
                  <w:rPr>
                    <w:rFonts w:ascii="Cambria Math" w:hAnsi="Cambria Math"/>
                    <w:sz w:val="20"/>
                  </w:rPr>
                  <m:t>299792</m:t>
                </m:r>
              </m:den>
            </m:f>
          </m:e>
        </m:d>
        <m:r>
          <w:rPr>
            <w:rFonts w:ascii="Cambria Math" w:hAnsi="Cambria Math"/>
            <w:sz w:val="20"/>
          </w:rPr>
          <m:t xml:space="preserve">=1.000008896=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(91)</w:t>
      </w:r>
    </w:p>
    <w:p w:rsidR="00265840" w:rsidRPr="00372C58" w:rsidRDefault="00265840" w:rsidP="00265840">
      <w:pPr>
        <w:pStyle w:val="NormPara"/>
        <w:ind w:firstLine="270"/>
        <w:rPr>
          <w:sz w:val="20"/>
        </w:rPr>
      </w:pPr>
    </w:p>
    <w:p w:rsidR="00265840" w:rsidRDefault="00265840" w:rsidP="00265840">
      <w:pPr>
        <w:pStyle w:val="NormPara"/>
        <w:ind w:firstLine="720"/>
        <w:rPr>
          <w:sz w:val="20"/>
        </w:rPr>
      </w:pPr>
      <w:r w:rsidRPr="00372C58">
        <w:rPr>
          <w:sz w:val="20"/>
        </w:rPr>
        <w:t xml:space="preserve">If we assume that this change represents one quantum jump in our near vicinity, then calculation reveals that this condition will hold if a quantum jump occurs 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224815</m:t>
        </m:r>
      </m:oMath>
      <w:r w:rsidRPr="00372C58">
        <w:rPr>
          <w:sz w:val="20"/>
        </w:rPr>
        <w:t xml:space="preserve"> to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224816.</m:t>
        </m:r>
      </m:oMath>
      <w:r w:rsidRPr="00372C58">
        <w:rPr>
          <w:sz w:val="20"/>
        </w:rPr>
        <w:t xml:space="preserve"> These data suggest there have been 224,816 quantum jumps since the inception of the cosmos.</w:t>
      </w:r>
    </w:p>
    <w:p w:rsidR="00DC557A" w:rsidRPr="00372C58" w:rsidRDefault="00DC557A" w:rsidP="00265840">
      <w:pPr>
        <w:pStyle w:val="NormPara"/>
        <w:ind w:firstLine="720"/>
        <w:rPr>
          <w:sz w:val="20"/>
        </w:rPr>
      </w:pPr>
    </w:p>
    <w:p w:rsidR="00265840" w:rsidRDefault="00265840" w:rsidP="00265840">
      <w:pPr>
        <w:pStyle w:val="NoSpacing"/>
        <w:rPr>
          <w:rFonts w:ascii="Book Antiqua" w:hAnsi="Book Antiqua"/>
          <w:b/>
          <w:bCs/>
          <w:iCs/>
          <w:color w:val="000000"/>
          <w:sz w:val="20"/>
        </w:rPr>
      </w:pPr>
    </w:p>
    <w:p w:rsidR="00DE5092" w:rsidRDefault="00DE5092" w:rsidP="00265840">
      <w:pPr>
        <w:pStyle w:val="NoSpacing"/>
        <w:rPr>
          <w:rFonts w:ascii="Book Antiqua" w:hAnsi="Book Antiqua"/>
          <w:b/>
          <w:bCs/>
          <w:iCs/>
          <w:color w:val="000000"/>
          <w:sz w:val="20"/>
        </w:rPr>
      </w:pPr>
    </w:p>
    <w:p w:rsidR="00DE5092" w:rsidRDefault="00DE5092" w:rsidP="00265840">
      <w:pPr>
        <w:pStyle w:val="NoSpacing"/>
        <w:rPr>
          <w:rFonts w:ascii="Book Antiqua" w:hAnsi="Book Antiqua"/>
          <w:b/>
          <w:bCs/>
          <w:iCs/>
          <w:color w:val="000000"/>
          <w:sz w:val="20"/>
        </w:rPr>
      </w:pPr>
    </w:p>
    <w:p w:rsidR="00DE5092" w:rsidRPr="00372C58" w:rsidRDefault="00DE5092" w:rsidP="00265840">
      <w:pPr>
        <w:pStyle w:val="NoSpacing"/>
        <w:rPr>
          <w:rFonts w:ascii="Book Antiqua" w:hAnsi="Book Antiqua"/>
          <w:b/>
          <w:bCs/>
          <w:iCs/>
          <w:color w:val="000000"/>
          <w:sz w:val="20"/>
        </w:rPr>
      </w:pPr>
    </w:p>
    <w:p w:rsidR="00265840" w:rsidRPr="00372C58" w:rsidRDefault="00DC557A" w:rsidP="00265840">
      <w:pPr>
        <w:pStyle w:val="NoSpacing"/>
        <w:rPr>
          <w:rFonts w:ascii="Book Antiqua" w:hAnsi="Book Antiqua"/>
          <w:bCs/>
          <w:i/>
          <w:iCs/>
          <w:color w:val="000000"/>
          <w:sz w:val="20"/>
        </w:rPr>
      </w:pPr>
      <w:r>
        <w:rPr>
          <w:rFonts w:ascii="Book Antiqua" w:hAnsi="Book Antiqua"/>
          <w:bCs/>
          <w:i/>
          <w:iCs/>
          <w:color w:val="000000"/>
          <w:sz w:val="20"/>
        </w:rPr>
        <w:lastRenderedPageBreak/>
        <w:t>6.7</w:t>
      </w:r>
      <w:r w:rsidR="00265840" w:rsidRPr="00372C58">
        <w:rPr>
          <w:rFonts w:ascii="Book Antiqua" w:hAnsi="Book Antiqua"/>
          <w:bCs/>
          <w:i/>
          <w:iCs/>
          <w:color w:val="000000"/>
          <w:sz w:val="20"/>
        </w:rPr>
        <w:t>. Reproducing Arp And Tifft's Results.</w:t>
      </w:r>
    </w:p>
    <w:p w:rsidR="00265840" w:rsidRPr="00372C58" w:rsidRDefault="00265840" w:rsidP="00265840">
      <w:pPr>
        <w:pStyle w:val="NoSpacing"/>
        <w:rPr>
          <w:rFonts w:ascii="Book Antiqua" w:hAnsi="Book Antiqua"/>
          <w:sz w:val="20"/>
        </w:rPr>
      </w:pPr>
    </w:p>
    <w:p w:rsidR="00265840" w:rsidRDefault="00265840" w:rsidP="00265840">
      <w:pPr>
        <w:pStyle w:val="NormPara"/>
        <w:ind w:firstLine="270"/>
        <w:rPr>
          <w:sz w:val="20"/>
        </w:rPr>
      </w:pPr>
      <w:r w:rsidRPr="00372C58">
        <w:rPr>
          <w:sz w:val="20"/>
        </w:rPr>
        <w:t xml:space="preserve">This puts us in a position to see how this approach checks out against the quantized redshift data of Tifft and Arp. Using the above method, two quantum jumps will manifest as a change of about 5.33 km/s when represented as a velocity. In this case our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oMath>
      <w:r w:rsidRPr="00372C58">
        <w:rPr>
          <w:sz w:val="20"/>
        </w:rPr>
        <w:t xml:space="preserve">, remains the same, but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differs 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by two and so is 224814 (two less). When a difference of three quantum jumps is involved, so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224813</m:t>
        </m:r>
      </m:oMath>
      <w:r w:rsidRPr="00372C58">
        <w:rPr>
          <w:sz w:val="20"/>
        </w:rPr>
        <w:t>, the 'velocity' is 8 km/s. For a difference of 6 quantum jumps, the velocity will be 16.0 km/s, while 9 jumps is 24.0 km/s, and 14 is 37.34 km/s. It will also be observed that a difference of 27 jumps gives us 72.0 km/s; 54 jumps gives 144 km/s; 81 jumps gives 216 km/s and 108 jumps gives us a velocity of 288 km/s. Each one of these quantum jumps has been documented by either Arp [51, 55, 61] or Tifft [62] or both</w:t>
      </w:r>
      <w:r w:rsidR="0015263E">
        <w:rPr>
          <w:sz w:val="20"/>
        </w:rPr>
        <w:t xml:space="preserve">.  </w:t>
      </w:r>
      <w:r w:rsidR="00A52F49">
        <w:rPr>
          <w:sz w:val="20"/>
        </w:rPr>
        <w:t xml:space="preserve">This is a difficult sequence to deal with theoretically, but the above pattern may hold the key.  </w:t>
      </w:r>
    </w:p>
    <w:p w:rsidR="00A52F49" w:rsidRPr="00372C58" w:rsidRDefault="00A52F49"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In other words, the increasing ZPE approach to redshift quantization is yielding results which are in very close, if not exact, agreement with all published data. </w:t>
      </w:r>
      <w:r w:rsidR="00A52F49">
        <w:rPr>
          <w:sz w:val="20"/>
        </w:rPr>
        <w:t>Only this</w:t>
      </w:r>
      <w:r w:rsidRPr="00372C58">
        <w:rPr>
          <w:sz w:val="20"/>
        </w:rPr>
        <w:t xml:space="preserve"> approach is in agreement with Tifft’s observation that the redshift of a set of objects had reduced by one quantum jump over a period of time [62]. In other words, the emitted light had become bluer with time. This is distinctly possible with a ZPE increasing with time and the light emitted from atoms becoming bluer as a result. There seems to be no other viable option that accounts for this observational evidence.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A72BD7">
        <w:rPr>
          <w:rFonts w:ascii="Book Antiqua" w:hAnsi="Book Antiqua"/>
          <w:bCs/>
          <w:i/>
          <w:iCs/>
          <w:color w:val="000000"/>
          <w:sz w:val="20"/>
        </w:rPr>
        <w:t>8</w:t>
      </w:r>
      <w:r w:rsidRPr="00372C58">
        <w:rPr>
          <w:rFonts w:ascii="Book Antiqua" w:hAnsi="Book Antiqua"/>
          <w:bCs/>
          <w:i/>
          <w:iCs/>
          <w:color w:val="000000"/>
          <w:sz w:val="20"/>
        </w:rPr>
        <w:t>. Clarification.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 we look out from Earth, the quantized redshift gives the appearance of successive "shells" of redshift going out from our location in space. As a result, some have claimed that this means that we are close to the center of the universe.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Where we are on earth is “here and now,” and as we look out into space, we are looking back toward “there and then.”  The farther out we look, the further back in time we are seeing.  No matter where you stand in space, you will be “here and now” looking out at “there and then.”  So every place in space will seem to be the center, as the concentric circles of red shifts will expand out from the position in which you are standing – the “here and now.”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As the ZPE steadily increased isotropically with time, and atoms emitted bluer light, objects equidistant from any given point in the cosmos will have emitted light with the same redshift information.  As a result, similar shells of redshift would be seen around an observer at any other position in the universe. This occurs because light takes time to travel, and because light has slowed down uniformly throughout the cosmos as the ZPE has increased. Thus, the appearance of redshift "shells" centered on the observer is a universal phenomenon, and not an indication of a preferred position for the Solar System or our Galaxy.</w:t>
      </w:r>
    </w:p>
    <w:p w:rsidR="00265840" w:rsidRPr="00372C58" w:rsidRDefault="00265840" w:rsidP="00265840">
      <w:pPr>
        <w:pStyle w:val="NoSpacing"/>
        <w:ind w:firstLine="720"/>
        <w:jc w:val="both"/>
        <w:rPr>
          <w:rFonts w:ascii="Book Antiqua" w:hAnsi="Book Antiqua"/>
          <w:sz w:val="20"/>
        </w:rPr>
      </w:pPr>
    </w:p>
    <w:p w:rsidR="00265840" w:rsidRPr="00CC121F" w:rsidRDefault="00265840" w:rsidP="00265840">
      <w:pPr>
        <w:pStyle w:val="NoSpacing"/>
        <w:rPr>
          <w:rFonts w:ascii="Book Antiqua" w:hAnsi="Book Antiqua"/>
          <w:b/>
          <w:bCs/>
          <w:iCs/>
          <w:color w:val="000000"/>
          <w:sz w:val="20"/>
        </w:rPr>
      </w:pPr>
      <w:r w:rsidRPr="00CC121F">
        <w:rPr>
          <w:rFonts w:ascii="Book Antiqua" w:hAnsi="Book Antiqua"/>
          <w:b/>
          <w:bCs/>
          <w:iCs/>
          <w:color w:val="000000"/>
          <w:sz w:val="20"/>
        </w:rPr>
        <w:t>7. Interim Summary.</w:t>
      </w:r>
    </w:p>
    <w:p w:rsidR="00265840" w:rsidRPr="00372C58" w:rsidRDefault="00265840" w:rsidP="00265840">
      <w:pPr>
        <w:pStyle w:val="NormPara"/>
        <w:ind w:firstLine="270"/>
        <w:rPr>
          <w:sz w:val="20"/>
        </w:rPr>
      </w:pPr>
    </w:p>
    <w:p w:rsidR="00265840" w:rsidRPr="00372C58" w:rsidRDefault="00A52F49" w:rsidP="00265840">
      <w:pPr>
        <w:pStyle w:val="NormPara"/>
        <w:ind w:firstLine="720"/>
        <w:rPr>
          <w:sz w:val="20"/>
        </w:rPr>
      </w:pPr>
      <w:r>
        <w:rPr>
          <w:sz w:val="20"/>
        </w:rPr>
        <w:t>So far</w:t>
      </w:r>
      <w:r w:rsidR="00265840" w:rsidRPr="00372C58">
        <w:rPr>
          <w:sz w:val="20"/>
        </w:rPr>
        <w:t xml:space="preserve"> it may be stated that what we see both observationally and mathematically is</w:t>
      </w:r>
      <w:r>
        <w:rPr>
          <w:sz w:val="20"/>
        </w:rPr>
        <w:t>,</w:t>
      </w:r>
      <w:r w:rsidR="00265840" w:rsidRPr="00372C58">
        <w:rPr>
          <w:sz w:val="20"/>
        </w:rPr>
        <w:t xml:space="preserve"> first</w:t>
      </w:r>
      <w:r>
        <w:rPr>
          <w:sz w:val="20"/>
        </w:rPr>
        <w:t>,</w:t>
      </w:r>
      <w:r w:rsidR="00265840" w:rsidRPr="00372C58">
        <w:rPr>
          <w:sz w:val="20"/>
        </w:rPr>
        <w:t xml:space="preserve"> that a Zero Point Energy, pervasive throughout space, exists.  It is responsible not only for the changes in subatomic masses, and their quantum uncertainty of position, but also for the stability of </w:t>
      </w:r>
      <w:r w:rsidR="00265840" w:rsidRPr="00372C58">
        <w:rPr>
          <w:rStyle w:val="yshortcuts"/>
          <w:sz w:val="20"/>
        </w:rPr>
        <w:t>atomic structures</w:t>
      </w:r>
      <w:r w:rsidR="00265840" w:rsidRPr="00372C58">
        <w:rPr>
          <w:sz w:val="20"/>
        </w:rPr>
        <w:t xml:space="preserve">.  </w:t>
      </w:r>
      <w:r>
        <w:rPr>
          <w:sz w:val="20"/>
        </w:rPr>
        <w:t>Second, that t</w:t>
      </w:r>
      <w:r w:rsidR="00265840" w:rsidRPr="00372C58">
        <w:rPr>
          <w:sz w:val="20"/>
        </w:rPr>
        <w:t>he experimentally measured increase in Planck's constant,</w:t>
      </w:r>
      <m:oMath>
        <m:r>
          <w:rPr>
            <w:rFonts w:ascii="Cambria Math" w:hAnsi="Cambria Math"/>
            <w:sz w:val="20"/>
          </w:rPr>
          <m:t xml:space="preserve"> h</m:t>
        </m:r>
      </m:oMath>
      <w:r w:rsidR="00265840" w:rsidRPr="00372C58">
        <w:rPr>
          <w:sz w:val="20"/>
        </w:rPr>
        <w:t xml:space="preserve">, and atomic masses, </w:t>
      </w:r>
      <m:oMath>
        <m:r>
          <w:rPr>
            <w:rFonts w:ascii="Cambria Math" w:hAnsi="Cambria Math"/>
            <w:sz w:val="20"/>
          </w:rPr>
          <m:t>m</m:t>
        </m:r>
      </m:oMath>
      <w:r w:rsidR="00265840" w:rsidRPr="00372C58">
        <w:rPr>
          <w:sz w:val="20"/>
        </w:rPr>
        <w:t xml:space="preserve">, along with a decrease in the speed of light, </w:t>
      </w:r>
      <m:oMath>
        <m:r>
          <w:rPr>
            <w:rFonts w:ascii="Cambria Math" w:hAnsi="Cambria Math"/>
            <w:sz w:val="20"/>
          </w:rPr>
          <m:t>c</m:t>
        </m:r>
      </m:oMath>
      <w:r w:rsidR="00265840" w:rsidRPr="00372C58">
        <w:rPr>
          <w:sz w:val="20"/>
        </w:rPr>
        <w:t xml:space="preserve">, (all tracked in peer-reviewed literature) indicate an increase in the strength of the Zero Point Energy through time. </w:t>
      </w:r>
      <w:r>
        <w:rPr>
          <w:sz w:val="20"/>
        </w:rPr>
        <w:t xml:space="preserve"> Third, c</w:t>
      </w:r>
      <w:r w:rsidR="00265840" w:rsidRPr="00372C58">
        <w:rPr>
          <w:sz w:val="20"/>
        </w:rPr>
        <w:t xml:space="preserve">hanges in the strength of the ZPE will result in changes in the orbit positions and energy of electrons.  It is these orbit levels and the energies involved which are responsible for the light emitted from any given atom:  the higher the </w:t>
      </w:r>
      <w:r w:rsidR="00265840" w:rsidRPr="00372C58">
        <w:rPr>
          <w:rStyle w:val="yshortcuts"/>
          <w:sz w:val="20"/>
        </w:rPr>
        <w:t>energy level of any given electron orbit</w:t>
      </w:r>
      <w:r w:rsidR="00265840" w:rsidRPr="00372C58">
        <w:rPr>
          <w:sz w:val="20"/>
        </w:rPr>
        <w:t xml:space="preserve">, the bluer the light.  Because atoms, like all physical things, resist change, it takes a certain build-up of the Zero Point Energy to force them to adopt a </w:t>
      </w:r>
      <w:r w:rsidR="00265840" w:rsidRPr="00372C58">
        <w:rPr>
          <w:rStyle w:val="yshortcuts"/>
          <w:sz w:val="20"/>
        </w:rPr>
        <w:t>new energy level</w:t>
      </w:r>
      <w:r w:rsidR="00265840" w:rsidRPr="00372C58">
        <w:rPr>
          <w:sz w:val="20"/>
        </w:rPr>
        <w:t>. This can only happen when the conditions are such that the de Broglie wavelength of the electron in its new orbit exactly matches the orbit circumference.</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Because the ZPE is essentially homogenous throughout the universe, the response of all the atoms is simultaneous throughout the universe. This results in the fact that, when we look at the redshift measurements from ever more distant galaxies, we don’t see the measurements progressing smoothly – which is certainly what should be expected if the redshift were due to universal expansion – but we see the measurements clumped into groups.  Hubble himself </w:t>
      </w:r>
      <w:r w:rsidRPr="00372C58">
        <w:rPr>
          <w:rFonts w:ascii="Book Antiqua" w:hAnsi="Book Antiqua"/>
          <w:sz w:val="20"/>
        </w:rPr>
        <w:lastRenderedPageBreak/>
        <w:t>expressed doubts throughout his life that the red shift was due to universal expansion [6].  The data we have today strongly support those doubts, indicating the universe is not expanding, although it appears to be in a gently oscillating mode.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The red shift of light from distant galaxies is therefore not a result of expansion, but</w:t>
      </w:r>
      <w:r w:rsidR="0071761D">
        <w:rPr>
          <w:sz w:val="20"/>
        </w:rPr>
        <w:t xml:space="preserve"> rather </w:t>
      </w:r>
      <w:r w:rsidRPr="00372C58">
        <w:rPr>
          <w:sz w:val="20"/>
        </w:rPr>
        <w:t xml:space="preserve">the result of a build-up of the Zero Point Energy through time.  This approach allows us to determine from the data that there have been 224,816 quantum jumps since the inception of the cosmos. Given that figure, this approach then predicts, and predicts exactly, all the quantization 'velocities' that Tifft and Arp have discussed, namely 2.667, 5.33, 8.00, 16.0, 24.0, 72.0, 144, 216, and 288 km/s [51, 61, 62]. In addition, the 37.5 km/s and 37.2 km/s quantizations picked up by Guthrie and Napier [56, 57, 58] are predicted as being 37.34 km/s, which is right in the middle of the range. This is also well within the error margins of the data, which may have been as high as 2 km/s. </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There was a time when the Zero Point Energy had finished building and has since remained relatively steady </w:t>
      </w:r>
      <w:r w:rsidR="0071761D">
        <w:rPr>
          <w:sz w:val="20"/>
        </w:rPr>
        <w:t>i</w:t>
      </w:r>
      <w:r w:rsidRPr="00372C58">
        <w:rPr>
          <w:sz w:val="20"/>
        </w:rPr>
        <w:t xml:space="preserve">n its own feedback cycle. However, in accord with Narlikar and Arp’s explanations regarding the oscillations of the cosmos, the strength of the ZPE will also oscillate. If these oscillations are sufficiently great, some further quantum changes will occur. Under these circumstances, it may be possible to get quantum changes occurring within our galaxy. However, within our </w:t>
      </w:r>
      <w:r w:rsidR="0071761D">
        <w:rPr>
          <w:sz w:val="20"/>
        </w:rPr>
        <w:t xml:space="preserve">Local Group of galaxies, </w:t>
      </w:r>
      <w:r w:rsidRPr="00372C58">
        <w:rPr>
          <w:sz w:val="20"/>
        </w:rPr>
        <w:t xml:space="preserve"> genuine motion and hence genuine Doppler effects may cancel out the effects of </w:t>
      </w:r>
      <w:r w:rsidR="0071761D">
        <w:rPr>
          <w:sz w:val="20"/>
        </w:rPr>
        <w:t xml:space="preserve">any </w:t>
      </w:r>
      <w:r w:rsidRPr="00372C58">
        <w:rPr>
          <w:sz w:val="20"/>
        </w:rPr>
        <w:t xml:space="preserve">ZPE redshift changes. </w:t>
      </w:r>
    </w:p>
    <w:p w:rsidR="002E6772" w:rsidRPr="00372C58" w:rsidRDefault="002E6772" w:rsidP="00265840">
      <w:pPr>
        <w:pStyle w:val="NormPara"/>
        <w:ind w:firstLine="270"/>
        <w:rPr>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8.  The Redshift of the CMBR and the Quantity K.</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 xml:space="preserve">The value of the constant,  </w:t>
      </w:r>
      <m:oMath>
        <m:r>
          <w:rPr>
            <w:rFonts w:ascii="Cambria Math" w:hAnsi="Cambria Math"/>
            <w:color w:val="000000"/>
            <w:sz w:val="20"/>
          </w:rPr>
          <m:t>K</m:t>
        </m:r>
      </m:oMath>
      <w:r w:rsidRPr="00372C58">
        <w:rPr>
          <w:rFonts w:ascii="Book Antiqua" w:hAnsi="Book Antiqua"/>
          <w:bCs/>
          <w:iCs/>
          <w:color w:val="000000"/>
          <w:sz w:val="20"/>
        </w:rPr>
        <w:t>, which is introduced in Section 4.7 and equation (40), is given above in equation (60). This value is dependent on the redshift assigned to the Cosmic Microwave Background Radiation (CMBR). This current Chapter has assumed the reasoning of Big Bang astronomers to be correct</w:t>
      </w:r>
      <w:r w:rsidR="0071761D">
        <w:rPr>
          <w:rFonts w:ascii="Book Antiqua" w:hAnsi="Book Antiqua"/>
          <w:bCs/>
          <w:iCs/>
          <w:color w:val="000000"/>
          <w:sz w:val="20"/>
        </w:rPr>
        <w:t xml:space="preserve"> in regard to the red shift of the CMBR</w:t>
      </w:r>
      <w:r w:rsidRPr="00372C58">
        <w:rPr>
          <w:rFonts w:ascii="Book Antiqua" w:hAnsi="Book Antiqua"/>
          <w:bCs/>
          <w:iCs/>
          <w:color w:val="000000"/>
          <w:sz w:val="20"/>
        </w:rPr>
        <w:t xml:space="preserve">. When this is done, the best value for the redshift of the CMBR is given as </w:t>
      </w:r>
      <m:oMath>
        <m:r>
          <w:rPr>
            <w:rFonts w:ascii="Cambria Math" w:hAnsi="Cambria Math"/>
            <w:color w:val="000000"/>
            <w:sz w:val="20"/>
          </w:rPr>
          <m:t>z = 1187</m:t>
        </m:r>
      </m:oMath>
      <w:r w:rsidRPr="00372C58">
        <w:rPr>
          <w:rFonts w:ascii="Book Antiqua" w:hAnsi="Book Antiqua"/>
          <w:bCs/>
          <w:iCs/>
          <w:color w:val="000000"/>
          <w:sz w:val="20"/>
        </w:rPr>
        <w:t xml:space="preserve"> for the reasons outlined prior to equation (40). However, this may not be the full story as the CMBR could only form once the Zero Point Energy had built up sufficiently for neutral atoms to form. If this line of enquiry is followed a slightly revised value for </w:t>
      </w:r>
      <m:oMath>
        <m:r>
          <w:rPr>
            <w:rFonts w:ascii="Cambria Math" w:hAnsi="Cambria Math"/>
            <w:color w:val="000000"/>
            <w:sz w:val="20"/>
          </w:rPr>
          <m:t>K</m:t>
        </m:r>
      </m:oMath>
      <w:r w:rsidRPr="00372C58">
        <w:rPr>
          <w:rFonts w:ascii="Book Antiqua" w:hAnsi="Book Antiqua"/>
          <w:bCs/>
          <w:iCs/>
          <w:color w:val="000000"/>
          <w:sz w:val="20"/>
        </w:rPr>
        <w:t xml:space="preserve"> results.</w:t>
      </w:r>
    </w:p>
    <w:p w:rsidR="00265840" w:rsidRDefault="00265840" w:rsidP="00265840">
      <w:pPr>
        <w:pStyle w:val="NoSpacing"/>
        <w:jc w:val="both"/>
        <w:rPr>
          <w:rFonts w:ascii="Book Antiqua" w:hAnsi="Book Antiqua"/>
          <w:bCs/>
          <w:iCs/>
          <w:color w:val="000000"/>
          <w:sz w:val="20"/>
        </w:rPr>
      </w:pPr>
    </w:p>
    <w:p w:rsidR="00C2265F" w:rsidRDefault="00C2265F" w:rsidP="00C2265F">
      <w:pPr>
        <w:pStyle w:val="NoSpacing"/>
        <w:ind w:firstLine="720"/>
        <w:jc w:val="both"/>
        <w:rPr>
          <w:rFonts w:ascii="Book Antiqua" w:hAnsi="Book Antiqua"/>
          <w:sz w:val="20"/>
        </w:rPr>
      </w:pPr>
      <w:r w:rsidRPr="00372C58">
        <w:rPr>
          <w:rFonts w:ascii="Book Antiqua" w:hAnsi="Book Antiqua"/>
          <w:bCs/>
          <w:iCs/>
          <w:color w:val="000000"/>
          <w:sz w:val="20"/>
        </w:rPr>
        <w:t xml:space="preserve">The predominant element in the universe </w:t>
      </w:r>
      <w:r>
        <w:rPr>
          <w:rFonts w:ascii="Book Antiqua" w:hAnsi="Book Antiqua"/>
          <w:bCs/>
          <w:iCs/>
          <w:color w:val="000000"/>
          <w:sz w:val="20"/>
        </w:rPr>
        <w:t xml:space="preserve">is </w:t>
      </w:r>
      <w:r w:rsidRPr="00372C58">
        <w:rPr>
          <w:rFonts w:ascii="Book Antiqua" w:hAnsi="Book Antiqua"/>
          <w:bCs/>
          <w:iCs/>
          <w:color w:val="000000"/>
          <w:sz w:val="20"/>
        </w:rPr>
        <w:t>hydrogen</w:t>
      </w:r>
      <w:r>
        <w:rPr>
          <w:rFonts w:ascii="Book Antiqua" w:hAnsi="Book Antiqua"/>
          <w:bCs/>
          <w:iCs/>
          <w:color w:val="000000"/>
          <w:sz w:val="20"/>
        </w:rPr>
        <w:t>,</w:t>
      </w:r>
      <w:r w:rsidRPr="00372C58">
        <w:rPr>
          <w:rFonts w:ascii="Book Antiqua" w:hAnsi="Book Antiqua"/>
          <w:bCs/>
          <w:iCs/>
          <w:color w:val="000000"/>
          <w:sz w:val="20"/>
        </w:rPr>
        <w:t xml:space="preserve"> </w:t>
      </w:r>
      <w:r>
        <w:rPr>
          <w:rFonts w:ascii="Book Antiqua" w:hAnsi="Book Antiqua"/>
          <w:bCs/>
          <w:iCs/>
          <w:color w:val="000000"/>
          <w:sz w:val="20"/>
        </w:rPr>
        <w:t xml:space="preserve">whether it occurs as molecules, neutral </w:t>
      </w:r>
      <w:r w:rsidRPr="00372C58">
        <w:rPr>
          <w:rFonts w:ascii="Book Antiqua" w:hAnsi="Book Antiqua"/>
          <w:bCs/>
          <w:iCs/>
          <w:color w:val="000000"/>
          <w:sz w:val="20"/>
        </w:rPr>
        <w:t>atoms or plasma; it comprises some 80% of the total</w:t>
      </w:r>
      <w:r>
        <w:rPr>
          <w:rFonts w:ascii="Book Antiqua" w:hAnsi="Book Antiqua"/>
          <w:bCs/>
          <w:iCs/>
          <w:color w:val="000000"/>
          <w:sz w:val="20"/>
        </w:rPr>
        <w:t xml:space="preserve"> matter in the universe</w:t>
      </w:r>
      <w:r w:rsidRPr="00372C58">
        <w:rPr>
          <w:rFonts w:ascii="Book Antiqua" w:hAnsi="Book Antiqua"/>
          <w:bCs/>
          <w:iCs/>
          <w:color w:val="000000"/>
          <w:sz w:val="20"/>
        </w:rPr>
        <w:t xml:space="preserve">. </w:t>
      </w:r>
      <w:r w:rsidRPr="00372C58">
        <w:rPr>
          <w:rFonts w:ascii="Book Antiqua" w:hAnsi="Book Antiqua"/>
          <w:sz w:val="20"/>
        </w:rPr>
        <w:t>At about 3000</w:t>
      </w:r>
      <w:r>
        <w:rPr>
          <w:rFonts w:ascii="Book Antiqua" w:hAnsi="Book Antiqua"/>
          <w:sz w:val="20"/>
        </w:rPr>
        <w:t xml:space="preserve"> degrees </w:t>
      </w:r>
      <w:r w:rsidRPr="00372C58">
        <w:rPr>
          <w:rFonts w:ascii="Book Antiqua" w:hAnsi="Book Antiqua"/>
          <w:sz w:val="20"/>
        </w:rPr>
        <w:t>K</w:t>
      </w:r>
      <w:r>
        <w:rPr>
          <w:rFonts w:ascii="Book Antiqua" w:hAnsi="Book Antiqua"/>
          <w:sz w:val="20"/>
        </w:rPr>
        <w:t>elvin</w:t>
      </w:r>
      <w:r w:rsidRPr="00372C58">
        <w:rPr>
          <w:rFonts w:ascii="Book Antiqua" w:hAnsi="Book Antiqua"/>
          <w:sz w:val="20"/>
        </w:rPr>
        <w:t xml:space="preserve">, hydrogen molecules separate into single atoms. </w:t>
      </w:r>
      <w:r>
        <w:rPr>
          <w:rFonts w:ascii="Book Antiqua" w:hAnsi="Book Antiqua"/>
          <w:sz w:val="20"/>
        </w:rPr>
        <w:t>At</w:t>
      </w:r>
      <w:r w:rsidRPr="00372C58">
        <w:rPr>
          <w:rFonts w:ascii="Book Antiqua" w:hAnsi="Book Antiqua"/>
          <w:sz w:val="20"/>
        </w:rPr>
        <w:t xml:space="preserve"> 5000 degrees Kelvin nearly all hydrogen is still in the form of neutral atoms. But, by 5800 K, a small proportion has become ionized, that is to say</w:t>
      </w:r>
      <w:r>
        <w:rPr>
          <w:rFonts w:ascii="Book Antiqua" w:hAnsi="Book Antiqua"/>
          <w:sz w:val="20"/>
        </w:rPr>
        <w:t xml:space="preserve"> electrons have been stripped off.  That makes it</w:t>
      </w:r>
      <w:r w:rsidRPr="00372C58">
        <w:rPr>
          <w:rFonts w:ascii="Book Antiqua" w:hAnsi="Book Antiqua"/>
          <w:sz w:val="20"/>
        </w:rPr>
        <w:t xml:space="preserve"> a plasma. By 6500 K there is a general trend for ionization to occur</w:t>
      </w:r>
      <w:r>
        <w:rPr>
          <w:rFonts w:ascii="Book Antiqua" w:hAnsi="Book Antiqua"/>
          <w:sz w:val="20"/>
        </w:rPr>
        <w:t>, and at</w:t>
      </w:r>
      <w:r w:rsidRPr="00372C58">
        <w:rPr>
          <w:rFonts w:ascii="Book Antiqua" w:hAnsi="Book Antiqua"/>
          <w:sz w:val="20"/>
        </w:rPr>
        <w:t xml:space="preserve"> 8500 K about half of the hydrogen will </w:t>
      </w:r>
      <w:r>
        <w:rPr>
          <w:rFonts w:ascii="Book Antiqua" w:hAnsi="Book Antiqua"/>
          <w:sz w:val="20"/>
        </w:rPr>
        <w:t>have become</w:t>
      </w:r>
      <w:r w:rsidRPr="00372C58">
        <w:rPr>
          <w:rFonts w:ascii="Book Antiqua" w:hAnsi="Book Antiqua"/>
          <w:sz w:val="20"/>
        </w:rPr>
        <w:t xml:space="preserve"> plasma. </w:t>
      </w:r>
      <w:r>
        <w:rPr>
          <w:rFonts w:ascii="Book Antiqua" w:hAnsi="Book Antiqua"/>
          <w:sz w:val="20"/>
        </w:rPr>
        <w:t>Some of this is shown in Figure 1</w:t>
      </w:r>
      <w:r w:rsidR="003D33FE">
        <w:rPr>
          <w:rFonts w:ascii="Book Antiqua" w:hAnsi="Book Antiqua"/>
          <w:sz w:val="20"/>
        </w:rPr>
        <w:t>6</w:t>
      </w:r>
      <w:r>
        <w:rPr>
          <w:rFonts w:ascii="Book Antiqua" w:hAnsi="Book Antiqua"/>
          <w:sz w:val="20"/>
        </w:rPr>
        <w:t>. An enlarged graph of the relevant region is given in Figure 1</w:t>
      </w:r>
      <w:r w:rsidR="003D33FE">
        <w:rPr>
          <w:rFonts w:ascii="Book Antiqua" w:hAnsi="Book Antiqua"/>
          <w:sz w:val="20"/>
        </w:rPr>
        <w:t>7</w:t>
      </w:r>
      <w:r>
        <w:rPr>
          <w:rFonts w:ascii="Book Antiqua" w:hAnsi="Book Antiqua"/>
          <w:sz w:val="20"/>
        </w:rPr>
        <w:t>.</w:t>
      </w:r>
    </w:p>
    <w:p w:rsidR="00C2265F" w:rsidRDefault="00C2265F" w:rsidP="00265840">
      <w:pPr>
        <w:pStyle w:val="NoSpacing"/>
        <w:jc w:val="both"/>
        <w:rPr>
          <w:rFonts w:ascii="Book Antiqua" w:hAnsi="Book Antiqua"/>
          <w:bCs/>
          <w:iCs/>
          <w:color w:val="000000"/>
          <w:sz w:val="20"/>
        </w:rPr>
      </w:pPr>
    </w:p>
    <w:p w:rsidR="00F95234" w:rsidRDefault="00F95234" w:rsidP="00F95234">
      <w:pPr>
        <w:pStyle w:val="NoSpacing"/>
        <w:ind w:firstLine="720"/>
        <w:jc w:val="both"/>
        <w:rPr>
          <w:rFonts w:ascii="Book Antiqua" w:hAnsi="Book Antiqua"/>
          <w:sz w:val="20"/>
        </w:rPr>
      </w:pPr>
      <w:r w:rsidRPr="00372C58">
        <w:rPr>
          <w:rFonts w:ascii="Book Antiqua" w:hAnsi="Book Antiqua"/>
          <w:sz w:val="20"/>
        </w:rPr>
        <w:t>Th</w:t>
      </w:r>
      <w:r>
        <w:rPr>
          <w:rFonts w:ascii="Book Antiqua" w:hAnsi="Book Antiqua"/>
          <w:sz w:val="20"/>
        </w:rPr>
        <w:t>us</w:t>
      </w:r>
      <w:r w:rsidRPr="00372C58">
        <w:rPr>
          <w:rFonts w:ascii="Book Antiqua" w:hAnsi="Book Antiqua"/>
          <w:sz w:val="20"/>
        </w:rPr>
        <w:t>, around 6500</w:t>
      </w:r>
      <w:r>
        <w:rPr>
          <w:rFonts w:ascii="Book Antiqua" w:hAnsi="Book Antiqua"/>
          <w:sz w:val="20"/>
        </w:rPr>
        <w:t xml:space="preserve"> </w:t>
      </w:r>
      <w:r w:rsidRPr="00372C58">
        <w:rPr>
          <w:rFonts w:ascii="Book Antiqua" w:hAnsi="Book Antiqua"/>
          <w:sz w:val="20"/>
        </w:rPr>
        <w:t xml:space="preserve">K, a general trend has set in for neutral atoms to form ions. The reverse is also true. As a plasma cools to 6500 K from from an originally </w:t>
      </w:r>
      <w:r>
        <w:rPr>
          <w:rFonts w:ascii="Book Antiqua" w:hAnsi="Book Antiqua"/>
          <w:sz w:val="20"/>
        </w:rPr>
        <w:t xml:space="preserve">hot, </w:t>
      </w:r>
      <w:r w:rsidRPr="00372C58">
        <w:rPr>
          <w:rFonts w:ascii="Book Antiqua" w:hAnsi="Book Antiqua"/>
          <w:sz w:val="20"/>
        </w:rPr>
        <w:t>ionized state, it will then be</w:t>
      </w:r>
      <w:r>
        <w:rPr>
          <w:rFonts w:ascii="Book Antiqua" w:hAnsi="Book Antiqua"/>
          <w:sz w:val="20"/>
        </w:rPr>
        <w:t>come</w:t>
      </w:r>
      <w:r w:rsidRPr="00372C58">
        <w:rPr>
          <w:rFonts w:ascii="Book Antiqua" w:hAnsi="Book Antiqua"/>
          <w:sz w:val="20"/>
        </w:rPr>
        <w:t xml:space="preserve"> composed of</w:t>
      </w:r>
      <w:r>
        <w:rPr>
          <w:rFonts w:ascii="Book Antiqua" w:hAnsi="Book Antiqua"/>
          <w:sz w:val="20"/>
        </w:rPr>
        <w:t xml:space="preserve"> a</w:t>
      </w:r>
      <w:r w:rsidRPr="00372C58">
        <w:rPr>
          <w:rFonts w:ascii="Book Antiqua" w:hAnsi="Book Antiqua"/>
          <w:sz w:val="20"/>
        </w:rPr>
        <w:t xml:space="preserve"> significant number of neutral atoms. By</w:t>
      </w:r>
      <w:r>
        <w:rPr>
          <w:rFonts w:ascii="Book Antiqua" w:hAnsi="Book Antiqua"/>
          <w:sz w:val="20"/>
        </w:rPr>
        <w:t xml:space="preserve"> the time it has cooled to </w:t>
      </w:r>
      <w:r w:rsidRPr="00372C58">
        <w:rPr>
          <w:rFonts w:ascii="Book Antiqua" w:hAnsi="Book Antiqua"/>
          <w:sz w:val="20"/>
        </w:rPr>
        <w:t xml:space="preserve">a temperature of 5800 K the majority of the gas will </w:t>
      </w:r>
      <w:r>
        <w:rPr>
          <w:rFonts w:ascii="Book Antiqua" w:hAnsi="Book Antiqua"/>
          <w:sz w:val="20"/>
        </w:rPr>
        <w:t>have become</w:t>
      </w:r>
      <w:r w:rsidRPr="00372C58">
        <w:rPr>
          <w:rFonts w:ascii="Book Antiqua" w:hAnsi="Book Antiqua"/>
          <w:sz w:val="20"/>
        </w:rPr>
        <w:t xml:space="preserve"> neutral hydrogen atoms.</w:t>
      </w:r>
    </w:p>
    <w:p w:rsidR="00F95234" w:rsidRDefault="00F95234" w:rsidP="00F95234">
      <w:pPr>
        <w:pStyle w:val="NoSpacing"/>
        <w:ind w:firstLine="720"/>
        <w:jc w:val="both"/>
        <w:rPr>
          <w:rFonts w:ascii="Book Antiqua" w:hAnsi="Book Antiqua"/>
          <w:sz w:val="20"/>
        </w:rPr>
      </w:pPr>
    </w:p>
    <w:p w:rsidR="00F95234" w:rsidRDefault="00F95234" w:rsidP="00F95234">
      <w:pPr>
        <w:pStyle w:val="NoSpacing"/>
        <w:ind w:firstLine="720"/>
        <w:jc w:val="both"/>
        <w:rPr>
          <w:rFonts w:ascii="Book Antiqua" w:hAnsi="Book Antiqua"/>
          <w:sz w:val="20"/>
        </w:rPr>
      </w:pPr>
      <w:r>
        <w:rPr>
          <w:rFonts w:ascii="Book Antiqua" w:hAnsi="Book Antiqua"/>
          <w:sz w:val="20"/>
        </w:rPr>
        <w:t>However, for this to happen</w:t>
      </w:r>
      <w:r w:rsidR="00BC4BA5">
        <w:rPr>
          <w:rFonts w:ascii="Book Antiqua" w:hAnsi="Book Antiqua"/>
          <w:sz w:val="20"/>
        </w:rPr>
        <w:t xml:space="preserve"> in the early cosmos</w:t>
      </w:r>
      <w:r>
        <w:rPr>
          <w:rFonts w:ascii="Book Antiqua" w:hAnsi="Book Antiqua"/>
          <w:sz w:val="20"/>
        </w:rPr>
        <w:t>, there is one more thing that is required:  the Zero Point Energy must have built up to a point which allows the neutral atoms to form.  This is because it is the ZPE which maintains electrons in their orbits.  Without that, the temperature would not matter.</w:t>
      </w:r>
    </w:p>
    <w:p w:rsidR="00F95234" w:rsidRDefault="00F95234" w:rsidP="00265840">
      <w:pPr>
        <w:pStyle w:val="NoSpacing"/>
        <w:jc w:val="both"/>
        <w:rPr>
          <w:rFonts w:ascii="Book Antiqua" w:hAnsi="Book Antiqua"/>
          <w:bCs/>
          <w:iCs/>
          <w:color w:val="000000"/>
          <w:sz w:val="20"/>
        </w:rPr>
      </w:pPr>
    </w:p>
    <w:p w:rsidR="00F95234" w:rsidRPr="00372C58" w:rsidRDefault="00F95234" w:rsidP="00F95234">
      <w:pPr>
        <w:pStyle w:val="NoSpacing"/>
        <w:ind w:firstLine="720"/>
        <w:jc w:val="both"/>
        <w:rPr>
          <w:rFonts w:ascii="Book Antiqua" w:hAnsi="Book Antiqua"/>
          <w:bCs/>
          <w:iCs/>
          <w:color w:val="000000"/>
          <w:sz w:val="20"/>
        </w:rPr>
      </w:pPr>
      <w:r w:rsidRPr="00372C58">
        <w:rPr>
          <w:rFonts w:ascii="Book Antiqua" w:hAnsi="Book Antiqua"/>
          <w:sz w:val="20"/>
        </w:rPr>
        <w:t xml:space="preserve">Once </w:t>
      </w:r>
      <w:r>
        <w:rPr>
          <w:rFonts w:ascii="Book Antiqua" w:hAnsi="Book Antiqua"/>
          <w:sz w:val="20"/>
        </w:rPr>
        <w:t xml:space="preserve">this ZPE </w:t>
      </w:r>
      <w:r w:rsidRPr="00372C58">
        <w:rPr>
          <w:rFonts w:ascii="Book Antiqua" w:hAnsi="Book Antiqua"/>
          <w:sz w:val="20"/>
        </w:rPr>
        <w:t>level has been reached, neutral atoms can form throughout the plasma. At that point</w:t>
      </w:r>
      <w:r>
        <w:rPr>
          <w:rFonts w:ascii="Book Antiqua" w:hAnsi="Book Antiqua"/>
          <w:sz w:val="20"/>
        </w:rPr>
        <w:t>,</w:t>
      </w:r>
      <w:r w:rsidRPr="00372C58">
        <w:rPr>
          <w:rFonts w:ascii="Book Antiqua" w:hAnsi="Book Antiqua"/>
          <w:sz w:val="20"/>
        </w:rPr>
        <w:t xml:space="preserve"> the formation of neutral atoms itself contributes to the plasma temperature dropping to somewhere between 6500 to 5800</w:t>
      </w:r>
      <w:r>
        <w:rPr>
          <w:rFonts w:ascii="Book Antiqua" w:hAnsi="Book Antiqua"/>
          <w:sz w:val="20"/>
        </w:rPr>
        <w:t xml:space="preserve"> </w:t>
      </w:r>
      <w:r w:rsidRPr="00372C58">
        <w:rPr>
          <w:rFonts w:ascii="Book Antiqua" w:hAnsi="Book Antiqua"/>
          <w:sz w:val="20"/>
        </w:rPr>
        <w:t>K. Once the electrons have achieved their proper position, the temperature of the ion itself drops. The wavelength of radiation emitted by the hydrogen ions and atoms during this process will reflect these conditions.</w:t>
      </w:r>
    </w:p>
    <w:p w:rsidR="00F95234" w:rsidRPr="00372C58" w:rsidRDefault="00F95234" w:rsidP="00F95234">
      <w:pPr>
        <w:pStyle w:val="NoSpacing"/>
        <w:jc w:val="both"/>
        <w:rPr>
          <w:rFonts w:ascii="Book Antiqua" w:hAnsi="Book Antiqua"/>
          <w:bCs/>
          <w:iCs/>
          <w:color w:val="000000"/>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lastRenderedPageBreak/>
        <w:drawing>
          <wp:inline distT="0" distB="0" distL="0" distR="0">
            <wp:extent cx="4144944" cy="2200275"/>
            <wp:effectExtent l="19050" t="0" r="7956" b="0"/>
            <wp:docPr id="32" name="Picture 350" descr="http://csep10.phys.utk.edu/astr162/lect/stars/H-ioniz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csep10.phys.utk.edu/astr162/lect/stars/H-ionization.gif"/>
                    <pic:cNvPicPr>
                      <a:picLocks noChangeAspect="1" noChangeArrowheads="1"/>
                    </pic:cNvPicPr>
                  </pic:nvPicPr>
                  <pic:blipFill>
                    <a:blip r:embed="rId228" cstate="print"/>
                    <a:srcRect/>
                    <a:stretch>
                      <a:fillRect/>
                    </a:stretch>
                  </pic:blipFill>
                  <pic:spPr bwMode="auto">
                    <a:xfrm>
                      <a:off x="0" y="0"/>
                      <a:ext cx="4152900" cy="2204498"/>
                    </a:xfrm>
                    <a:prstGeom prst="rect">
                      <a:avLst/>
                    </a:prstGeom>
                    <a:noFill/>
                    <a:ln w="9525">
                      <a:noFill/>
                      <a:miter lim="800000"/>
                      <a:headEnd/>
                      <a:tailEnd/>
                    </a:ln>
                  </pic:spPr>
                </pic:pic>
              </a:graphicData>
            </a:graphic>
          </wp:inline>
        </w:drawing>
      </w:r>
    </w:p>
    <w:p w:rsidR="00265840" w:rsidRPr="00372C58" w:rsidRDefault="00265840" w:rsidP="00265840">
      <w:pPr>
        <w:pStyle w:val="NoSpacing"/>
        <w:ind w:firstLine="720"/>
        <w:jc w:val="both"/>
        <w:rPr>
          <w:rFonts w:ascii="Book Antiqua" w:hAnsi="Book Antiqua"/>
          <w:bCs/>
          <w:iCs/>
          <w:color w:val="000000"/>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6</w:t>
      </w:r>
      <w:r w:rsidRPr="004223A5">
        <w:rPr>
          <w:rFonts w:ascii="Book Antiqua" w:hAnsi="Book Antiqua"/>
          <w:b/>
          <w:i/>
          <w:sz w:val="18"/>
          <w:szCs w:val="18"/>
        </w:rPr>
        <w:t>:</w:t>
      </w:r>
      <w:r w:rsidRPr="004223A5">
        <w:rPr>
          <w:rFonts w:ascii="Book Antiqua" w:hAnsi="Book Antiqua"/>
          <w:i/>
          <w:sz w:val="18"/>
          <w:szCs w:val="18"/>
        </w:rPr>
        <w:t xml:space="preserve"> Hydrogen ionization or recombination temperature. The red line is for a pressure 10 times that of the blue line, so there is some pressure dependence. Higher pressure shifts the ionization temperature higher also. The symbols H I and H II refer to neutral and ionized hydrogen respectively.</w:t>
      </w:r>
    </w:p>
    <w:p w:rsidR="00CF77E4" w:rsidRPr="00372C58" w:rsidRDefault="00CF77E4" w:rsidP="00CF77E4">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4120194" cy="2220685"/>
            <wp:effectExtent l="19050" t="0" r="0" b="0"/>
            <wp:docPr id="12" name="Picture 4" descr="http://people.physics.carleton.ca/~watson/Physics/Gifs/Optics/Saha%20H-a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ople.physics.carleton.ca/~watson/Physics/Gifs/Optics/Saha%20H-atom.png"/>
                    <pic:cNvPicPr>
                      <a:picLocks noChangeAspect="1" noChangeArrowheads="1"/>
                    </pic:cNvPicPr>
                  </pic:nvPicPr>
                  <pic:blipFill>
                    <a:blip r:embed="rId229" cstate="print"/>
                    <a:srcRect r="33368" b="683"/>
                    <a:stretch>
                      <a:fillRect/>
                    </a:stretch>
                  </pic:blipFill>
                  <pic:spPr bwMode="auto">
                    <a:xfrm>
                      <a:off x="0" y="0"/>
                      <a:ext cx="4132563" cy="2227351"/>
                    </a:xfrm>
                    <a:prstGeom prst="rect">
                      <a:avLst/>
                    </a:prstGeom>
                    <a:noFill/>
                    <a:ln w="9525">
                      <a:noFill/>
                      <a:miter lim="800000"/>
                      <a:headEnd/>
                      <a:tailEnd/>
                    </a:ln>
                  </pic:spPr>
                </pic:pic>
              </a:graphicData>
            </a:graphic>
          </wp:inline>
        </w:drawing>
      </w:r>
    </w:p>
    <w:p w:rsidR="002E6772" w:rsidRPr="004223A5" w:rsidRDefault="002E6772" w:rsidP="00265840">
      <w:pPr>
        <w:pStyle w:val="NoSpacing"/>
        <w:rPr>
          <w:rFonts w:ascii="Book Antiqua" w:hAnsi="Book Antiqua"/>
          <w:b/>
          <w:bCs/>
          <w:iCs/>
          <w:sz w:val="20"/>
        </w:rPr>
      </w:pPr>
    </w:p>
    <w:p w:rsidR="00265840" w:rsidRPr="004223A5" w:rsidRDefault="00265840" w:rsidP="00265840">
      <w:pPr>
        <w:pStyle w:val="NoSpacing"/>
        <w:rPr>
          <w:rFonts w:ascii="Book Antiqua" w:hAnsi="Book Antiqua"/>
          <w:bCs/>
          <w:i/>
          <w:iCs/>
          <w:sz w:val="18"/>
          <w:szCs w:val="18"/>
        </w:rPr>
      </w:pPr>
      <w:r w:rsidRPr="004223A5">
        <w:rPr>
          <w:rFonts w:ascii="Book Antiqua" w:hAnsi="Book Antiqua"/>
          <w:b/>
          <w:bCs/>
          <w:i/>
          <w:iCs/>
          <w:sz w:val="18"/>
          <w:szCs w:val="18"/>
        </w:rPr>
        <w:t>Figure 1</w:t>
      </w:r>
      <w:r w:rsidR="003D33FE">
        <w:rPr>
          <w:rFonts w:ascii="Book Antiqua" w:hAnsi="Book Antiqua"/>
          <w:b/>
          <w:bCs/>
          <w:i/>
          <w:iCs/>
          <w:sz w:val="18"/>
          <w:szCs w:val="18"/>
        </w:rPr>
        <w:t>7</w:t>
      </w:r>
      <w:r w:rsidRPr="004223A5">
        <w:rPr>
          <w:rFonts w:ascii="Book Antiqua" w:hAnsi="Book Antiqua"/>
          <w:b/>
          <w:bCs/>
          <w:i/>
          <w:iCs/>
          <w:sz w:val="18"/>
          <w:szCs w:val="18"/>
        </w:rPr>
        <w:t>:</w:t>
      </w:r>
      <w:r w:rsidRPr="004223A5">
        <w:rPr>
          <w:rFonts w:ascii="Book Antiqua" w:hAnsi="Book Antiqua"/>
          <w:bCs/>
          <w:i/>
          <w:iCs/>
          <w:sz w:val="18"/>
          <w:szCs w:val="18"/>
        </w:rPr>
        <w:t xml:space="preserve"> The extent of ionization of hydrogen given vertically against the Kelvin temperature horizontally according to the standard Saha equation. The graph shows that 80% of the gas will be plasma at 10,000 K.</w:t>
      </w:r>
    </w:p>
    <w:p w:rsidR="00265840" w:rsidRDefault="00265840" w:rsidP="00265840">
      <w:pPr>
        <w:pStyle w:val="NoSpacing"/>
        <w:jc w:val="both"/>
        <w:rPr>
          <w:rFonts w:ascii="Book Antiqua" w:hAnsi="Book Antiqua"/>
          <w:b/>
          <w:bCs/>
          <w:i/>
          <w:iCs/>
          <w:sz w:val="20"/>
        </w:rPr>
      </w:pPr>
    </w:p>
    <w:p w:rsidR="007B21D2" w:rsidRDefault="007B21D2" w:rsidP="007B21D2">
      <w:pPr>
        <w:pStyle w:val="NoSpacing"/>
        <w:ind w:firstLine="720"/>
        <w:jc w:val="both"/>
        <w:rPr>
          <w:rFonts w:ascii="Book Antiqua" w:hAnsi="Book Antiqua"/>
          <w:bCs/>
          <w:iCs/>
          <w:color w:val="000000"/>
          <w:sz w:val="20"/>
        </w:rPr>
      </w:pPr>
      <w:r>
        <w:rPr>
          <w:rFonts w:ascii="Book Antiqua" w:hAnsi="Book Antiqua"/>
          <w:bCs/>
          <w:iCs/>
          <w:color w:val="000000"/>
          <w:sz w:val="20"/>
        </w:rPr>
        <w:t xml:space="preserve">As given in Section 5.7, equations 60 and 61, the constant </w:t>
      </w:r>
      <w:r w:rsidRPr="00D56C60">
        <w:rPr>
          <w:rFonts w:ascii="Book Antiqua" w:hAnsi="Book Antiqua"/>
          <w:bCs/>
          <w:i/>
          <w:iCs/>
          <w:color w:val="000000"/>
          <w:sz w:val="20"/>
        </w:rPr>
        <w:t>K</w:t>
      </w:r>
      <w:r>
        <w:rPr>
          <w:rFonts w:ascii="Book Antiqua" w:hAnsi="Book Antiqua"/>
          <w:bCs/>
          <w:iCs/>
          <w:color w:val="000000"/>
          <w:sz w:val="20"/>
        </w:rPr>
        <w:t xml:space="preserve"> represents the proportionality constant between the red shift and the mean free path of an electron in its orbit.  The</w:t>
      </w:r>
      <w:r w:rsidRPr="00372C58">
        <w:rPr>
          <w:rFonts w:ascii="Book Antiqua" w:hAnsi="Book Antiqua"/>
          <w:bCs/>
          <w:iCs/>
          <w:color w:val="000000"/>
          <w:sz w:val="20"/>
        </w:rPr>
        <w:t xml:space="preserve"> value </w:t>
      </w:r>
      <w:r>
        <w:rPr>
          <w:rFonts w:ascii="Book Antiqua" w:hAnsi="Book Antiqua"/>
          <w:bCs/>
          <w:iCs/>
          <w:color w:val="000000"/>
          <w:sz w:val="20"/>
        </w:rPr>
        <w:t xml:space="preserve">for K </w:t>
      </w:r>
      <w:r w:rsidRPr="00372C58">
        <w:rPr>
          <w:rFonts w:ascii="Book Antiqua" w:hAnsi="Book Antiqua"/>
          <w:bCs/>
          <w:iCs/>
          <w:color w:val="000000"/>
          <w:sz w:val="20"/>
        </w:rPr>
        <w:t xml:space="preserve">is dependent on the redshift assigned to the Cosmic Microwave Background Radiation (CMBR). </w:t>
      </w:r>
      <w:r>
        <w:rPr>
          <w:rFonts w:ascii="Book Antiqua" w:hAnsi="Book Antiqua"/>
          <w:bCs/>
          <w:iCs/>
          <w:color w:val="000000"/>
          <w:sz w:val="20"/>
        </w:rPr>
        <w:t>So far, it has been assumed that</w:t>
      </w:r>
      <w:r w:rsidRPr="00372C58">
        <w:rPr>
          <w:rFonts w:ascii="Book Antiqua" w:hAnsi="Book Antiqua"/>
          <w:bCs/>
          <w:iCs/>
          <w:color w:val="000000"/>
          <w:sz w:val="20"/>
        </w:rPr>
        <w:t xml:space="preserve"> the reasoning of Big Bang astronomers </w:t>
      </w:r>
      <w:r>
        <w:rPr>
          <w:rFonts w:ascii="Book Antiqua" w:hAnsi="Book Antiqua"/>
          <w:bCs/>
          <w:iCs/>
          <w:color w:val="000000"/>
          <w:sz w:val="20"/>
        </w:rPr>
        <w:t>is</w:t>
      </w:r>
      <w:r w:rsidRPr="00372C58">
        <w:rPr>
          <w:rFonts w:ascii="Book Antiqua" w:hAnsi="Book Antiqua"/>
          <w:bCs/>
          <w:iCs/>
          <w:color w:val="000000"/>
          <w:sz w:val="20"/>
        </w:rPr>
        <w:t xml:space="preserve"> correct. </w:t>
      </w:r>
      <w:r>
        <w:rPr>
          <w:rFonts w:ascii="Book Antiqua" w:hAnsi="Book Antiqua"/>
          <w:bCs/>
          <w:iCs/>
          <w:color w:val="000000"/>
          <w:sz w:val="20"/>
        </w:rPr>
        <w:t>Given this</w:t>
      </w:r>
      <w:r w:rsidRPr="00372C58">
        <w:rPr>
          <w:rFonts w:ascii="Book Antiqua" w:hAnsi="Book Antiqua"/>
          <w:bCs/>
          <w:iCs/>
          <w:color w:val="000000"/>
          <w:sz w:val="20"/>
        </w:rPr>
        <w:t xml:space="preserve">, the best value for the redshift of the CMBR is </w:t>
      </w:r>
      <m:oMath>
        <m:r>
          <w:rPr>
            <w:rFonts w:ascii="Cambria Math" w:hAnsi="Cambria Math"/>
            <w:color w:val="000000"/>
            <w:sz w:val="20"/>
          </w:rPr>
          <m:t>z = 1187</m:t>
        </m:r>
      </m:oMath>
      <w:r w:rsidRPr="00372C58">
        <w:rPr>
          <w:rFonts w:ascii="Book Antiqua" w:hAnsi="Book Antiqua"/>
          <w:bCs/>
          <w:iCs/>
          <w:color w:val="000000"/>
          <w:sz w:val="20"/>
        </w:rPr>
        <w:t xml:space="preserve"> for the reasons outlined prior to equation (4</w:t>
      </w:r>
      <w:r>
        <w:rPr>
          <w:rFonts w:ascii="Book Antiqua" w:hAnsi="Book Antiqua"/>
          <w:bCs/>
          <w:iCs/>
          <w:color w:val="000000"/>
          <w:sz w:val="20"/>
        </w:rPr>
        <w:t>1</w:t>
      </w:r>
      <w:r w:rsidRPr="00372C58">
        <w:rPr>
          <w:rFonts w:ascii="Book Antiqua" w:hAnsi="Book Antiqua"/>
          <w:bCs/>
          <w:iCs/>
          <w:color w:val="000000"/>
          <w:sz w:val="20"/>
        </w:rPr>
        <w:t xml:space="preserve">). </w:t>
      </w:r>
      <w:r>
        <w:rPr>
          <w:rFonts w:ascii="Book Antiqua" w:hAnsi="Book Antiqua"/>
          <w:bCs/>
          <w:iCs/>
          <w:color w:val="000000"/>
          <w:sz w:val="20"/>
        </w:rPr>
        <w:t>This approach, however, depends on specialized conditions for the formation of the CMBR</w:t>
      </w:r>
      <w:r w:rsidRPr="00372C58">
        <w:rPr>
          <w:rFonts w:ascii="Book Antiqua" w:hAnsi="Book Antiqua"/>
          <w:bCs/>
          <w:iCs/>
          <w:color w:val="000000"/>
          <w:sz w:val="20"/>
        </w:rPr>
        <w:t xml:space="preserve">. </w:t>
      </w:r>
    </w:p>
    <w:p w:rsidR="007B21D2" w:rsidRDefault="007B21D2" w:rsidP="007B21D2">
      <w:pPr>
        <w:pStyle w:val="NoSpacing"/>
        <w:ind w:firstLine="720"/>
        <w:jc w:val="both"/>
        <w:rPr>
          <w:rFonts w:ascii="Book Antiqua" w:hAnsi="Book Antiqua"/>
          <w:bCs/>
          <w:iCs/>
          <w:color w:val="000000"/>
          <w:sz w:val="20"/>
        </w:rPr>
      </w:pPr>
    </w:p>
    <w:p w:rsidR="007B21D2" w:rsidRDefault="007B21D2" w:rsidP="007B21D2">
      <w:pPr>
        <w:pStyle w:val="NoSpacing"/>
        <w:ind w:firstLine="720"/>
        <w:jc w:val="both"/>
        <w:rPr>
          <w:rFonts w:ascii="Book Antiqua" w:hAnsi="Book Antiqua"/>
          <w:bCs/>
          <w:iCs/>
          <w:color w:val="000000"/>
          <w:sz w:val="20"/>
        </w:rPr>
      </w:pPr>
      <w:r>
        <w:rPr>
          <w:rFonts w:ascii="Book Antiqua" w:hAnsi="Book Antiqua"/>
          <w:bCs/>
          <w:iCs/>
          <w:color w:val="000000"/>
          <w:sz w:val="20"/>
        </w:rPr>
        <w:t>But</w:t>
      </w:r>
      <w:r w:rsidRPr="00372C58">
        <w:rPr>
          <w:rFonts w:ascii="Book Antiqua" w:hAnsi="Book Antiqua"/>
          <w:bCs/>
          <w:iCs/>
          <w:color w:val="000000"/>
          <w:sz w:val="20"/>
        </w:rPr>
        <w:t xml:space="preserve"> this may not be </w:t>
      </w:r>
      <w:r>
        <w:rPr>
          <w:rFonts w:ascii="Book Antiqua" w:hAnsi="Book Antiqua"/>
          <w:bCs/>
          <w:iCs/>
          <w:color w:val="000000"/>
          <w:sz w:val="20"/>
        </w:rPr>
        <w:t>the correct approach.  No “special conditions” are needed.  Since t</w:t>
      </w:r>
      <w:r w:rsidRPr="00372C58">
        <w:rPr>
          <w:rFonts w:ascii="Book Antiqua" w:hAnsi="Book Antiqua"/>
          <w:bCs/>
          <w:iCs/>
          <w:color w:val="000000"/>
          <w:sz w:val="20"/>
        </w:rPr>
        <w:t>he CMBR could only form once the Zero Point Energy had built up sufficiently for neutral atoms to form</w:t>
      </w:r>
      <w:r>
        <w:rPr>
          <w:rFonts w:ascii="Book Antiqua" w:hAnsi="Book Antiqua"/>
          <w:bCs/>
          <w:iCs/>
          <w:color w:val="000000"/>
          <w:sz w:val="20"/>
        </w:rPr>
        <w:t xml:space="preserve">, </w:t>
      </w:r>
      <w:r w:rsidRPr="00372C58">
        <w:rPr>
          <w:rFonts w:ascii="Book Antiqua" w:hAnsi="Book Antiqua"/>
          <w:bCs/>
          <w:iCs/>
          <w:color w:val="000000"/>
          <w:sz w:val="20"/>
        </w:rPr>
        <w:t xml:space="preserve">a slightly revised value for </w:t>
      </w:r>
      <m:oMath>
        <m:r>
          <w:rPr>
            <w:rFonts w:ascii="Cambria Math" w:hAnsi="Cambria Math"/>
            <w:color w:val="000000"/>
            <w:sz w:val="20"/>
          </w:rPr>
          <m:t>K</m:t>
        </m:r>
      </m:oMath>
      <w:r w:rsidRPr="00372C58">
        <w:rPr>
          <w:rFonts w:ascii="Book Antiqua" w:hAnsi="Book Antiqua"/>
          <w:bCs/>
          <w:iCs/>
          <w:color w:val="000000"/>
          <w:sz w:val="20"/>
        </w:rPr>
        <w:t xml:space="preserve"> results.</w:t>
      </w:r>
      <w:r>
        <w:rPr>
          <w:rFonts w:ascii="Book Antiqua" w:hAnsi="Book Antiqua"/>
          <w:bCs/>
          <w:iCs/>
          <w:color w:val="000000"/>
          <w:sz w:val="20"/>
        </w:rPr>
        <w:t xml:space="preserve">  Instead of a variety of special conditions, we need only consider the point at which ionized hydrogen becomes neutral hydrogen.</w:t>
      </w:r>
    </w:p>
    <w:p w:rsidR="007B21D2" w:rsidRPr="00372C58" w:rsidRDefault="007B21D2" w:rsidP="007B21D2">
      <w:pPr>
        <w:pStyle w:val="NoSpacing"/>
        <w:ind w:firstLine="720"/>
        <w:jc w:val="both"/>
        <w:rPr>
          <w:rFonts w:ascii="Book Antiqua" w:hAnsi="Book Antiqua"/>
          <w:bCs/>
          <w:iCs/>
          <w:color w:val="000000"/>
          <w:sz w:val="20"/>
        </w:rPr>
      </w:pPr>
    </w:p>
    <w:p w:rsidR="007B21D2" w:rsidRPr="00372C58" w:rsidRDefault="007B21D2" w:rsidP="007B21D2">
      <w:pPr>
        <w:pStyle w:val="NoSpacing"/>
        <w:ind w:firstLine="720"/>
        <w:jc w:val="both"/>
        <w:rPr>
          <w:rFonts w:ascii="Book Antiqua" w:hAnsi="Book Antiqua"/>
          <w:sz w:val="20"/>
        </w:rPr>
      </w:pPr>
      <w:r w:rsidRPr="00372C58">
        <w:rPr>
          <w:rFonts w:ascii="Book Antiqua" w:hAnsi="Book Antiqua"/>
          <w:sz w:val="20"/>
        </w:rPr>
        <w:t xml:space="preserve">Some of these results are shown graphically </w:t>
      </w:r>
      <w:r>
        <w:rPr>
          <w:rFonts w:ascii="Book Antiqua" w:hAnsi="Book Antiqua"/>
          <w:sz w:val="20"/>
        </w:rPr>
        <w:t xml:space="preserve">above </w:t>
      </w:r>
      <w:r w:rsidRPr="00372C58">
        <w:rPr>
          <w:rFonts w:ascii="Book Antiqua" w:hAnsi="Book Antiqua"/>
          <w:sz w:val="20"/>
        </w:rPr>
        <w:t>in Figure 1</w:t>
      </w:r>
      <w:r w:rsidR="003D33FE">
        <w:rPr>
          <w:rFonts w:ascii="Book Antiqua" w:hAnsi="Book Antiqua"/>
          <w:sz w:val="20"/>
        </w:rPr>
        <w:t>6</w:t>
      </w:r>
      <w:r w:rsidRPr="00372C58">
        <w:rPr>
          <w:rFonts w:ascii="Book Antiqua" w:hAnsi="Book Antiqua"/>
          <w:sz w:val="20"/>
        </w:rPr>
        <w:t>. There, the symbols H I on the top left refer to neutral atomic hydrogen and H II on the top right to ionized hydrogen (plasma). Pressure also plays a role here as shown by the colored lines. The red lines give the results for a pressure that is ten times that of the blue lines. In Figure 1</w:t>
      </w:r>
      <w:r w:rsidR="003D33FE">
        <w:rPr>
          <w:rFonts w:ascii="Book Antiqua" w:hAnsi="Book Antiqua"/>
          <w:sz w:val="20"/>
        </w:rPr>
        <w:t>7</w:t>
      </w:r>
      <w:r w:rsidRPr="00372C58">
        <w:rPr>
          <w:rFonts w:ascii="Book Antiqua" w:hAnsi="Book Antiqua"/>
          <w:sz w:val="20"/>
        </w:rPr>
        <w:t xml:space="preserve">, the </w:t>
      </w:r>
      <w:r w:rsidR="005A2E4A">
        <w:rPr>
          <w:rFonts w:ascii="Book Antiqua" w:hAnsi="Book Antiqua"/>
          <w:sz w:val="20"/>
        </w:rPr>
        <w:lastRenderedPageBreak/>
        <w:t xml:space="preserve">results from the </w:t>
      </w:r>
      <w:r w:rsidRPr="00372C58">
        <w:rPr>
          <w:rFonts w:ascii="Book Antiqua" w:hAnsi="Book Antiqua"/>
          <w:sz w:val="20"/>
        </w:rPr>
        <w:t xml:space="preserve">Saha equation </w:t>
      </w:r>
      <w:r w:rsidR="005A2E4A">
        <w:rPr>
          <w:rFonts w:ascii="Book Antiqua" w:hAnsi="Book Antiqua"/>
          <w:sz w:val="20"/>
        </w:rPr>
        <w:t>f</w:t>
      </w:r>
      <w:r w:rsidRPr="00372C58">
        <w:rPr>
          <w:rFonts w:ascii="Book Antiqua" w:hAnsi="Book Antiqua"/>
          <w:sz w:val="20"/>
        </w:rPr>
        <w:t>or the ionization of hydrogen are graphed on a larger scale than Figure 1</w:t>
      </w:r>
      <w:r w:rsidR="003D33FE">
        <w:rPr>
          <w:rFonts w:ascii="Book Antiqua" w:hAnsi="Book Antiqua"/>
          <w:sz w:val="20"/>
        </w:rPr>
        <w:t>6</w:t>
      </w:r>
      <w:r w:rsidRPr="00372C58">
        <w:rPr>
          <w:rFonts w:ascii="Book Antiqua" w:hAnsi="Book Antiqua"/>
          <w:sz w:val="20"/>
        </w:rPr>
        <w:t>. The temperature in degres Kelvin is on the horizontal axis and the proportion of the gas which is ionized, or exists as plasma, is shown vertically.</w:t>
      </w:r>
    </w:p>
    <w:p w:rsidR="007B21D2" w:rsidRPr="00372C58" w:rsidRDefault="007B21D2" w:rsidP="007B21D2">
      <w:pPr>
        <w:pStyle w:val="NoSpacing"/>
        <w:jc w:val="both"/>
        <w:rPr>
          <w:rFonts w:ascii="Book Antiqua" w:hAnsi="Book Antiqua"/>
          <w:sz w:val="20"/>
        </w:rPr>
      </w:pPr>
    </w:p>
    <w:p w:rsidR="007B21D2" w:rsidRPr="00372C58" w:rsidRDefault="007B21D2" w:rsidP="007B21D2">
      <w:pPr>
        <w:pStyle w:val="NoSpacing"/>
        <w:ind w:firstLine="720"/>
        <w:jc w:val="both"/>
        <w:rPr>
          <w:rFonts w:ascii="Book Antiqua" w:hAnsi="Book Antiqua"/>
          <w:bCs/>
          <w:iCs/>
          <w:color w:val="000000"/>
          <w:sz w:val="20"/>
        </w:rPr>
      </w:pPr>
      <w:r w:rsidRPr="00372C58">
        <w:rPr>
          <w:rFonts w:ascii="Book Antiqua" w:hAnsi="Book Antiqua"/>
          <w:bCs/>
          <w:iCs/>
          <w:sz w:val="20"/>
        </w:rPr>
        <w:t>The importance of knowing the ionization temperature and the wavelength of emitted radiation comes from the fact that the ratio of the ionization temperature to the current temperature of the CMBR (2.725 K), will also give a measure of the redshift of those wavelengths compared with now [85]. This follows from Wien’s Law where the peak wavelength of emitted radiation multiplied by the Kelvin temperature of the emitter is a constant [86]. Thus with a recombination temperature of 5800</w:t>
      </w:r>
      <w:r>
        <w:rPr>
          <w:rFonts w:ascii="Book Antiqua" w:hAnsi="Book Antiqua"/>
          <w:bCs/>
          <w:iCs/>
          <w:sz w:val="20"/>
        </w:rPr>
        <w:t xml:space="preserve"> </w:t>
      </w:r>
      <w:r w:rsidRPr="00372C58">
        <w:rPr>
          <w:rFonts w:ascii="Book Antiqua" w:hAnsi="Book Antiqua"/>
          <w:bCs/>
          <w:iCs/>
          <w:sz w:val="20"/>
        </w:rPr>
        <w:t>K, due to increasing ZPE strength allowing neutral atoms</w:t>
      </w:r>
      <w:r w:rsidRPr="00372C58">
        <w:rPr>
          <w:rFonts w:ascii="Book Antiqua" w:hAnsi="Book Antiqua"/>
          <w:bCs/>
          <w:iCs/>
          <w:color w:val="000000"/>
          <w:sz w:val="20"/>
        </w:rPr>
        <w:t xml:space="preserve"> to form, the redshift of the emitted CMB radiation will be given by</w:t>
      </w:r>
    </w:p>
    <w:p w:rsidR="007B21D2" w:rsidRPr="00372C58" w:rsidRDefault="007B21D2" w:rsidP="00265840">
      <w:pPr>
        <w:pStyle w:val="NoSpacing"/>
        <w:jc w:val="both"/>
        <w:rPr>
          <w:rFonts w:ascii="Book Antiqua" w:hAnsi="Book Antiqua"/>
          <w:b/>
          <w:bCs/>
          <w:i/>
          <w:iCs/>
          <w:sz w:val="20"/>
        </w:rPr>
      </w:pPr>
    </w:p>
    <w:p w:rsidR="00265840" w:rsidRPr="00372C58" w:rsidRDefault="00265840" w:rsidP="00265840">
      <w:pPr>
        <w:pStyle w:val="NoSpacing"/>
        <w:ind w:firstLine="720"/>
        <w:jc w:val="both"/>
        <w:rPr>
          <w:rFonts w:ascii="Book Antiqua" w:hAnsi="Book Antiqua"/>
          <w:bCs/>
          <w:iCs/>
          <w:color w:val="000000"/>
          <w:sz w:val="20"/>
        </w:rPr>
      </w:pPr>
    </w:p>
    <w:p w:rsidR="00265840" w:rsidRPr="00372C58" w:rsidRDefault="00241D2F" w:rsidP="00265840">
      <w:pPr>
        <w:pStyle w:val="NoSpacing"/>
        <w:ind w:firstLine="720"/>
        <w:jc w:val="right"/>
        <w:rPr>
          <w:rFonts w:ascii="Book Antiqua" w:hAnsi="Book Antiqua"/>
          <w:bCs/>
          <w:iCs/>
          <w:color w:val="000000"/>
          <w:sz w:val="20"/>
        </w:rPr>
      </w:pPr>
      <m:oMath>
        <m:sSup>
          <m:sSupPr>
            <m:ctrlPr>
              <w:rPr>
                <w:rFonts w:ascii="Cambria Math" w:hAnsi="Cambria Math"/>
                <w:i/>
                <w:color w:val="000000"/>
                <w:sz w:val="20"/>
              </w:rPr>
            </m:ctrlPr>
          </m:sSupPr>
          <m:e>
            <m:r>
              <w:rPr>
                <w:rFonts w:ascii="Cambria Math" w:hAnsi="Cambria Math"/>
                <w:color w:val="000000"/>
                <w:sz w:val="20"/>
              </w:rPr>
              <m:t>z</m:t>
            </m:r>
          </m:e>
          <m:sup>
            <m:r>
              <w:rPr>
                <w:rFonts w:ascii="Cambria Math" w:hAnsi="Cambria Math"/>
                <w:color w:val="000000"/>
                <w:sz w:val="20"/>
              </w:rPr>
              <m:t>*</m:t>
            </m:r>
          </m:sup>
        </m:sSup>
        <m:r>
          <w:rPr>
            <w:rFonts w:ascii="Cambria Math" w:hAnsi="Cambria Math"/>
            <w:color w:val="000000"/>
            <w:sz w:val="20"/>
          </w:rPr>
          <m:t xml:space="preserve">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5800/2.725 = 2128</m:t>
        </m:r>
      </m:oMath>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
          <w:iCs/>
          <w:color w:val="000000"/>
          <w:sz w:val="20"/>
        </w:rPr>
        <w:t xml:space="preserve"> (92)</w:t>
      </w:r>
      <w:r w:rsidR="00265840" w:rsidRPr="00372C58">
        <w:rPr>
          <w:rFonts w:ascii="Book Antiqua" w:hAnsi="Book Antiqua"/>
          <w:bCs/>
          <w:iCs/>
          <w:color w:val="000000"/>
          <w:sz w:val="20"/>
        </w:rPr>
        <w:t xml:space="preserve">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Alternately, if the combination temperature of 6500</w:t>
      </w:r>
      <w:r w:rsidR="007B21D2">
        <w:rPr>
          <w:rFonts w:ascii="Book Antiqua" w:hAnsi="Book Antiqua"/>
          <w:bCs/>
          <w:iCs/>
          <w:color w:val="000000"/>
          <w:sz w:val="20"/>
        </w:rPr>
        <w:t xml:space="preserve"> </w:t>
      </w:r>
      <w:r w:rsidRPr="00372C58">
        <w:rPr>
          <w:rFonts w:ascii="Book Antiqua" w:hAnsi="Book Antiqua"/>
          <w:bCs/>
          <w:iCs/>
          <w:color w:val="000000"/>
          <w:sz w:val="20"/>
        </w:rPr>
        <w:t>K is chosen on the basis of the Saha equation we have</w:t>
      </w:r>
    </w:p>
    <w:p w:rsidR="00265840" w:rsidRPr="00372C58" w:rsidRDefault="00265840" w:rsidP="00265840">
      <w:pPr>
        <w:pStyle w:val="NoSpacing"/>
        <w:jc w:val="both"/>
        <w:rPr>
          <w:rFonts w:ascii="Book Antiqua" w:hAnsi="Book Antiqua"/>
          <w:bCs/>
          <w:iCs/>
          <w:color w:val="000000"/>
          <w:sz w:val="20"/>
        </w:rPr>
      </w:pPr>
    </w:p>
    <w:p w:rsidR="00265840" w:rsidRPr="00372C58" w:rsidRDefault="00241D2F" w:rsidP="00265840">
      <w:pPr>
        <w:pStyle w:val="NoSpacing"/>
        <w:jc w:val="right"/>
        <w:rPr>
          <w:rFonts w:ascii="Book Antiqua" w:hAnsi="Book Antiqua"/>
          <w:bCs/>
          <w:iCs/>
          <w:color w:val="000000"/>
          <w:sz w:val="20"/>
        </w:rPr>
      </w:pPr>
      <m:oMath>
        <m:sSup>
          <m:sSupPr>
            <m:ctrlPr>
              <w:rPr>
                <w:rFonts w:ascii="Cambria Math" w:hAnsi="Cambria Math"/>
                <w:i/>
                <w:color w:val="000000"/>
                <w:sz w:val="20"/>
              </w:rPr>
            </m:ctrlPr>
          </m:sSupPr>
          <m:e>
            <m:r>
              <w:rPr>
                <w:rFonts w:ascii="Cambria Math" w:hAnsi="Cambria Math"/>
                <w:color w:val="000000"/>
                <w:sz w:val="20"/>
              </w:rPr>
              <m:t>z</m:t>
            </m:r>
          </m:e>
          <m:sup>
            <m:r>
              <w:rPr>
                <w:rFonts w:ascii="Cambria Math" w:hAnsi="Cambria Math"/>
                <w:color w:val="000000"/>
                <w:sz w:val="20"/>
              </w:rPr>
              <m:t>*</m:t>
            </m:r>
          </m:sup>
        </m:sSup>
        <m:r>
          <w:rPr>
            <w:rFonts w:ascii="Cambria Math" w:hAnsi="Cambria Math"/>
            <w:color w:val="000000"/>
            <w:sz w:val="20"/>
          </w:rPr>
          <m:t xml:space="preserve">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6500/2.725 = 2385</m:t>
        </m:r>
      </m:oMath>
      <w:r w:rsidR="00265840" w:rsidRPr="00372C58">
        <w:rPr>
          <w:rFonts w:ascii="Book Antiqua" w:hAnsi="Book Antiqua"/>
          <w:bCs/>
          <w:iCs/>
          <w:color w:val="000000"/>
          <w:sz w:val="20"/>
        </w:rPr>
        <w:tab/>
        <w:t xml:space="preserve"> </w:t>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t xml:space="preserve"> </w:t>
      </w:r>
      <w:r w:rsidR="00265840" w:rsidRPr="00372C58">
        <w:rPr>
          <w:rFonts w:ascii="Book Antiqua" w:hAnsi="Book Antiqua"/>
          <w:bCs/>
          <w:i/>
          <w:iCs/>
          <w:color w:val="000000"/>
          <w:sz w:val="20"/>
        </w:rPr>
        <w:t>(93)</w:t>
      </w: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 </w:t>
      </w: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These values for the redshift of the CMBR modif</w:t>
      </w:r>
      <w:r w:rsidR="007B21D2">
        <w:rPr>
          <w:rFonts w:ascii="Book Antiqua" w:hAnsi="Book Antiqua"/>
          <w:bCs/>
          <w:iCs/>
          <w:color w:val="000000"/>
          <w:sz w:val="20"/>
        </w:rPr>
        <w:t>y</w:t>
      </w:r>
      <w:r w:rsidRPr="00372C58">
        <w:rPr>
          <w:rFonts w:ascii="Book Antiqua" w:hAnsi="Book Antiqua"/>
          <w:bCs/>
          <w:iCs/>
          <w:color w:val="000000"/>
          <w:sz w:val="20"/>
        </w:rPr>
        <w:t xml:space="preserve"> the value of K in equation (60). When the whole process is worked through using the value for the redshift in (92), the value of K becomes</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K  =  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(94)</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Thus the value  </w:t>
      </w:r>
      <m:oMath>
        <m:r>
          <w:rPr>
            <w:rFonts w:ascii="Cambria Math" w:hAnsi="Cambria Math"/>
            <w:color w:val="000000"/>
            <w:sz w:val="20"/>
          </w:rPr>
          <m:t xml:space="preserve">K= </m:t>
        </m:r>
        <m:r>
          <w:rPr>
            <w:rFonts w:ascii="Cambria Math" w:hAnsi="Cambria Math"/>
            <w:sz w:val="20"/>
          </w:rPr>
          <m:t xml:space="preserve">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 xml:space="preserve"> </m:t>
        </m:r>
      </m:oMath>
      <w:r w:rsidRPr="00372C58">
        <w:rPr>
          <w:rFonts w:ascii="Book Antiqua" w:hAnsi="Book Antiqua"/>
          <w:bCs/>
          <w:iCs/>
          <w:color w:val="000000"/>
          <w:sz w:val="20"/>
        </w:rPr>
        <w:t>in equation (60) is close to the average value between the maximum given by inserting the currently estimated age of the cosmos in (65) and a minimum obtained from (94). As a result, we can say that the numerical value of K probably lies within the limits of</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4.1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 xml:space="preserve"> ≤ K ≤ 5.4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m:t>
        </m:r>
      </m:oMath>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(95)</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rPr>
          <w:rFonts w:ascii="Book Antiqua" w:hAnsi="Book Antiqua"/>
          <w:bCs/>
          <w:iCs/>
          <w:color w:val="000000"/>
          <w:sz w:val="20"/>
        </w:rPr>
      </w:pPr>
      <w:r w:rsidRPr="00372C58">
        <w:rPr>
          <w:rFonts w:ascii="Book Antiqua" w:hAnsi="Book Antiqua"/>
          <w:bCs/>
          <w:iCs/>
          <w:color w:val="000000"/>
          <w:sz w:val="20"/>
        </w:rPr>
        <w:t xml:space="preserve">The best mean value is then approximately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right"/>
        <w:rPr>
          <w:oMath/>
          <w:rFonts w:ascii="Cambria Math" w:hAnsi="Cambria Math"/>
          <w:color w:val="000000"/>
          <w:sz w:val="20"/>
        </w:rPr>
      </w:pPr>
      <m:oMath>
        <m:r>
          <w:rPr>
            <w:rFonts w:ascii="Cambria Math" w:hAnsi="Cambria Math"/>
            <w:color w:val="000000"/>
            <w:sz w:val="20"/>
          </w:rPr>
          <m:t xml:space="preserve">K  =  4.74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 xml:space="preserve"> </w:t>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(96)</w:t>
      </w:r>
    </w:p>
    <w:p w:rsidR="00265840" w:rsidRPr="00372C58" w:rsidRDefault="00265840" w:rsidP="00265840">
      <w:pPr>
        <w:pStyle w:val="NormPara"/>
        <w:ind w:firstLine="0"/>
        <w:rPr>
          <w:noProof/>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9. The Redshift, CMBR, Atomic Clock Rates and Lightspeed.</w:t>
      </w:r>
    </w:p>
    <w:p w:rsidR="00265840" w:rsidRPr="00372C58" w:rsidRDefault="00265840" w:rsidP="00265840">
      <w:pPr>
        <w:pStyle w:val="NormPara"/>
        <w:ind w:firstLine="0"/>
        <w:rPr>
          <w:noProof/>
          <w:sz w:val="20"/>
        </w:rPr>
      </w:pPr>
    </w:p>
    <w:p w:rsidR="00265840" w:rsidRPr="00372C58" w:rsidRDefault="00265840" w:rsidP="00265840">
      <w:pPr>
        <w:pStyle w:val="NormPara"/>
        <w:ind w:firstLine="720"/>
        <w:rPr>
          <w:noProof/>
          <w:sz w:val="20"/>
        </w:rPr>
      </w:pPr>
      <w:r w:rsidRPr="00372C58">
        <w:rPr>
          <w:noProof/>
          <w:sz w:val="20"/>
        </w:rPr>
        <w:t xml:space="preserve">The quantity </w:t>
      </w:r>
      <m:oMath>
        <m:r>
          <w:rPr>
            <w:rFonts w:ascii="Cambria Math" w:hAnsi="Cambria Math"/>
            <w:noProof/>
            <w:sz w:val="20"/>
          </w:rPr>
          <m:t>K</m:t>
        </m:r>
      </m:oMath>
      <w:r w:rsidRPr="00372C58">
        <w:rPr>
          <w:noProof/>
          <w:sz w:val="20"/>
        </w:rPr>
        <w:t xml:space="preserve"> is the proportionality constant for equations (30), (35), (60) and (65). Among other things, it functions to link the mean free path of electrons in orbit to the redshift. However, the speed of light, </w:t>
      </w:r>
      <m:oMath>
        <m:r>
          <w:rPr>
            <w:rFonts w:ascii="Cambria Math" w:hAnsi="Cambria Math"/>
            <w:noProof/>
            <w:sz w:val="20"/>
          </w:rPr>
          <m:t>c</m:t>
        </m:r>
      </m:oMath>
      <w:r w:rsidRPr="00372C58">
        <w:rPr>
          <w:noProof/>
          <w:sz w:val="20"/>
        </w:rPr>
        <w:t xml:space="preserve">, and the rate of ticking of atomic clocks, </w:t>
      </w:r>
      <m:oMath>
        <m:r>
          <w:rPr>
            <w:rFonts w:ascii="Cambria Math" w:hAnsi="Cambria Math"/>
            <w:noProof/>
            <w:sz w:val="20"/>
          </w:rPr>
          <m:t>f</m:t>
        </m:r>
      </m:oMath>
      <w:r w:rsidRPr="00372C58">
        <w:rPr>
          <w:noProof/>
          <w:sz w:val="20"/>
        </w:rPr>
        <w:t xml:space="preserve">, also appear in equations such as (64). Atomic clocks and lightspeed are related: If an atomic clock ticks off, say, 10 atomic years in one ordinary orbital year, then light will also have traveled 10 lightyears distance in that orbital year. Therefore, both these quantities will have the same proportionality in relation to the redshift. This proportionality constant may be designated as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oMath>
      <w:r w:rsidRPr="00372C58">
        <w:rPr>
          <w:noProof/>
          <w:sz w:val="20"/>
        </w:rPr>
        <w:t xml:space="preserve"> From the discussion surrounding the determination of </w:t>
      </w:r>
      <m:oMath>
        <m:r>
          <w:rPr>
            <w:rFonts w:ascii="Cambria Math" w:hAnsi="Cambria Math"/>
            <w:noProof/>
            <w:sz w:val="20"/>
          </w:rPr>
          <m:t>K</m:t>
        </m:r>
      </m:oMath>
      <w:r w:rsidRPr="00372C58">
        <w:rPr>
          <w:noProof/>
          <w:sz w:val="20"/>
        </w:rPr>
        <w:t xml:space="preserve"> and inspection of the related equations, it can be determined that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m:t>
        </m:r>
      </m:oMath>
      <w:r w:rsidRPr="00372C58">
        <w:rPr>
          <w:noProof/>
          <w:sz w:val="20"/>
        </w:rPr>
        <w:t xml:space="preserve"> is given by </w:t>
      </w:r>
      <m:oMath>
        <m:r>
          <w:rPr>
            <w:rFonts w:ascii="Cambria Math" w:hAnsi="Cambria Math"/>
            <w:noProof/>
            <w:sz w:val="20"/>
          </w:rPr>
          <m:t>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m:t>
        </m:r>
      </m:oMath>
      <w:r w:rsidRPr="00372C58">
        <w:rPr>
          <w:noProof/>
          <w:sz w:val="20"/>
        </w:rPr>
        <w:t xml:space="preserve"> where </w:t>
      </w:r>
      <m:oMath>
        <m:r>
          <w:rPr>
            <w:rFonts w:ascii="Cambria Math" w:hAnsi="Cambria Math"/>
            <w:noProof/>
            <w:sz w:val="20"/>
          </w:rPr>
          <m:t xml:space="preserve">(1 + </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m:t>
        </m:r>
      </m:oMath>
      <w:r w:rsidRPr="00372C58">
        <w:rPr>
          <w:noProof/>
          <w:sz w:val="20"/>
        </w:rPr>
        <w:t xml:space="preserve"> is the redshift of the CMBR. </w:t>
      </w:r>
    </w:p>
    <w:p w:rsidR="00265840" w:rsidRPr="00372C58" w:rsidRDefault="00265840" w:rsidP="00265840">
      <w:pPr>
        <w:pStyle w:val="NormPara"/>
        <w:ind w:firstLine="720"/>
        <w:rPr>
          <w:noProof/>
          <w:sz w:val="20"/>
        </w:rPr>
      </w:pPr>
    </w:p>
    <w:p w:rsidR="00265840" w:rsidRPr="00372C58" w:rsidRDefault="00265840" w:rsidP="00265840">
      <w:pPr>
        <w:pStyle w:val="NormPara"/>
        <w:ind w:firstLine="720"/>
        <w:rPr>
          <w:noProof/>
          <w:sz w:val="20"/>
        </w:rPr>
      </w:pPr>
      <w:r w:rsidRPr="00372C58">
        <w:rPr>
          <w:noProof/>
          <w:sz w:val="20"/>
        </w:rPr>
        <w:t>As noted above from figures 1</w:t>
      </w:r>
      <w:r w:rsidR="003D33FE">
        <w:rPr>
          <w:noProof/>
          <w:sz w:val="20"/>
        </w:rPr>
        <w:t>6</w:t>
      </w:r>
      <w:r w:rsidRPr="00372C58">
        <w:rPr>
          <w:noProof/>
          <w:sz w:val="20"/>
        </w:rPr>
        <w:t xml:space="preserve"> and 1</w:t>
      </w:r>
      <w:r w:rsidR="003D33FE">
        <w:rPr>
          <w:noProof/>
          <w:sz w:val="20"/>
        </w:rPr>
        <w:t>7</w:t>
      </w:r>
      <w:r w:rsidRPr="00372C58">
        <w:rPr>
          <w:noProof/>
          <w:sz w:val="20"/>
        </w:rPr>
        <w:t xml:space="preserve">, the recombination temperature of cooling hydrogen is about 6500K at which time a significant quantity has become neutral atoms. </w:t>
      </w:r>
      <w:r w:rsidR="00E45525">
        <w:rPr>
          <w:noProof/>
          <w:sz w:val="20"/>
        </w:rPr>
        <w:t>T</w:t>
      </w:r>
      <w:r w:rsidRPr="00372C58">
        <w:rPr>
          <w:noProof/>
          <w:sz w:val="20"/>
        </w:rPr>
        <w:t xml:space="preserve">his higher temperature is preferred to the 5800K figure because it is closer to the time when the ZPE was just starting to support the formation of atoms. This gives a redshift of </w:t>
      </w:r>
      <m:oMath>
        <m:r>
          <w:rPr>
            <w:rFonts w:ascii="Cambria Math" w:hAnsi="Cambria Math"/>
            <w:noProof/>
            <w:sz w:val="20"/>
          </w:rPr>
          <m:t xml:space="preserve">(1 + </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 2386</m:t>
        </m:r>
      </m:oMath>
      <w:r w:rsidRPr="00372C58">
        <w:rPr>
          <w:noProof/>
          <w:sz w:val="20"/>
        </w:rPr>
        <w:t xml:space="preserve">. However, the value of </w:t>
      </w:r>
      <m:oMath>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oMath>
      <w:r w:rsidRPr="00372C58">
        <w:rPr>
          <w:noProof/>
          <w:sz w:val="20"/>
        </w:rPr>
        <w:t xml:space="preserve"> in (92) was 2128. Using this lower redshift figure as well as the corresponding result for K from (94), we obtain the result that:</w:t>
      </w:r>
    </w:p>
    <w:p w:rsidR="00265840" w:rsidRPr="00372C58" w:rsidRDefault="00265840" w:rsidP="00265840">
      <w:pPr>
        <w:pStyle w:val="NormPara"/>
        <w:ind w:firstLine="720"/>
        <w:rPr>
          <w:noProof/>
          <w:sz w:val="20"/>
        </w:rPr>
      </w:pPr>
    </w:p>
    <w:p w:rsidR="00265840" w:rsidRPr="00372C58" w:rsidRDefault="00241D2F" w:rsidP="00265840">
      <w:pPr>
        <w:pStyle w:val="NormPara"/>
        <w:ind w:firstLine="720"/>
        <w:jc w:val="right"/>
        <w:rPr>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 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2129</m:t>
            </m:r>
          </m:den>
        </m:f>
        <m:r>
          <w:rPr>
            <w:rFonts w:ascii="Cambria Math" w:hAnsi="Cambria Math"/>
            <w:noProof/>
            <w:sz w:val="20"/>
          </w:rPr>
          <m:t xml:space="preserve">=  1.9263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(97)</w:t>
      </w:r>
    </w:p>
    <w:p w:rsidR="00265840" w:rsidRPr="00372C58" w:rsidRDefault="00265840" w:rsidP="00265840">
      <w:pPr>
        <w:pStyle w:val="NormPara"/>
        <w:ind w:firstLine="0"/>
        <w:rPr>
          <w:noProof/>
          <w:sz w:val="20"/>
        </w:rPr>
      </w:pPr>
    </w:p>
    <w:p w:rsidR="00265840" w:rsidRPr="00372C58" w:rsidRDefault="00265840" w:rsidP="00265840">
      <w:pPr>
        <w:pStyle w:val="NormPara"/>
        <w:ind w:firstLine="0"/>
        <w:rPr>
          <w:noProof/>
          <w:sz w:val="20"/>
        </w:rPr>
      </w:pPr>
      <w:r w:rsidRPr="00372C58">
        <w:rPr>
          <w:noProof/>
          <w:sz w:val="20"/>
        </w:rPr>
        <w:lastRenderedPageBreak/>
        <w:t>Alternately, if we use the higher redshift value for the CMBR of  2386, we get</w:t>
      </w:r>
    </w:p>
    <w:p w:rsidR="00265840" w:rsidRPr="00372C58" w:rsidRDefault="00265840" w:rsidP="00265840">
      <w:pPr>
        <w:pStyle w:val="NormPara"/>
        <w:ind w:firstLine="0"/>
        <w:rPr>
          <w:noProof/>
          <w:sz w:val="20"/>
        </w:rPr>
      </w:pPr>
    </w:p>
    <w:p w:rsidR="00265840" w:rsidRPr="00372C58" w:rsidRDefault="00241D2F" w:rsidP="00265840">
      <w:pPr>
        <w:pStyle w:val="NormPara"/>
        <w:ind w:firstLine="0"/>
        <w:jc w:val="right"/>
        <w:rPr>
          <w:i/>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2386</m:t>
            </m:r>
          </m:den>
        </m:f>
        <m:r>
          <w:rPr>
            <w:rFonts w:ascii="Cambria Math" w:hAnsi="Cambria Math"/>
            <w:noProof/>
            <w:sz w:val="20"/>
          </w:rPr>
          <m:t xml:space="preserve">=  1.7188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(98)</w:t>
      </w:r>
    </w:p>
    <w:p w:rsidR="00265840" w:rsidRPr="00372C58" w:rsidRDefault="00265840" w:rsidP="00265840">
      <w:pPr>
        <w:pStyle w:val="NormPara"/>
        <w:ind w:firstLine="0"/>
        <w:jc w:val="center"/>
        <w:rPr>
          <w:noProof/>
          <w:sz w:val="20"/>
        </w:rPr>
      </w:pPr>
    </w:p>
    <w:p w:rsidR="00AB0824" w:rsidRDefault="00265840" w:rsidP="005F5718">
      <w:pPr>
        <w:pStyle w:val="NormPara"/>
        <w:ind w:firstLine="0"/>
        <w:rPr>
          <w:noProof/>
          <w:sz w:val="20"/>
        </w:rPr>
      </w:pPr>
      <w:r w:rsidRPr="00372C58">
        <w:rPr>
          <w:noProof/>
          <w:sz w:val="20"/>
        </w:rPr>
        <w:t xml:space="preserve">Thus the speed of light, </w:t>
      </w:r>
      <m:oMath>
        <m:r>
          <w:rPr>
            <w:rFonts w:ascii="Cambria Math" w:hAnsi="Cambria Math"/>
            <w:noProof/>
            <w:sz w:val="20"/>
          </w:rPr>
          <m:t>c</m:t>
        </m:r>
      </m:oMath>
      <w:r w:rsidRPr="00372C58">
        <w:rPr>
          <w:noProof/>
          <w:sz w:val="20"/>
        </w:rPr>
        <w:t xml:space="preserve">, and the run rate of atomic clocks, </w:t>
      </w:r>
      <m:oMath>
        <m:r>
          <w:rPr>
            <w:rFonts w:ascii="Cambria Math" w:hAnsi="Cambria Math"/>
            <w:noProof/>
            <w:sz w:val="20"/>
          </w:rPr>
          <m:t>f</m:t>
        </m:r>
      </m:oMath>
      <w:r w:rsidRPr="00372C58">
        <w:rPr>
          <w:noProof/>
          <w:sz w:val="20"/>
        </w:rPr>
        <w:t>, compared with the current values, can be determined from equations such as (64) using the proportionality constant K*.</w:t>
      </w:r>
      <w:r w:rsidR="005F5718">
        <w:rPr>
          <w:noProof/>
          <w:sz w:val="20"/>
        </w:rPr>
        <w:t xml:space="preserve"> </w:t>
      </w:r>
    </w:p>
    <w:p w:rsidR="00AB0824" w:rsidRDefault="00AB0824" w:rsidP="005F5718">
      <w:pPr>
        <w:pStyle w:val="NormPara"/>
        <w:ind w:firstLine="0"/>
        <w:rPr>
          <w:noProof/>
          <w:sz w:val="20"/>
        </w:rPr>
      </w:pPr>
    </w:p>
    <w:p w:rsidR="005F5718" w:rsidRDefault="005F5718" w:rsidP="00AB0824">
      <w:pPr>
        <w:pStyle w:val="NormPara"/>
        <w:ind w:firstLine="720"/>
        <w:rPr>
          <w:noProof/>
          <w:sz w:val="20"/>
        </w:rPr>
      </w:pPr>
      <w:r>
        <w:rPr>
          <w:noProof/>
          <w:sz w:val="20"/>
        </w:rPr>
        <w:t xml:space="preserve">Note that in (64) when </w:t>
      </w:r>
      <m:oMath>
        <m:r>
          <w:rPr>
            <w:rFonts w:ascii="Cambria Math" w:hAnsi="Cambria Math"/>
            <w:noProof/>
            <w:sz w:val="20"/>
          </w:rPr>
          <m:t>T=0</m:t>
        </m:r>
      </m:oMath>
      <w:r>
        <w:rPr>
          <w:noProof/>
          <w:sz w:val="20"/>
        </w:rPr>
        <w:t xml:space="preserve">, both </w:t>
      </w:r>
      <m:oMath>
        <m:r>
          <w:rPr>
            <w:rFonts w:ascii="Cambria Math" w:hAnsi="Cambria Math"/>
            <w:noProof/>
            <w:sz w:val="20"/>
          </w:rPr>
          <m:t xml:space="preserve">c </m:t>
        </m:r>
      </m:oMath>
      <w:r>
        <w:rPr>
          <w:noProof/>
          <w:sz w:val="20"/>
        </w:rPr>
        <w:t xml:space="preserve">and clock rates equal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m:t>
        </m:r>
      </m:oMath>
      <w:r>
        <w:rPr>
          <w:noProof/>
          <w:sz w:val="20"/>
        </w:rPr>
        <w:t xml:space="preserve"> </w:t>
      </w:r>
      <w:r w:rsidR="00AB0824">
        <w:rPr>
          <w:noProof/>
          <w:sz w:val="20"/>
        </w:rPr>
        <w:t xml:space="preserve">  This seems to present a problem until it is realized that T = 0 does not represent the end of the ZPE build-up. Rather it marks the end of the redshift function</w:t>
      </w:r>
      <w:r w:rsidR="00695FFA">
        <w:rPr>
          <w:noProof/>
          <w:sz w:val="20"/>
        </w:rPr>
        <w:t>. In Appendix A the redshift function is derived theoretically. On this basis it is shown to be</w:t>
      </w:r>
      <w:r w:rsidR="00AB0824">
        <w:rPr>
          <w:noProof/>
          <w:sz w:val="20"/>
        </w:rPr>
        <w:t xml:space="preserve"> governe</w:t>
      </w:r>
      <w:r w:rsidR="00695FFA">
        <w:rPr>
          <w:noProof/>
          <w:sz w:val="20"/>
        </w:rPr>
        <w:t>d by the generation of Planck Pa</w:t>
      </w:r>
      <w:r w:rsidR="00AB0824">
        <w:rPr>
          <w:noProof/>
          <w:sz w:val="20"/>
        </w:rPr>
        <w:t>rticle Pairs through expansion and turbulence. Once turbulence has ceased, no more PPP are being formed</w:t>
      </w:r>
      <w:r w:rsidR="00695FFA">
        <w:rPr>
          <w:noProof/>
          <w:sz w:val="20"/>
        </w:rPr>
        <w:t xml:space="preserve">. This means that </w:t>
      </w:r>
      <w:r w:rsidR="00AB0824">
        <w:rPr>
          <w:noProof/>
          <w:sz w:val="20"/>
        </w:rPr>
        <w:t xml:space="preserve">the applicability of the equation derived in Appendix A </w:t>
      </w:r>
      <w:r w:rsidR="00D6785F">
        <w:rPr>
          <w:noProof/>
          <w:sz w:val="20"/>
        </w:rPr>
        <w:t xml:space="preserve">also </w:t>
      </w:r>
      <w:r w:rsidR="00AB0824">
        <w:rPr>
          <w:noProof/>
          <w:sz w:val="20"/>
        </w:rPr>
        <w:t xml:space="preserve">ceases </w:t>
      </w:r>
      <w:r w:rsidR="00695FFA">
        <w:rPr>
          <w:noProof/>
          <w:sz w:val="20"/>
        </w:rPr>
        <w:t>since</w:t>
      </w:r>
      <w:r w:rsidR="00AB0824">
        <w:rPr>
          <w:noProof/>
          <w:sz w:val="20"/>
        </w:rPr>
        <w:t xml:space="preserve"> </w:t>
      </w:r>
      <m:oMath>
        <m:r>
          <w:rPr>
            <w:rFonts w:ascii="Cambria Math" w:hAnsi="Cambria Math"/>
            <w:noProof/>
            <w:sz w:val="20"/>
          </w:rPr>
          <m:t>T = 0</m:t>
        </m:r>
      </m:oMath>
      <w:r w:rsidR="00AB0824">
        <w:rPr>
          <w:noProof/>
          <w:sz w:val="20"/>
        </w:rPr>
        <w:t xml:space="preserve"> and </w:t>
      </w:r>
      <m:oMath>
        <m:r>
          <w:rPr>
            <w:rFonts w:ascii="Cambria Math" w:hAnsi="Cambria Math"/>
            <w:noProof/>
            <w:sz w:val="20"/>
          </w:rPr>
          <m:t>z = 0</m:t>
        </m:r>
      </m:oMath>
      <w:r w:rsidR="00695FFA">
        <w:rPr>
          <w:noProof/>
          <w:sz w:val="20"/>
        </w:rPr>
        <w:t xml:space="preserve"> at that same instant.</w:t>
      </w:r>
      <w:r w:rsidR="00AB0824">
        <w:rPr>
          <w:noProof/>
          <w:sz w:val="20"/>
        </w:rPr>
        <w:t xml:space="preserve"> </w:t>
      </w:r>
      <w:r w:rsidR="00D6785F">
        <w:rPr>
          <w:noProof/>
          <w:sz w:val="20"/>
        </w:rPr>
        <w:t>F</w:t>
      </w:r>
      <w:r w:rsidR="00AB0824">
        <w:rPr>
          <w:noProof/>
          <w:sz w:val="20"/>
        </w:rPr>
        <w:t>rom that point</w:t>
      </w:r>
      <w:r w:rsidR="00695FFA">
        <w:rPr>
          <w:noProof/>
          <w:sz w:val="20"/>
        </w:rPr>
        <w:t xml:space="preserve"> on</w:t>
      </w:r>
      <w:r w:rsidR="00D6785F">
        <w:rPr>
          <w:noProof/>
          <w:sz w:val="20"/>
        </w:rPr>
        <w:t>,</w:t>
      </w:r>
      <w:r w:rsidR="00AB0824">
        <w:rPr>
          <w:noProof/>
          <w:sz w:val="20"/>
        </w:rPr>
        <w:t xml:space="preserve"> all the PPP that are left </w:t>
      </w:r>
      <w:r w:rsidR="00D6785F">
        <w:rPr>
          <w:noProof/>
          <w:sz w:val="20"/>
        </w:rPr>
        <w:t>will</w:t>
      </w:r>
      <w:r w:rsidR="00AB0824">
        <w:rPr>
          <w:noProof/>
          <w:sz w:val="20"/>
        </w:rPr>
        <w:t xml:space="preserve"> recombine</w:t>
      </w:r>
      <w:r w:rsidR="00D9672A">
        <w:rPr>
          <w:noProof/>
          <w:sz w:val="20"/>
        </w:rPr>
        <w:t>.</w:t>
      </w:r>
      <w:r w:rsidR="00AB0824">
        <w:rPr>
          <w:noProof/>
          <w:sz w:val="20"/>
        </w:rPr>
        <w:t xml:space="preserve"> </w:t>
      </w:r>
      <w:r w:rsidR="00D9672A">
        <w:rPr>
          <w:noProof/>
          <w:sz w:val="20"/>
        </w:rPr>
        <w:t>Each recombination will</w:t>
      </w:r>
      <w:r w:rsidR="00AB0824">
        <w:rPr>
          <w:noProof/>
          <w:sz w:val="20"/>
        </w:rPr>
        <w:t xml:space="preserve"> send out a pulse of </w:t>
      </w:r>
      <w:r w:rsidR="00D6785F">
        <w:rPr>
          <w:noProof/>
          <w:sz w:val="20"/>
        </w:rPr>
        <w:t xml:space="preserve">electromagnetic </w:t>
      </w:r>
      <w:r w:rsidR="00AB0824">
        <w:rPr>
          <w:noProof/>
          <w:sz w:val="20"/>
        </w:rPr>
        <w:t>energy</w:t>
      </w:r>
      <w:r w:rsidR="00D6785F">
        <w:rPr>
          <w:noProof/>
          <w:sz w:val="20"/>
        </w:rPr>
        <w:t xml:space="preserve"> equivalent to </w:t>
      </w:r>
      <w:r w:rsidR="00D9672A">
        <w:rPr>
          <w:noProof/>
          <w:sz w:val="20"/>
        </w:rPr>
        <w:t>its</w:t>
      </w:r>
      <w:r w:rsidR="00D6785F">
        <w:rPr>
          <w:noProof/>
          <w:sz w:val="20"/>
        </w:rPr>
        <w:t xml:space="preserve"> total energy. In this way the ZPE </w:t>
      </w:r>
      <w:r w:rsidR="00C64C26">
        <w:rPr>
          <w:noProof/>
          <w:sz w:val="20"/>
        </w:rPr>
        <w:t xml:space="preserve">continues to </w:t>
      </w:r>
      <w:r w:rsidR="00D6785F">
        <w:rPr>
          <w:noProof/>
          <w:sz w:val="20"/>
        </w:rPr>
        <w:t>build up from</w:t>
      </w:r>
      <w:r w:rsidR="00695FFA">
        <w:rPr>
          <w:noProof/>
          <w:sz w:val="20"/>
        </w:rPr>
        <w:t xml:space="preserve"> the time</w:t>
      </w:r>
      <w:r w:rsidR="00D6785F">
        <w:rPr>
          <w:noProof/>
          <w:sz w:val="20"/>
        </w:rPr>
        <w:t xml:space="preserve"> T = 0 </w:t>
      </w:r>
      <w:r w:rsidR="00E4694B">
        <w:rPr>
          <w:noProof/>
          <w:sz w:val="20"/>
        </w:rPr>
        <w:t xml:space="preserve">in equations (63) and (65) </w:t>
      </w:r>
      <w:r w:rsidR="00D6785F">
        <w:rPr>
          <w:noProof/>
          <w:sz w:val="20"/>
        </w:rPr>
        <w:t xml:space="preserve">to its maximum some time later. Once all PPP have recombined, the ZPE will have reached its maximum and will be maintained by the feedback mechanism mentioned in Chapter 1. Any oscillation of the universe, such as that which Narlikar and Arp propose, will then bring about an inverse oscillation in ZPE strength. </w:t>
      </w:r>
    </w:p>
    <w:p w:rsidR="00D6785F" w:rsidRDefault="00D6785F" w:rsidP="00AB0824">
      <w:pPr>
        <w:pStyle w:val="NormPara"/>
        <w:ind w:firstLine="720"/>
        <w:rPr>
          <w:noProof/>
          <w:sz w:val="20"/>
        </w:rPr>
      </w:pPr>
    </w:p>
    <w:p w:rsidR="00E31924" w:rsidRDefault="00E31924" w:rsidP="00E31924">
      <w:pPr>
        <w:pStyle w:val="NormPara"/>
        <w:ind w:firstLine="720"/>
        <w:rPr>
          <w:noProof/>
          <w:sz w:val="20"/>
        </w:rPr>
      </w:pPr>
      <w:r>
        <w:rPr>
          <w:noProof/>
          <w:sz w:val="20"/>
        </w:rPr>
        <w:t>Two things now need attention: first, the location in space where the redshift function ends, marking the end of PPP turbulence; second, the form of the ZPE build-up as a result of PPP recombination alone, without any more PPP being generated.</w:t>
      </w:r>
    </w:p>
    <w:p w:rsidR="000C469E" w:rsidRDefault="000C469E" w:rsidP="005F5718">
      <w:pPr>
        <w:pStyle w:val="NormPara"/>
        <w:ind w:firstLine="0"/>
        <w:rPr>
          <w:noProof/>
          <w:sz w:val="20"/>
        </w:rPr>
      </w:pPr>
    </w:p>
    <w:p w:rsidR="00265840" w:rsidRDefault="00265840" w:rsidP="004F0A10">
      <w:pPr>
        <w:pStyle w:val="NormPara"/>
        <w:numPr>
          <w:ilvl w:val="0"/>
          <w:numId w:val="63"/>
        </w:numPr>
        <w:rPr>
          <w:b/>
          <w:bCs/>
          <w:iCs/>
          <w:color w:val="000000"/>
          <w:sz w:val="20"/>
        </w:rPr>
      </w:pPr>
      <w:r w:rsidRPr="00372C58">
        <w:rPr>
          <w:b/>
          <w:bCs/>
          <w:iCs/>
          <w:color w:val="000000"/>
          <w:sz w:val="20"/>
        </w:rPr>
        <w:t>Where the Redshift Function Ends</w:t>
      </w:r>
    </w:p>
    <w:p w:rsidR="004F0A10" w:rsidRDefault="004F0A10" w:rsidP="004E3FBF">
      <w:pPr>
        <w:pStyle w:val="NormalWeb"/>
        <w:ind w:firstLine="720"/>
        <w:jc w:val="both"/>
        <w:rPr>
          <w:rFonts w:ascii="Book Antiqua" w:hAnsi="Book Antiqua"/>
          <w:sz w:val="20"/>
          <w:szCs w:val="20"/>
        </w:rPr>
      </w:pPr>
      <w:r w:rsidRPr="00372C58">
        <w:rPr>
          <w:rFonts w:ascii="Book Antiqua" w:hAnsi="Book Antiqua"/>
          <w:sz w:val="20"/>
          <w:szCs w:val="20"/>
        </w:rPr>
        <w:t xml:space="preserve">Our Milky Way Galaxy is </w:t>
      </w:r>
      <w:r>
        <w:rPr>
          <w:rFonts w:ascii="Book Antiqua" w:hAnsi="Book Antiqua"/>
          <w:sz w:val="20"/>
          <w:szCs w:val="20"/>
        </w:rPr>
        <w:t xml:space="preserve">a </w:t>
      </w:r>
      <w:r w:rsidRPr="00372C58">
        <w:rPr>
          <w:rFonts w:ascii="Book Antiqua" w:hAnsi="Book Antiqua"/>
          <w:sz w:val="20"/>
          <w:szCs w:val="20"/>
        </w:rPr>
        <w:t>part of</w:t>
      </w:r>
      <w:r>
        <w:rPr>
          <w:rFonts w:ascii="Book Antiqua" w:hAnsi="Book Antiqua"/>
          <w:sz w:val="20"/>
          <w:szCs w:val="20"/>
        </w:rPr>
        <w:t xml:space="preserve"> a small cluster of galaxies called</w:t>
      </w:r>
      <w:r w:rsidRPr="00372C58">
        <w:rPr>
          <w:rFonts w:ascii="Book Antiqua" w:hAnsi="Book Antiqua"/>
          <w:sz w:val="20"/>
          <w:szCs w:val="20"/>
        </w:rPr>
        <w:t xml:space="preserve"> the Local Group. These are represented by the white dots near the center of Figure 1</w:t>
      </w:r>
      <w:r w:rsidR="003D33FE">
        <w:rPr>
          <w:rFonts w:ascii="Book Antiqua" w:hAnsi="Book Antiqua"/>
          <w:sz w:val="20"/>
          <w:szCs w:val="20"/>
        </w:rPr>
        <w:t>8</w:t>
      </w:r>
      <w:r w:rsidRPr="00372C58">
        <w:rPr>
          <w:rFonts w:ascii="Book Antiqua" w:hAnsi="Book Antiqua"/>
          <w:sz w:val="20"/>
          <w:szCs w:val="20"/>
        </w:rPr>
        <w:t xml:space="preserve">. </w:t>
      </w:r>
      <w:r>
        <w:rPr>
          <w:rFonts w:ascii="Book Antiqua" w:hAnsi="Book Antiqua"/>
          <w:sz w:val="20"/>
          <w:szCs w:val="20"/>
        </w:rPr>
        <w:t>Our Local Group comprises some 45 members, mainly small dwarf-type galaxies. There are only three large members: our own Milky Way system, and the Andromeda and Triangiulum spirals (both of which are a</w:t>
      </w:r>
      <w:r w:rsidR="00725277">
        <w:rPr>
          <w:rFonts w:ascii="Book Antiqua" w:hAnsi="Book Antiqua"/>
          <w:sz w:val="20"/>
          <w:szCs w:val="20"/>
        </w:rPr>
        <w:t>pproximately</w:t>
      </w:r>
      <w:r>
        <w:rPr>
          <w:rFonts w:ascii="Book Antiqua" w:hAnsi="Book Antiqua"/>
          <w:sz w:val="20"/>
          <w:szCs w:val="20"/>
        </w:rPr>
        <w:t xml:space="preserve"> as large as our galaxy). </w:t>
      </w:r>
    </w:p>
    <w:p w:rsidR="004F0A10" w:rsidRPr="00372C58"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The sketch in Figure 1</w:t>
      </w:r>
      <w:r w:rsidR="00964143">
        <w:rPr>
          <w:rFonts w:ascii="Book Antiqua" w:hAnsi="Book Antiqua"/>
          <w:sz w:val="20"/>
          <w:szCs w:val="20"/>
        </w:rPr>
        <w:t>8</w:t>
      </w:r>
      <w:r w:rsidRPr="00372C58">
        <w:rPr>
          <w:rFonts w:ascii="Book Antiqua" w:hAnsi="Book Antiqua"/>
          <w:sz w:val="20"/>
          <w:szCs w:val="20"/>
        </w:rPr>
        <w:t xml:space="preserve"> shows how far, in light years, the nearest main groups of galaxies are in relation to our Local Group.</w:t>
      </w:r>
      <w:r>
        <w:rPr>
          <w:rFonts w:ascii="Book Antiqua" w:hAnsi="Book Antiqua"/>
          <w:sz w:val="20"/>
          <w:szCs w:val="20"/>
        </w:rPr>
        <w:t xml:space="preserve"> </w:t>
      </w:r>
      <w:r w:rsidR="00725277">
        <w:rPr>
          <w:rFonts w:ascii="Book Antiqua" w:hAnsi="Book Antiqua"/>
          <w:sz w:val="20"/>
          <w:szCs w:val="20"/>
        </w:rPr>
        <w:t>It has been</w:t>
      </w:r>
      <w:r w:rsidRPr="00372C58">
        <w:rPr>
          <w:rFonts w:ascii="Book Antiqua" w:hAnsi="Book Antiqua"/>
          <w:sz w:val="20"/>
          <w:szCs w:val="20"/>
        </w:rPr>
        <w:t xml:space="preserve"> mentioned that the quantized redshift effect makes it difficult to imagine the universe expanding in fits and starts. However, if we look at the illustration above, there is something that needs to be added</w:t>
      </w:r>
      <w:r>
        <w:rPr>
          <w:rFonts w:ascii="Book Antiqua" w:hAnsi="Book Antiqua"/>
          <w:sz w:val="20"/>
          <w:szCs w:val="20"/>
        </w:rPr>
        <w:t>.</w:t>
      </w:r>
      <w:r w:rsidRPr="00372C58">
        <w:rPr>
          <w:rFonts w:ascii="Book Antiqua" w:hAnsi="Book Antiqua"/>
          <w:sz w:val="20"/>
          <w:szCs w:val="20"/>
        </w:rPr>
        <w:t xml:space="preserve"> The smallest arrow going out from the center is the one that stops at the M81 group, </w:t>
      </w:r>
      <w:r>
        <w:rPr>
          <w:rFonts w:ascii="Book Antiqua" w:hAnsi="Book Antiqua"/>
          <w:sz w:val="20"/>
          <w:szCs w:val="20"/>
        </w:rPr>
        <w:t>some</w:t>
      </w:r>
      <w:r w:rsidRPr="00372C58">
        <w:rPr>
          <w:rFonts w:ascii="Book Antiqua" w:hAnsi="Book Antiqua"/>
          <w:sz w:val="20"/>
          <w:szCs w:val="20"/>
        </w:rPr>
        <w:t xml:space="preserve"> 11 million light years away. As we go out from our own galaxy, it is not until we reach this distance that the red shift becomes noticeable. </w:t>
      </w:r>
    </w:p>
    <w:p w:rsidR="004F0A10"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Closer than that</w:t>
      </w:r>
      <w:r>
        <w:rPr>
          <w:rFonts w:ascii="Book Antiqua" w:hAnsi="Book Antiqua"/>
          <w:sz w:val="20"/>
          <w:szCs w:val="20"/>
        </w:rPr>
        <w:t xml:space="preserve"> location in space</w:t>
      </w:r>
      <w:r w:rsidRPr="00372C58">
        <w:rPr>
          <w:rFonts w:ascii="Book Antiqua" w:hAnsi="Book Antiqua"/>
          <w:sz w:val="20"/>
          <w:szCs w:val="20"/>
        </w:rPr>
        <w:t xml:space="preserve">, and </w:t>
      </w:r>
      <w:r>
        <w:rPr>
          <w:rFonts w:ascii="Book Antiqua" w:hAnsi="Book Antiqua"/>
          <w:sz w:val="20"/>
          <w:szCs w:val="20"/>
        </w:rPr>
        <w:t>with</w:t>
      </w:r>
      <w:r w:rsidRPr="00372C58">
        <w:rPr>
          <w:rFonts w:ascii="Book Antiqua" w:hAnsi="Book Antiqua"/>
          <w:sz w:val="20"/>
          <w:szCs w:val="20"/>
        </w:rPr>
        <w:t xml:space="preserve">in our own Local Group of galaxies, there is a </w:t>
      </w:r>
      <w:r>
        <w:rPr>
          <w:rFonts w:ascii="Book Antiqua" w:hAnsi="Book Antiqua"/>
          <w:sz w:val="20"/>
          <w:szCs w:val="20"/>
        </w:rPr>
        <w:t>genuine</w:t>
      </w:r>
      <w:r w:rsidRPr="00372C58">
        <w:rPr>
          <w:rFonts w:ascii="Book Antiqua" w:hAnsi="Book Antiqua"/>
          <w:sz w:val="20"/>
          <w:szCs w:val="20"/>
        </w:rPr>
        <w:t xml:space="preserve"> Doppler effect caused by the movement of galaxies towards us and away from us. Thus, within this distance, we have both red and blue shifts which are indicative of movement. However, starting from within the M81 group and going further out, </w:t>
      </w:r>
      <w:r>
        <w:rPr>
          <w:rFonts w:ascii="Book Antiqua" w:hAnsi="Book Antiqua"/>
          <w:sz w:val="20"/>
          <w:szCs w:val="20"/>
        </w:rPr>
        <w:t>there is a consistently increasing red shift function, and it is that with which we are dealing here.  For purposes of clarification, this will be referred to as the cosmic red shift function.</w:t>
      </w:r>
    </w:p>
    <w:p w:rsidR="00A93B13" w:rsidRDefault="004F0A10" w:rsidP="00A93B13">
      <w:pPr>
        <w:pStyle w:val="NormalWeb"/>
        <w:jc w:val="both"/>
        <w:rPr>
          <w:rFonts w:ascii="Book Antiqua" w:hAnsi="Book Antiqua"/>
          <w:sz w:val="20"/>
          <w:szCs w:val="20"/>
        </w:rPr>
      </w:pPr>
      <w:r w:rsidRPr="00372C58">
        <w:rPr>
          <w:rFonts w:ascii="Book Antiqua" w:hAnsi="Book Antiqua"/>
          <w:sz w:val="20"/>
          <w:szCs w:val="20"/>
        </w:rPr>
        <w:t>There are</w:t>
      </w:r>
      <w:r>
        <w:rPr>
          <w:rFonts w:ascii="Book Antiqua" w:hAnsi="Book Antiqua"/>
          <w:sz w:val="20"/>
          <w:szCs w:val="20"/>
        </w:rPr>
        <w:t xml:space="preserve"> </w:t>
      </w:r>
      <w:r w:rsidRPr="00372C58">
        <w:rPr>
          <w:rFonts w:ascii="Book Antiqua" w:hAnsi="Book Antiqua"/>
          <w:sz w:val="20"/>
          <w:szCs w:val="20"/>
        </w:rPr>
        <w:t>two other groups not shown on Figure 1</w:t>
      </w:r>
      <w:r w:rsidR="003D33FE">
        <w:rPr>
          <w:rFonts w:ascii="Book Antiqua" w:hAnsi="Book Antiqua"/>
          <w:sz w:val="20"/>
          <w:szCs w:val="20"/>
        </w:rPr>
        <w:t>8</w:t>
      </w:r>
      <w:r w:rsidRPr="00372C58">
        <w:rPr>
          <w:rFonts w:ascii="Book Antiqua" w:hAnsi="Book Antiqua"/>
          <w:sz w:val="20"/>
          <w:szCs w:val="20"/>
        </w:rPr>
        <w:t>; one is slightly closer than the M81 group, and one is a little further away. The closer galaxy cluster is the Maffei group made up of 24 members. In 2007 the best distance determination was done and that placed the group about 9.29 million light years away [87]. Of those 24 members, 17 have a blueshift and 7 have a redshift [88]. From the avai</w:t>
      </w:r>
      <w:r>
        <w:rPr>
          <w:rFonts w:ascii="Book Antiqua" w:hAnsi="Book Antiqua"/>
          <w:sz w:val="20"/>
          <w:szCs w:val="20"/>
        </w:rPr>
        <w:t>l</w:t>
      </w:r>
      <w:r w:rsidRPr="00372C58">
        <w:rPr>
          <w:rFonts w:ascii="Book Antiqua" w:hAnsi="Book Antiqua"/>
          <w:sz w:val="20"/>
          <w:szCs w:val="20"/>
        </w:rPr>
        <w:t xml:space="preserve">able data, the average blueshift is 106.4 km/s while the average </w:t>
      </w:r>
      <w:r w:rsidR="00A93B13" w:rsidRPr="00372C58">
        <w:rPr>
          <w:rFonts w:ascii="Book Antiqua" w:hAnsi="Book Antiqua"/>
          <w:sz w:val="20"/>
          <w:szCs w:val="20"/>
        </w:rPr>
        <w:t>redshift is 50.0 km/s. The average velocity of the whole group is a blue shift</w:t>
      </w:r>
      <w:r w:rsidR="00A93B13">
        <w:rPr>
          <w:rFonts w:ascii="Book Antiqua" w:hAnsi="Book Antiqua"/>
          <w:sz w:val="20"/>
          <w:szCs w:val="20"/>
        </w:rPr>
        <w:t>,</w:t>
      </w:r>
      <w:r w:rsidR="00A93B13" w:rsidRPr="00372C58">
        <w:rPr>
          <w:rFonts w:ascii="Book Antiqua" w:hAnsi="Book Antiqua"/>
          <w:sz w:val="20"/>
          <w:szCs w:val="20"/>
        </w:rPr>
        <w:t xml:space="preserve"> or velocity of approach</w:t>
      </w:r>
      <w:r w:rsidR="00A93B13">
        <w:rPr>
          <w:rFonts w:ascii="Book Antiqua" w:hAnsi="Book Antiqua"/>
          <w:sz w:val="20"/>
          <w:szCs w:val="20"/>
        </w:rPr>
        <w:t>,</w:t>
      </w:r>
      <w:r w:rsidR="00A93B13" w:rsidRPr="00372C58">
        <w:rPr>
          <w:rFonts w:ascii="Book Antiqua" w:hAnsi="Book Antiqua"/>
          <w:sz w:val="20"/>
          <w:szCs w:val="20"/>
        </w:rPr>
        <w:t xml:space="preserve"> of 60.79 km/s. With these data, it seems as if the Maffei group is not participating in the </w:t>
      </w:r>
      <w:r w:rsidR="00A93B13">
        <w:rPr>
          <w:rFonts w:ascii="Book Antiqua" w:hAnsi="Book Antiqua"/>
          <w:sz w:val="20"/>
          <w:szCs w:val="20"/>
        </w:rPr>
        <w:t xml:space="preserve">cosmic </w:t>
      </w:r>
      <w:r w:rsidR="00A93B13" w:rsidRPr="00372C58">
        <w:rPr>
          <w:rFonts w:ascii="Book Antiqua" w:hAnsi="Book Antiqua"/>
          <w:sz w:val="20"/>
          <w:szCs w:val="20"/>
        </w:rPr>
        <w:t>redshift function</w:t>
      </w:r>
      <w:r w:rsidR="00A93B13">
        <w:rPr>
          <w:rFonts w:ascii="Book Antiqua" w:hAnsi="Book Antiqua"/>
          <w:sz w:val="20"/>
          <w:szCs w:val="20"/>
        </w:rPr>
        <w:t>, and so represents a point in time and space after the value of T = 0 in equations (63) and (65)</w:t>
      </w:r>
      <w:r w:rsidR="00A93B13" w:rsidRPr="00372C58">
        <w:rPr>
          <w:rFonts w:ascii="Book Antiqua" w:hAnsi="Book Antiqua"/>
          <w:sz w:val="20"/>
          <w:szCs w:val="20"/>
        </w:rPr>
        <w:t>.</w:t>
      </w:r>
    </w:p>
    <w:p w:rsidR="004F0A10" w:rsidRPr="00372C58" w:rsidRDefault="004F0A10" w:rsidP="004F0A10">
      <w:pPr>
        <w:pStyle w:val="NormalWeb"/>
        <w:ind w:firstLine="720"/>
        <w:jc w:val="both"/>
        <w:rPr>
          <w:rFonts w:ascii="Book Antiqua" w:hAnsi="Book Antiqua"/>
          <w:sz w:val="20"/>
          <w:szCs w:val="20"/>
        </w:rPr>
      </w:pPr>
    </w:p>
    <w:p w:rsidR="00265840" w:rsidRPr="00372C58" w:rsidRDefault="00842382" w:rsidP="00265840">
      <w:pPr>
        <w:pStyle w:val="NormalWeb"/>
        <w:jc w:val="center"/>
        <w:rPr>
          <w:rFonts w:ascii="Book Antiqua" w:hAnsi="Book Antiqua"/>
          <w:sz w:val="20"/>
          <w:szCs w:val="20"/>
        </w:rPr>
      </w:pPr>
      <w:r w:rsidRPr="00372C58">
        <w:rPr>
          <w:rFonts w:ascii="Book Antiqua" w:hAnsi="Book Antiqua"/>
          <w:noProof/>
          <w:sz w:val="20"/>
          <w:szCs w:val="20"/>
        </w:rPr>
        <w:lastRenderedPageBreak/>
        <w:drawing>
          <wp:inline distT="0" distB="0" distL="0" distR="0">
            <wp:extent cx="4972050" cy="3514725"/>
            <wp:effectExtent l="19050" t="0" r="0" b="0"/>
            <wp:docPr id="768" name="Picture 768" descr="File:Local supercluster-ly.jpg"/>
            <wp:cNvGraphicFramePr/>
            <a:graphic xmlns:a="http://schemas.openxmlformats.org/drawingml/2006/main">
              <a:graphicData uri="http://schemas.openxmlformats.org/drawingml/2006/picture">
                <pic:pic xmlns:pic="http://schemas.openxmlformats.org/drawingml/2006/picture">
                  <pic:nvPicPr>
                    <pic:cNvPr id="4" name="Picture 3" descr="File:Local supercluster-ly.jpg"/>
                    <pic:cNvPicPr/>
                  </pic:nvPicPr>
                  <pic:blipFill>
                    <a:blip r:embed="rId230" cstate="print">
                      <a:lum contrast="-10000"/>
                    </a:blip>
                    <a:srcRect/>
                    <a:stretch>
                      <a:fillRect/>
                    </a:stretch>
                  </pic:blipFill>
                  <pic:spPr bwMode="auto">
                    <a:xfrm>
                      <a:off x="0" y="0"/>
                      <a:ext cx="4975583" cy="3517222"/>
                    </a:xfrm>
                    <a:prstGeom prst="rect">
                      <a:avLst/>
                    </a:prstGeom>
                    <a:noFill/>
                    <a:ln w="9525">
                      <a:noFill/>
                      <a:miter lim="800000"/>
                      <a:headEnd/>
                      <a:tailEnd/>
                    </a:ln>
                  </pic:spPr>
                </pic:pic>
              </a:graphicData>
            </a:graphic>
          </wp:inline>
        </w:drawing>
      </w:r>
    </w:p>
    <w:p w:rsidR="00265840" w:rsidRPr="004223A5" w:rsidRDefault="00265840" w:rsidP="00F06E96">
      <w:pPr>
        <w:pStyle w:val="NormalWeb"/>
        <w:jc w:val="center"/>
        <w:rPr>
          <w:rStyle w:val="Strong"/>
          <w:rFonts w:ascii="Book Antiqua" w:hAnsi="Book Antiqua"/>
          <w:b w:val="0"/>
          <w:i/>
          <w:sz w:val="18"/>
          <w:szCs w:val="18"/>
        </w:rPr>
      </w:pPr>
      <w:r w:rsidRPr="004223A5">
        <w:rPr>
          <w:rStyle w:val="Strong"/>
          <w:rFonts w:ascii="Book Antiqua" w:hAnsi="Book Antiqua"/>
          <w:i/>
          <w:sz w:val="18"/>
          <w:szCs w:val="18"/>
        </w:rPr>
        <w:t>Figure 1</w:t>
      </w:r>
      <w:r w:rsidR="003D33FE">
        <w:rPr>
          <w:rStyle w:val="Strong"/>
          <w:rFonts w:ascii="Book Antiqua" w:hAnsi="Book Antiqua"/>
          <w:i/>
          <w:sz w:val="18"/>
          <w:szCs w:val="18"/>
        </w:rPr>
        <w:t>8</w:t>
      </w:r>
      <w:r w:rsidRPr="004223A5">
        <w:rPr>
          <w:rStyle w:val="Strong"/>
          <w:rFonts w:ascii="Book Antiqua" w:hAnsi="Book Antiqua"/>
          <w:i/>
          <w:sz w:val="18"/>
          <w:szCs w:val="18"/>
        </w:rPr>
        <w:t>:</w:t>
      </w:r>
      <w:r w:rsidRPr="004223A5">
        <w:rPr>
          <w:rStyle w:val="Strong"/>
          <w:rFonts w:ascii="Book Antiqua" w:hAnsi="Book Antiqua"/>
          <w:b w:val="0"/>
          <w:i/>
          <w:sz w:val="18"/>
          <w:szCs w:val="18"/>
        </w:rPr>
        <w:t xml:space="preserve"> Position of nearby main galaxy groups compared with our Local Group of galaxies.</w:t>
      </w:r>
    </w:p>
    <w:p w:rsidR="00E31924" w:rsidRPr="00372C58" w:rsidRDefault="00E31924" w:rsidP="00E31924">
      <w:pPr>
        <w:pStyle w:val="NormalWeb"/>
        <w:ind w:firstLine="720"/>
        <w:jc w:val="both"/>
        <w:rPr>
          <w:rFonts w:ascii="Book Antiqua" w:hAnsi="Book Antiqua"/>
          <w:sz w:val="20"/>
          <w:szCs w:val="20"/>
        </w:rPr>
      </w:pPr>
      <w:r w:rsidRPr="00372C58">
        <w:rPr>
          <w:rFonts w:ascii="Book Antiqua" w:hAnsi="Book Antiqua"/>
          <w:sz w:val="20"/>
          <w:szCs w:val="20"/>
        </w:rPr>
        <w:t>On the other hand, the Sculptor group</w:t>
      </w:r>
      <w:r>
        <w:rPr>
          <w:rFonts w:ascii="Book Antiqua" w:hAnsi="Book Antiqua"/>
          <w:sz w:val="20"/>
          <w:szCs w:val="20"/>
        </w:rPr>
        <w:t xml:space="preserve">, at a distance of 12.7 million light years [89], </w:t>
      </w:r>
      <w:r w:rsidRPr="00372C58">
        <w:rPr>
          <w:rFonts w:ascii="Book Antiqua" w:hAnsi="Book Antiqua"/>
          <w:sz w:val="20"/>
          <w:szCs w:val="20"/>
        </w:rPr>
        <w:t>is further away than the M81 group</w:t>
      </w:r>
      <w:r>
        <w:rPr>
          <w:rFonts w:ascii="Book Antiqua" w:hAnsi="Book Antiqua"/>
          <w:sz w:val="20"/>
          <w:szCs w:val="20"/>
        </w:rPr>
        <w:t>.</w:t>
      </w:r>
      <w:r w:rsidRPr="00372C58">
        <w:rPr>
          <w:rFonts w:ascii="Book Antiqua" w:hAnsi="Book Antiqua"/>
          <w:sz w:val="20"/>
          <w:szCs w:val="20"/>
        </w:rPr>
        <w:t xml:space="preserve"> This group has 13 members and they all have recession velocities; the average redshift value for the whole cliuster is 292.1 km/s [90]. The next closest cluster of galaxies, the M101 Group, is situated 24 million light years away and has 15 members including M51 and M63 [91].</w:t>
      </w:r>
      <w:r>
        <w:rPr>
          <w:rFonts w:ascii="Book Antiqua" w:hAnsi="Book Antiqua"/>
          <w:sz w:val="20"/>
          <w:szCs w:val="20"/>
        </w:rPr>
        <w:t xml:space="preserve"> </w:t>
      </w:r>
      <w:r w:rsidRPr="00372C58">
        <w:rPr>
          <w:rFonts w:ascii="Book Antiqua" w:hAnsi="Book Antiqua"/>
          <w:sz w:val="20"/>
          <w:szCs w:val="20"/>
        </w:rPr>
        <w:t xml:space="preserve"> </w:t>
      </w:r>
      <w:r>
        <w:rPr>
          <w:rFonts w:ascii="Book Antiqua" w:hAnsi="Book Antiqua"/>
          <w:sz w:val="20"/>
          <w:szCs w:val="20"/>
        </w:rPr>
        <w:t>T</w:t>
      </w:r>
      <w:r w:rsidRPr="00372C58">
        <w:rPr>
          <w:rFonts w:ascii="Book Antiqua" w:hAnsi="Book Antiqua"/>
          <w:sz w:val="20"/>
          <w:szCs w:val="20"/>
        </w:rPr>
        <w:t xml:space="preserve">he average redshift of all </w:t>
      </w:r>
      <w:r>
        <w:rPr>
          <w:rFonts w:ascii="Book Antiqua" w:hAnsi="Book Antiqua"/>
          <w:sz w:val="20"/>
          <w:szCs w:val="20"/>
        </w:rPr>
        <w:t xml:space="preserve">its </w:t>
      </w:r>
      <w:r w:rsidRPr="00372C58">
        <w:rPr>
          <w:rFonts w:ascii="Book Antiqua" w:hAnsi="Book Antiqua"/>
          <w:sz w:val="20"/>
          <w:szCs w:val="20"/>
        </w:rPr>
        <w:t>members is 492.1 km/s.</w:t>
      </w:r>
      <w:r>
        <w:rPr>
          <w:rFonts w:ascii="Book Antiqua" w:hAnsi="Book Antiqua"/>
          <w:sz w:val="20"/>
          <w:szCs w:val="20"/>
        </w:rPr>
        <w:t xml:space="preserve"> </w:t>
      </w:r>
      <w:r w:rsidRPr="00372C58">
        <w:rPr>
          <w:rFonts w:ascii="Book Antiqua" w:hAnsi="Book Antiqua"/>
          <w:sz w:val="20"/>
          <w:szCs w:val="20"/>
        </w:rPr>
        <w:t xml:space="preserve">There are no blueshifts in </w:t>
      </w:r>
      <w:r w:rsidR="009B2638">
        <w:rPr>
          <w:rFonts w:ascii="Book Antiqua" w:hAnsi="Book Antiqua"/>
          <w:sz w:val="20"/>
          <w:szCs w:val="20"/>
        </w:rPr>
        <w:t xml:space="preserve">either of these galaxy </w:t>
      </w:r>
      <w:r>
        <w:rPr>
          <w:rFonts w:ascii="Book Antiqua" w:hAnsi="Book Antiqua"/>
          <w:sz w:val="20"/>
          <w:szCs w:val="20"/>
        </w:rPr>
        <w:t>clusters</w:t>
      </w:r>
      <w:r w:rsidRPr="00372C58">
        <w:rPr>
          <w:rFonts w:ascii="Book Antiqua" w:hAnsi="Book Antiqua"/>
          <w:sz w:val="20"/>
          <w:szCs w:val="20"/>
        </w:rPr>
        <w:t xml:space="preserve">, </w:t>
      </w:r>
      <w:r>
        <w:rPr>
          <w:rFonts w:ascii="Book Antiqua" w:hAnsi="Book Antiqua"/>
          <w:sz w:val="20"/>
          <w:szCs w:val="20"/>
        </w:rPr>
        <w:t>and so i</w:t>
      </w:r>
      <w:r w:rsidRPr="00372C58">
        <w:rPr>
          <w:rFonts w:ascii="Book Antiqua" w:hAnsi="Book Antiqua"/>
          <w:sz w:val="20"/>
          <w:szCs w:val="20"/>
        </w:rPr>
        <w:t>t is therefore apparent that the</w:t>
      </w:r>
      <w:r>
        <w:rPr>
          <w:rFonts w:ascii="Book Antiqua" w:hAnsi="Book Antiqua"/>
          <w:sz w:val="20"/>
          <w:szCs w:val="20"/>
        </w:rPr>
        <w:t xml:space="preserve"> cosmic</w:t>
      </w:r>
      <w:r w:rsidRPr="00372C58">
        <w:rPr>
          <w:rFonts w:ascii="Book Antiqua" w:hAnsi="Book Antiqua"/>
          <w:sz w:val="20"/>
          <w:szCs w:val="20"/>
        </w:rPr>
        <w:t xml:space="preserve"> redshift function is fully operational at these distances. </w:t>
      </w:r>
    </w:p>
    <w:p w:rsidR="00E31924" w:rsidRPr="00372C58" w:rsidRDefault="00E31924" w:rsidP="00E31924">
      <w:pPr>
        <w:pStyle w:val="NormalWeb"/>
        <w:ind w:firstLine="720"/>
        <w:jc w:val="both"/>
        <w:rPr>
          <w:rFonts w:ascii="Book Antiqua" w:hAnsi="Book Antiqua"/>
          <w:sz w:val="20"/>
          <w:szCs w:val="20"/>
        </w:rPr>
      </w:pPr>
      <w:r w:rsidRPr="00372C58">
        <w:rPr>
          <w:rFonts w:ascii="Book Antiqua" w:hAnsi="Book Antiqua"/>
          <w:sz w:val="20"/>
          <w:szCs w:val="20"/>
        </w:rPr>
        <w:t xml:space="preserve">So </w:t>
      </w:r>
      <w:r>
        <w:rPr>
          <w:rFonts w:ascii="Book Antiqua" w:hAnsi="Book Antiqua"/>
          <w:sz w:val="20"/>
          <w:szCs w:val="20"/>
        </w:rPr>
        <w:t xml:space="preserve">it is </w:t>
      </w:r>
      <w:r w:rsidRPr="00372C58">
        <w:rPr>
          <w:rFonts w:ascii="Book Antiqua" w:hAnsi="Book Antiqua"/>
          <w:sz w:val="20"/>
          <w:szCs w:val="20"/>
        </w:rPr>
        <w:t>somewhere between 9.29 and 12.7 million light years out from our Galaxy</w:t>
      </w:r>
      <w:r>
        <w:rPr>
          <w:rFonts w:ascii="Book Antiqua" w:hAnsi="Book Antiqua"/>
          <w:sz w:val="20"/>
          <w:szCs w:val="20"/>
        </w:rPr>
        <w:t xml:space="preserve"> that</w:t>
      </w:r>
      <w:r w:rsidRPr="00372C58">
        <w:rPr>
          <w:rFonts w:ascii="Book Antiqua" w:hAnsi="Book Antiqua"/>
          <w:sz w:val="20"/>
          <w:szCs w:val="20"/>
        </w:rPr>
        <w:t xml:space="preserve"> the </w:t>
      </w:r>
      <w:r>
        <w:rPr>
          <w:rFonts w:ascii="Book Antiqua" w:hAnsi="Book Antiqua"/>
          <w:sz w:val="20"/>
          <w:szCs w:val="20"/>
        </w:rPr>
        <w:t xml:space="preserve">cosmic </w:t>
      </w:r>
      <w:r w:rsidRPr="00372C58">
        <w:rPr>
          <w:rFonts w:ascii="Book Antiqua" w:hAnsi="Book Antiqua"/>
          <w:sz w:val="20"/>
          <w:szCs w:val="20"/>
        </w:rPr>
        <w:t>redshift function seems to begin. It is at this point that the M81 group</w:t>
      </w:r>
      <w:r>
        <w:rPr>
          <w:rFonts w:ascii="Book Antiqua" w:hAnsi="Book Antiqua"/>
          <w:sz w:val="20"/>
          <w:szCs w:val="20"/>
        </w:rPr>
        <w:t>, at 11.74 million light years away,</w:t>
      </w:r>
      <w:r w:rsidRPr="00372C58">
        <w:rPr>
          <w:rFonts w:ascii="Book Antiqua" w:hAnsi="Book Antiqua"/>
          <w:sz w:val="20"/>
          <w:szCs w:val="20"/>
        </w:rPr>
        <w:t xml:space="preserve"> assumes some importance</w:t>
      </w:r>
      <w:r>
        <w:rPr>
          <w:rFonts w:ascii="Book Antiqua" w:hAnsi="Book Antiqua"/>
          <w:sz w:val="20"/>
          <w:szCs w:val="20"/>
        </w:rPr>
        <w:t xml:space="preserve"> [89]</w:t>
      </w:r>
      <w:r w:rsidRPr="00372C58">
        <w:rPr>
          <w:rFonts w:ascii="Book Antiqua" w:hAnsi="Book Antiqua"/>
          <w:sz w:val="20"/>
          <w:szCs w:val="20"/>
        </w:rPr>
        <w:t>. There are 34 galaxies in the M81 group</w:t>
      </w:r>
      <w:r>
        <w:rPr>
          <w:rFonts w:ascii="Book Antiqua" w:hAnsi="Book Antiqua"/>
          <w:sz w:val="20"/>
          <w:szCs w:val="20"/>
        </w:rPr>
        <w:t xml:space="preserve">. </w:t>
      </w:r>
      <w:r w:rsidRPr="00372C58">
        <w:rPr>
          <w:rFonts w:ascii="Book Antiqua" w:hAnsi="Book Antiqua"/>
          <w:sz w:val="20"/>
          <w:szCs w:val="20"/>
        </w:rPr>
        <w:t>Of these 34, only 7 have blueshifts, mostly small [90]. The average “velocity” of the whole group is a 44.6 km/s recession</w:t>
      </w:r>
      <w:r>
        <w:rPr>
          <w:rFonts w:ascii="Book Antiqua" w:hAnsi="Book Antiqua"/>
          <w:sz w:val="20"/>
          <w:szCs w:val="20"/>
        </w:rPr>
        <w:t>, indicating a net red shift</w:t>
      </w:r>
      <w:r w:rsidRPr="00372C58">
        <w:rPr>
          <w:rFonts w:ascii="Book Antiqua" w:hAnsi="Book Antiqua"/>
          <w:sz w:val="20"/>
          <w:szCs w:val="20"/>
        </w:rPr>
        <w:t xml:space="preserve"> [92]. There is no more blue shifting in galaxy groups further out than the M81 group, only red shifting. So it is at the M81 group that the </w:t>
      </w:r>
      <w:r>
        <w:rPr>
          <w:rFonts w:ascii="Book Antiqua" w:hAnsi="Book Antiqua"/>
          <w:sz w:val="20"/>
          <w:szCs w:val="20"/>
        </w:rPr>
        <w:t xml:space="preserve">cosmic </w:t>
      </w:r>
      <w:r w:rsidRPr="00372C58">
        <w:rPr>
          <w:rFonts w:ascii="Book Antiqua" w:hAnsi="Book Antiqua"/>
          <w:sz w:val="20"/>
          <w:szCs w:val="20"/>
        </w:rPr>
        <w:t xml:space="preserve">redshift function seems to start. </w:t>
      </w:r>
    </w:p>
    <w:p w:rsidR="00E31924" w:rsidRDefault="00E31924" w:rsidP="00E31924">
      <w:pPr>
        <w:pStyle w:val="NormalWeb"/>
        <w:ind w:firstLine="720"/>
        <w:jc w:val="both"/>
        <w:rPr>
          <w:rFonts w:ascii="Book Antiqua" w:hAnsi="Book Antiqua"/>
          <w:sz w:val="20"/>
          <w:szCs w:val="20"/>
        </w:rPr>
      </w:pPr>
      <w:r>
        <w:rPr>
          <w:rFonts w:ascii="Book Antiqua" w:hAnsi="Book Antiqua"/>
          <w:sz w:val="20"/>
          <w:szCs w:val="20"/>
        </w:rPr>
        <w:t>Since</w:t>
      </w:r>
      <w:r w:rsidRPr="00B30B81">
        <w:rPr>
          <w:rFonts w:ascii="Book Antiqua" w:hAnsi="Book Antiqua"/>
          <w:sz w:val="20"/>
          <w:szCs w:val="20"/>
        </w:rPr>
        <w:t xml:space="preserve"> the M81 group is 11.74 million light years away</w:t>
      </w:r>
      <w:r>
        <w:rPr>
          <w:rFonts w:ascii="Book Antiqua" w:hAnsi="Book Antiqua"/>
          <w:sz w:val="20"/>
          <w:szCs w:val="20"/>
        </w:rPr>
        <w:t>,</w:t>
      </w:r>
      <w:r w:rsidRPr="00B30B81">
        <w:rPr>
          <w:rFonts w:ascii="Book Antiqua" w:hAnsi="Book Antiqua"/>
          <w:sz w:val="20"/>
          <w:szCs w:val="20"/>
        </w:rPr>
        <w:t xml:space="preserve"> we have a gap of about 11.74 million light years between us and where the </w:t>
      </w:r>
      <w:r>
        <w:rPr>
          <w:rFonts w:ascii="Book Antiqua" w:hAnsi="Book Antiqua"/>
          <w:sz w:val="20"/>
          <w:szCs w:val="20"/>
        </w:rPr>
        <w:t xml:space="preserve">cosmic </w:t>
      </w:r>
      <w:r w:rsidRPr="00B30B81">
        <w:rPr>
          <w:rFonts w:ascii="Book Antiqua" w:hAnsi="Book Antiqua"/>
          <w:sz w:val="20"/>
          <w:szCs w:val="20"/>
        </w:rPr>
        <w:t xml:space="preserve">red shift function actually starts. </w:t>
      </w:r>
      <w:r>
        <w:rPr>
          <w:rFonts w:ascii="Book Antiqua" w:hAnsi="Book Antiqua"/>
          <w:sz w:val="20"/>
          <w:szCs w:val="20"/>
        </w:rPr>
        <w:t>Because</w:t>
      </w:r>
      <w:r w:rsidRPr="00B30B81">
        <w:rPr>
          <w:rFonts w:ascii="Book Antiqua" w:hAnsi="Book Antiqua"/>
          <w:sz w:val="20"/>
          <w:szCs w:val="20"/>
        </w:rPr>
        <w:t xml:space="preserve"> the speed of light and the rate of ticking of atomic clocks are related</w:t>
      </w:r>
      <w:r>
        <w:rPr>
          <w:rFonts w:ascii="Book Antiqua" w:hAnsi="Book Antiqua"/>
          <w:sz w:val="20"/>
          <w:szCs w:val="20"/>
        </w:rPr>
        <w:t>,  that means</w:t>
      </w:r>
      <w:r w:rsidRPr="00B30B81">
        <w:rPr>
          <w:rFonts w:ascii="Book Antiqua" w:hAnsi="Book Antiqua"/>
          <w:sz w:val="20"/>
          <w:szCs w:val="20"/>
        </w:rPr>
        <w:t xml:space="preserve"> that, as we look back in time, the redshift function </w:t>
      </w:r>
      <w:r>
        <w:rPr>
          <w:rFonts w:ascii="Book Antiqua" w:hAnsi="Book Antiqua"/>
          <w:sz w:val="20"/>
          <w:szCs w:val="20"/>
        </w:rPr>
        <w:t>began at 11.74 million atomic years ago</w:t>
      </w:r>
      <w:r w:rsidR="009B2638">
        <w:rPr>
          <w:rFonts w:ascii="Book Antiqua" w:hAnsi="Book Antiqua"/>
          <w:sz w:val="20"/>
          <w:szCs w:val="20"/>
        </w:rPr>
        <w:t>.</w:t>
      </w:r>
      <w:r w:rsidRPr="00B30B81">
        <w:rPr>
          <w:rFonts w:ascii="Book Antiqua" w:hAnsi="Book Antiqua"/>
          <w:sz w:val="20"/>
          <w:szCs w:val="20"/>
        </w:rPr>
        <w:t xml:space="preserve"> </w:t>
      </w:r>
      <w:r>
        <w:rPr>
          <w:rFonts w:ascii="Book Antiqua" w:hAnsi="Book Antiqua"/>
          <w:sz w:val="20"/>
          <w:szCs w:val="20"/>
        </w:rPr>
        <w:t>The cosmic</w:t>
      </w:r>
      <w:r w:rsidRPr="00B30B81">
        <w:rPr>
          <w:rFonts w:ascii="Book Antiqua" w:hAnsi="Book Antiqua"/>
          <w:sz w:val="20"/>
          <w:szCs w:val="20"/>
        </w:rPr>
        <w:t xml:space="preserve"> redshift function then continues from there</w:t>
      </w:r>
      <w:r>
        <w:rPr>
          <w:rFonts w:ascii="Book Antiqua" w:hAnsi="Book Antiqua"/>
          <w:sz w:val="20"/>
          <w:szCs w:val="20"/>
        </w:rPr>
        <w:t>,</w:t>
      </w:r>
      <w:r w:rsidRPr="00B30B81">
        <w:rPr>
          <w:rFonts w:ascii="Book Antiqua" w:hAnsi="Book Antiqua"/>
          <w:sz w:val="20"/>
          <w:szCs w:val="20"/>
        </w:rPr>
        <w:t xml:space="preserve"> back in time</w:t>
      </w:r>
      <w:r>
        <w:rPr>
          <w:rFonts w:ascii="Book Antiqua" w:hAnsi="Book Antiqua"/>
          <w:sz w:val="20"/>
          <w:szCs w:val="20"/>
        </w:rPr>
        <w:t>,</w:t>
      </w:r>
      <w:r w:rsidRPr="00B30B81">
        <w:rPr>
          <w:rFonts w:ascii="Book Antiqua" w:hAnsi="Book Antiqua"/>
          <w:sz w:val="20"/>
          <w:szCs w:val="20"/>
        </w:rPr>
        <w:t xml:space="preserve"> to the inception of the cosmos. </w:t>
      </w:r>
      <w:r>
        <w:rPr>
          <w:rFonts w:ascii="Book Antiqua" w:hAnsi="Book Antiqua"/>
          <w:sz w:val="20"/>
          <w:szCs w:val="20"/>
        </w:rPr>
        <w:t xml:space="preserve">This gap of 11.74 million light years contains the Maffei group and our own Local Group of galaxies.  It is here </w:t>
      </w:r>
      <w:r w:rsidRPr="00B30B81">
        <w:rPr>
          <w:rFonts w:ascii="Book Antiqua" w:hAnsi="Book Antiqua"/>
          <w:sz w:val="20"/>
          <w:szCs w:val="20"/>
        </w:rPr>
        <w:t>that genuine Doppler motions dominate</w:t>
      </w:r>
      <w:r>
        <w:rPr>
          <w:rFonts w:ascii="Book Antiqua" w:hAnsi="Book Antiqua"/>
          <w:sz w:val="20"/>
          <w:szCs w:val="20"/>
        </w:rPr>
        <w:t xml:space="preserve">, and not the primary redshift function.  </w:t>
      </w:r>
      <w:r w:rsidRPr="00B30B81">
        <w:rPr>
          <w:rFonts w:ascii="Book Antiqua" w:hAnsi="Book Antiqua"/>
          <w:sz w:val="20"/>
          <w:szCs w:val="20"/>
        </w:rPr>
        <w:t xml:space="preserve"> </w:t>
      </w:r>
    </w:p>
    <w:p w:rsidR="00E31924" w:rsidRDefault="00E31924" w:rsidP="004E3FBF">
      <w:pPr>
        <w:pStyle w:val="NormalWeb"/>
        <w:ind w:firstLine="720"/>
        <w:jc w:val="both"/>
        <w:rPr>
          <w:rFonts w:ascii="Book Antiqua" w:hAnsi="Book Antiqua"/>
          <w:sz w:val="20"/>
          <w:szCs w:val="20"/>
        </w:rPr>
      </w:pPr>
      <w:r>
        <w:rPr>
          <w:rFonts w:ascii="Book Antiqua" w:hAnsi="Book Antiqua"/>
          <w:sz w:val="20"/>
          <w:szCs w:val="20"/>
        </w:rPr>
        <w:t xml:space="preserve">The conclusion is that the redshift function ceased at a distance of around 11.74 million light years from us. This position in space therefore marks the point at which turbulence ceased and no more Planck Particle Pairs were formed. In other words this marks the point where </w:t>
      </w:r>
      <m:oMath>
        <m:r>
          <w:rPr>
            <w:rFonts w:ascii="Cambria Math" w:hAnsi="Cambria Math"/>
            <w:sz w:val="20"/>
            <w:szCs w:val="20"/>
          </w:rPr>
          <m:t>z = 0</m:t>
        </m:r>
      </m:oMath>
      <w:r>
        <w:rPr>
          <w:rFonts w:ascii="Book Antiqua" w:hAnsi="Book Antiqua"/>
          <w:sz w:val="20"/>
          <w:szCs w:val="20"/>
        </w:rPr>
        <w:t xml:space="preserve"> and </w:t>
      </w:r>
      <m:oMath>
        <m:r>
          <w:rPr>
            <w:rFonts w:ascii="Cambria Math" w:hAnsi="Cambria Math"/>
            <w:sz w:val="20"/>
            <w:szCs w:val="20"/>
          </w:rPr>
          <m:t>T = 0</m:t>
        </m:r>
      </m:oMath>
      <w:r>
        <w:rPr>
          <w:rFonts w:ascii="Book Antiqua" w:hAnsi="Book Antiqua"/>
          <w:sz w:val="20"/>
          <w:szCs w:val="20"/>
        </w:rPr>
        <w:t xml:space="preserve"> in our redshift equations. Therefore, when using the redshift </w:t>
      </w:r>
      <w:r>
        <w:rPr>
          <w:rFonts w:ascii="Book Antiqua" w:hAnsi="Book Antiqua"/>
          <w:sz w:val="20"/>
          <w:szCs w:val="20"/>
        </w:rPr>
        <w:lastRenderedPageBreak/>
        <w:t>data to find the total astronomical distance traveled by light to get to us, and the total time elapsed on the atomic clock, the redshift integral equation (65) must have 11.74 million added to it as a constant. It will then read:</w:t>
      </w:r>
    </w:p>
    <w:p w:rsidR="005B7515" w:rsidRDefault="005B7515" w:rsidP="00D825B9">
      <w:pPr>
        <w:pStyle w:val="NoSpacing"/>
        <w:jc w:val="right"/>
        <w:rPr>
          <w:rFonts w:ascii="Book Antiqua" w:hAnsi="Book Antiqua"/>
          <w:i/>
          <w:sz w:val="20"/>
        </w:rPr>
      </w:pPr>
      <m:oMath>
        <m:r>
          <w:rPr>
            <w:rFonts w:ascii="Cambria Math" w:hAnsi="Cambria Math"/>
            <w:sz w:val="20"/>
          </w:rPr>
          <m:t xml:space="preserve">ʃ </m:t>
        </m:r>
        <m:d>
          <m:dPr>
            <m:begChr m:val="["/>
            <m:endChr m:val="]"/>
            <m:ctrlPr>
              <w:rPr>
                <w:rFonts w:ascii="Cambria Math" w:hAnsi="Cambria Math"/>
                <w:i/>
                <w:sz w:val="20"/>
              </w:rPr>
            </m:ctrlPr>
          </m:dPr>
          <m:e>
            <m:f>
              <m:fPr>
                <m:ctrlPr>
                  <w:rPr>
                    <w:rFonts w:ascii="Cambria Math" w:hAnsi="Cambria Math"/>
                    <w:i/>
                    <w:sz w:val="20"/>
                  </w:rPr>
                </m:ctrlPr>
              </m:fPr>
              <m:num>
                <m:r>
                  <w:rPr>
                    <w:rFonts w:ascii="Cambria Math" w:hAnsi="Cambria Math"/>
                    <w:sz w:val="20"/>
                  </w:rPr>
                  <m:t>1+T</m:t>
                </m:r>
              </m:num>
              <m:den>
                <m:rad>
                  <m:radPr>
                    <m:degHide m:val="on"/>
                    <m:ctrlPr>
                      <w:rPr>
                        <w:rFonts w:ascii="Cambria Math" w:hAnsi="Cambria Math"/>
                        <w:i/>
                        <w:sz w:val="20"/>
                      </w:rPr>
                    </m:ctrlPr>
                  </m:radPr>
                  <m:deg/>
                  <m:e>
                    <m:r>
                      <w:rPr>
                        <w:rFonts w:ascii="Cambria Math" w:hAnsi="Cambria Math"/>
                        <w:sz w:val="20"/>
                      </w:rPr>
                      <m: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den>
            </m:f>
          </m:e>
        </m:d>
        <m:r>
          <w:rPr>
            <w:rFonts w:ascii="Cambria Math" w:hAnsi="Cambria Math"/>
            <w:sz w:val="20"/>
          </w:rPr>
          <m:t>dT =  K</m:t>
        </m:r>
        <m:d>
          <m:dPr>
            <m:begChr m:val="["/>
            <m:endChr m:val="]"/>
            <m:ctrlPr>
              <w:rPr>
                <w:rFonts w:ascii="Cambria Math" w:hAnsi="Cambria Math"/>
                <w:i/>
                <w:sz w:val="20"/>
              </w:rPr>
            </m:ctrlPr>
          </m:dPr>
          <m:e>
            <m:r>
              <w:rPr>
                <w:rFonts w:ascii="Cambria Math" w:hAnsi="Cambria Math"/>
                <w:sz w:val="20"/>
              </w:rPr>
              <m:t xml:space="preserve">Arcsin T – </m:t>
            </m:r>
            <m:rad>
              <m:radPr>
                <m:degHide m:val="on"/>
                <m:ctrlPr>
                  <w:rPr>
                    <w:rFonts w:ascii="Cambria Math" w:hAnsi="Cambria Math"/>
                    <w:i/>
                    <w:sz w:val="20"/>
                  </w:rPr>
                </m:ctrlPr>
              </m:radPr>
              <m:deg/>
              <m:e>
                <m:r>
                  <w:rPr>
                    <w:rFonts w:ascii="Cambria Math" w:hAnsi="Cambria Math"/>
                    <w:sz w:val="20"/>
                  </w:rPr>
                  <m:t xml:space="preserve">1 – </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r>
              <w:rPr>
                <w:rFonts w:ascii="Cambria Math" w:hAnsi="Cambria Math"/>
                <w:sz w:val="20"/>
              </w:rPr>
              <m:t>+ 1</m:t>
            </m:r>
          </m:e>
        </m:d>
        <m:r>
          <w:rPr>
            <w:rFonts w:ascii="Cambria Math" w:hAnsi="Cambria Math"/>
            <w:sz w:val="20"/>
          </w:rPr>
          <m:t>+ 11.74 x 1</m:t>
        </m:r>
        <m:sSup>
          <m:sSupPr>
            <m:ctrlPr>
              <w:rPr>
                <w:rFonts w:ascii="Cambria Math" w:hAnsi="Cambria Math"/>
                <w:i/>
                <w:sz w:val="20"/>
              </w:rPr>
            </m:ctrlPr>
          </m:sSupPr>
          <m:e>
            <m:r>
              <w:rPr>
                <w:rFonts w:ascii="Cambria Math" w:hAnsi="Cambria Math"/>
                <w:sz w:val="20"/>
              </w:rPr>
              <m:t>0</m:t>
            </m:r>
          </m:e>
          <m:sup>
            <m:r>
              <w:rPr>
                <w:rFonts w:ascii="Cambria Math" w:hAnsi="Cambria Math"/>
                <w:sz w:val="20"/>
              </w:rPr>
              <m:t>6</m:t>
            </m:r>
          </m:sup>
        </m:sSup>
      </m:oMath>
      <w:r w:rsidRPr="00372C58">
        <w:rPr>
          <w:rFonts w:ascii="Book Antiqua" w:hAnsi="Book Antiqua"/>
          <w:sz w:val="20"/>
        </w:rPr>
        <w:t xml:space="preserve"> </w:t>
      </w:r>
      <w:r>
        <w:rPr>
          <w:rFonts w:ascii="Book Antiqua" w:hAnsi="Book Antiqua"/>
          <w:sz w:val="20"/>
        </w:rPr>
        <w:t xml:space="preserve"> </w:t>
      </w:r>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w:t>
      </w:r>
      <w:r w:rsidR="00D825B9">
        <w:rPr>
          <w:rFonts w:ascii="Book Antiqua" w:hAnsi="Book Antiqua"/>
          <w:i/>
          <w:sz w:val="20"/>
        </w:rPr>
        <w:t>99)</w:t>
      </w:r>
    </w:p>
    <w:p w:rsidR="00D825B9" w:rsidRDefault="00D825B9" w:rsidP="007A74B3">
      <w:pPr>
        <w:pStyle w:val="NoSpacing"/>
        <w:rPr>
          <w:rFonts w:ascii="Book Antiqua" w:hAnsi="Book Antiqua"/>
          <w:i/>
          <w:sz w:val="20"/>
        </w:rPr>
      </w:pPr>
    </w:p>
    <w:p w:rsidR="007A74B3" w:rsidRDefault="007A74B3" w:rsidP="007A74B3">
      <w:pPr>
        <w:pStyle w:val="NormPara"/>
        <w:ind w:firstLine="0"/>
        <w:rPr>
          <w:b/>
          <w:bCs/>
          <w:iCs/>
          <w:color w:val="000000"/>
          <w:sz w:val="20"/>
        </w:rPr>
      </w:pPr>
      <w:r w:rsidRPr="00372C58">
        <w:rPr>
          <w:b/>
          <w:bCs/>
          <w:iCs/>
          <w:color w:val="000000"/>
          <w:sz w:val="20"/>
        </w:rPr>
        <w:t>1</w:t>
      </w:r>
      <w:r>
        <w:rPr>
          <w:b/>
          <w:bCs/>
          <w:iCs/>
          <w:color w:val="000000"/>
          <w:sz w:val="20"/>
        </w:rPr>
        <w:t>1</w:t>
      </w:r>
      <w:r w:rsidRPr="00372C58">
        <w:rPr>
          <w:b/>
          <w:bCs/>
          <w:iCs/>
          <w:color w:val="000000"/>
          <w:sz w:val="20"/>
        </w:rPr>
        <w:t xml:space="preserve">. </w:t>
      </w:r>
      <w:r>
        <w:rPr>
          <w:b/>
          <w:bCs/>
          <w:iCs/>
          <w:color w:val="000000"/>
          <w:sz w:val="20"/>
        </w:rPr>
        <w:t>Considering the</w:t>
      </w:r>
      <w:r w:rsidR="000354D2">
        <w:rPr>
          <w:b/>
          <w:bCs/>
          <w:iCs/>
          <w:color w:val="000000"/>
          <w:sz w:val="20"/>
        </w:rPr>
        <w:t xml:space="preserve"> Form of</w:t>
      </w:r>
      <w:r>
        <w:rPr>
          <w:b/>
          <w:bCs/>
          <w:iCs/>
          <w:color w:val="000000"/>
          <w:sz w:val="20"/>
        </w:rPr>
        <w:t xml:space="preserve"> Recombination</w:t>
      </w:r>
      <w:r w:rsidR="004159A5">
        <w:rPr>
          <w:b/>
          <w:bCs/>
          <w:iCs/>
          <w:color w:val="000000"/>
          <w:sz w:val="20"/>
        </w:rPr>
        <w:t xml:space="preserve"> Equations</w:t>
      </w:r>
      <w:r>
        <w:rPr>
          <w:b/>
          <w:bCs/>
          <w:iCs/>
          <w:color w:val="000000"/>
          <w:sz w:val="20"/>
        </w:rPr>
        <w:t>.</w:t>
      </w:r>
    </w:p>
    <w:p w:rsidR="00F0762A" w:rsidRDefault="00F0762A" w:rsidP="007A74B3">
      <w:pPr>
        <w:pStyle w:val="NormPara"/>
        <w:ind w:firstLine="0"/>
        <w:rPr>
          <w:b/>
          <w:bCs/>
          <w:iCs/>
          <w:color w:val="000000"/>
          <w:sz w:val="20"/>
        </w:rPr>
      </w:pPr>
    </w:p>
    <w:p w:rsidR="006129D5" w:rsidRPr="00F353EC" w:rsidRDefault="006129D5" w:rsidP="006129D5">
      <w:pPr>
        <w:pStyle w:val="NoSpacing"/>
        <w:ind w:firstLine="720"/>
        <w:jc w:val="both"/>
        <w:rPr>
          <w:rFonts w:ascii="Book Antiqua" w:hAnsi="Book Antiqua"/>
          <w:sz w:val="20"/>
        </w:rPr>
      </w:pPr>
      <w:r>
        <w:rPr>
          <w:rFonts w:ascii="Book Antiqua" w:hAnsi="Book Antiqua"/>
          <w:sz w:val="20"/>
        </w:rPr>
        <w:t xml:space="preserve">It is because of this that the redshift equation is only valid from a distance of </w:t>
      </w:r>
      <w:r w:rsidR="00A93B13">
        <w:rPr>
          <w:rFonts w:ascii="Book Antiqua" w:hAnsi="Book Antiqua"/>
          <w:sz w:val="20"/>
        </w:rPr>
        <w:t xml:space="preserve">about </w:t>
      </w:r>
      <w:r>
        <w:rPr>
          <w:rFonts w:ascii="Book Antiqua" w:hAnsi="Book Antiqua"/>
          <w:sz w:val="20"/>
        </w:rPr>
        <w:t>11.74 million light years from us, and from there out to the limits of the cosmos. We then need to look at the equation that describes the final build-up of the Zero Point Energy from that point</w:t>
      </w:r>
      <w:r w:rsidR="00D9672A">
        <w:rPr>
          <w:rFonts w:ascii="Book Antiqua" w:hAnsi="Book Antiqua"/>
          <w:sz w:val="20"/>
        </w:rPr>
        <w:t xml:space="preserve"> to the present</w:t>
      </w:r>
      <w:r>
        <w:rPr>
          <w:rFonts w:ascii="Book Antiqua" w:hAnsi="Book Antiqua"/>
          <w:sz w:val="20"/>
        </w:rPr>
        <w:t>.  This is the equation that will describe the recombination of the Planck Particle Pairs once they were no longer being generated by turbulence. The form of the final recombination has determined the behavior of light-speed over the final 11.74 million light years and the behavior of atomic clocks during that time.</w:t>
      </w:r>
    </w:p>
    <w:p w:rsidR="006129D5" w:rsidRDefault="006129D5" w:rsidP="006129D5">
      <w:pPr>
        <w:pStyle w:val="NoSpacing"/>
        <w:jc w:val="both"/>
        <w:rPr>
          <w:rFonts w:ascii="Book Antiqua" w:hAnsi="Book Antiqua"/>
          <w:sz w:val="20"/>
        </w:rPr>
      </w:pPr>
    </w:p>
    <w:p w:rsidR="006129D5" w:rsidRDefault="006129D5" w:rsidP="006129D5">
      <w:pPr>
        <w:pStyle w:val="NoSpacing"/>
        <w:ind w:firstLine="720"/>
        <w:jc w:val="both"/>
        <w:rPr>
          <w:rFonts w:ascii="Book Antiqua" w:hAnsi="Book Antiqua"/>
          <w:sz w:val="20"/>
        </w:rPr>
      </w:pPr>
      <w:r>
        <w:rPr>
          <w:rFonts w:ascii="Book Antiqua" w:hAnsi="Book Antiqua"/>
          <w:sz w:val="20"/>
        </w:rPr>
        <w:t xml:space="preserve">The recombination of a set number of positive and negative charges is </w:t>
      </w:r>
      <w:r w:rsidR="009677FF">
        <w:rPr>
          <w:rFonts w:ascii="Book Antiqua" w:hAnsi="Book Antiqua"/>
          <w:sz w:val="20"/>
        </w:rPr>
        <w:t>often</w:t>
      </w:r>
      <w:r>
        <w:rPr>
          <w:rFonts w:ascii="Book Antiqua" w:hAnsi="Book Antiqua"/>
          <w:sz w:val="20"/>
        </w:rPr>
        <w:t xml:space="preserve"> a linear process as experimentally determined in laboratories. </w:t>
      </w:r>
      <w:r w:rsidR="009677FF">
        <w:rPr>
          <w:rFonts w:ascii="Book Antiqua" w:hAnsi="Book Antiqua"/>
          <w:sz w:val="20"/>
        </w:rPr>
        <w:t xml:space="preserve">One such an example </w:t>
      </w:r>
      <w:r>
        <w:rPr>
          <w:rFonts w:ascii="Book Antiqua" w:hAnsi="Book Antiqua"/>
          <w:sz w:val="20"/>
        </w:rPr>
        <w:t>is illustrated by the graph in Figure 1</w:t>
      </w:r>
      <w:r w:rsidR="00F06E96">
        <w:rPr>
          <w:rFonts w:ascii="Book Antiqua" w:hAnsi="Book Antiqua"/>
          <w:sz w:val="20"/>
        </w:rPr>
        <w:t>9</w:t>
      </w:r>
      <w:r>
        <w:rPr>
          <w:rFonts w:ascii="Book Antiqua" w:hAnsi="Book Antiqua"/>
          <w:sz w:val="20"/>
        </w:rPr>
        <w:t>, where a defined quantity of Argon ions recombines with electrons. The graphs in Figures 1</w:t>
      </w:r>
      <w:r w:rsidR="00F06E96">
        <w:rPr>
          <w:rFonts w:ascii="Book Antiqua" w:hAnsi="Book Antiqua"/>
          <w:sz w:val="20"/>
        </w:rPr>
        <w:t>6</w:t>
      </w:r>
      <w:r>
        <w:rPr>
          <w:rFonts w:ascii="Book Antiqua" w:hAnsi="Book Antiqua"/>
          <w:sz w:val="20"/>
        </w:rPr>
        <w:t xml:space="preserve"> and 1</w:t>
      </w:r>
      <w:r w:rsidR="00F06E96">
        <w:rPr>
          <w:rFonts w:ascii="Book Antiqua" w:hAnsi="Book Antiqua"/>
          <w:sz w:val="20"/>
        </w:rPr>
        <w:t>7</w:t>
      </w:r>
      <w:r>
        <w:rPr>
          <w:rFonts w:ascii="Book Antiqua" w:hAnsi="Book Antiqua"/>
          <w:sz w:val="20"/>
        </w:rPr>
        <w:t>, where hydrogen ions (protons) recombine with electrons also show a linear process.</w:t>
      </w:r>
    </w:p>
    <w:p w:rsidR="006129D5" w:rsidRDefault="006129D5" w:rsidP="006129D5">
      <w:pPr>
        <w:pStyle w:val="NoSpacing"/>
        <w:ind w:firstLine="720"/>
        <w:jc w:val="both"/>
        <w:rPr>
          <w:rFonts w:ascii="Book Antiqua" w:hAnsi="Book Antiqua"/>
          <w:sz w:val="20"/>
        </w:rPr>
      </w:pPr>
    </w:p>
    <w:p w:rsidR="006129D5" w:rsidRDefault="006129D5" w:rsidP="00F06E96">
      <w:pPr>
        <w:pStyle w:val="NoSpacing"/>
        <w:ind w:firstLine="720"/>
        <w:jc w:val="both"/>
        <w:rPr>
          <w:rFonts w:ascii="Book Antiqua" w:hAnsi="Book Antiqua"/>
          <w:sz w:val="20"/>
        </w:rPr>
      </w:pPr>
      <w:r>
        <w:rPr>
          <w:rFonts w:ascii="Book Antiqua" w:hAnsi="Book Antiqua"/>
          <w:sz w:val="20"/>
        </w:rPr>
        <w:t>The conclusion is that, following the cessation of PPP build-up through turbulence, the system will undergo recombination exclusively. That then will lead to a steep</w:t>
      </w:r>
      <w:r w:rsidR="009677FF">
        <w:rPr>
          <w:rFonts w:ascii="Book Antiqua" w:hAnsi="Book Antiqua"/>
          <w:sz w:val="20"/>
        </w:rPr>
        <w:t xml:space="preserve"> (probably</w:t>
      </w:r>
      <w:r>
        <w:rPr>
          <w:rFonts w:ascii="Book Antiqua" w:hAnsi="Book Antiqua"/>
          <w:sz w:val="20"/>
        </w:rPr>
        <w:t xml:space="preserve"> linear</w:t>
      </w:r>
      <w:r w:rsidR="009677FF">
        <w:rPr>
          <w:rFonts w:ascii="Book Antiqua" w:hAnsi="Book Antiqua"/>
          <w:sz w:val="20"/>
        </w:rPr>
        <w:t>)</w:t>
      </w:r>
      <w:r>
        <w:rPr>
          <w:rFonts w:ascii="Book Antiqua" w:hAnsi="Book Antiqua"/>
          <w:sz w:val="20"/>
        </w:rPr>
        <w:t xml:space="preserve"> decline in PPP numbers and a resultant inverse rapid build-up of the ZPE strength</w:t>
      </w:r>
      <w:r w:rsidR="00C31058">
        <w:rPr>
          <w:rFonts w:ascii="Book Antiqua" w:hAnsi="Book Antiqua"/>
          <w:sz w:val="20"/>
        </w:rPr>
        <w:t>,</w:t>
      </w:r>
      <w:r>
        <w:rPr>
          <w:rFonts w:ascii="Book Antiqua" w:hAnsi="Book Antiqua"/>
          <w:sz w:val="20"/>
        </w:rPr>
        <w:t xml:space="preserve"> even though the redshift function has ceased at the M 81 cluster of galaxies. </w:t>
      </w:r>
      <w:r w:rsidR="00D9672A">
        <w:rPr>
          <w:rFonts w:ascii="Book Antiqua" w:hAnsi="Book Antiqua"/>
          <w:sz w:val="20"/>
        </w:rPr>
        <w:t xml:space="preserve"> This is illustrated in Figure 19.</w:t>
      </w:r>
    </w:p>
    <w:p w:rsidR="00D52854" w:rsidRPr="00372C58" w:rsidRDefault="00D52854" w:rsidP="00F06E96">
      <w:pPr>
        <w:pStyle w:val="NoSpacing"/>
        <w:ind w:firstLine="720"/>
        <w:jc w:val="both"/>
        <w:rPr>
          <w:b/>
          <w:bCs/>
          <w:iCs/>
          <w:color w:val="000000"/>
          <w:sz w:val="20"/>
        </w:rPr>
      </w:pPr>
    </w:p>
    <w:p w:rsidR="00F0762A" w:rsidRDefault="00F0762A" w:rsidP="00F0762A">
      <w:pPr>
        <w:pStyle w:val="NoSpacing"/>
        <w:jc w:val="center"/>
        <w:rPr>
          <w:rFonts w:ascii="Book Antiqua" w:hAnsi="Book Antiqua"/>
          <w:sz w:val="20"/>
        </w:rPr>
      </w:pPr>
      <w:r w:rsidRPr="00325F76">
        <w:rPr>
          <w:rFonts w:ascii="Book Antiqua" w:hAnsi="Book Antiqua"/>
          <w:noProof/>
          <w:sz w:val="20"/>
        </w:rPr>
        <w:drawing>
          <wp:inline distT="0" distB="0" distL="0" distR="0">
            <wp:extent cx="4022751" cy="2466574"/>
            <wp:effectExtent l="19050" t="0" r="0" b="0"/>
            <wp:docPr id="784" name="Picture 13"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
                    <pic:cNvPicPr>
                      <a:picLocks noChangeAspect="1" noChangeArrowheads="1"/>
                    </pic:cNvPicPr>
                  </pic:nvPicPr>
                  <pic:blipFill>
                    <a:blip r:embed="rId231" cstate="print"/>
                    <a:srcRect l="4587" t="6340" r="4791" b="5476"/>
                    <a:stretch>
                      <a:fillRect/>
                    </a:stretch>
                  </pic:blipFill>
                  <pic:spPr bwMode="auto">
                    <a:xfrm>
                      <a:off x="0" y="0"/>
                      <a:ext cx="4026433" cy="2468831"/>
                    </a:xfrm>
                    <a:prstGeom prst="rect">
                      <a:avLst/>
                    </a:prstGeom>
                    <a:noFill/>
                    <a:ln w="9525">
                      <a:noFill/>
                      <a:miter lim="800000"/>
                      <a:headEnd/>
                      <a:tailEnd/>
                    </a:ln>
                  </pic:spPr>
                </pic:pic>
              </a:graphicData>
            </a:graphic>
          </wp:inline>
        </w:drawing>
      </w:r>
    </w:p>
    <w:p w:rsidR="00EB0CE5" w:rsidRPr="00372C58" w:rsidRDefault="00EB0CE5" w:rsidP="00F0762A">
      <w:pPr>
        <w:pStyle w:val="NoSpacing"/>
        <w:jc w:val="center"/>
        <w:rPr>
          <w:rFonts w:ascii="Book Antiqua" w:hAnsi="Book Antiqua"/>
          <w:sz w:val="20"/>
        </w:rPr>
      </w:pPr>
    </w:p>
    <w:p w:rsidR="00F0762A" w:rsidRPr="00A30A9E" w:rsidRDefault="00F0762A" w:rsidP="003E73E0">
      <w:pPr>
        <w:pStyle w:val="NoSpacing"/>
        <w:jc w:val="both"/>
        <w:rPr>
          <w:rFonts w:ascii="Book Antiqua" w:hAnsi="Book Antiqua"/>
          <w:i/>
          <w:sz w:val="18"/>
          <w:szCs w:val="18"/>
        </w:rPr>
      </w:pPr>
      <w:r w:rsidRPr="00A30A9E">
        <w:rPr>
          <w:rFonts w:ascii="Book Antiqua" w:hAnsi="Book Antiqua"/>
          <w:b/>
          <w:i/>
          <w:sz w:val="18"/>
          <w:szCs w:val="18"/>
        </w:rPr>
        <w:t>Figure 1</w:t>
      </w:r>
      <w:r w:rsidR="003D33FE">
        <w:rPr>
          <w:rFonts w:ascii="Book Antiqua" w:hAnsi="Book Antiqua"/>
          <w:b/>
          <w:i/>
          <w:sz w:val="18"/>
          <w:szCs w:val="18"/>
        </w:rPr>
        <w:t>9</w:t>
      </w:r>
      <w:r w:rsidRPr="00A30A9E">
        <w:rPr>
          <w:rFonts w:ascii="Book Antiqua" w:hAnsi="Book Antiqua"/>
          <w:b/>
          <w:i/>
          <w:sz w:val="18"/>
          <w:szCs w:val="18"/>
        </w:rPr>
        <w:t>:</w:t>
      </w:r>
      <w:r w:rsidRPr="00A30A9E">
        <w:rPr>
          <w:rFonts w:ascii="Book Antiqua" w:hAnsi="Book Antiqua"/>
          <w:i/>
          <w:sz w:val="18"/>
          <w:szCs w:val="18"/>
        </w:rPr>
        <w:t xml:space="preserve"> Experimental results using a fixed concentration of Argon atoms. Reading the graph from left to right gives the ionization rate of neutral Argon atoms.This is determined by the free electron density given vertically with time horizontally. The plateau on the upper right occurs when all argon atoms have been ionized. Reading the graph from right to left gives the recombination rate of the fixed concentration of Argon ions and electrons from the level of the plateau down to only neutral atoms at the zero mark. In both cases, the </w:t>
      </w:r>
      <w:r w:rsidR="003E73E0">
        <w:rPr>
          <w:rFonts w:ascii="Book Antiqua" w:hAnsi="Book Antiqua"/>
          <w:i/>
          <w:sz w:val="18"/>
          <w:szCs w:val="18"/>
        </w:rPr>
        <w:t xml:space="preserve">magnitude of the </w:t>
      </w:r>
      <w:r w:rsidRPr="00A30A9E">
        <w:rPr>
          <w:rFonts w:ascii="Book Antiqua" w:hAnsi="Book Antiqua"/>
          <w:i/>
          <w:sz w:val="18"/>
          <w:szCs w:val="18"/>
        </w:rPr>
        <w:t xml:space="preserve">rate constant </w:t>
      </w:r>
      <w:proofErr w:type="gramStart"/>
      <w:r w:rsidRPr="00A30A9E">
        <w:rPr>
          <w:rFonts w:ascii="Book Antiqua" w:hAnsi="Book Antiqua"/>
          <w:i/>
          <w:sz w:val="18"/>
          <w:szCs w:val="18"/>
        </w:rPr>
        <w:t xml:space="preserve">is </w:t>
      </w:r>
      <m:oMath>
        <w:proofErr w:type="gramEnd"/>
        <m:sSub>
          <m:sSubPr>
            <m:ctrlPr>
              <w:rPr>
                <w:rFonts w:ascii="Cambria Math" w:hAnsi="Book Antiqua"/>
                <w:i/>
                <w:sz w:val="18"/>
                <w:szCs w:val="18"/>
              </w:rPr>
            </m:ctrlPr>
          </m:sSubPr>
          <m:e>
            <m:r>
              <w:rPr>
                <w:rFonts w:ascii="Cambria Math" w:hAnsi="Cambria Math"/>
                <w:sz w:val="18"/>
                <w:szCs w:val="18"/>
              </w:rPr>
              <m:t>k</m:t>
            </m:r>
          </m:e>
          <m:sub>
            <m:r>
              <w:rPr>
                <w:rFonts w:ascii="Cambria Math" w:hAnsi="Book Antiqua"/>
                <w:sz w:val="18"/>
                <w:szCs w:val="18"/>
              </w:rPr>
              <m:t>1</m:t>
            </m:r>
          </m:sub>
        </m:sSub>
      </m:oMath>
      <w:r w:rsidRPr="00A30A9E">
        <w:rPr>
          <w:rFonts w:ascii="Book Antiqua" w:hAnsi="Book Antiqua"/>
          <w:i/>
          <w:sz w:val="18"/>
          <w:szCs w:val="18"/>
        </w:rPr>
        <w:t xml:space="preserve">. </w:t>
      </w:r>
      <w:r w:rsidR="0058502F">
        <w:rPr>
          <w:rFonts w:ascii="Book Antiqua" w:hAnsi="Book Antiqua"/>
          <w:i/>
          <w:sz w:val="18"/>
          <w:szCs w:val="18"/>
        </w:rPr>
        <w:t>T</w:t>
      </w:r>
      <w:r w:rsidRPr="00A30A9E">
        <w:rPr>
          <w:rFonts w:ascii="Book Antiqua" w:hAnsi="Book Antiqua"/>
          <w:i/>
          <w:sz w:val="18"/>
          <w:szCs w:val="18"/>
        </w:rPr>
        <w:t xml:space="preserve">he recombination (or ionization) rate for a set number of ions (or atoms), is </w:t>
      </w:r>
      <w:r w:rsidR="0058502F">
        <w:rPr>
          <w:rFonts w:ascii="Book Antiqua" w:hAnsi="Book Antiqua"/>
          <w:i/>
          <w:sz w:val="18"/>
          <w:szCs w:val="18"/>
        </w:rPr>
        <w:t xml:space="preserve">thus </w:t>
      </w:r>
      <w:r w:rsidRPr="00A30A9E">
        <w:rPr>
          <w:rFonts w:ascii="Book Antiqua" w:hAnsi="Book Antiqua"/>
          <w:i/>
          <w:sz w:val="18"/>
          <w:szCs w:val="18"/>
        </w:rPr>
        <w:t>a linear function</w:t>
      </w:r>
      <w:r w:rsidR="009677FF">
        <w:rPr>
          <w:rFonts w:ascii="Book Antiqua" w:hAnsi="Book Antiqua"/>
          <w:i/>
          <w:sz w:val="18"/>
          <w:szCs w:val="18"/>
        </w:rPr>
        <w:t xml:space="preserve"> in this case</w:t>
      </w:r>
      <w:r w:rsidRPr="00A30A9E">
        <w:rPr>
          <w:rFonts w:ascii="Book Antiqua" w:hAnsi="Book Antiqua"/>
          <w:i/>
          <w:sz w:val="18"/>
          <w:szCs w:val="18"/>
        </w:rPr>
        <w:t>.</w:t>
      </w:r>
      <w:r w:rsidR="0058502F">
        <w:rPr>
          <w:rFonts w:ascii="Book Antiqua" w:hAnsi="Book Antiqua"/>
          <w:i/>
          <w:sz w:val="18"/>
          <w:szCs w:val="18"/>
        </w:rPr>
        <w:t xml:space="preserve"> Cosmologically, once all turbulence has ceased and no more Planck Particle Pairs are being formed, the recombination of the remaining PPP </w:t>
      </w:r>
      <w:r w:rsidR="009677FF">
        <w:rPr>
          <w:rFonts w:ascii="Book Antiqua" w:hAnsi="Book Antiqua"/>
          <w:i/>
          <w:sz w:val="18"/>
          <w:szCs w:val="18"/>
        </w:rPr>
        <w:t>might also be</w:t>
      </w:r>
      <w:r w:rsidR="0058502F">
        <w:rPr>
          <w:rFonts w:ascii="Book Antiqua" w:hAnsi="Book Antiqua"/>
          <w:i/>
          <w:sz w:val="18"/>
          <w:szCs w:val="18"/>
        </w:rPr>
        <w:t xml:space="preserve"> expected to be a linear process.</w:t>
      </w:r>
    </w:p>
    <w:p w:rsidR="005D7868" w:rsidRDefault="005D7868" w:rsidP="00F0762A">
      <w:pPr>
        <w:pStyle w:val="NoSpacing"/>
        <w:rPr>
          <w:rFonts w:ascii="Book Antiqua" w:hAnsi="Book Antiqua"/>
          <w:sz w:val="20"/>
        </w:rPr>
      </w:pPr>
    </w:p>
    <w:p w:rsidR="00913276" w:rsidRDefault="00913276" w:rsidP="00913276">
      <w:pPr>
        <w:pStyle w:val="NoSpacing"/>
        <w:ind w:firstLine="720"/>
        <w:jc w:val="both"/>
        <w:rPr>
          <w:rFonts w:ascii="Book Antiqua" w:hAnsi="Book Antiqua"/>
          <w:sz w:val="20"/>
        </w:rPr>
      </w:pPr>
      <w:r>
        <w:rPr>
          <w:rFonts w:ascii="Book Antiqua" w:hAnsi="Book Antiqua"/>
          <w:sz w:val="20"/>
        </w:rPr>
        <w:t xml:space="preserve">In summary, it can be stated that, while the redshift function ended when all turbulence had ceased, ongoing Planck Particle Pair recombination meant that the Zero Point Energy continued to build in strength until recombination was complete. This meant that atomic orbit energies continued to build until that time, and so emitted light became bluer </w:t>
      </w:r>
      <w:r>
        <w:rPr>
          <w:rFonts w:ascii="Book Antiqua" w:hAnsi="Book Antiqua"/>
          <w:sz w:val="20"/>
        </w:rPr>
        <w:lastRenderedPageBreak/>
        <w:t xml:space="preserve">in quantized jumps until then. Since we take our own position in space as the standard, we set the redshift as being zero here, not at the position where the redshift function </w:t>
      </w:r>
      <w:r w:rsidR="007C6CAE">
        <w:rPr>
          <w:rFonts w:ascii="Book Antiqua" w:hAnsi="Book Antiqua"/>
          <w:sz w:val="20"/>
        </w:rPr>
        <w:t xml:space="preserve">actually </w:t>
      </w:r>
      <w:r>
        <w:rPr>
          <w:rFonts w:ascii="Book Antiqua" w:hAnsi="Book Antiqua"/>
          <w:sz w:val="20"/>
        </w:rPr>
        <w:t xml:space="preserve">equaled zero. On this basis, the data suggest that the true zero position is probably near the M 81 cluster of galaxies, or perhaps </w:t>
      </w:r>
      <w:r w:rsidR="00523084">
        <w:rPr>
          <w:rFonts w:ascii="Book Antiqua" w:hAnsi="Book Antiqua"/>
          <w:sz w:val="20"/>
        </w:rPr>
        <w:t>somewhat</w:t>
      </w:r>
      <w:r w:rsidR="00772255">
        <w:rPr>
          <w:rFonts w:ascii="Book Antiqua" w:hAnsi="Book Antiqua"/>
          <w:sz w:val="20"/>
        </w:rPr>
        <w:t xml:space="preserve"> </w:t>
      </w:r>
      <w:r>
        <w:rPr>
          <w:rFonts w:ascii="Book Antiqua" w:hAnsi="Book Antiqua"/>
          <w:sz w:val="20"/>
        </w:rPr>
        <w:t>further out.</w:t>
      </w:r>
    </w:p>
    <w:p w:rsidR="00913276" w:rsidRDefault="00913276" w:rsidP="00F0762A">
      <w:pPr>
        <w:pStyle w:val="NoSpacing"/>
        <w:rPr>
          <w:rFonts w:ascii="Book Antiqua" w:hAnsi="Book Antiqua"/>
          <w:sz w:val="20"/>
        </w:rPr>
      </w:pPr>
    </w:p>
    <w:p w:rsidR="00913276" w:rsidRDefault="00913276" w:rsidP="00F0762A">
      <w:pPr>
        <w:pStyle w:val="NoSpacing"/>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References </w:t>
      </w:r>
      <w:r w:rsidRPr="00372C58">
        <w:rPr>
          <w:rFonts w:ascii="Book Antiqua" w:hAnsi="Book Antiqua"/>
          <w:bCs/>
          <w:i/>
          <w:iCs/>
          <w:color w:val="000000"/>
          <w:sz w:val="20"/>
        </w:rPr>
        <w:t>– All URL’s retrieved 9/13/12</w:t>
      </w:r>
    </w:p>
    <w:p w:rsidR="00265840" w:rsidRPr="005627CB" w:rsidRDefault="00265840" w:rsidP="00265840">
      <w:pPr>
        <w:pStyle w:val="NoSpacing"/>
        <w:rPr>
          <w:rFonts w:ascii="Book Antiqua" w:hAnsi="Book Antiqua"/>
          <w:b/>
          <w:bCs/>
          <w:i/>
          <w:iCs/>
          <w:color w:val="000000"/>
          <w:sz w:val="16"/>
          <w:szCs w:val="16"/>
        </w:rPr>
      </w:pP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 P. Couderc, </w:t>
      </w:r>
      <w:r w:rsidRPr="005627CB">
        <w:rPr>
          <w:rFonts w:ascii="Book Antiqua" w:hAnsi="Book Antiqua"/>
          <w:i/>
          <w:iCs/>
          <w:sz w:val="16"/>
          <w:szCs w:val="16"/>
        </w:rPr>
        <w:t>The Wider Universe</w:t>
      </w:r>
      <w:r w:rsidRPr="005627CB">
        <w:rPr>
          <w:rFonts w:ascii="Book Antiqua" w:hAnsi="Book Antiqua"/>
          <w:i/>
          <w:sz w:val="16"/>
          <w:szCs w:val="16"/>
        </w:rPr>
        <w:t>,</w:t>
      </w:r>
      <w:r w:rsidRPr="005627CB">
        <w:rPr>
          <w:rFonts w:ascii="Book Antiqua" w:hAnsi="Book Antiqua"/>
          <w:sz w:val="16"/>
          <w:szCs w:val="16"/>
        </w:rPr>
        <w:t xml:space="preserve"> pp. 10, 91. Translated by Martin Davidson, (Hutchinson &amp; Co. Ltd., London, 1960).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 J. Audouze, G. Israel, </w:t>
      </w:r>
      <w:r w:rsidRPr="005627CB">
        <w:rPr>
          <w:rFonts w:ascii="Book Antiqua" w:hAnsi="Book Antiqua"/>
          <w:i/>
          <w:iCs/>
          <w:sz w:val="16"/>
          <w:szCs w:val="16"/>
        </w:rPr>
        <w:t>Cambridge Atlas of Astronomy</w:t>
      </w:r>
      <w:r w:rsidRPr="005627CB">
        <w:rPr>
          <w:rFonts w:ascii="Book Antiqua" w:hAnsi="Book Antiqua"/>
          <w:sz w:val="16"/>
          <w:szCs w:val="16"/>
        </w:rPr>
        <w:t xml:space="preserve">, pp. 356, 382, (Cambridge University Press,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 P. Couderc, op. cit., p.92.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 Ibid, p.93.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 E. P. Hubble, </w:t>
      </w:r>
      <w:r w:rsidRPr="005627CB">
        <w:rPr>
          <w:rFonts w:ascii="Book Antiqua" w:hAnsi="Book Antiqua"/>
          <w:i/>
          <w:iCs/>
          <w:sz w:val="16"/>
          <w:szCs w:val="16"/>
        </w:rPr>
        <w:t xml:space="preserve">Proceedings of the National Academy of Sciences </w:t>
      </w:r>
      <w:r w:rsidRPr="005627CB">
        <w:rPr>
          <w:rFonts w:ascii="Book Antiqua" w:hAnsi="Book Antiqua"/>
          <w:b/>
          <w:bCs/>
          <w:sz w:val="16"/>
          <w:szCs w:val="16"/>
        </w:rPr>
        <w:t>15</w:t>
      </w:r>
      <w:r w:rsidRPr="005627CB">
        <w:rPr>
          <w:rFonts w:ascii="Book Antiqua" w:hAnsi="Book Antiqua"/>
          <w:sz w:val="16"/>
          <w:szCs w:val="16"/>
        </w:rPr>
        <w:t xml:space="preserve">:168 (1929).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 E. P. Hubble, </w:t>
      </w:r>
      <w:r w:rsidRPr="005627CB">
        <w:rPr>
          <w:rFonts w:ascii="Book Antiqua" w:hAnsi="Book Antiqua"/>
          <w:i/>
          <w:iCs/>
          <w:sz w:val="16"/>
          <w:szCs w:val="16"/>
        </w:rPr>
        <w:t>The Realm of the Nebulae</w:t>
      </w:r>
      <w:r w:rsidRPr="005627CB">
        <w:rPr>
          <w:rFonts w:ascii="Book Antiqua" w:hAnsi="Book Antiqua"/>
          <w:i/>
          <w:sz w:val="16"/>
          <w:szCs w:val="16"/>
        </w:rPr>
        <w:t>,</w:t>
      </w:r>
      <w:r w:rsidRPr="005627CB">
        <w:rPr>
          <w:rFonts w:ascii="Book Antiqua" w:hAnsi="Book Antiqua"/>
          <w:sz w:val="16"/>
          <w:szCs w:val="16"/>
        </w:rPr>
        <w:t xml:space="preserve"> p.121, (Yale University Press, 1936).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 Audouze &amp; Israel, op. cit, p.382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 P. Couderc, op. cit., p.103.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[9] F. Hoyle, </w:t>
      </w:r>
      <w:r w:rsidRPr="005627CB">
        <w:rPr>
          <w:rFonts w:ascii="Book Antiqua" w:hAnsi="Book Antiqua"/>
          <w:i/>
          <w:iCs/>
          <w:sz w:val="16"/>
          <w:szCs w:val="16"/>
        </w:rPr>
        <w:t>Frontiers of Astronomy</w:t>
      </w:r>
      <w:r w:rsidRPr="005627CB">
        <w:rPr>
          <w:rFonts w:ascii="Book Antiqua" w:hAnsi="Book Antiqua"/>
          <w:sz w:val="16"/>
          <w:szCs w:val="16"/>
        </w:rPr>
        <w:t xml:space="preserve">, pp.311-312, (William Heinemann Ltd., London, 1956).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[10] Audouze &amp; Israel, op. cit., p.356.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[11] M. S. Longair, </w:t>
      </w:r>
      <w:r w:rsidRPr="005627CB">
        <w:rPr>
          <w:rFonts w:ascii="Book Antiqua" w:hAnsi="Book Antiqua"/>
          <w:i/>
          <w:iCs/>
          <w:sz w:val="16"/>
          <w:szCs w:val="16"/>
        </w:rPr>
        <w:t>The Physics of Background Radiation</w:t>
      </w:r>
      <w:r w:rsidRPr="005627CB">
        <w:rPr>
          <w:rFonts w:ascii="Book Antiqua" w:hAnsi="Book Antiqua"/>
          <w:sz w:val="16"/>
          <w:szCs w:val="16"/>
        </w:rPr>
        <w:t xml:space="preserve">. In B. Binggeli and R. Buser, (editors) </w:t>
      </w:r>
      <w:r w:rsidRPr="005627CB">
        <w:rPr>
          <w:rFonts w:ascii="Book Antiqua" w:hAnsi="Book Antiqua"/>
          <w:b/>
          <w:iCs/>
          <w:sz w:val="16"/>
          <w:szCs w:val="16"/>
        </w:rPr>
        <w:t>The Deep Universe</w:t>
      </w:r>
      <w:r w:rsidRPr="005627CB">
        <w:rPr>
          <w:rFonts w:ascii="Book Antiqua" w:hAnsi="Book Antiqua"/>
          <w:sz w:val="16"/>
          <w:szCs w:val="16"/>
        </w:rPr>
        <w:t xml:space="preserve">, p.369 (Springer, Berlin, 1995).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[12] M. Schmidt, </w:t>
      </w:r>
      <w:r w:rsidRPr="005627CB">
        <w:rPr>
          <w:rFonts w:ascii="Book Antiqua" w:hAnsi="Book Antiqua"/>
          <w:i/>
          <w:iCs/>
          <w:sz w:val="16"/>
          <w:szCs w:val="16"/>
        </w:rPr>
        <w:t xml:space="preserve">Astrophysical Journal </w:t>
      </w:r>
      <w:r w:rsidRPr="005627CB">
        <w:rPr>
          <w:rFonts w:ascii="Book Antiqua" w:hAnsi="Book Antiqua"/>
          <w:b/>
          <w:bCs/>
          <w:sz w:val="16"/>
          <w:szCs w:val="16"/>
        </w:rPr>
        <w:t>176</w:t>
      </w:r>
      <w:r w:rsidRPr="005627CB">
        <w:rPr>
          <w:rFonts w:ascii="Book Antiqua" w:hAnsi="Book Antiqua"/>
          <w:sz w:val="16"/>
          <w:szCs w:val="16"/>
        </w:rPr>
        <w:t xml:space="preserve">:273-287 (1972).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[13] C. W. Misner, K. S. Thorne, &amp; J. A. Wheeler, </w:t>
      </w:r>
      <w:r w:rsidRPr="005627CB">
        <w:rPr>
          <w:rFonts w:ascii="Book Antiqua" w:hAnsi="Book Antiqua"/>
          <w:i/>
          <w:iCs/>
          <w:sz w:val="16"/>
          <w:szCs w:val="16"/>
        </w:rPr>
        <w:t>Gravitation</w:t>
      </w:r>
      <w:r w:rsidRPr="005627CB">
        <w:rPr>
          <w:rFonts w:ascii="Book Antiqua" w:hAnsi="Book Antiqua"/>
          <w:i/>
          <w:sz w:val="16"/>
          <w:szCs w:val="16"/>
        </w:rPr>
        <w:t>,</w:t>
      </w:r>
      <w:r w:rsidRPr="005627CB">
        <w:rPr>
          <w:rFonts w:ascii="Book Antiqua" w:hAnsi="Book Antiqua"/>
          <w:sz w:val="16"/>
          <w:szCs w:val="16"/>
        </w:rPr>
        <w:t xml:space="preserve"> p.767, (W. H. Freeman &amp; Co., USA, 1997).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[14] A. Friedmann, </w:t>
      </w:r>
      <w:r w:rsidRPr="005627CB">
        <w:rPr>
          <w:rFonts w:ascii="Book Antiqua" w:hAnsi="Book Antiqua"/>
          <w:i/>
          <w:iCs/>
          <w:sz w:val="16"/>
          <w:szCs w:val="16"/>
        </w:rPr>
        <w:t xml:space="preserve">Zeitschrift fur Physik </w:t>
      </w:r>
      <w:r w:rsidRPr="005627CB">
        <w:rPr>
          <w:rFonts w:ascii="Book Antiqua" w:hAnsi="Book Antiqua"/>
          <w:b/>
          <w:bCs/>
          <w:sz w:val="16"/>
          <w:szCs w:val="16"/>
        </w:rPr>
        <w:t>10</w:t>
      </w:r>
      <w:r w:rsidRPr="005627CB">
        <w:rPr>
          <w:rFonts w:ascii="Book Antiqua" w:hAnsi="Book Antiqua"/>
          <w:sz w:val="16"/>
          <w:szCs w:val="16"/>
        </w:rPr>
        <w:t xml:space="preserve">:377 (1922). For English translation see reference [16] under Lang and Gingerich, pp. 838-843.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[15] G. Lemaitre, </w:t>
      </w:r>
      <w:r w:rsidRPr="005627CB">
        <w:rPr>
          <w:rFonts w:ascii="Book Antiqua" w:hAnsi="Book Antiqua"/>
          <w:i/>
          <w:iCs/>
          <w:sz w:val="16"/>
          <w:szCs w:val="16"/>
        </w:rPr>
        <w:t xml:space="preserve">Annales Societe Scientifique Bruxelles </w:t>
      </w:r>
      <w:r w:rsidRPr="005627CB">
        <w:rPr>
          <w:rFonts w:ascii="Book Antiqua" w:hAnsi="Book Antiqua"/>
          <w:b/>
          <w:bCs/>
          <w:sz w:val="16"/>
          <w:szCs w:val="16"/>
        </w:rPr>
        <w:t>A47</w:t>
      </w:r>
      <w:r w:rsidRPr="005627CB">
        <w:rPr>
          <w:rFonts w:ascii="Book Antiqua" w:hAnsi="Book Antiqua"/>
          <w:sz w:val="16"/>
          <w:szCs w:val="16"/>
        </w:rPr>
        <w:t xml:space="preserve">:49 (1927). For English translation see reference below under Lang and Gingerich, pp.844-848.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[16] K. R. Lang &amp; O. Gingerich (editors), </w:t>
      </w:r>
      <w:r w:rsidRPr="005627CB">
        <w:rPr>
          <w:rFonts w:ascii="Book Antiqua" w:hAnsi="Book Antiqua"/>
          <w:i/>
          <w:iCs/>
          <w:sz w:val="16"/>
          <w:szCs w:val="16"/>
        </w:rPr>
        <w:t>A Sourcebook in Astronomy and Astrophysics</w:t>
      </w:r>
      <w:r w:rsidRPr="005627CB">
        <w:rPr>
          <w:rFonts w:ascii="Book Antiqua" w:hAnsi="Book Antiqua"/>
          <w:i/>
          <w:sz w:val="16"/>
          <w:szCs w:val="16"/>
        </w:rPr>
        <w:t>,</w:t>
      </w:r>
      <w:r w:rsidRPr="005627CB">
        <w:rPr>
          <w:rFonts w:ascii="Book Antiqua" w:hAnsi="Book Antiqua"/>
          <w:sz w:val="16"/>
          <w:szCs w:val="16"/>
        </w:rPr>
        <w:t xml:space="preserve"> p.844 ff, Harvard University Press, 1979.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[17] L. Ashmore, 'An Explanation of Redshift in a Static Universe,' </w:t>
      </w:r>
      <w:r w:rsidRPr="005627CB">
        <w:rPr>
          <w:rFonts w:ascii="Book Antiqua" w:hAnsi="Book Antiqua"/>
          <w:i/>
          <w:sz w:val="16"/>
          <w:szCs w:val="16"/>
        </w:rPr>
        <w:t>Proceedings of the NPA 17th Conference, Long Beach CA, 2010</w:t>
      </w:r>
      <w:r w:rsidRPr="005627CB">
        <w:rPr>
          <w:rFonts w:ascii="Book Antiqua" w:hAnsi="Book Antiqua"/>
          <w:sz w:val="16"/>
          <w:szCs w:val="16"/>
        </w:rPr>
        <w:t xml:space="preserve">, pp17-22. Also, L. Ashmore, ‘Supernovae Ia Light Curves Show a Static Universe,’ </w:t>
      </w:r>
      <w:r w:rsidRPr="005627CB">
        <w:rPr>
          <w:rFonts w:ascii="Book Antiqua" w:hAnsi="Book Antiqua"/>
          <w:i/>
          <w:sz w:val="16"/>
          <w:szCs w:val="16"/>
        </w:rPr>
        <w:t>Proceedings of the NPA 19</w:t>
      </w:r>
      <w:r w:rsidRPr="005627CB">
        <w:rPr>
          <w:rFonts w:ascii="Book Antiqua" w:hAnsi="Book Antiqua"/>
          <w:i/>
          <w:sz w:val="16"/>
          <w:szCs w:val="16"/>
          <w:vertAlign w:val="superscript"/>
        </w:rPr>
        <w:t>th</w:t>
      </w:r>
      <w:r w:rsidRPr="005627CB">
        <w:rPr>
          <w:rFonts w:ascii="Book Antiqua" w:hAnsi="Book Antiqua"/>
          <w:i/>
          <w:sz w:val="16"/>
          <w:szCs w:val="16"/>
        </w:rPr>
        <w:t xml:space="preserve"> Conference, Albuquerque NM, 2012</w:t>
      </w:r>
      <w:r w:rsidRPr="005627CB">
        <w:rPr>
          <w:rFonts w:ascii="Book Antiqua" w:hAnsi="Book Antiqua"/>
          <w:sz w:val="16"/>
          <w:szCs w:val="16"/>
        </w:rPr>
        <w:t>, in press.</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[18] W. Q. Sumner,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429</w:t>
      </w:r>
      <w:r w:rsidRPr="005627CB">
        <w:rPr>
          <w:rFonts w:ascii="Book Antiqua" w:hAnsi="Book Antiqua"/>
          <w:sz w:val="16"/>
          <w:szCs w:val="16"/>
        </w:rPr>
        <w:t>, pp. 491 ff.</w:t>
      </w:r>
      <w:r w:rsidRPr="005627CB">
        <w:rPr>
          <w:rFonts w:ascii="Book Antiqua" w:hAnsi="Book Antiqua"/>
          <w:b/>
          <w:sz w:val="16"/>
          <w:szCs w:val="16"/>
        </w:rPr>
        <w:t xml:space="preserve"> </w:t>
      </w:r>
      <w:r w:rsidRPr="005627CB">
        <w:rPr>
          <w:rFonts w:ascii="Book Antiqua" w:hAnsi="Book Antiqua"/>
          <w:sz w:val="16"/>
          <w:szCs w:val="16"/>
        </w:rPr>
        <w:t>(1994).</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[19] C. W. Misner, K. S. Thorne, J. A. Wheeler, op. cit.,  p. 719.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[ 20 ] P. D. Noerdlinger, and V. Petrosian, </w:t>
      </w:r>
      <w:r w:rsidRPr="005627CB">
        <w:rPr>
          <w:rFonts w:ascii="Book Antiqua" w:hAnsi="Book Antiqua"/>
          <w:i/>
          <w:iCs/>
          <w:sz w:val="16"/>
          <w:szCs w:val="16"/>
        </w:rPr>
        <w:t>Astrophysical Journal</w:t>
      </w:r>
      <w:r w:rsidRPr="005627CB">
        <w:rPr>
          <w:rFonts w:ascii="Book Antiqua" w:hAnsi="Book Antiqua"/>
          <w:sz w:val="16"/>
          <w:szCs w:val="16"/>
        </w:rPr>
        <w:t>, 168:1 (1971).</w:t>
      </w:r>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[21] R. V. Gentry, </w:t>
      </w:r>
      <w:hyperlink r:id="rId232" w:history="1">
        <w:r w:rsidRPr="005627CB">
          <w:rPr>
            <w:rStyle w:val="Hyperlink"/>
            <w:rFonts w:ascii="Book Antiqua" w:hAnsi="Book Antiqua"/>
            <w:i/>
            <w:szCs w:val="16"/>
          </w:rPr>
          <w:t>http://www.orionfdn.org/papers/arxiv-3.pdf</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[22] P. T. Landsberg and D. A. Evans, </w:t>
      </w:r>
      <w:r w:rsidRPr="005627CB">
        <w:rPr>
          <w:rFonts w:ascii="Book Antiqua" w:hAnsi="Book Antiqua"/>
          <w:i/>
          <w:sz w:val="16"/>
          <w:szCs w:val="16"/>
        </w:rPr>
        <w:t>Mathematical Cosmology</w:t>
      </w:r>
      <w:r w:rsidRPr="005627CB">
        <w:rPr>
          <w:rFonts w:ascii="Book Antiqua" w:hAnsi="Book Antiqua"/>
          <w:sz w:val="16"/>
          <w:szCs w:val="16"/>
        </w:rPr>
        <w:t>, p.33, (Clarendon Press, Oxford, 1979).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[23] F. I. Cooperstock, V. Faraoni, D. N. Vollick,  </w:t>
      </w:r>
      <w:r w:rsidRPr="005627CB">
        <w:rPr>
          <w:rFonts w:ascii="Book Antiqua" w:hAnsi="Book Antiqua"/>
          <w:i/>
          <w:iCs/>
          <w:sz w:val="16"/>
          <w:szCs w:val="16"/>
        </w:rPr>
        <w:t xml:space="preserve">Astrophys. J. </w:t>
      </w:r>
      <w:r w:rsidRPr="005627CB">
        <w:rPr>
          <w:rFonts w:ascii="Book Antiqua" w:hAnsi="Book Antiqua"/>
          <w:b/>
          <w:sz w:val="16"/>
          <w:szCs w:val="16"/>
        </w:rPr>
        <w:t>503</w:t>
      </w:r>
      <w:r w:rsidRPr="005627CB">
        <w:rPr>
          <w:rFonts w:ascii="Book Antiqua" w:hAnsi="Book Antiqua"/>
          <w:sz w:val="16"/>
          <w:szCs w:val="16"/>
        </w:rPr>
        <w:t xml:space="preserve">:61 (1998). Available on the web at: </w:t>
      </w:r>
      <w:hyperlink r:id="rId233" w:history="1">
        <w:r w:rsidRPr="005627CB">
          <w:rPr>
            <w:rStyle w:val="Hyperlink"/>
            <w:rFonts w:ascii="Book Antiqua" w:hAnsi="Book Antiqua"/>
            <w:i/>
            <w:szCs w:val="16"/>
          </w:rPr>
          <w:t>http://arxiv.org/abs/astro-ph/9803097</w:t>
        </w:r>
      </w:hyperlink>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[24] R. V. Gentry, </w:t>
      </w:r>
      <w:hyperlink r:id="rId234" w:history="1">
        <w:r w:rsidRPr="005627CB">
          <w:rPr>
            <w:rStyle w:val="Hyperlink"/>
            <w:rFonts w:ascii="Book Antiqua" w:hAnsi="Book Antiqua"/>
            <w:i/>
            <w:szCs w:val="16"/>
          </w:rPr>
          <w:t>http://www.orionfdn.org/papers/arxiv-1.htm</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[25] B. Lovell, T. O. Paine &amp; P. Moore, </w:t>
      </w:r>
      <w:r w:rsidRPr="005627CB">
        <w:rPr>
          <w:rFonts w:ascii="Book Antiqua" w:hAnsi="Book Antiqua"/>
          <w:i/>
          <w:iCs/>
          <w:sz w:val="16"/>
          <w:szCs w:val="16"/>
        </w:rPr>
        <w:t xml:space="preserve">The Readers Digest Atlas of the Universe, </w:t>
      </w:r>
      <w:r w:rsidRPr="005627CB">
        <w:rPr>
          <w:rFonts w:ascii="Book Antiqua" w:hAnsi="Book Antiqua"/>
          <w:sz w:val="16"/>
          <w:szCs w:val="16"/>
        </w:rPr>
        <w:t xml:space="preserve">p. 214, (Mitchell Beazley Ltd., 1974).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[26] Audouze &amp; Israel, op. cit., p.382. </w:t>
      </w:r>
    </w:p>
    <w:p w:rsidR="00265840" w:rsidRPr="005627CB" w:rsidRDefault="00265840" w:rsidP="00265840">
      <w:pPr>
        <w:pStyle w:val="NoSpacing"/>
        <w:rPr>
          <w:rStyle w:val="Hyperlink"/>
          <w:rFonts w:ascii="Book Antiqua" w:hAnsi="Book Antiqua"/>
          <w:i/>
          <w:szCs w:val="16"/>
        </w:rPr>
      </w:pPr>
      <w:r w:rsidRPr="005627CB">
        <w:rPr>
          <w:rFonts w:ascii="Book Antiqua" w:hAnsi="Book Antiqua"/>
          <w:sz w:val="16"/>
          <w:szCs w:val="16"/>
        </w:rPr>
        <w:t>[27] S. Perlmutter, Berkeley Lab Research News, 17</w:t>
      </w:r>
      <w:r w:rsidRPr="005627CB">
        <w:rPr>
          <w:rFonts w:ascii="Book Antiqua" w:hAnsi="Book Antiqua"/>
          <w:position w:val="8"/>
          <w:sz w:val="16"/>
          <w:szCs w:val="16"/>
          <w:vertAlign w:val="superscript"/>
        </w:rPr>
        <w:t xml:space="preserve"> </w:t>
      </w:r>
      <w:r w:rsidRPr="005627CB">
        <w:rPr>
          <w:rFonts w:ascii="Book Antiqua" w:hAnsi="Book Antiqua"/>
          <w:sz w:val="16"/>
          <w:szCs w:val="16"/>
        </w:rPr>
        <w:t xml:space="preserve">December 1998 at: </w:t>
      </w:r>
      <w:hyperlink r:id="rId235" w:history="1">
        <w:r w:rsidRPr="005627CB">
          <w:rPr>
            <w:rStyle w:val="Hyperlink"/>
            <w:rFonts w:ascii="Book Antiqua" w:hAnsi="Book Antiqua"/>
            <w:i/>
            <w:szCs w:val="16"/>
          </w:rPr>
          <w:t>http://www.lbl.gov/supernova/</w:t>
        </w:r>
      </w:hyperlink>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[28] S. Perlmutter, Berkeley Lab Research News, 17th December 1998 at: </w:t>
      </w:r>
      <w:hyperlink r:id="rId236" w:history="1">
        <w:r w:rsidRPr="005627CB">
          <w:rPr>
            <w:rStyle w:val="Hyperlink"/>
            <w:rFonts w:ascii="Book Antiqua" w:hAnsi="Book Antiqua"/>
            <w:i/>
            <w:szCs w:val="16"/>
          </w:rPr>
          <w:t>http://www.lbl.gov/supernova/albinoni.html</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[29] S. Perlmutter et al. [Supernova Cosmology Project Collaboration], </w:t>
      </w:r>
      <w:r w:rsidRPr="005627CB">
        <w:rPr>
          <w:rFonts w:ascii="Book Antiqua" w:hAnsi="Book Antiqua"/>
          <w:i/>
          <w:iCs/>
          <w:sz w:val="16"/>
          <w:szCs w:val="16"/>
        </w:rPr>
        <w:t xml:space="preserve">Nature </w:t>
      </w:r>
      <w:r w:rsidRPr="005627CB">
        <w:rPr>
          <w:rFonts w:ascii="Book Antiqua" w:hAnsi="Book Antiqua"/>
          <w:b/>
          <w:bCs/>
          <w:sz w:val="16"/>
          <w:szCs w:val="16"/>
        </w:rPr>
        <w:t>391:</w:t>
      </w:r>
      <w:r w:rsidRPr="005627CB">
        <w:rPr>
          <w:rFonts w:ascii="Book Antiqua" w:hAnsi="Book Antiqua"/>
          <w:sz w:val="16"/>
          <w:szCs w:val="16"/>
        </w:rPr>
        <w:t xml:space="preserve">51 (1998), </w:t>
      </w:r>
      <w:hyperlink r:id="rId237" w:history="1">
        <w:r w:rsidRPr="005627CB">
          <w:rPr>
            <w:rStyle w:val="Hyperlink"/>
            <w:rFonts w:ascii="Book Antiqua" w:hAnsi="Book Antiqua"/>
            <w:i/>
            <w:szCs w:val="16"/>
          </w:rPr>
          <w:t>http://arxiv.org/abs/</w:t>
        </w:r>
        <w:r w:rsidRPr="005627CB">
          <w:rPr>
            <w:rStyle w:val="Hyperlink"/>
            <w:rFonts w:ascii="Book Antiqua" w:hAnsi="Book Antiqua"/>
            <w:bCs/>
            <w:i/>
            <w:szCs w:val="16"/>
          </w:rPr>
          <w:t>astro-ph/9712212</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[30] S. Perlmutter et al. [Supernova Cosmology Project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517:</w:t>
      </w:r>
      <w:r w:rsidRPr="005627CB">
        <w:rPr>
          <w:rFonts w:ascii="Book Antiqua" w:hAnsi="Book Antiqua"/>
          <w:sz w:val="16"/>
          <w:szCs w:val="16"/>
        </w:rPr>
        <w:t xml:space="preserve">565 (1999) </w:t>
      </w:r>
      <w:hyperlink r:id="rId238" w:history="1">
        <w:r w:rsidRPr="005627CB">
          <w:rPr>
            <w:rStyle w:val="Hyperlink"/>
            <w:rFonts w:ascii="Book Antiqua" w:hAnsi="Book Antiqua"/>
            <w:bCs/>
            <w:i/>
            <w:szCs w:val="16"/>
          </w:rPr>
          <w:t>http://arxiv.org/abs/astro-ph/9812133</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[31] B. P. Schmidt et al. [Hi-Z Supernova Team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507:</w:t>
      </w:r>
      <w:r w:rsidRPr="005627CB">
        <w:rPr>
          <w:rFonts w:ascii="Book Antiqua" w:hAnsi="Book Antiqua"/>
          <w:sz w:val="16"/>
          <w:szCs w:val="16"/>
        </w:rPr>
        <w:t xml:space="preserve">46 (1998) </w:t>
      </w:r>
      <w:hyperlink r:id="rId239"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astro-ph/9805200</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[32] A. G. Riess et al. [Hi-Z Supernova Team Collaboration], </w:t>
      </w:r>
      <w:r w:rsidRPr="005627CB">
        <w:rPr>
          <w:rFonts w:ascii="Book Antiqua" w:hAnsi="Book Antiqua"/>
          <w:i/>
          <w:iCs/>
          <w:sz w:val="16"/>
          <w:szCs w:val="16"/>
        </w:rPr>
        <w:t>Astronomical Journal</w:t>
      </w:r>
      <w:r w:rsidRPr="005627CB">
        <w:rPr>
          <w:rFonts w:ascii="Book Antiqua" w:hAnsi="Book Antiqua"/>
          <w:sz w:val="16"/>
          <w:szCs w:val="16"/>
        </w:rPr>
        <w:t xml:space="preserve">, </w:t>
      </w:r>
      <w:r w:rsidRPr="005627CB">
        <w:rPr>
          <w:rFonts w:ascii="Book Antiqua" w:hAnsi="Book Antiqua"/>
          <w:b/>
          <w:bCs/>
          <w:sz w:val="16"/>
          <w:szCs w:val="16"/>
        </w:rPr>
        <w:t>116:</w:t>
      </w:r>
      <w:r w:rsidRPr="005627CB">
        <w:rPr>
          <w:rFonts w:ascii="Book Antiqua" w:hAnsi="Book Antiqua"/>
          <w:sz w:val="16"/>
          <w:szCs w:val="16"/>
        </w:rPr>
        <w:t xml:space="preserve">1009 (1998) </w:t>
      </w:r>
      <w:hyperlink r:id="rId240"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astro-ph/9805201</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[33] M. Sawicki, article pre-print at: </w:t>
      </w:r>
      <w:hyperlink r:id="rId241" w:history="1">
        <w:r w:rsidRPr="005627CB">
          <w:rPr>
            <w:rStyle w:val="Hyperlink"/>
            <w:rFonts w:ascii="Book Antiqua" w:hAnsi="Book Antiqua"/>
            <w:i/>
            <w:szCs w:val="16"/>
          </w:rPr>
          <w:t>http://arxiv.org/abs/astro-ph/0208076</w:t>
        </w:r>
      </w:hyperlink>
      <w:r w:rsidRPr="005627CB">
        <w:rPr>
          <w:rFonts w:ascii="Book Antiqua" w:hAnsi="Book Antiqua"/>
          <w:sz w:val="16"/>
          <w:szCs w:val="16"/>
        </w:rPr>
        <w:t>,  3 August 2002.</w:t>
      </w:r>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[34] A. G. Riess et al., </w:t>
      </w:r>
      <w:r w:rsidRPr="005627CB">
        <w:rPr>
          <w:rFonts w:ascii="Book Antiqua" w:hAnsi="Book Antiqua"/>
          <w:i/>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560</w:t>
      </w:r>
      <w:r w:rsidRPr="005627CB">
        <w:rPr>
          <w:rFonts w:ascii="Book Antiqua" w:hAnsi="Book Antiqua"/>
          <w:sz w:val="16"/>
          <w:szCs w:val="16"/>
        </w:rPr>
        <w:t xml:space="preserve">, pp.49-71 (2001) or at: </w:t>
      </w:r>
      <w:hyperlink r:id="rId242" w:history="1">
        <w:r w:rsidRPr="005627CB">
          <w:rPr>
            <w:rStyle w:val="Hyperlink"/>
            <w:rFonts w:ascii="Book Antiqua" w:hAnsi="Book Antiqua"/>
            <w:i/>
            <w:szCs w:val="16"/>
          </w:rPr>
          <w:t>http://arxiv.org/abs/astro-ph/0104455</w:t>
        </w:r>
      </w:hyperlink>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[35]  Case Western Reserve University press release reporting on Adam Riess presentation at Future of Cosmology Conference at Clevelend Ohio available at: </w:t>
      </w:r>
      <w:hyperlink r:id="rId243" w:history="1">
        <w:r w:rsidRPr="005627CB">
          <w:rPr>
            <w:rStyle w:val="Hyperlink"/>
            <w:rFonts w:ascii="Book Antiqua" w:hAnsi="Book Antiqua"/>
            <w:i/>
            <w:szCs w:val="16"/>
          </w:rPr>
          <w:t>http://spaceflightnow.com/news/n0310/10expansion/</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[36] D. Overbye report on Adam Riess conference presentation available at: </w:t>
      </w:r>
      <w:hyperlink r:id="rId244" w:history="1">
        <w:r w:rsidRPr="005627CB">
          <w:rPr>
            <w:rStyle w:val="Hyperlink"/>
            <w:rFonts w:ascii="Book Antiqua" w:hAnsi="Book Antiqua"/>
            <w:i/>
            <w:szCs w:val="16"/>
          </w:rPr>
          <w:t>http://www.nytimes.com/2003/10/11/science/11COSM.html</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[37] A. G. Riess et al., </w:t>
      </w:r>
      <w:r w:rsidRPr="005627CB">
        <w:rPr>
          <w:rFonts w:ascii="Book Antiqua" w:hAnsi="Book Antiqua"/>
          <w:i/>
          <w:sz w:val="16"/>
          <w:szCs w:val="16"/>
        </w:rPr>
        <w:t>Astrophysical Journal</w:t>
      </w:r>
      <w:r w:rsidRPr="005627CB">
        <w:rPr>
          <w:rFonts w:ascii="Book Antiqua" w:hAnsi="Book Antiqua"/>
          <w:sz w:val="16"/>
          <w:szCs w:val="16"/>
        </w:rPr>
        <w:t>,</w:t>
      </w:r>
      <w:r w:rsidRPr="005627CB">
        <w:rPr>
          <w:rFonts w:ascii="Book Antiqua" w:hAnsi="Book Antiqua"/>
          <w:b/>
          <w:sz w:val="16"/>
          <w:szCs w:val="16"/>
        </w:rPr>
        <w:t xml:space="preserve"> 607</w:t>
      </w:r>
      <w:r w:rsidRPr="005627CB">
        <w:rPr>
          <w:rFonts w:ascii="Book Antiqua" w:hAnsi="Book Antiqua"/>
          <w:sz w:val="16"/>
          <w:szCs w:val="16"/>
        </w:rPr>
        <w:t>(2004), 2:665.</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[38] Q-G. Huang, Y. Gong, </w:t>
      </w:r>
      <w:r w:rsidRPr="005627CB">
        <w:rPr>
          <w:rFonts w:ascii="Book Antiqua" w:hAnsi="Book Antiqua"/>
          <w:i/>
          <w:sz w:val="16"/>
          <w:szCs w:val="16"/>
        </w:rPr>
        <w:t>Jour. Cos. &amp; Astroparticle Phys</w:t>
      </w:r>
      <w:r w:rsidRPr="005627CB">
        <w:rPr>
          <w:rFonts w:ascii="Book Antiqua" w:hAnsi="Book Antiqua"/>
          <w:sz w:val="16"/>
          <w:szCs w:val="16"/>
        </w:rPr>
        <w:t>.</w:t>
      </w:r>
      <w:r w:rsidRPr="005627CB">
        <w:rPr>
          <w:rFonts w:ascii="Book Antiqua" w:hAnsi="Book Antiqua"/>
          <w:b/>
          <w:sz w:val="16"/>
          <w:szCs w:val="16"/>
        </w:rPr>
        <w:t xml:space="preserve"> 8</w:t>
      </w:r>
      <w:r w:rsidRPr="005627CB">
        <w:rPr>
          <w:rFonts w:ascii="Book Antiqua" w:hAnsi="Book Antiqua"/>
          <w:sz w:val="16"/>
          <w:szCs w:val="16"/>
        </w:rPr>
        <w:t xml:space="preserve"> (2004).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[39] J. Ponce de Leon, </w:t>
      </w:r>
      <w:r w:rsidRPr="005627CB">
        <w:rPr>
          <w:rFonts w:ascii="Book Antiqua" w:hAnsi="Book Antiqua"/>
          <w:i/>
          <w:sz w:val="16"/>
          <w:szCs w:val="16"/>
        </w:rPr>
        <w:t>General Rel. Grav</w:t>
      </w:r>
      <w:r w:rsidRPr="005627CB">
        <w:rPr>
          <w:rFonts w:ascii="Book Antiqua" w:hAnsi="Book Antiqua"/>
          <w:sz w:val="16"/>
          <w:szCs w:val="16"/>
        </w:rPr>
        <w:t xml:space="preserve">. </w:t>
      </w:r>
      <w:r w:rsidRPr="005627CB">
        <w:rPr>
          <w:rFonts w:ascii="Book Antiqua" w:hAnsi="Book Antiqua"/>
          <w:b/>
          <w:sz w:val="16"/>
          <w:szCs w:val="16"/>
        </w:rPr>
        <w:t>38</w:t>
      </w:r>
      <w:r w:rsidRPr="005627CB">
        <w:rPr>
          <w:rFonts w:ascii="Book Antiqua" w:hAnsi="Book Antiqua"/>
          <w:sz w:val="16"/>
          <w:szCs w:val="16"/>
        </w:rPr>
        <w:t>, 61-81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[40] </w:t>
      </w:r>
      <w:r w:rsidRPr="005627CB">
        <w:rPr>
          <w:rFonts w:ascii="Book Antiqua" w:hAnsi="Book Antiqua"/>
          <w:i/>
          <w:sz w:val="16"/>
          <w:szCs w:val="16"/>
        </w:rPr>
        <w:t>Berkeley Lab Research News</w:t>
      </w:r>
      <w:r w:rsidRPr="005627CB">
        <w:rPr>
          <w:rFonts w:ascii="Book Antiqua" w:hAnsi="Book Antiqua"/>
          <w:sz w:val="16"/>
          <w:szCs w:val="16"/>
        </w:rPr>
        <w:t>, 20 September,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[41] D. Kasen et al., </w:t>
      </w:r>
      <w:r w:rsidRPr="005627CB">
        <w:rPr>
          <w:rFonts w:ascii="Book Antiqua" w:hAnsi="Book Antiqua"/>
          <w:i/>
          <w:sz w:val="16"/>
          <w:szCs w:val="16"/>
        </w:rPr>
        <w:t>Nature</w:t>
      </w:r>
      <w:r w:rsidRPr="005627CB">
        <w:rPr>
          <w:rFonts w:ascii="Book Antiqua" w:hAnsi="Book Antiqua"/>
          <w:sz w:val="16"/>
          <w:szCs w:val="16"/>
        </w:rPr>
        <w:t xml:space="preserve"> </w:t>
      </w:r>
      <w:r w:rsidRPr="005627CB">
        <w:rPr>
          <w:rFonts w:ascii="Book Antiqua" w:hAnsi="Book Antiqua"/>
          <w:b/>
          <w:sz w:val="16"/>
          <w:szCs w:val="16"/>
        </w:rPr>
        <w:t xml:space="preserve">460 </w:t>
      </w:r>
      <w:r w:rsidRPr="005627CB">
        <w:rPr>
          <w:rFonts w:ascii="Book Antiqua" w:hAnsi="Book Antiqua"/>
          <w:sz w:val="16"/>
          <w:szCs w:val="16"/>
        </w:rPr>
        <w:t>(7257), pp. 869-872 (Aug 13,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[42] B.K. Krueger et al., </w:t>
      </w:r>
      <w:r w:rsidRPr="005627CB">
        <w:rPr>
          <w:rFonts w:ascii="Book Antiqua" w:hAnsi="Book Antiqua"/>
          <w:i/>
          <w:sz w:val="16"/>
          <w:szCs w:val="16"/>
        </w:rPr>
        <w:t>Astrophysical Journal Letters</w:t>
      </w:r>
      <w:r w:rsidRPr="005627CB">
        <w:rPr>
          <w:rFonts w:ascii="Book Antiqua" w:hAnsi="Book Antiqua"/>
          <w:sz w:val="16"/>
          <w:szCs w:val="16"/>
        </w:rPr>
        <w:t xml:space="preserve"> </w:t>
      </w:r>
      <w:r w:rsidRPr="005627CB">
        <w:rPr>
          <w:rFonts w:ascii="Book Antiqua" w:hAnsi="Book Antiqua"/>
          <w:b/>
          <w:sz w:val="16"/>
          <w:szCs w:val="16"/>
        </w:rPr>
        <w:t>719,</w:t>
      </w:r>
      <w:r w:rsidRPr="005627CB">
        <w:rPr>
          <w:rFonts w:ascii="Book Antiqua" w:hAnsi="Book Antiqua"/>
          <w:sz w:val="16"/>
          <w:szCs w:val="16"/>
        </w:rPr>
        <w:t xml:space="preserve"> L5-L9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[43] A. Blanchard in a European Space Agency News Release 12 Dec. 2003, based on a paper at </w:t>
      </w:r>
      <w:hyperlink r:id="rId245" w:history="1">
        <w:r w:rsidRPr="005627CB">
          <w:rPr>
            <w:rStyle w:val="Hyperlink"/>
            <w:rFonts w:ascii="Book Antiqua" w:hAnsi="Book Antiqua"/>
            <w:i/>
            <w:szCs w:val="16"/>
          </w:rPr>
          <w:t>http://arxiv.org/abs/astro-ph/0311381</w:t>
        </w:r>
      </w:hyperlink>
      <w:r w:rsidRPr="005627CB">
        <w:rPr>
          <w:rFonts w:ascii="Book Antiqua" w:hAnsi="Book Antiqua"/>
          <w:sz w:val="16"/>
          <w:szCs w:val="16"/>
        </w:rPr>
        <w:t xml:space="preserve">. News at: </w:t>
      </w:r>
      <w:hyperlink r:id="rId246" w:history="1">
        <w:r w:rsidRPr="005627CB">
          <w:rPr>
            <w:rStyle w:val="Hyperlink"/>
            <w:rFonts w:ascii="Book Antiqua" w:hAnsi="Book Antiqua"/>
            <w:i/>
            <w:szCs w:val="16"/>
          </w:rPr>
          <w:t>http://spaceflightnow.com/news/n0312/12darkenergy/</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[44] B. Setterfield, D. Dzimano, ‘The Redshift and the Zero Point Energy,” </w:t>
      </w:r>
      <w:r w:rsidRPr="005627CB">
        <w:rPr>
          <w:rFonts w:ascii="Book Antiqua" w:hAnsi="Book Antiqua"/>
          <w:i/>
          <w:sz w:val="16"/>
          <w:szCs w:val="16"/>
        </w:rPr>
        <w:t>Journal of Theoretics</w:t>
      </w:r>
      <w:r w:rsidRPr="005627CB">
        <w:rPr>
          <w:rFonts w:ascii="Book Antiqua" w:hAnsi="Book Antiqua"/>
          <w:sz w:val="16"/>
          <w:szCs w:val="16"/>
        </w:rPr>
        <w:t>, pp.1-23, (December 29, 2003).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[45] L Ashmore, </w:t>
      </w:r>
      <w:r w:rsidRPr="005627CB">
        <w:rPr>
          <w:rFonts w:ascii="Book Antiqua" w:hAnsi="Book Antiqua"/>
          <w:i/>
          <w:sz w:val="16"/>
          <w:szCs w:val="16"/>
        </w:rPr>
        <w:t xml:space="preserve">Proceedings </w:t>
      </w:r>
      <w:r w:rsidRPr="005627CB">
        <w:rPr>
          <w:rFonts w:ascii="Book Antiqua" w:hAnsi="Book Antiqua"/>
          <w:i/>
          <w:iCs/>
          <w:sz w:val="16"/>
          <w:szCs w:val="16"/>
        </w:rPr>
        <w:t>2nd Crisis in Cosmology Conference, CCC-2. ASP Conference Series</w:t>
      </w:r>
      <w:r w:rsidRPr="005627CB">
        <w:rPr>
          <w:rFonts w:ascii="Book Antiqua" w:hAnsi="Book Antiqua"/>
          <w:sz w:val="16"/>
          <w:szCs w:val="16"/>
        </w:rPr>
        <w:t>, Vol. 413 (07/2011).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September 2008, at Port Angeles, Washington, USA. F Potter, ed.,</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p.3 (Astronomical Society of the Pacific, San Francisco,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[46] L. Ashmore, “An Explanation of Redshift in a Static Universe</w:t>
      </w:r>
      <w:r w:rsidR="002F274A">
        <w:rPr>
          <w:rFonts w:ascii="Book Antiqua" w:hAnsi="Book Antiqua"/>
          <w:sz w:val="16"/>
          <w:szCs w:val="16"/>
        </w:rPr>
        <w:t>,</w:t>
      </w:r>
      <w:r w:rsidRPr="005627CB">
        <w:rPr>
          <w:rFonts w:ascii="Book Antiqua" w:hAnsi="Book Antiqua"/>
          <w:sz w:val="16"/>
          <w:szCs w:val="16"/>
        </w:rPr>
        <w:t>”</w:t>
      </w:r>
      <w:r w:rsidR="002F274A">
        <w:rPr>
          <w:rFonts w:ascii="Book Antiqua" w:hAnsi="Book Antiqua"/>
          <w:sz w:val="16"/>
          <w:szCs w:val="16"/>
        </w:rPr>
        <w:t xml:space="preserve"> P</w:t>
      </w:r>
      <w:r w:rsidRPr="005627CB">
        <w:rPr>
          <w:rFonts w:ascii="Book Antiqua" w:hAnsi="Book Antiqua"/>
          <w:i/>
          <w:iCs/>
          <w:sz w:val="16"/>
          <w:szCs w:val="16"/>
        </w:rPr>
        <w:t xml:space="preserve">roceedings of the NPA </w:t>
      </w:r>
      <w:r w:rsidRPr="005627CB">
        <w:rPr>
          <w:rFonts w:ascii="Book Antiqua" w:hAnsi="Book Antiqua"/>
          <w:b/>
          <w:bCs/>
          <w:sz w:val="16"/>
          <w:szCs w:val="16"/>
        </w:rPr>
        <w:t>6</w:t>
      </w:r>
      <w:r w:rsidRPr="005627CB">
        <w:rPr>
          <w:rFonts w:ascii="Book Antiqua" w:hAnsi="Book Antiqua"/>
          <w:sz w:val="16"/>
          <w:szCs w:val="16"/>
        </w:rPr>
        <w:t>, Long Beach, CA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[47] J</w:t>
      </w:r>
      <w:r w:rsidR="002F274A">
        <w:rPr>
          <w:rFonts w:ascii="Book Antiqua" w:hAnsi="Book Antiqua"/>
          <w:sz w:val="16"/>
          <w:szCs w:val="16"/>
        </w:rPr>
        <w:t>.</w:t>
      </w:r>
      <w:r w:rsidRPr="005627CB">
        <w:rPr>
          <w:rFonts w:ascii="Book Antiqua" w:hAnsi="Book Antiqua"/>
          <w:sz w:val="16"/>
          <w:szCs w:val="16"/>
        </w:rPr>
        <w:t xml:space="preserve"> Narlikar &amp; H</w:t>
      </w:r>
      <w:r w:rsidR="002F274A">
        <w:rPr>
          <w:rFonts w:ascii="Book Antiqua" w:hAnsi="Book Antiqua"/>
          <w:sz w:val="16"/>
          <w:szCs w:val="16"/>
        </w:rPr>
        <w:t>.</w:t>
      </w:r>
      <w:r w:rsidRPr="005627CB">
        <w:rPr>
          <w:rFonts w:ascii="Book Antiqua" w:hAnsi="Book Antiqua"/>
          <w:sz w:val="16"/>
          <w:szCs w:val="16"/>
        </w:rPr>
        <w:t xml:space="preserve"> Arp, </w:t>
      </w:r>
      <w:r w:rsidR="008E76BA">
        <w:rPr>
          <w:rFonts w:ascii="Book Antiqua" w:hAnsi="Book Antiqua"/>
          <w:sz w:val="16"/>
          <w:szCs w:val="16"/>
        </w:rPr>
        <w:t>“Flat Spacetime Cosmology: A Unified Framework for Extragalactic Redshifts”</w:t>
      </w:r>
      <w:r w:rsidRPr="005627CB">
        <w:rPr>
          <w:rFonts w:ascii="Book Antiqua" w:hAnsi="Book Antiqua"/>
          <w:i/>
          <w:iCs/>
          <w:sz w:val="16"/>
          <w:szCs w:val="16"/>
        </w:rPr>
        <w:t xml:space="preserve">Astrophysical Journal </w:t>
      </w:r>
      <w:r w:rsidRPr="005627CB">
        <w:rPr>
          <w:rFonts w:ascii="Book Antiqua" w:hAnsi="Book Antiqua"/>
          <w:b/>
          <w:bCs/>
          <w:sz w:val="16"/>
          <w:szCs w:val="16"/>
        </w:rPr>
        <w:t>405</w:t>
      </w:r>
      <w:r w:rsidRPr="005627CB">
        <w:rPr>
          <w:rFonts w:ascii="Book Antiqua" w:hAnsi="Book Antiqua"/>
          <w:sz w:val="16"/>
          <w:szCs w:val="16"/>
        </w:rPr>
        <w:t>:</w:t>
      </w:r>
      <w:r w:rsidR="008E76BA">
        <w:rPr>
          <w:rFonts w:ascii="Book Antiqua" w:hAnsi="Book Antiqua"/>
          <w:sz w:val="16"/>
          <w:szCs w:val="16"/>
        </w:rPr>
        <w:t>1, pp.</w:t>
      </w:r>
      <w:r w:rsidRPr="005627CB">
        <w:rPr>
          <w:rFonts w:ascii="Book Antiqua" w:hAnsi="Book Antiqua"/>
          <w:sz w:val="16"/>
          <w:szCs w:val="16"/>
        </w:rPr>
        <w:t>51</w:t>
      </w:r>
      <w:r w:rsidR="008E76BA">
        <w:rPr>
          <w:rFonts w:ascii="Book Antiqua" w:hAnsi="Book Antiqua"/>
          <w:sz w:val="16"/>
          <w:szCs w:val="16"/>
        </w:rPr>
        <w:t xml:space="preserve">-56, (March 1, </w:t>
      </w:r>
      <w:r w:rsidRPr="005627CB">
        <w:rPr>
          <w:rFonts w:ascii="Book Antiqua" w:hAnsi="Book Antiqua"/>
          <w:sz w:val="16"/>
          <w:szCs w:val="16"/>
        </w:rPr>
        <w:t>1993).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[48] </w:t>
      </w:r>
      <w:r w:rsidRPr="005627CB">
        <w:rPr>
          <w:rFonts w:ascii="Book Antiqua" w:hAnsi="Book Antiqua"/>
          <w:color w:val="000000"/>
          <w:sz w:val="16"/>
          <w:szCs w:val="16"/>
        </w:rPr>
        <w:t>T. Norman, B. Setterfield, ‘</w:t>
      </w:r>
      <w:r w:rsidRPr="005627CB">
        <w:rPr>
          <w:rFonts w:ascii="Book Antiqua" w:hAnsi="Book Antiqua"/>
          <w:i/>
          <w:iCs/>
          <w:color w:val="000000"/>
          <w:sz w:val="16"/>
          <w:szCs w:val="16"/>
        </w:rPr>
        <w:t>The Atomic Constants, Light, and Time</w:t>
      </w:r>
      <w:r w:rsidRPr="005627CB">
        <w:rPr>
          <w:rFonts w:ascii="Book Antiqua" w:hAnsi="Book Antiqua"/>
          <w:color w:val="000000"/>
          <w:sz w:val="16"/>
          <w:szCs w:val="16"/>
        </w:rPr>
        <w:t>,’ Research Report, Stanford Research Institute (</w:t>
      </w:r>
      <w:smartTag w:uri="urn:schemas-microsoft-com:office:smarttags" w:element="stockticker">
        <w:r w:rsidRPr="005627CB">
          <w:rPr>
            <w:rFonts w:ascii="Book Antiqua" w:hAnsi="Book Antiqua"/>
            <w:color w:val="000000"/>
            <w:sz w:val="16"/>
            <w:szCs w:val="16"/>
          </w:rPr>
          <w:t>SRI</w:t>
        </w:r>
      </w:smartTag>
      <w:r w:rsidRPr="005627CB">
        <w:rPr>
          <w:rFonts w:ascii="Book Antiqua" w:hAnsi="Book Antiqua"/>
          <w:color w:val="000000"/>
          <w:sz w:val="16"/>
          <w:szCs w:val="16"/>
        </w:rPr>
        <w:t>) International &amp;  Flinders University, South Australia, August (1987)</w:t>
      </w:r>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[49]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lastRenderedPageBreak/>
        <w:t xml:space="preserve">[50]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[51] H. Arp, </w:t>
      </w:r>
      <w:r w:rsidRPr="005627CB">
        <w:rPr>
          <w:rFonts w:ascii="Book Antiqua" w:hAnsi="Book Antiqua"/>
          <w:i/>
          <w:iCs/>
          <w:sz w:val="16"/>
          <w:szCs w:val="16"/>
        </w:rPr>
        <w:t>Quasars, Redshifts and Controversies</w:t>
      </w:r>
      <w:r w:rsidRPr="005627CB">
        <w:rPr>
          <w:rFonts w:ascii="Book Antiqua" w:hAnsi="Book Antiqua"/>
          <w:sz w:val="16"/>
          <w:szCs w:val="16"/>
        </w:rPr>
        <w:t xml:space="preserve">, p.112, Interstellar Media, Berkeley, California,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[52] J. R. Fisher &amp; R. B. Tully, </w:t>
      </w:r>
      <w:r w:rsidRPr="005627CB">
        <w:rPr>
          <w:rFonts w:ascii="Book Antiqua" w:hAnsi="Book Antiqua"/>
          <w:i/>
          <w:iCs/>
          <w:sz w:val="16"/>
          <w:szCs w:val="16"/>
        </w:rPr>
        <w:t xml:space="preserve">Astrophysical Journal Supplement </w:t>
      </w:r>
      <w:r w:rsidRPr="005627CB">
        <w:rPr>
          <w:rFonts w:ascii="Book Antiqua" w:hAnsi="Book Antiqua"/>
          <w:b/>
          <w:bCs/>
          <w:sz w:val="16"/>
          <w:szCs w:val="16"/>
        </w:rPr>
        <w:t>47</w:t>
      </w:r>
      <w:r w:rsidRPr="005627CB">
        <w:rPr>
          <w:rFonts w:ascii="Book Antiqua" w:hAnsi="Book Antiqua"/>
          <w:sz w:val="16"/>
          <w:szCs w:val="16"/>
        </w:rPr>
        <w:t xml:space="preserve">:139 (1981).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[53] W. G. Tifft &amp; W. J. Cocke, </w:t>
      </w:r>
      <w:r w:rsidRPr="005627CB">
        <w:rPr>
          <w:rFonts w:ascii="Book Antiqua" w:hAnsi="Book Antiqua"/>
          <w:i/>
          <w:iCs/>
          <w:sz w:val="16"/>
          <w:szCs w:val="16"/>
        </w:rPr>
        <w:t xml:space="preserve">Astrophysical Journal, </w:t>
      </w:r>
      <w:r w:rsidRPr="005627CB">
        <w:rPr>
          <w:rFonts w:ascii="Book Antiqua" w:hAnsi="Book Antiqua"/>
          <w:b/>
          <w:bCs/>
          <w:sz w:val="16"/>
          <w:szCs w:val="16"/>
        </w:rPr>
        <w:t>287</w:t>
      </w:r>
      <w:r w:rsidRPr="005627CB">
        <w:rPr>
          <w:rFonts w:ascii="Book Antiqua" w:hAnsi="Book Antiqua"/>
          <w:sz w:val="16"/>
          <w:szCs w:val="16"/>
        </w:rPr>
        <w:t xml:space="preserve">:492 (1984).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[54] H. Arp &amp; Sulentic, </w:t>
      </w:r>
      <w:r w:rsidRPr="005627CB">
        <w:rPr>
          <w:rFonts w:ascii="Book Antiqua" w:hAnsi="Book Antiqua"/>
          <w:i/>
          <w:iCs/>
          <w:sz w:val="16"/>
          <w:szCs w:val="16"/>
        </w:rPr>
        <w:t xml:space="preserve">Astrophysical Journal </w:t>
      </w:r>
      <w:r w:rsidRPr="005627CB">
        <w:rPr>
          <w:rFonts w:ascii="Book Antiqua" w:hAnsi="Book Antiqua"/>
          <w:b/>
          <w:bCs/>
          <w:sz w:val="16"/>
          <w:szCs w:val="16"/>
        </w:rPr>
        <w:t>291</w:t>
      </w:r>
      <w:r w:rsidRPr="005627CB">
        <w:rPr>
          <w:rFonts w:ascii="Book Antiqua" w:hAnsi="Book Antiqua"/>
          <w:sz w:val="16"/>
          <w:szCs w:val="16"/>
        </w:rPr>
        <w:t xml:space="preserve">:88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[55] H. Arp, Reference [51], pp.108, 110, 112-113, 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[56]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No.61, January 3 (1992). Earlier B. N. G. Guthrie and W. M. Napier had published initial results in </w:t>
      </w:r>
      <w:r w:rsidRPr="005627CB">
        <w:rPr>
          <w:rFonts w:ascii="Book Antiqua" w:hAnsi="Book Antiqua"/>
          <w:i/>
          <w:sz w:val="16"/>
          <w:szCs w:val="16"/>
        </w:rPr>
        <w:t>Monthly Notices of the Royal Astronomical Society</w:t>
      </w:r>
      <w:r w:rsidRPr="005627CB">
        <w:rPr>
          <w:rFonts w:ascii="Book Antiqua" w:hAnsi="Book Antiqua"/>
          <w:sz w:val="16"/>
          <w:szCs w:val="16"/>
        </w:rPr>
        <w:t xml:space="preserve">, </w:t>
      </w:r>
      <w:r w:rsidRPr="005627CB">
        <w:rPr>
          <w:rFonts w:ascii="Book Antiqua" w:hAnsi="Book Antiqua"/>
          <w:b/>
          <w:sz w:val="16"/>
          <w:szCs w:val="16"/>
        </w:rPr>
        <w:t>243</w:t>
      </w:r>
      <w:r w:rsidRPr="005627CB">
        <w:rPr>
          <w:rFonts w:ascii="Book Antiqua" w:hAnsi="Book Antiqua"/>
          <w:sz w:val="16"/>
          <w:szCs w:val="16"/>
        </w:rPr>
        <w:t>, pp.431-442 (1990) and</w:t>
      </w:r>
      <w:r w:rsidRPr="005627CB">
        <w:rPr>
          <w:rFonts w:ascii="Book Antiqua" w:hAnsi="Book Antiqua"/>
          <w:b/>
          <w:sz w:val="16"/>
          <w:szCs w:val="16"/>
        </w:rPr>
        <w:t xml:space="preserve"> 253</w:t>
      </w:r>
      <w:r w:rsidRPr="005627CB">
        <w:rPr>
          <w:rFonts w:ascii="Book Antiqua" w:hAnsi="Book Antiqua"/>
          <w:sz w:val="16"/>
          <w:szCs w:val="16"/>
        </w:rPr>
        <w:t>, pp. 533-544 (1991).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[57]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 104, Nov. 25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[58] News Editor, </w:t>
      </w:r>
      <w:r w:rsidRPr="005627CB">
        <w:rPr>
          <w:rFonts w:ascii="Book Antiqua" w:hAnsi="Book Antiqua"/>
          <w:i/>
          <w:iCs/>
          <w:sz w:val="16"/>
          <w:szCs w:val="16"/>
        </w:rPr>
        <w:t>Scientific American</w:t>
      </w:r>
      <w:r w:rsidRPr="005627CB">
        <w:rPr>
          <w:rFonts w:ascii="Book Antiqua" w:hAnsi="Book Antiqua"/>
          <w:sz w:val="16"/>
          <w:szCs w:val="16"/>
        </w:rPr>
        <w:t xml:space="preserve">, December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[59] J. Gribbin, </w:t>
      </w:r>
      <w:r w:rsidRPr="005627CB">
        <w:rPr>
          <w:rFonts w:ascii="Book Antiqua" w:hAnsi="Book Antiqua"/>
          <w:i/>
          <w:iCs/>
          <w:sz w:val="16"/>
          <w:szCs w:val="16"/>
        </w:rPr>
        <w:t>New Scientist</w:t>
      </w:r>
      <w:r w:rsidRPr="005627CB">
        <w:rPr>
          <w:rFonts w:ascii="Book Antiqua" w:hAnsi="Book Antiqua"/>
          <w:sz w:val="16"/>
          <w:szCs w:val="16"/>
        </w:rPr>
        <w:t xml:space="preserve">, p.17, July 9, 1994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[60] W. R. Corliss, </w:t>
      </w:r>
      <w:r w:rsidRPr="005627CB">
        <w:rPr>
          <w:rFonts w:ascii="Book Antiqua" w:hAnsi="Book Antiqua"/>
          <w:i/>
          <w:iCs/>
          <w:sz w:val="16"/>
          <w:szCs w:val="16"/>
        </w:rPr>
        <w:t>Science Frontiers</w:t>
      </w:r>
      <w:r w:rsidRPr="005627CB">
        <w:rPr>
          <w:rFonts w:ascii="Book Antiqua" w:hAnsi="Book Antiqua"/>
          <w:sz w:val="16"/>
          <w:szCs w:val="16"/>
        </w:rPr>
        <w:t xml:space="preserve">, No. 105: May-June, 1996.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[61] H. Arp, </w:t>
      </w:r>
      <w:r w:rsidRPr="005627CB">
        <w:rPr>
          <w:rFonts w:ascii="Book Antiqua" w:hAnsi="Book Antiqua"/>
          <w:i/>
          <w:iCs/>
          <w:sz w:val="16"/>
          <w:szCs w:val="16"/>
        </w:rPr>
        <w:t>Seeing Red: Redshifts, Cosmology And Academic Science</w:t>
      </w:r>
      <w:r w:rsidRPr="005627CB">
        <w:rPr>
          <w:rFonts w:ascii="Book Antiqua" w:hAnsi="Book Antiqua"/>
          <w:sz w:val="16"/>
          <w:szCs w:val="16"/>
        </w:rPr>
        <w:t>, p.199, Apeiron, Montreal, Canada, 1998.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[62]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382</w:t>
      </w:r>
      <w:r w:rsidRPr="005627CB">
        <w:rPr>
          <w:rFonts w:ascii="Book Antiqua" w:hAnsi="Book Antiqua"/>
          <w:sz w:val="16"/>
          <w:szCs w:val="16"/>
        </w:rPr>
        <w:t xml:space="preserve">:396 (1991).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[63] B. M. Lewis, </w:t>
      </w:r>
      <w:r w:rsidRPr="005627CB">
        <w:rPr>
          <w:rFonts w:ascii="Book Antiqua" w:hAnsi="Book Antiqua"/>
          <w:i/>
          <w:iCs/>
          <w:sz w:val="16"/>
          <w:szCs w:val="16"/>
        </w:rPr>
        <w:t>Observatory</w:t>
      </w:r>
      <w:r w:rsidRPr="005627CB">
        <w:rPr>
          <w:rFonts w:ascii="Book Antiqua" w:hAnsi="Book Antiqua"/>
          <w:sz w:val="16"/>
          <w:szCs w:val="16"/>
        </w:rPr>
        <w:t xml:space="preserve">, </w:t>
      </w:r>
      <w:r w:rsidRPr="005627CB">
        <w:rPr>
          <w:rFonts w:ascii="Book Antiqua" w:hAnsi="Book Antiqua"/>
          <w:b/>
          <w:bCs/>
          <w:sz w:val="16"/>
          <w:szCs w:val="16"/>
        </w:rPr>
        <w:t>107</w:t>
      </w:r>
      <w:r w:rsidRPr="005627CB">
        <w:rPr>
          <w:rFonts w:ascii="Book Antiqua" w:hAnsi="Book Antiqua"/>
          <w:sz w:val="16"/>
          <w:szCs w:val="16"/>
        </w:rPr>
        <w:t xml:space="preserve">:201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[64] Science Editor, </w:t>
      </w:r>
      <w:r w:rsidRPr="005627CB">
        <w:rPr>
          <w:rFonts w:ascii="Book Antiqua" w:hAnsi="Book Antiqua"/>
          <w:bCs/>
          <w:i/>
          <w:iCs/>
          <w:color w:val="000000"/>
          <w:sz w:val="16"/>
          <w:szCs w:val="16"/>
        </w:rPr>
        <w:t xml:space="preserve">The Messenger,  </w:t>
      </w:r>
      <w:r w:rsidRPr="005627CB">
        <w:rPr>
          <w:rFonts w:ascii="Book Antiqua" w:hAnsi="Book Antiqua"/>
          <w:b/>
          <w:bCs/>
          <w:i/>
          <w:iCs/>
          <w:color w:val="000000"/>
          <w:sz w:val="16"/>
          <w:szCs w:val="16"/>
        </w:rPr>
        <w:t>84</w:t>
      </w:r>
      <w:r w:rsidRPr="005627CB">
        <w:rPr>
          <w:rFonts w:ascii="Book Antiqua" w:hAnsi="Book Antiqua"/>
          <w:bCs/>
          <w:iCs/>
          <w:color w:val="000000"/>
          <w:sz w:val="16"/>
          <w:szCs w:val="16"/>
        </w:rPr>
        <w:t>, 20-23</w:t>
      </w:r>
      <w:r w:rsidRPr="005627CB">
        <w:rPr>
          <w:rFonts w:ascii="Book Antiqua" w:hAnsi="Book Antiqua"/>
          <w:bCs/>
          <w:i/>
          <w:iCs/>
          <w:color w:val="000000"/>
          <w:sz w:val="16"/>
          <w:szCs w:val="16"/>
        </w:rPr>
        <w:t xml:space="preserve"> </w:t>
      </w:r>
      <w:r w:rsidRPr="005627CB">
        <w:rPr>
          <w:rFonts w:ascii="Book Antiqua" w:hAnsi="Book Antiqua"/>
          <w:bCs/>
          <w:iCs/>
          <w:color w:val="000000"/>
          <w:sz w:val="16"/>
          <w:szCs w:val="16"/>
        </w:rPr>
        <w:t>(June 1996).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[65] M. B. Bell, D. McDiarmid, </w:t>
      </w:r>
      <w:r w:rsidRPr="005627CB">
        <w:rPr>
          <w:rFonts w:ascii="Book Antiqua" w:hAnsi="Book Antiqua"/>
          <w:i/>
          <w:sz w:val="16"/>
          <w:szCs w:val="16"/>
        </w:rPr>
        <w:t>ApJ</w:t>
      </w:r>
      <w:r w:rsidRPr="005627CB">
        <w:rPr>
          <w:rFonts w:ascii="Book Antiqua" w:hAnsi="Book Antiqua"/>
          <w:sz w:val="16"/>
          <w:szCs w:val="16"/>
        </w:rPr>
        <w:t xml:space="preserve"> </w:t>
      </w:r>
      <w:r w:rsidRPr="005627CB">
        <w:rPr>
          <w:rFonts w:ascii="Book Antiqua" w:hAnsi="Book Antiqua"/>
          <w:b/>
          <w:sz w:val="16"/>
          <w:szCs w:val="16"/>
        </w:rPr>
        <w:t>648,</w:t>
      </w:r>
      <w:r w:rsidRPr="005627CB">
        <w:rPr>
          <w:rFonts w:ascii="Book Antiqua" w:hAnsi="Book Antiqua"/>
          <w:sz w:val="16"/>
          <w:szCs w:val="16"/>
        </w:rPr>
        <w:t xml:space="preserve"> pp. 140-147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[66]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:377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[67] H. Arp, Reference [51], p.119.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[68] J. Gribbin, </w:t>
      </w:r>
      <w:r w:rsidRPr="005627CB">
        <w:rPr>
          <w:rFonts w:ascii="Book Antiqua" w:hAnsi="Book Antiqua"/>
          <w:i/>
          <w:sz w:val="16"/>
          <w:szCs w:val="16"/>
        </w:rPr>
        <w:t>New Scientist</w:t>
      </w:r>
      <w:r w:rsidRPr="005627CB">
        <w:rPr>
          <w:rFonts w:ascii="Book Antiqua" w:hAnsi="Book Antiqua"/>
          <w:sz w:val="16"/>
          <w:szCs w:val="16"/>
        </w:rPr>
        <w:t xml:space="preserve">, 20th June (1985), p.20.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[69] E. R. Harrison, </w:t>
      </w:r>
      <w:r w:rsidRPr="005627CB">
        <w:rPr>
          <w:rFonts w:ascii="Book Antiqua" w:hAnsi="Book Antiqua"/>
          <w:i/>
          <w:sz w:val="16"/>
          <w:szCs w:val="16"/>
        </w:rPr>
        <w:t>Cosmology, The Science of the Universe</w:t>
      </w:r>
      <w:r w:rsidRPr="005627CB">
        <w:rPr>
          <w:rFonts w:ascii="Book Antiqua" w:hAnsi="Book Antiqua"/>
          <w:sz w:val="16"/>
          <w:szCs w:val="16"/>
        </w:rPr>
        <w:t>, pp.275-276, (Cambridge Uni. Press, 1981).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[70] T.H. Boyer, </w:t>
      </w:r>
      <w:r w:rsidRPr="005627CB">
        <w:rPr>
          <w:rFonts w:ascii="Book Antiqua" w:hAnsi="Book Antiqua"/>
          <w:i/>
          <w:sz w:val="16"/>
          <w:szCs w:val="16"/>
        </w:rPr>
        <w:t>Phys. Rev. D</w:t>
      </w:r>
      <w:r w:rsidRPr="005627CB">
        <w:rPr>
          <w:rFonts w:ascii="Book Antiqua" w:hAnsi="Book Antiqua"/>
          <w:b/>
          <w:sz w:val="16"/>
          <w:szCs w:val="16"/>
        </w:rPr>
        <w:t xml:space="preserve"> 11</w:t>
      </w:r>
      <w:r w:rsidRPr="005627CB">
        <w:rPr>
          <w:rFonts w:ascii="Book Antiqua" w:hAnsi="Book Antiqua"/>
          <w:sz w:val="16"/>
          <w:szCs w:val="16"/>
        </w:rPr>
        <w:t xml:space="preserve"> (1975), p. 790.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[71] P. Claverie and S. Diner, </w:t>
      </w:r>
      <w:r w:rsidRPr="005627CB">
        <w:rPr>
          <w:rFonts w:ascii="Book Antiqua" w:hAnsi="Book Antiqua"/>
          <w:i/>
          <w:sz w:val="16"/>
          <w:szCs w:val="16"/>
        </w:rPr>
        <w:t>in Localization and delocalization in quantum chemistry, Vol. II</w:t>
      </w:r>
      <w:r w:rsidRPr="005627CB">
        <w:rPr>
          <w:rFonts w:ascii="Book Antiqua" w:hAnsi="Book Antiqua"/>
          <w:sz w:val="16"/>
          <w:szCs w:val="16"/>
        </w:rPr>
        <w:t xml:space="preserve">, p. 395, O Chalvet et al., eds, (Reidel, Dorchrecht,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[72] L. de la Pena, ‘Stochastic Electrodynamics: Its Development, Present Situation, And Perspectives,’ in </w:t>
      </w:r>
      <w:r w:rsidRPr="005627CB">
        <w:rPr>
          <w:rFonts w:ascii="Book Antiqua" w:hAnsi="Book Antiqua"/>
          <w:i/>
          <w:sz w:val="16"/>
          <w:szCs w:val="16"/>
        </w:rPr>
        <w:t xml:space="preserve"> Stochastic Processes Applied to Physics and other Related Fields</w:t>
      </w:r>
      <w:r w:rsidRPr="005627CB">
        <w:rPr>
          <w:rFonts w:ascii="Book Antiqua" w:hAnsi="Book Antiqua"/>
          <w:sz w:val="16"/>
          <w:szCs w:val="16"/>
        </w:rPr>
        <w:t>, B. Gomez et al. eds., (World Scientific Publishing Co. Pty. Ltd, 1983), being the Proceedings of the Escuela Lationamericana de Fisica held in Cali, Colombia, (21 June - 9 July, 1982) 428-581.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[73] H. E. Puthoff, </w:t>
      </w:r>
      <w:r w:rsidRPr="005627CB">
        <w:rPr>
          <w:rFonts w:ascii="Book Antiqua" w:hAnsi="Book Antiqua"/>
          <w:i/>
          <w:sz w:val="16"/>
          <w:szCs w:val="16"/>
        </w:rPr>
        <w:t>Phys. Rev. D</w:t>
      </w:r>
      <w:r w:rsidRPr="005627CB">
        <w:rPr>
          <w:rFonts w:ascii="Book Antiqua" w:hAnsi="Book Antiqua"/>
          <w:sz w:val="16"/>
          <w:szCs w:val="16"/>
        </w:rPr>
        <w:t xml:space="preserve">, </w:t>
      </w:r>
      <w:r w:rsidRPr="005627CB">
        <w:rPr>
          <w:rFonts w:ascii="Book Antiqua" w:hAnsi="Book Antiqua"/>
          <w:b/>
          <w:sz w:val="16"/>
          <w:szCs w:val="16"/>
        </w:rPr>
        <w:t>35</w:t>
      </w:r>
      <w:r w:rsidRPr="005627CB">
        <w:rPr>
          <w:rFonts w:ascii="Book Antiqua" w:hAnsi="Book Antiqua"/>
          <w:sz w:val="16"/>
          <w:szCs w:val="16"/>
        </w:rPr>
        <w:t>:10 (1987) 3266.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[74] B. Setterfield, “Quantized Redshifts and the Zero Point Energy,” </w:t>
      </w:r>
      <w:r w:rsidRPr="005627CB">
        <w:rPr>
          <w:rFonts w:ascii="Book Antiqua" w:hAnsi="Book Antiqua"/>
          <w:i/>
          <w:sz w:val="16"/>
          <w:szCs w:val="16"/>
        </w:rPr>
        <w:t>Journal of Vectorial Reletivity,</w:t>
      </w:r>
      <w:r w:rsidRPr="005627CB">
        <w:rPr>
          <w:rFonts w:ascii="Book Antiqua" w:hAnsi="Book Antiqua"/>
          <w:sz w:val="16"/>
          <w:szCs w:val="16"/>
        </w:rPr>
        <w:t xml:space="preserve"> </w:t>
      </w:r>
      <w:r w:rsidRPr="005627CB">
        <w:rPr>
          <w:rFonts w:ascii="Book Antiqua" w:hAnsi="Book Antiqua"/>
          <w:b/>
          <w:sz w:val="16"/>
          <w:szCs w:val="16"/>
        </w:rPr>
        <w:t>3</w:t>
      </w:r>
      <w:r w:rsidRPr="005627CB">
        <w:rPr>
          <w:rFonts w:ascii="Book Antiqua" w:hAnsi="Book Antiqua"/>
          <w:sz w:val="16"/>
          <w:szCs w:val="16"/>
        </w:rPr>
        <w:t xml:space="preserve"> (2008), No.4, pp.1-32.</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[75] V. Spicka et al.,in "</w:t>
      </w:r>
      <w:r w:rsidRPr="005627CB">
        <w:rPr>
          <w:rFonts w:ascii="Book Antiqua" w:hAnsi="Book Antiqua"/>
          <w:i/>
          <w:sz w:val="16"/>
          <w:szCs w:val="16"/>
        </w:rPr>
        <w:t>Beyond the Quantum,</w:t>
      </w:r>
      <w:r w:rsidRPr="005627CB">
        <w:rPr>
          <w:rFonts w:ascii="Book Antiqua" w:hAnsi="Book Antiqua"/>
          <w:sz w:val="16"/>
          <w:szCs w:val="16"/>
        </w:rPr>
        <w:t>" pp. 247-270, edited by Theo. M. Nieuwenhuizen, (World Scientific, 2007).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[76] F. J. Dyson,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1291-1293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[77] A. Peres,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1293-1294,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[78] J. N. Bahcall, M. Schmidt,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1294-1295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[79] P. S. Wesson, </w:t>
      </w:r>
      <w:r w:rsidRPr="005627CB">
        <w:rPr>
          <w:rFonts w:ascii="Book Antiqua" w:hAnsi="Book Antiqua"/>
          <w:i/>
          <w:sz w:val="16"/>
          <w:szCs w:val="16"/>
        </w:rPr>
        <w:t>Cosmology and Geophysics,</w:t>
      </w:r>
      <w:r w:rsidRPr="005627CB">
        <w:rPr>
          <w:rFonts w:ascii="Book Antiqua" w:hAnsi="Book Antiqua"/>
          <w:sz w:val="16"/>
          <w:szCs w:val="16"/>
        </w:rPr>
        <w:t xml:space="preserve"> Monographs on Astronomical Subjects:3. pp.65-66, 88-89, 115-122, 207-208, (Adam Hilger Ltd, Bristol 1978).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[80] B. Setterfield, “General Relativity and the Zero Point Energy,” </w:t>
      </w:r>
      <w:r w:rsidRPr="005627CB">
        <w:rPr>
          <w:rFonts w:ascii="Book Antiqua" w:hAnsi="Book Antiqua"/>
          <w:i/>
          <w:iCs/>
          <w:sz w:val="16"/>
          <w:szCs w:val="16"/>
        </w:rPr>
        <w:t>Journal of Theoretics</w:t>
      </w:r>
      <w:r w:rsidRPr="005627CB">
        <w:rPr>
          <w:rFonts w:ascii="Book Antiqua" w:hAnsi="Book Antiqua"/>
          <w:sz w:val="16"/>
          <w:szCs w:val="16"/>
        </w:rPr>
        <w:t xml:space="preserve">, extensive papers (15 Oct. 2003). Also, B. Setterfield, “Reviewing the Zero Point Energy,” </w:t>
      </w:r>
      <w:r w:rsidRPr="005627CB">
        <w:rPr>
          <w:rFonts w:ascii="Book Antiqua" w:hAnsi="Book Antiqua"/>
          <w:i/>
          <w:sz w:val="16"/>
          <w:szCs w:val="16"/>
        </w:rPr>
        <w:t>JVR</w:t>
      </w:r>
      <w:r w:rsidRPr="005627CB">
        <w:rPr>
          <w:rFonts w:ascii="Book Antiqua" w:hAnsi="Book Antiqua"/>
          <w:sz w:val="16"/>
          <w:szCs w:val="16"/>
        </w:rPr>
        <w:t xml:space="preserve"> </w:t>
      </w:r>
      <w:r w:rsidRPr="005627CB">
        <w:rPr>
          <w:rFonts w:ascii="Book Antiqua" w:hAnsi="Book Antiqua"/>
          <w:b/>
          <w:sz w:val="16"/>
          <w:szCs w:val="16"/>
        </w:rPr>
        <w:t>2</w:t>
      </w:r>
      <w:r w:rsidRPr="005627CB">
        <w:rPr>
          <w:rFonts w:ascii="Book Antiqua" w:hAnsi="Book Antiqua"/>
          <w:sz w:val="16"/>
          <w:szCs w:val="16"/>
        </w:rPr>
        <w:t>(2007)3; 1-28.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[81] A.P. French, </w:t>
      </w:r>
      <w:r w:rsidRPr="005627CB">
        <w:rPr>
          <w:rFonts w:ascii="Book Antiqua" w:hAnsi="Book Antiqua"/>
          <w:i/>
          <w:sz w:val="16"/>
          <w:szCs w:val="16"/>
        </w:rPr>
        <w:t>Principles of Modern Physics</w:t>
      </w:r>
      <w:r w:rsidRPr="005627CB">
        <w:rPr>
          <w:rFonts w:ascii="Book Antiqua" w:hAnsi="Book Antiqua"/>
          <w:sz w:val="16"/>
          <w:szCs w:val="16"/>
        </w:rPr>
        <w:t>, pp.107 ff. (John Wiley and Sons, New York, 1959).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[82] WMAP satellite data.  See example at: </w:t>
      </w:r>
      <w:hyperlink r:id="rId247" w:history="1">
        <w:r w:rsidRPr="005627CB">
          <w:rPr>
            <w:rStyle w:val="Hyperlink"/>
            <w:rFonts w:ascii="Book Antiqua" w:hAnsi="Book Antiqua"/>
            <w:i/>
            <w:szCs w:val="16"/>
          </w:rPr>
          <w:t>http://www.astr.ua.edu/keel/galaxies/cmbr.html</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[83] R. M. Eisberg, </w:t>
      </w:r>
      <w:r w:rsidRPr="005627CB">
        <w:rPr>
          <w:rFonts w:ascii="Book Antiqua" w:hAnsi="Book Antiqua"/>
          <w:i/>
          <w:sz w:val="16"/>
          <w:szCs w:val="16"/>
        </w:rPr>
        <w:t>Fundamentals of Modern Physics,</w:t>
      </w:r>
      <w:r w:rsidRPr="005627CB">
        <w:rPr>
          <w:rFonts w:ascii="Book Antiqua" w:hAnsi="Book Antiqua"/>
          <w:sz w:val="16"/>
          <w:szCs w:val="16"/>
        </w:rPr>
        <w:t xml:space="preserve"> p. 137, (John  Wiley &amp; Sons, Inc., New York, 1961).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[84] A. P. French, op.cit, p.108-109.</w:t>
      </w:r>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[85] For example see </w:t>
      </w:r>
      <w:hyperlink r:id="rId248" w:history="1">
        <w:r w:rsidRPr="005627CB">
          <w:rPr>
            <w:rStyle w:val="Hyperlink"/>
            <w:rFonts w:ascii="Book Antiqua" w:hAnsi="Book Antiqua"/>
            <w:i/>
            <w:szCs w:val="16"/>
          </w:rPr>
          <w:t>http://en.wikipedia.org/wiki/Recombination_(cosmology)</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Also M. Longair, </w:t>
      </w:r>
      <w:r w:rsidRPr="005627CB">
        <w:rPr>
          <w:rFonts w:ascii="Book Antiqua" w:hAnsi="Book Antiqua"/>
          <w:i/>
          <w:sz w:val="16"/>
          <w:szCs w:val="16"/>
        </w:rPr>
        <w:t>Galaxy Formation</w:t>
      </w:r>
      <w:r w:rsidRPr="005627CB">
        <w:rPr>
          <w:rFonts w:ascii="Book Antiqua" w:hAnsi="Book Antiqua"/>
          <w:sz w:val="16"/>
          <w:szCs w:val="16"/>
        </w:rPr>
        <w:t xml:space="preserve">, Springer, 2006. And P. Noterdaeme et al., “The evolution of the cosmic microwave background temperature,” </w:t>
      </w:r>
      <w:r w:rsidRPr="005627CB">
        <w:rPr>
          <w:rFonts w:ascii="Book Antiqua" w:hAnsi="Book Antiqua"/>
          <w:i/>
          <w:sz w:val="16"/>
          <w:szCs w:val="16"/>
        </w:rPr>
        <w:t>Astronomy and Astrophysics</w:t>
      </w:r>
      <w:r w:rsidRPr="005627CB">
        <w:rPr>
          <w:rFonts w:ascii="Book Antiqua" w:hAnsi="Book Antiqua"/>
          <w:sz w:val="16"/>
          <w:szCs w:val="16"/>
        </w:rPr>
        <w:t xml:space="preserve">, </w:t>
      </w:r>
      <w:r w:rsidRPr="005627CB">
        <w:rPr>
          <w:rFonts w:ascii="Book Antiqua" w:hAnsi="Book Antiqua"/>
          <w:b/>
          <w:sz w:val="16"/>
          <w:szCs w:val="16"/>
        </w:rPr>
        <w:t>526</w:t>
      </w:r>
      <w:r w:rsidRPr="005627CB">
        <w:rPr>
          <w:rFonts w:ascii="Book Antiqua" w:hAnsi="Book Antiqua"/>
          <w:sz w:val="16"/>
          <w:szCs w:val="16"/>
        </w:rPr>
        <w:t xml:space="preserve">, L7 (February 2011).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[86] S. L. Martin, A. K. Connor, </w:t>
      </w:r>
      <w:r w:rsidRPr="005627CB">
        <w:rPr>
          <w:rFonts w:ascii="Book Antiqua" w:hAnsi="Book Antiqua"/>
          <w:i/>
          <w:sz w:val="16"/>
          <w:szCs w:val="16"/>
        </w:rPr>
        <w:t>Basic Physics</w:t>
      </w:r>
      <w:r w:rsidRPr="005627CB">
        <w:rPr>
          <w:rFonts w:ascii="Book Antiqua" w:hAnsi="Book Antiqua"/>
          <w:sz w:val="16"/>
          <w:szCs w:val="16"/>
        </w:rPr>
        <w:t>, Volume 1, p. 473, Whitcombe and Tombs Pty Ltd, Melbourne (1959).</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[87] R. L. Fingerhut et al., </w:t>
      </w:r>
      <w:r w:rsidRPr="005627CB">
        <w:rPr>
          <w:rFonts w:ascii="Book Antiqua" w:hAnsi="Book Antiqua"/>
          <w:i/>
          <w:color w:val="000000"/>
          <w:sz w:val="16"/>
          <w:szCs w:val="16"/>
        </w:rPr>
        <w:t>Astrophysical Journal</w:t>
      </w:r>
      <w:r w:rsidRPr="005627CB">
        <w:rPr>
          <w:rFonts w:ascii="Book Antiqua" w:hAnsi="Book Antiqua"/>
          <w:color w:val="000000"/>
          <w:sz w:val="16"/>
          <w:szCs w:val="16"/>
        </w:rPr>
        <w:t>,</w:t>
      </w:r>
      <w:r w:rsidRPr="005627CB">
        <w:rPr>
          <w:rFonts w:ascii="Book Antiqua" w:hAnsi="Book Antiqua"/>
          <w:b/>
          <w:color w:val="000000"/>
          <w:sz w:val="16"/>
          <w:szCs w:val="16"/>
        </w:rPr>
        <w:t xml:space="preserve"> 655</w:t>
      </w:r>
      <w:r w:rsidRPr="005627CB">
        <w:rPr>
          <w:rFonts w:ascii="Book Antiqua" w:hAnsi="Book Antiqua"/>
          <w:color w:val="000000"/>
          <w:sz w:val="16"/>
          <w:szCs w:val="16"/>
        </w:rPr>
        <w:t xml:space="preserve"> (2):814 (2007).</w:t>
      </w:r>
    </w:p>
    <w:p w:rsidR="00265840" w:rsidRPr="005627CB" w:rsidRDefault="00265840" w:rsidP="00265840">
      <w:pPr>
        <w:pStyle w:val="NoSpacing"/>
        <w:rPr>
          <w:rFonts w:ascii="Book Antiqua" w:hAnsi="Book Antiqua"/>
          <w:i/>
          <w:color w:val="000000"/>
          <w:sz w:val="16"/>
          <w:szCs w:val="16"/>
        </w:rPr>
      </w:pPr>
      <w:r w:rsidRPr="005627CB">
        <w:rPr>
          <w:rFonts w:ascii="Book Antiqua" w:hAnsi="Book Antiqua"/>
          <w:color w:val="000000"/>
          <w:sz w:val="16"/>
          <w:szCs w:val="16"/>
        </w:rPr>
        <w:t>[88] See data and comments at:</w:t>
      </w:r>
      <w:r w:rsidRPr="005627CB">
        <w:rPr>
          <w:rFonts w:ascii="Book Antiqua" w:hAnsi="Book Antiqua"/>
          <w:i/>
          <w:color w:val="000000"/>
          <w:sz w:val="16"/>
          <w:szCs w:val="16"/>
        </w:rPr>
        <w:t xml:space="preserve"> </w:t>
      </w:r>
      <w:hyperlink r:id="rId249" w:history="1">
        <w:r w:rsidRPr="005627CB">
          <w:rPr>
            <w:rStyle w:val="Hyperlink"/>
            <w:rFonts w:ascii="Book Antiqua" w:hAnsi="Book Antiqua"/>
            <w:i/>
            <w:szCs w:val="16"/>
          </w:rPr>
          <w:t>http://www.atlasoftheuniverse.com/galgrps/maffei.html</w:t>
        </w:r>
      </w:hyperlink>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[89] I. D. Karachentsev, “The Local Group and Other Neighboring Galaxy Groups,” </w:t>
      </w:r>
      <w:r w:rsidRPr="005627CB">
        <w:rPr>
          <w:rFonts w:ascii="Book Antiqua" w:hAnsi="Book Antiqua"/>
          <w:i/>
          <w:color w:val="000000"/>
          <w:sz w:val="16"/>
          <w:szCs w:val="16"/>
        </w:rPr>
        <w:t xml:space="preserve">Astronomical Journal </w:t>
      </w:r>
      <w:r w:rsidRPr="005627CB">
        <w:rPr>
          <w:rFonts w:ascii="Book Antiqua" w:hAnsi="Book Antiqua"/>
          <w:b/>
          <w:color w:val="000000"/>
          <w:sz w:val="16"/>
          <w:szCs w:val="16"/>
        </w:rPr>
        <w:t>129</w:t>
      </w:r>
      <w:r w:rsidRPr="005627CB">
        <w:rPr>
          <w:rFonts w:ascii="Book Antiqua" w:hAnsi="Book Antiqua"/>
          <w:color w:val="000000"/>
          <w:sz w:val="16"/>
          <w:szCs w:val="16"/>
        </w:rPr>
        <w:t>(1):178-188, (2005).</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[90] NASA/IPAC “Extragalactic Database” at:</w:t>
      </w:r>
      <w:r w:rsidRPr="005627CB">
        <w:rPr>
          <w:rFonts w:ascii="Book Antiqua" w:hAnsi="Book Antiqua"/>
          <w:i/>
          <w:color w:val="000000"/>
          <w:sz w:val="16"/>
          <w:szCs w:val="16"/>
        </w:rPr>
        <w:t>http://nedwww.ipac.caltech.edu/</w:t>
      </w:r>
      <w:r w:rsidRPr="005627CB">
        <w:rPr>
          <w:rFonts w:ascii="Book Antiqua" w:hAnsi="Book Antiqua"/>
          <w:color w:val="000000"/>
          <w:sz w:val="16"/>
          <w:szCs w:val="16"/>
        </w:rPr>
        <w:t xml:space="preserve">. Also </w:t>
      </w:r>
      <w:hyperlink r:id="rId250" w:history="1">
        <w:r w:rsidRPr="005627CB">
          <w:rPr>
            <w:rStyle w:val="Hyperlink"/>
            <w:rFonts w:ascii="Book Antiqua" w:hAnsi="Book Antiqua"/>
            <w:i/>
            <w:szCs w:val="16"/>
          </w:rPr>
          <w:t>http://en.wikipedia.org/wiki/Sculptor_Group</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[91] Data and comments available from: </w:t>
      </w:r>
      <w:hyperlink r:id="rId251" w:history="1">
        <w:r w:rsidRPr="005627CB">
          <w:rPr>
            <w:rStyle w:val="Hyperlink"/>
            <w:rFonts w:ascii="Book Antiqua" w:hAnsi="Book Antiqua"/>
            <w:i/>
            <w:szCs w:val="16"/>
          </w:rPr>
          <w:t>http://www.atlasoftheuniverse.com/galgrps/m101.html</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[92] Summary of data and comment available at: </w:t>
      </w:r>
      <w:r w:rsidRPr="005627CB">
        <w:rPr>
          <w:rFonts w:ascii="Book Antiqua" w:hAnsi="Book Antiqua"/>
          <w:i/>
          <w:color w:val="000000"/>
          <w:sz w:val="16"/>
          <w:szCs w:val="16"/>
        </w:rPr>
        <w:t>http://en.wikipedia.org/wiki/M81_Group</w:t>
      </w:r>
    </w:p>
    <w:p w:rsidR="00265840" w:rsidRPr="005627CB" w:rsidRDefault="00265840" w:rsidP="00265840">
      <w:pPr>
        <w:pStyle w:val="reference"/>
        <w:rPr>
          <w:color w:val="000000"/>
          <w:szCs w:val="16"/>
        </w:rPr>
      </w:pPr>
    </w:p>
    <w:p w:rsidR="00265840" w:rsidRPr="005627CB" w:rsidRDefault="00265840" w:rsidP="00265840">
      <w:pPr>
        <w:pStyle w:val="reference"/>
        <w:rPr>
          <w:b/>
          <w:color w:val="000000"/>
          <w:szCs w:val="16"/>
        </w:rPr>
      </w:pPr>
      <w:r w:rsidRPr="005627CB">
        <w:rPr>
          <w:b/>
          <w:color w:val="000000"/>
          <w:szCs w:val="16"/>
        </w:rPr>
        <w:t>Figure References</w:t>
      </w:r>
      <w:r w:rsidRPr="005627CB">
        <w:rPr>
          <w:i/>
          <w:color w:val="000000"/>
          <w:szCs w:val="16"/>
        </w:rPr>
        <w:t xml:space="preserve"> – All URL’s retrieved 9/13/12</w:t>
      </w:r>
    </w:p>
    <w:p w:rsidR="00265840" w:rsidRPr="005627CB" w:rsidRDefault="00265840" w:rsidP="00265840">
      <w:pPr>
        <w:pStyle w:val="reference"/>
        <w:rPr>
          <w:color w:val="000000"/>
          <w:szCs w:val="16"/>
        </w:rPr>
      </w:pPr>
    </w:p>
    <w:p w:rsidR="00265840" w:rsidRPr="005627CB" w:rsidRDefault="00265840" w:rsidP="00265840">
      <w:pPr>
        <w:pStyle w:val="reference"/>
        <w:rPr>
          <w:i/>
          <w:szCs w:val="16"/>
        </w:rPr>
      </w:pPr>
      <w:r w:rsidRPr="005627CB">
        <w:rPr>
          <w:color w:val="000000"/>
          <w:szCs w:val="16"/>
        </w:rPr>
        <w:t xml:space="preserve">Figure 1: Spectral lines of hydrogen, helium, mercury and uranium. </w:t>
      </w:r>
      <w:bookmarkStart w:id="219" w:name="_GoBack"/>
      <w:bookmarkEnd w:id="219"/>
      <w:r w:rsidR="00241D2F" w:rsidRPr="005627CB">
        <w:rPr>
          <w:i/>
          <w:szCs w:val="16"/>
        </w:rPr>
        <w:fldChar w:fldCharType="begin"/>
      </w:r>
      <w:r w:rsidRPr="005627CB">
        <w:rPr>
          <w:i/>
          <w:szCs w:val="16"/>
        </w:rPr>
        <w:instrText xml:space="preserve"> HYPERLINK "http://www.19thpsalm.org/Ch01/index.html" </w:instrText>
      </w:r>
      <w:r w:rsidR="00241D2F" w:rsidRPr="005627CB">
        <w:rPr>
          <w:i/>
          <w:szCs w:val="16"/>
        </w:rPr>
        <w:fldChar w:fldCharType="separate"/>
      </w:r>
      <w:r w:rsidRPr="005627CB">
        <w:rPr>
          <w:rStyle w:val="Hyperlink"/>
          <w:i/>
          <w:szCs w:val="16"/>
        </w:rPr>
        <w:t>http://www.19thpsalm.org/Ch01/index.html</w:t>
      </w:r>
      <w:r w:rsidR="00241D2F" w:rsidRPr="005627CB">
        <w:rPr>
          <w:i/>
          <w:szCs w:val="16"/>
        </w:rPr>
        <w:fldChar w:fldCharType="end"/>
      </w:r>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2: Redshift of spectral lines. </w:t>
      </w:r>
      <w:hyperlink r:id="rId252" w:history="1">
        <w:r w:rsidRPr="005627CB">
          <w:rPr>
            <w:rStyle w:val="Hyperlink"/>
            <w:rFonts w:ascii="Book Antiqua" w:hAnsi="Book Antiqua"/>
            <w:i/>
            <w:szCs w:val="16"/>
          </w:rPr>
          <w:t>http://en.wikipedia.org/wiki/File:Redshift.png</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3: Pulsating brightness curves of four Cepheid variables. </w:t>
      </w:r>
      <w:hyperlink r:id="rId253" w:history="1">
        <w:r w:rsidRPr="005627CB">
          <w:rPr>
            <w:rStyle w:val="Hyperlink"/>
            <w:rFonts w:ascii="Book Antiqua" w:hAnsi="Book Antiqua"/>
            <w:i/>
            <w:szCs w:val="16"/>
          </w:rPr>
          <w:t>http://www.math.lsa.umich.edu/mmss/coursesONLINE/Astro/Ex1.4/</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4: Edwin Hubble's 1929 graph of redshift /distance. </w:t>
      </w:r>
      <w:hyperlink r:id="rId254" w:history="1">
        <w:r w:rsidRPr="005627CB">
          <w:rPr>
            <w:rStyle w:val="Hyperlink"/>
            <w:rFonts w:ascii="Book Antiqua" w:hAnsi="Book Antiqua"/>
            <w:i/>
            <w:szCs w:val="16"/>
          </w:rPr>
          <w:t>http://www.astronomy.ohio-state.edu/~pogge/Ast162/Unit5/expand.html</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5: The Doppler effect. </w:t>
      </w:r>
      <w:hyperlink r:id="rId255" w:history="1">
        <w:r w:rsidRPr="005627CB">
          <w:rPr>
            <w:rStyle w:val="Hyperlink"/>
            <w:rFonts w:ascii="Book Antiqua" w:hAnsi="Book Antiqua"/>
            <w:i/>
            <w:szCs w:val="16"/>
          </w:rPr>
          <w:t>http://www.sciencewriter.net/ncd/d.htm</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6: Stretching of wavelengths as fabric of space is stretched.</w:t>
      </w:r>
    </w:p>
    <w:p w:rsidR="00265840" w:rsidRPr="005627CB" w:rsidRDefault="00241D2F" w:rsidP="00265840">
      <w:pPr>
        <w:rPr>
          <w:rFonts w:ascii="Book Antiqua" w:hAnsi="Book Antiqua"/>
          <w:sz w:val="16"/>
          <w:szCs w:val="16"/>
        </w:rPr>
      </w:pPr>
      <w:hyperlink r:id="rId256" w:history="1">
        <w:r w:rsidR="00265840" w:rsidRPr="005627CB">
          <w:rPr>
            <w:rStyle w:val="Hyperlink"/>
            <w:rFonts w:ascii="Book Antiqua" w:hAnsi="Book Antiqua"/>
            <w:i/>
            <w:szCs w:val="16"/>
          </w:rPr>
          <w:t>http://www.astrobio.nau.edu/~koerner/ast180/lectures/lec23.html</w:t>
        </w:r>
      </w:hyperlink>
    </w:p>
    <w:p w:rsidR="006A00E9" w:rsidRDefault="006A00E9" w:rsidP="00265840">
      <w:pPr>
        <w:rPr>
          <w:rFonts w:ascii="Book Antiqua" w:hAnsi="Book Antiqua"/>
          <w:sz w:val="16"/>
          <w:szCs w:val="16"/>
        </w:rPr>
      </w:pPr>
      <w:r>
        <w:rPr>
          <w:rFonts w:ascii="Book Antiqua" w:hAnsi="Book Antiqua"/>
          <w:sz w:val="16"/>
          <w:szCs w:val="16"/>
        </w:rPr>
        <w:t>Figure 7: Similar graphs showing cosmic time or cosmic distances going from zero to one with redshift on the ather axis can be found here:</w:t>
      </w:r>
    </w:p>
    <w:p w:rsidR="006A00E9" w:rsidRPr="006A00E9" w:rsidRDefault="00241D2F" w:rsidP="006A00E9">
      <w:pPr>
        <w:rPr>
          <w:rFonts w:ascii="Book Antiqua" w:hAnsi="Book Antiqua"/>
          <w:i/>
          <w:sz w:val="16"/>
          <w:szCs w:val="16"/>
        </w:rPr>
      </w:pPr>
      <w:hyperlink r:id="rId257" w:history="1">
        <w:r w:rsidR="006A00E9" w:rsidRPr="006A00E9">
          <w:rPr>
            <w:rStyle w:val="Hyperlink"/>
            <w:rFonts w:ascii="Book Antiqua" w:hAnsi="Book Antiqua"/>
            <w:i/>
            <w:szCs w:val="16"/>
          </w:rPr>
          <w:t>http://www.physicsforums.com/showthread.php?t=412428</w:t>
        </w:r>
      </w:hyperlink>
      <w:r w:rsidR="006A00E9">
        <w:rPr>
          <w:rFonts w:ascii="Book Antiqua" w:hAnsi="Book Antiqua"/>
          <w:sz w:val="16"/>
          <w:szCs w:val="16"/>
        </w:rPr>
        <w:t xml:space="preserve">  and here: </w:t>
      </w:r>
      <w:hyperlink r:id="rId258" w:history="1">
        <w:r w:rsidR="006A00E9" w:rsidRPr="006A00E9">
          <w:rPr>
            <w:rStyle w:val="Hyperlink"/>
            <w:rFonts w:ascii="Book Antiqua" w:hAnsi="Book Antiqua"/>
            <w:i/>
            <w:szCs w:val="16"/>
          </w:rPr>
          <w:t>http://inspirehep.net/record/1187944/files/fig11_VacuumEnergy_Deiss_PR_other.png</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9: Photographs of William Tifft, Halton Arp, William Napier.</w:t>
      </w:r>
    </w:p>
    <w:p w:rsidR="00265840" w:rsidRPr="005627CB" w:rsidRDefault="00241D2F" w:rsidP="00265840">
      <w:pPr>
        <w:rPr>
          <w:rFonts w:ascii="Book Antiqua" w:hAnsi="Book Antiqua"/>
          <w:i/>
          <w:sz w:val="16"/>
          <w:szCs w:val="16"/>
        </w:rPr>
      </w:pPr>
      <w:hyperlink r:id="rId259" w:history="1">
        <w:r w:rsidR="00265840" w:rsidRPr="005627CB">
          <w:rPr>
            <w:rStyle w:val="Hyperlink"/>
            <w:rFonts w:ascii="Book Antiqua" w:hAnsi="Book Antiqua"/>
            <w:i/>
            <w:szCs w:val="16"/>
          </w:rPr>
          <w:t>http://www.robert-temple.com/papers/fredHoylesUniverse.html</w:t>
        </w:r>
      </w:hyperlink>
    </w:p>
    <w:p w:rsidR="00265840" w:rsidRPr="005627CB" w:rsidRDefault="00241D2F" w:rsidP="00265840">
      <w:pPr>
        <w:rPr>
          <w:rFonts w:ascii="Book Antiqua" w:hAnsi="Book Antiqua"/>
          <w:i/>
          <w:sz w:val="16"/>
          <w:szCs w:val="16"/>
        </w:rPr>
      </w:pPr>
      <w:hyperlink r:id="rId260" w:history="1">
        <w:r w:rsidR="00265840" w:rsidRPr="005627CB">
          <w:rPr>
            <w:rStyle w:val="Hyperlink"/>
            <w:rFonts w:ascii="Book Antiqua" w:hAnsi="Book Antiqua"/>
            <w:i/>
            <w:szCs w:val="16"/>
          </w:rPr>
          <w:t>http://www.holoscience.com/wp/the-remarkable-slowness-of-light/</w:t>
        </w:r>
      </w:hyperlink>
    </w:p>
    <w:p w:rsidR="00265840" w:rsidRPr="005627CB" w:rsidRDefault="00241D2F" w:rsidP="00265840">
      <w:pPr>
        <w:rPr>
          <w:rFonts w:ascii="Book Antiqua" w:hAnsi="Book Antiqua"/>
          <w:i/>
          <w:sz w:val="16"/>
          <w:szCs w:val="16"/>
        </w:rPr>
      </w:pPr>
      <w:hyperlink r:id="rId261" w:history="1">
        <w:r w:rsidR="00265840" w:rsidRPr="005627CB">
          <w:rPr>
            <w:rStyle w:val="Hyperlink"/>
            <w:rFonts w:ascii="Book Antiqua" w:hAnsi="Book Antiqua"/>
            <w:i/>
            <w:szCs w:val="16"/>
          </w:rPr>
          <w:t>http://www.arm.ac.uk/staff/billn.html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10: Quantized redshifts of 48 Virgo spirals at 71.1 km/s.</w:t>
      </w:r>
    </w:p>
    <w:p w:rsidR="00265840" w:rsidRPr="005627CB" w:rsidRDefault="00241D2F" w:rsidP="00265840">
      <w:pPr>
        <w:rPr>
          <w:rFonts w:ascii="Book Antiqua" w:hAnsi="Book Antiqua"/>
          <w:i/>
          <w:sz w:val="16"/>
          <w:szCs w:val="16"/>
        </w:rPr>
      </w:pPr>
      <w:hyperlink r:id="rId262" w:history="1">
        <w:r w:rsidR="00265840" w:rsidRPr="005627CB">
          <w:rPr>
            <w:rStyle w:val="Hyperlink"/>
            <w:rFonts w:ascii="Book Antiqua" w:hAnsi="Book Antiqua"/>
            <w:i/>
            <w:szCs w:val="16"/>
          </w:rPr>
          <w:t>http://cosmoquest.org/forum/showthread.php/65180-Why-do-astronomers-reject-72-km-s-redshift-quantization-periodicity</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11: Quantization of redshifts towards the Virgo Cluster. </w:t>
      </w:r>
      <w:hyperlink r:id="rId263" w:history="1">
        <w:r w:rsidRPr="005627CB">
          <w:rPr>
            <w:rStyle w:val="Hyperlink"/>
            <w:rFonts w:ascii="Book Antiqua" w:hAnsi="Book Antiqua"/>
            <w:i/>
            <w:szCs w:val="16"/>
          </w:rPr>
          <w:t>http://www.setterfield.org/Kiel_Presentation.html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12: bands of redshift going through galaxy cluster Abell 85.</w:t>
      </w:r>
    </w:p>
    <w:p w:rsidR="00265840" w:rsidRPr="005627CB" w:rsidRDefault="00241D2F" w:rsidP="00265840">
      <w:pPr>
        <w:rPr>
          <w:rFonts w:ascii="Book Antiqua" w:hAnsi="Book Antiqua"/>
          <w:i/>
          <w:sz w:val="16"/>
          <w:szCs w:val="16"/>
        </w:rPr>
      </w:pPr>
      <w:hyperlink r:id="rId264" w:history="1">
        <w:r w:rsidR="00265840" w:rsidRPr="005627CB">
          <w:rPr>
            <w:rStyle w:val="Hyperlink"/>
            <w:rFonts w:ascii="Book Antiqua" w:hAnsi="Book Antiqua"/>
            <w:i/>
            <w:szCs w:val="16"/>
          </w:rPr>
          <w:t>http://arijmaki.wordpress.com/2010/03/02/abell-85-galaxy-sheets-or-quantized-redshifts/</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14: Stable atomic orbits and electron de Broglie wavelengths. Segments from two different diagrams found at two different sites: </w:t>
      </w:r>
      <w:hyperlink r:id="rId265" w:history="1">
        <w:r w:rsidRPr="005627CB">
          <w:rPr>
            <w:rStyle w:val="Hyperlink"/>
            <w:rFonts w:ascii="Book Antiqua" w:hAnsi="Book Antiqua"/>
            <w:i/>
            <w:szCs w:val="16"/>
          </w:rPr>
          <w:t>http://thisquantumworld.com/wp/the-technique-of-quantum-mechanics/from-bohr-to-de-broglie/</w:t>
        </w:r>
      </w:hyperlink>
      <w:r w:rsidRPr="005627CB">
        <w:rPr>
          <w:rFonts w:ascii="Book Antiqua" w:hAnsi="Book Antiqua"/>
          <w:sz w:val="16"/>
          <w:szCs w:val="16"/>
        </w:rPr>
        <w:t xml:space="preserve">  and also at:</w:t>
      </w:r>
    </w:p>
    <w:p w:rsidR="00265840" w:rsidRPr="005627CB" w:rsidRDefault="00241D2F" w:rsidP="00265840">
      <w:pPr>
        <w:rPr>
          <w:rFonts w:ascii="Book Antiqua" w:hAnsi="Book Antiqua"/>
          <w:i/>
          <w:sz w:val="16"/>
          <w:szCs w:val="16"/>
        </w:rPr>
      </w:pPr>
      <w:hyperlink r:id="rId266" w:history="1">
        <w:r w:rsidR="00265840" w:rsidRPr="005627CB">
          <w:rPr>
            <w:rStyle w:val="Hyperlink"/>
            <w:rFonts w:ascii="Book Antiqua" w:hAnsi="Book Antiqua"/>
            <w:i/>
            <w:szCs w:val="16"/>
          </w:rPr>
          <w:t>http://dev.physicslab.org/Document.aspx?doctype=3&amp;filename=AtomicNuclear_deBroglieMatterWaves.xml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w:t>
      </w:r>
      <w:r w:rsidR="00DE30DA">
        <w:rPr>
          <w:rFonts w:ascii="Book Antiqua" w:hAnsi="Book Antiqua"/>
          <w:sz w:val="16"/>
          <w:szCs w:val="16"/>
        </w:rPr>
        <w:t>6</w:t>
      </w:r>
      <w:r w:rsidRPr="005627CB">
        <w:rPr>
          <w:rFonts w:ascii="Book Antiqua" w:hAnsi="Book Antiqua"/>
          <w:sz w:val="16"/>
          <w:szCs w:val="16"/>
        </w:rPr>
        <w:t xml:space="preserve">: Hydrogen ionization or recombination temperature. </w:t>
      </w:r>
      <w:hyperlink r:id="rId267" w:tgtFrame="_new" w:history="1">
        <w:r w:rsidRPr="005627CB">
          <w:rPr>
            <w:rStyle w:val="Hyperlink"/>
            <w:rFonts w:ascii="Book Antiqua" w:hAnsi="Book Antiqua"/>
            <w:i/>
            <w:szCs w:val="16"/>
          </w:rPr>
          <w:t>http://csep10.phys.utk.edu/astr162/lect/stars/spectra.html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w:t>
      </w:r>
      <w:r w:rsidR="00DE30DA">
        <w:rPr>
          <w:rFonts w:ascii="Book Antiqua" w:hAnsi="Book Antiqua"/>
          <w:sz w:val="16"/>
          <w:szCs w:val="16"/>
        </w:rPr>
        <w:t>7</w:t>
      </w:r>
      <w:r w:rsidRPr="005627CB">
        <w:rPr>
          <w:rFonts w:ascii="Book Antiqua" w:hAnsi="Book Antiqua"/>
          <w:sz w:val="16"/>
          <w:szCs w:val="16"/>
        </w:rPr>
        <w:t>: Saha equation ionization temperature after diagram in:</w:t>
      </w:r>
    </w:p>
    <w:p w:rsidR="00265840" w:rsidRPr="005627CB" w:rsidRDefault="00241D2F" w:rsidP="00265840">
      <w:pPr>
        <w:rPr>
          <w:rFonts w:ascii="Book Antiqua" w:hAnsi="Book Antiqua"/>
          <w:sz w:val="16"/>
          <w:szCs w:val="16"/>
        </w:rPr>
      </w:pPr>
      <w:hyperlink r:id="rId268" w:history="1">
        <w:r w:rsidR="00265840" w:rsidRPr="005627CB">
          <w:rPr>
            <w:rStyle w:val="Hyperlink"/>
            <w:rFonts w:ascii="Book Antiqua" w:hAnsi="Book Antiqua"/>
            <w:i/>
            <w:szCs w:val="16"/>
          </w:rPr>
          <w:t>http://people.physics.carleton.ca/~watson/Physics/Astrophysics/4201_essentials/4201_Radiation.html?id=0</w:t>
        </w:r>
      </w:hyperlink>
    </w:p>
    <w:p w:rsidR="00265840" w:rsidRDefault="00265840" w:rsidP="00265840">
      <w:r w:rsidRPr="005627CB">
        <w:rPr>
          <w:rFonts w:ascii="Book Antiqua" w:hAnsi="Book Antiqua"/>
          <w:sz w:val="16"/>
          <w:szCs w:val="16"/>
        </w:rPr>
        <w:t>Figure 1</w:t>
      </w:r>
      <w:r w:rsidR="00DE30DA">
        <w:rPr>
          <w:rFonts w:ascii="Book Antiqua" w:hAnsi="Book Antiqua"/>
          <w:sz w:val="16"/>
          <w:szCs w:val="16"/>
        </w:rPr>
        <w:t>8</w:t>
      </w:r>
      <w:r w:rsidRPr="005627CB">
        <w:rPr>
          <w:rFonts w:ascii="Book Antiqua" w:hAnsi="Book Antiqua"/>
          <w:sz w:val="16"/>
          <w:szCs w:val="16"/>
        </w:rPr>
        <w:t xml:space="preserve">: Position of nearby galaxy groups compared with our Local Group of galaxies. </w:t>
      </w:r>
      <w:hyperlink r:id="rId269" w:tgtFrame="_new" w:history="1">
        <w:r w:rsidRPr="005627CB">
          <w:rPr>
            <w:rStyle w:val="Hyperlink"/>
            <w:rFonts w:ascii="Book Antiqua" w:hAnsi="Book Antiqua"/>
            <w:i/>
            <w:szCs w:val="16"/>
          </w:rPr>
          <w:t>http://en.wikipedia.org/wiki/Local_Supercluster</w:t>
        </w:r>
      </w:hyperlink>
    </w:p>
    <w:p w:rsidR="007F1597" w:rsidRPr="007F1597" w:rsidRDefault="007F1597" w:rsidP="007F1597">
      <w:pPr>
        <w:rPr>
          <w:i/>
        </w:rPr>
      </w:pPr>
      <w:r w:rsidRPr="007F1597">
        <w:rPr>
          <w:rFonts w:ascii="Book Antiqua" w:hAnsi="Book Antiqua"/>
          <w:sz w:val="16"/>
          <w:szCs w:val="16"/>
        </w:rPr>
        <w:t>Figure 19: Ionization/recombination of argon</w:t>
      </w:r>
      <w:r>
        <w:rPr>
          <w:rFonts w:ascii="Book Antiqua" w:hAnsi="Book Antiqua"/>
          <w:sz w:val="16"/>
          <w:szCs w:val="16"/>
        </w:rPr>
        <w:t xml:space="preserve">. </w:t>
      </w:r>
      <w:hyperlink r:id="rId270" w:history="1">
        <w:r w:rsidRPr="007F1597">
          <w:rPr>
            <w:rStyle w:val="Hyperlink"/>
            <w:i/>
          </w:rPr>
          <w:t>http://www.zdplaskin.laplace.univ-tlse.fr/examples/01/</w:t>
        </w:r>
      </w:hyperlink>
    </w:p>
    <w:p w:rsidR="007F1597" w:rsidRPr="007F1597" w:rsidRDefault="007F1597" w:rsidP="00265840">
      <w:pPr>
        <w:rPr>
          <w:rFonts w:ascii="Book Antiqua" w:hAnsi="Book Antiqua"/>
          <w:i/>
          <w:sz w:val="16"/>
          <w:szCs w:val="16"/>
        </w:rPr>
      </w:pPr>
    </w:p>
    <w:p w:rsidR="00265840" w:rsidRPr="007F1597" w:rsidRDefault="00265840" w:rsidP="00265840">
      <w:pPr>
        <w:rPr>
          <w:rFonts w:ascii="Book Antiqua" w:hAnsi="Book Antiqua"/>
          <w:sz w:val="16"/>
          <w:szCs w:val="16"/>
        </w:rPr>
      </w:pPr>
    </w:p>
    <w:p w:rsidR="00265840" w:rsidRDefault="00265840" w:rsidP="00265840">
      <w:pPr>
        <w:pStyle w:val="reference"/>
        <w:jc w:val="center"/>
        <w:rPr>
          <w:b/>
          <w:color w:val="000000"/>
          <w:sz w:val="28"/>
          <w:szCs w:val="28"/>
        </w:rPr>
      </w:pPr>
      <w:r w:rsidRPr="005627CB">
        <w:rPr>
          <w:b/>
          <w:color w:val="000000"/>
          <w:sz w:val="28"/>
          <w:szCs w:val="28"/>
        </w:rPr>
        <w:t>*  *  *  *  *  *  *</w:t>
      </w:r>
    </w:p>
    <w:p w:rsidR="00022213" w:rsidRDefault="001E6C68" w:rsidP="001E6C68">
      <w:pPr>
        <w:widowControl/>
        <w:spacing w:after="200" w:line="276" w:lineRule="auto"/>
        <w:rPr>
          <w:b/>
          <w:color w:val="000000"/>
          <w:sz w:val="28"/>
          <w:szCs w:val="28"/>
        </w:rPr>
      </w:pPr>
      <w:r>
        <w:rPr>
          <w:b/>
          <w:color w:val="000000"/>
          <w:sz w:val="28"/>
          <w:szCs w:val="28"/>
        </w:rPr>
        <w:br w:type="page"/>
      </w:r>
    </w:p>
    <w:p w:rsidR="005359B2" w:rsidRPr="00370948" w:rsidRDefault="005359B2" w:rsidP="005359B2">
      <w:pPr>
        <w:pStyle w:val="NoSpacing"/>
        <w:jc w:val="center"/>
        <w:rPr>
          <w:rFonts w:ascii="Book Antiqua" w:hAnsi="Book Antiqua"/>
          <w:b/>
          <w:bCs/>
          <w:iCs/>
          <w:color w:val="000000"/>
          <w:szCs w:val="24"/>
        </w:rPr>
      </w:pPr>
      <w:r w:rsidRPr="00370948">
        <w:rPr>
          <w:rFonts w:ascii="Book Antiqua" w:hAnsi="Book Antiqua"/>
          <w:b/>
          <w:bCs/>
          <w:iCs/>
          <w:color w:val="000000"/>
          <w:szCs w:val="24"/>
        </w:rPr>
        <w:lastRenderedPageBreak/>
        <w:t xml:space="preserve">Chapter 6: </w:t>
      </w:r>
      <w:r w:rsidRPr="00912D2D">
        <w:rPr>
          <w:rFonts w:ascii="Book Antiqua" w:hAnsi="Book Antiqua"/>
          <w:b/>
          <w:bCs/>
          <w:i/>
          <w:iCs/>
          <w:color w:val="000000"/>
          <w:szCs w:val="24"/>
        </w:rPr>
        <w:t>The ZPE, Plasma Behavior, and Some Astronomical Implications</w:t>
      </w:r>
      <w:r w:rsidRPr="00370948">
        <w:rPr>
          <w:rFonts w:ascii="Book Antiqua" w:hAnsi="Book Antiqua"/>
          <w:b/>
          <w:bCs/>
          <w:iCs/>
          <w:color w:val="000000"/>
          <w:szCs w:val="24"/>
        </w:rPr>
        <w:t xml:space="preserve"> </w:t>
      </w:r>
    </w:p>
    <w:p w:rsidR="005359B2" w:rsidRPr="00370948" w:rsidRDefault="005359B2" w:rsidP="005359B2">
      <w:pPr>
        <w:pStyle w:val="NoSpacing"/>
        <w:rPr>
          <w:rFonts w:ascii="Book Antiqua" w:hAnsi="Book Antiqua"/>
          <w:b/>
          <w:bCs/>
          <w:iCs/>
          <w:color w:val="000000"/>
          <w:sz w:val="20"/>
          <w:u w:val="single"/>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1.  Introducing Plasma Physics. </w:t>
      </w:r>
    </w:p>
    <w:p w:rsidR="005359B2" w:rsidRPr="00370948" w:rsidRDefault="005359B2" w:rsidP="005359B2">
      <w:pPr>
        <w:pStyle w:val="NoSpacing"/>
        <w:rPr>
          <w:rFonts w:ascii="Book Antiqua" w:hAnsi="Book Antiqua"/>
          <w:b/>
          <w:bCs/>
          <w:i/>
          <w:iCs/>
          <w:color w:val="000000"/>
          <w:sz w:val="20"/>
        </w:rPr>
      </w:pPr>
    </w:p>
    <w:p w:rsidR="005359B2" w:rsidRPr="00370948" w:rsidRDefault="005359B2" w:rsidP="005359B2">
      <w:pPr>
        <w:pStyle w:val="NoSpacing"/>
        <w:rPr>
          <w:rFonts w:ascii="Book Antiqua" w:hAnsi="Book Antiqua"/>
          <w:b/>
          <w:bCs/>
          <w:i/>
          <w:iCs/>
          <w:color w:val="000000"/>
          <w:sz w:val="20"/>
        </w:rPr>
      </w:pPr>
      <w:r w:rsidRPr="00370948">
        <w:rPr>
          <w:rFonts w:ascii="Book Antiqua" w:hAnsi="Book Antiqua"/>
          <w:b/>
          <w:bCs/>
          <w:i/>
          <w:iCs/>
          <w:color w:val="000000"/>
          <w:sz w:val="20"/>
        </w:rPr>
        <w:t xml:space="preserve">1.1  Historical considerations. </w:t>
      </w:r>
    </w:p>
    <w:p w:rsidR="005359B2" w:rsidRPr="00370948" w:rsidRDefault="005359B2" w:rsidP="005359B2">
      <w:pPr>
        <w:pStyle w:val="NoSpacing"/>
        <w:jc w:val="both"/>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As far back as ancient Greece, four basic forms of matter were classified:  earth, water, air, and fire.  Earth we can identify as ‘solid,’ water as ‘liquid, air as ‘gas,’ but what about fire?  In 1879, the English physicist, Sir William Crookes, discovered what turned out to be a new fundamental state of matter. In 1923, Nobel Laureate, Irving Langmuir, gave this state of matter the name plasma. Plasma is now considered to be the fourth fundamental state of matter. Most people are familiar with the other three states of matter: solids, liquids and gases. As the Greeks recognized, however, fire is not any of them.  It is something different.  For example, when we see </w:t>
      </w:r>
      <m:oMath>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oMath>
      <w:r w:rsidRPr="00370948">
        <w:rPr>
          <w:rFonts w:ascii="Book Antiqua" w:hAnsi="Book Antiqua"/>
          <w:sz w:val="20"/>
        </w:rPr>
        <w:t xml:space="preserve"> in its solid state we call it ice. When it is in liquid form it is called water. When that liquid is heated until it boils to a gas</w:t>
      </w:r>
      <w:r>
        <w:rPr>
          <w:rFonts w:ascii="Book Antiqua" w:hAnsi="Book Antiqua"/>
          <w:sz w:val="20"/>
        </w:rPr>
        <w:t>,</w:t>
      </w:r>
      <w:r w:rsidRPr="00370948">
        <w:rPr>
          <w:rFonts w:ascii="Book Antiqua" w:hAnsi="Book Antiqua"/>
          <w:sz w:val="20"/>
        </w:rPr>
        <w:t xml:space="preserve"> we call it steam. However, if that gas is now heated to very high temperatures, or is otherwise highly energized, so that electrons are stripped off the atoms, this causes the gas to become ionized. It then consists of positively charged atomic nuclei and negatively charged electrons, and we have plasma.  Fire is also a plasma.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3181350" cy="1524000"/>
            <wp:effectExtent l="19050" t="0" r="0" b="0"/>
            <wp:docPr id="5" name="il_fi" descr="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tates"/>
                    <pic:cNvPicPr>
                      <a:picLocks noChangeAspect="1" noChangeArrowheads="1"/>
                    </pic:cNvPicPr>
                  </pic:nvPicPr>
                  <pic:blipFill>
                    <a:blip r:embed="rId271" cstate="print"/>
                    <a:srcRect t="3339" b="4275"/>
                    <a:stretch>
                      <a:fillRect/>
                    </a:stretch>
                  </pic:blipFill>
                  <pic:spPr bwMode="auto">
                    <a:xfrm>
                      <a:off x="0" y="0"/>
                      <a:ext cx="3181350" cy="1524000"/>
                    </a:xfrm>
                    <a:prstGeom prst="rect">
                      <a:avLst/>
                    </a:prstGeom>
                    <a:noFill/>
                    <a:ln w="9525">
                      <a:noFill/>
                      <a:miter lim="800000"/>
                      <a:headEnd/>
                      <a:tailEnd/>
                    </a:ln>
                  </pic:spPr>
                </pic:pic>
              </a:graphicData>
            </a:graphic>
          </wp:inline>
        </w:drawing>
      </w:r>
    </w:p>
    <w:p w:rsidR="005359B2" w:rsidRPr="00370948" w:rsidRDefault="005359B2" w:rsidP="005359B2">
      <w:pPr>
        <w:pStyle w:val="NoSpacing"/>
        <w:rPr>
          <w:rFonts w:ascii="Book Antiqua" w:hAnsi="Book Antiqua"/>
          <w:sz w:val="18"/>
          <w:szCs w:val="18"/>
        </w:rPr>
      </w:pPr>
    </w:p>
    <w:p w:rsidR="005359B2" w:rsidRPr="00793FB3" w:rsidRDefault="005359B2" w:rsidP="00050FFF">
      <w:pPr>
        <w:pStyle w:val="NoSpacing"/>
        <w:jc w:val="center"/>
        <w:rPr>
          <w:rFonts w:ascii="Book Antiqua" w:hAnsi="Book Antiqua"/>
          <w:i/>
          <w:sz w:val="18"/>
          <w:szCs w:val="18"/>
        </w:rPr>
      </w:pPr>
      <w:r w:rsidRPr="00793FB3">
        <w:rPr>
          <w:rFonts w:ascii="Book Antiqua" w:hAnsi="Book Antiqua"/>
          <w:b/>
          <w:i/>
          <w:sz w:val="18"/>
          <w:szCs w:val="18"/>
        </w:rPr>
        <w:t>Figure 1:</w:t>
      </w:r>
      <w:r w:rsidRPr="00793FB3">
        <w:rPr>
          <w:rFonts w:ascii="Book Antiqua" w:hAnsi="Book Antiqua"/>
          <w:i/>
          <w:sz w:val="18"/>
          <w:szCs w:val="18"/>
        </w:rPr>
        <w:t xml:space="preserve"> The 4 states of matter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Because of this ionization, plasmas are better conductors of electricity than copper or any other metal. Their conductivity and response to electric and magnetic influences mark them as being distinctly different from a gas. A weakly ionized (1%) gas may be considered a plasma since it will behave in the same way as fully ionized plasma. Even weakly ionized plasma has a strong reaction to electric and magnetic fields.</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 L. Peratt in </w:t>
      </w:r>
      <w:r w:rsidRPr="00370948">
        <w:rPr>
          <w:rFonts w:ascii="Book Antiqua" w:hAnsi="Book Antiqua"/>
          <w:i/>
          <w:sz w:val="20"/>
        </w:rPr>
        <w:t>“Physics of the Plasma Universe,”</w:t>
      </w:r>
      <w:r w:rsidRPr="00370948">
        <w:rPr>
          <w:rFonts w:ascii="Book Antiqua" w:hAnsi="Book Antiqua"/>
          <w:sz w:val="20"/>
        </w:rPr>
        <w:t xml:space="preserve"> p.17, Springer-Verlag, New York (1991), stated that the ratio of the electromagnetic force to the gravitational force </w:t>
      </w:r>
      <w:r>
        <w:rPr>
          <w:rFonts w:ascii="Book Antiqua" w:hAnsi="Book Antiqua"/>
          <w:sz w:val="20"/>
        </w:rPr>
        <w:t>can be up to</w:t>
      </w:r>
      <w:r w:rsidRPr="00370948">
        <w:rPr>
          <w:rFonts w:ascii="Book Antiqua" w:hAnsi="Book Antiqua"/>
          <w:sz w:val="20"/>
        </w:rPr>
        <w:t xml:space="preserve"> 39 orders of magnitude</w:t>
      </w:r>
      <w:r>
        <w:rPr>
          <w:rFonts w:ascii="Book Antiqua" w:hAnsi="Book Antiqua"/>
          <w:sz w:val="20"/>
        </w:rPr>
        <w:t xml:space="preserve"> in space</w:t>
      </w:r>
      <w:r w:rsidRPr="00370948">
        <w:rPr>
          <w:rFonts w:ascii="Book Antiqua" w:hAnsi="Book Antiqua"/>
          <w:sz w:val="20"/>
        </w:rPr>
        <w:t xml:space="preserve">. This means that electromagnetic forces </w:t>
      </w:r>
      <w:r>
        <w:rPr>
          <w:rFonts w:ascii="Book Antiqua" w:hAnsi="Book Antiqua"/>
          <w:sz w:val="20"/>
        </w:rPr>
        <w:t>can be</w:t>
      </w:r>
      <w:r w:rsidRPr="00370948">
        <w:rPr>
          <w:rFonts w:ascii="Book Antiqua" w:hAnsi="Book Antiqua"/>
          <w:sz w:val="20"/>
        </w:rPr>
        <w:t xml:space="preserve"> 10</w:t>
      </w:r>
      <w:r w:rsidRPr="00370948">
        <w:rPr>
          <w:rFonts w:ascii="Book Antiqua" w:hAnsi="Book Antiqua"/>
          <w:sz w:val="20"/>
          <w:vertAlign w:val="superscript"/>
        </w:rPr>
        <w:t>39</w:t>
      </w:r>
      <w:r w:rsidRPr="00370948">
        <w:rPr>
          <w:rFonts w:ascii="Book Antiqua" w:hAnsi="Book Antiqua"/>
          <w:sz w:val="20"/>
        </w:rPr>
        <w:t xml:space="preserve"> times as strong as gravity (That is a 1 with 39 zeros after it).  This means all plasma phenomena will act</w:t>
      </w:r>
      <w:r>
        <w:rPr>
          <w:rFonts w:ascii="Book Antiqua" w:hAnsi="Book Antiqua"/>
          <w:sz w:val="20"/>
        </w:rPr>
        <w:t xml:space="preserve"> more strongly and</w:t>
      </w:r>
      <w:r w:rsidRPr="00370948">
        <w:rPr>
          <w:rFonts w:ascii="Book Antiqua" w:hAnsi="Book Antiqua"/>
          <w:sz w:val="20"/>
        </w:rPr>
        <w:t xml:space="preserve"> more rapidly over vaster distances than any gravitational phenomena can. This has significant implications for astronomy and cosmology.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Using an instrument called a spectroscope, which can easily discern ionized gases, astronomers have found that 99% of all matter in the universe is in a plasma state.  The sun and stars are gravitationally bound plasmas.  Many of the beautiful photographs from the Hubble Space Telescope reveal formations of gas clouds in space which have also been shown to be plasmas, much to the surprise of some astronomers.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We deal with plasmas on a daily basis.  The electric current in fluorescent lights generates plasma by ionizing the gas in there. Neon signs glow because an electric current excites plasma in the tube. However, when very weak electric currents flow in plasma, it normally does not glow. This is called the </w:t>
      </w:r>
      <w:r w:rsidRPr="00F0258E">
        <w:rPr>
          <w:rFonts w:ascii="Book Antiqua" w:hAnsi="Book Antiqua"/>
          <w:b/>
          <w:sz w:val="20"/>
        </w:rPr>
        <w:t>dark current mode</w:t>
      </w:r>
      <w:r w:rsidRPr="00370948">
        <w:rPr>
          <w:rFonts w:ascii="Book Antiqua" w:hAnsi="Book Antiqua"/>
          <w:sz w:val="20"/>
        </w:rPr>
        <w:t xml:space="preserve"> for plasma. It is only when the current is stronger that the plasma begins to emit light and is in </w:t>
      </w:r>
      <w:r w:rsidRPr="00F0258E">
        <w:rPr>
          <w:rFonts w:ascii="Book Antiqua" w:hAnsi="Book Antiqua"/>
          <w:b/>
          <w:sz w:val="20"/>
        </w:rPr>
        <w:t>glow mode</w:t>
      </w:r>
      <w:r w:rsidRPr="00370948">
        <w:rPr>
          <w:rFonts w:ascii="Book Antiqua" w:hAnsi="Book Antiqua"/>
          <w:sz w:val="20"/>
        </w:rPr>
        <w:t xml:space="preserve">, just like the neon signs. For extremely strong currents, the plasma goes into </w:t>
      </w:r>
      <w:r w:rsidRPr="00F0258E">
        <w:rPr>
          <w:rFonts w:ascii="Book Antiqua" w:hAnsi="Book Antiqua"/>
          <w:b/>
          <w:sz w:val="20"/>
        </w:rPr>
        <w:t>arc mode</w:t>
      </w:r>
      <w:r w:rsidRPr="00370948">
        <w:rPr>
          <w:rFonts w:ascii="Book Antiqua" w:hAnsi="Book Antiqua"/>
          <w:sz w:val="20"/>
        </w:rPr>
        <w:t xml:space="preserve"> in the same way it does in a welder’s torch, or a lightning bolt.  Lightning bolts </w:t>
      </w:r>
      <w:r w:rsidRPr="00370948">
        <w:rPr>
          <w:rFonts w:ascii="Book Antiqua" w:hAnsi="Book Antiqua"/>
          <w:sz w:val="20"/>
        </w:rPr>
        <w:lastRenderedPageBreak/>
        <w:t xml:space="preserve">we see are comprised of atoms in the atmosphere that are about 20% ionized and act as channels of plasma for </w:t>
      </w:r>
      <w:r>
        <w:rPr>
          <w:rFonts w:ascii="Book Antiqua" w:hAnsi="Book Antiqua"/>
          <w:sz w:val="20"/>
        </w:rPr>
        <w:t>an</w:t>
      </w:r>
      <w:r w:rsidRPr="00370948">
        <w:rPr>
          <w:rFonts w:ascii="Book Antiqua" w:hAnsi="Book Antiqua"/>
          <w:sz w:val="20"/>
        </w:rPr>
        <w:t xml:space="preserve"> electric current that may reach 200,000 Amperes and expend an energy of </w:t>
      </w:r>
      <m:oMath>
        <m:r>
          <w:rPr>
            <w:rFonts w:ascii="Cambria Math" w:hAnsi="Book Antiqua"/>
            <w:sz w:val="20"/>
          </w:rPr>
          <m:t xml:space="preserve">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0948">
        <w:rPr>
          <w:rFonts w:ascii="Book Antiqua" w:hAnsi="Book Antiqua"/>
          <w:sz w:val="20"/>
        </w:rPr>
        <w:t xml:space="preserve"> Joules. (In contrast, lightning bolts on Jupiter release about 4,000 times as much energy.)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are all familiar with the aurora borealis. In 1908, Birkeland found that luminous rings and streamers were produced around the poles of a magnetized metal globe into which a current was flowing in a near vacuum. He concluded from this classic experiment with his “terrella” that auroras are the result of plasma in our upper atmosphere being excited by electrical currents from the Sun [1]. The Triad satellite confirmed this in 1973 and 1974 [2, 3]. The earth is actually encased in this protective shell of plasma, called the earth’s plasma-sphere, which </w:t>
      </w:r>
      <w:r>
        <w:rPr>
          <w:rFonts w:ascii="Book Antiqua" w:hAnsi="Book Antiqua"/>
          <w:sz w:val="20"/>
        </w:rPr>
        <w:t>includes</w:t>
      </w:r>
      <w:r w:rsidRPr="00370948">
        <w:rPr>
          <w:rFonts w:ascii="Book Antiqua" w:hAnsi="Book Antiqua"/>
          <w:sz w:val="20"/>
        </w:rPr>
        <w:t xml:space="preserve"> the ionosphere and magnetosphere</w:t>
      </w:r>
      <w:r>
        <w:rPr>
          <w:rFonts w:ascii="Book Antiqua" w:hAnsi="Book Antiqua"/>
          <w:sz w:val="20"/>
        </w:rPr>
        <w:t>,</w:t>
      </w:r>
      <w:r w:rsidRPr="00370948">
        <w:rPr>
          <w:rFonts w:ascii="Book Antiqua" w:hAnsi="Book Antiqua"/>
          <w:sz w:val="20"/>
        </w:rPr>
        <w:t xml:space="preserve"> and shields life on earth from high energy radiation that comes from space.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Data from the Themis mission, a quintet of satellites that NASA launched in late 2006, has confirmed Birkeland’s </w:t>
      </w:r>
      <w:r>
        <w:rPr>
          <w:rFonts w:ascii="Book Antiqua" w:hAnsi="Book Antiqua"/>
          <w:sz w:val="20"/>
        </w:rPr>
        <w:t>conclusion</w:t>
      </w:r>
      <w:r w:rsidRPr="00370948">
        <w:rPr>
          <w:rFonts w:ascii="Book Antiqua" w:hAnsi="Book Antiqua"/>
          <w:sz w:val="20"/>
        </w:rPr>
        <w:t xml:space="preserve"> and added more detail. They have found that </w:t>
      </w:r>
      <w:r w:rsidRPr="00370948">
        <w:rPr>
          <w:rFonts w:ascii="Book Antiqua" w:hAnsi="Book Antiqua"/>
          <w:i/>
          <w:sz w:val="20"/>
        </w:rPr>
        <w:t>“a stream of charged particles from the sun flowing like a current through twisted bundles of magnetic fields connecting Earth’s upper atmosphere to the sun”</w:t>
      </w:r>
      <w:r w:rsidRPr="00370948">
        <w:rPr>
          <w:rFonts w:ascii="Book Antiqua" w:hAnsi="Book Antiqua"/>
          <w:sz w:val="20"/>
        </w:rPr>
        <w:t xml:space="preserve"> abruptly released the energy to produce the aurora. </w:t>
      </w:r>
      <w:r w:rsidRPr="00370948">
        <w:rPr>
          <w:rFonts w:ascii="Book Antiqua" w:hAnsi="Book Antiqua"/>
          <w:color w:val="000000"/>
          <w:sz w:val="20"/>
        </w:rPr>
        <w:t>Vassilis Angelopoulos, at an American Geophysical Union meeting in 2007,</w:t>
      </w:r>
      <w:r w:rsidRPr="00370948">
        <w:rPr>
          <w:rFonts w:ascii="Book Antiqua" w:hAnsi="Book Antiqua"/>
          <w:sz w:val="20"/>
        </w:rPr>
        <w:t xml:space="preserve"> commented that </w:t>
      </w:r>
      <w:r w:rsidRPr="00370948">
        <w:rPr>
          <w:rFonts w:ascii="Book Antiqua" w:hAnsi="Book Antiqua"/>
          <w:i/>
          <w:sz w:val="20"/>
        </w:rPr>
        <w:t xml:space="preserve">“Although researchers have suspected the existence of wound-up bundles of magnetic fields that provide energy for the auroras, the phenomenon was not confirmed until May, when the satellites became the first to map their structure some 40,000 miles above the earth’s surface.” </w:t>
      </w:r>
      <w:r w:rsidRPr="00370948">
        <w:rPr>
          <w:rFonts w:ascii="Book Antiqua" w:hAnsi="Book Antiqua"/>
          <w:sz w:val="20"/>
        </w:rPr>
        <w:t>[4]</w:t>
      </w:r>
      <w:r>
        <w:rPr>
          <w:rFonts w:ascii="Book Antiqua" w:hAnsi="Book Antiqua"/>
          <w:sz w:val="20"/>
        </w:rPr>
        <w:t xml:space="preserve"> Examples of plasmas in glow and arc mode are shown in Figure 2.</w:t>
      </w:r>
    </w:p>
    <w:p w:rsidR="005359B2" w:rsidRDefault="005359B2" w:rsidP="005359B2">
      <w:pPr>
        <w:pStyle w:val="NoSpacing"/>
        <w:jc w:val="both"/>
        <w:rPr>
          <w:rFonts w:ascii="Book Antiqua" w:hAnsi="Book Antiqua"/>
          <w:sz w:val="20"/>
        </w:rPr>
      </w:pPr>
    </w:p>
    <w:p w:rsidR="005359B2" w:rsidRDefault="005359B2" w:rsidP="005359B2">
      <w:pPr>
        <w:pStyle w:val="NoSpacing"/>
        <w:jc w:val="center"/>
        <w:rPr>
          <w:rFonts w:ascii="Book Antiqua" w:hAnsi="Book Antiqua"/>
          <w:i/>
          <w:sz w:val="20"/>
        </w:rPr>
      </w:pPr>
      <w:r w:rsidRPr="008C2B7D">
        <w:rPr>
          <w:rFonts w:ascii="Book Antiqua" w:hAnsi="Book Antiqua"/>
          <w:i/>
          <w:sz w:val="20"/>
        </w:rPr>
        <w:object w:dxaOrig="7191" w:dyaOrig="5390">
          <v:shape id="_x0000_i1048" type="#_x0000_t75" style="width:382.4pt;height:286.2pt" o:ole="">
            <v:imagedata r:id="rId272" o:title=""/>
          </v:shape>
          <o:OLEObject Type="Embed" ProgID="PowerPoint.Slide.12" ShapeID="_x0000_i1048" DrawAspect="Content" ObjectID="_1438188860" r:id="rId273"/>
        </w:object>
      </w:r>
    </w:p>
    <w:p w:rsidR="005359B2" w:rsidRPr="00F0258E" w:rsidRDefault="005359B2" w:rsidP="005359B2">
      <w:pPr>
        <w:pStyle w:val="NoSpacing"/>
        <w:jc w:val="center"/>
        <w:rPr>
          <w:rFonts w:ascii="Book Antiqua" w:hAnsi="Book Antiqua"/>
          <w:i/>
          <w:sz w:val="18"/>
          <w:szCs w:val="18"/>
        </w:rPr>
      </w:pPr>
      <w:r w:rsidRPr="00F0258E">
        <w:rPr>
          <w:rFonts w:ascii="Book Antiqua" w:hAnsi="Book Antiqua"/>
          <w:b/>
          <w:i/>
          <w:sz w:val="18"/>
          <w:szCs w:val="18"/>
        </w:rPr>
        <w:t>Figure 2:</w:t>
      </w:r>
      <w:r w:rsidRPr="00F0258E">
        <w:rPr>
          <w:rFonts w:ascii="Book Antiqua" w:hAnsi="Book Antiqua"/>
          <w:i/>
          <w:sz w:val="18"/>
          <w:szCs w:val="18"/>
        </w:rPr>
        <w:t xml:space="preserve"> </w:t>
      </w:r>
      <w:r w:rsidRPr="00F0258E">
        <w:rPr>
          <w:rFonts w:ascii="Book Antiqua" w:hAnsi="Book Antiqua"/>
          <w:b/>
          <w:i/>
          <w:sz w:val="18"/>
          <w:szCs w:val="18"/>
        </w:rPr>
        <w:t>(Top)</w:t>
      </w:r>
      <w:r w:rsidRPr="00F0258E">
        <w:rPr>
          <w:rFonts w:ascii="Book Antiqua" w:hAnsi="Book Antiqua"/>
          <w:i/>
          <w:sz w:val="18"/>
          <w:szCs w:val="18"/>
        </w:rPr>
        <w:t xml:space="preserve"> Plasma in glow mode in neon signs and in the Aurora Borealis. </w:t>
      </w:r>
      <w:r w:rsidRPr="00F0258E">
        <w:rPr>
          <w:rFonts w:ascii="Book Antiqua" w:hAnsi="Book Antiqua"/>
          <w:b/>
          <w:i/>
          <w:sz w:val="18"/>
          <w:szCs w:val="18"/>
        </w:rPr>
        <w:t>(Bottom)</w:t>
      </w:r>
      <w:r w:rsidRPr="00F0258E">
        <w:rPr>
          <w:rFonts w:ascii="Book Antiqua" w:hAnsi="Book Antiqua"/>
          <w:i/>
          <w:sz w:val="18"/>
          <w:szCs w:val="18"/>
        </w:rPr>
        <w:t xml:space="preserve"> Arc mode plasmas in lightning and on the Sun</w:t>
      </w:r>
      <w:r>
        <w:rPr>
          <w:rFonts w:ascii="Book Antiqua" w:hAnsi="Book Antiqua"/>
          <w:i/>
          <w:sz w:val="18"/>
          <w:szCs w:val="18"/>
        </w:rPr>
        <w:t>.</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numPr>
          <w:ilvl w:val="1"/>
          <w:numId w:val="31"/>
        </w:numPr>
        <w:rPr>
          <w:rFonts w:ascii="Book Antiqua" w:hAnsi="Book Antiqua"/>
          <w:bCs/>
          <w:i/>
          <w:iCs/>
          <w:sz w:val="20"/>
        </w:rPr>
      </w:pPr>
      <w:r w:rsidRPr="00370948">
        <w:rPr>
          <w:rFonts w:ascii="Book Antiqua" w:hAnsi="Book Antiqua"/>
          <w:bCs/>
          <w:i/>
          <w:iCs/>
          <w:sz w:val="20"/>
        </w:rPr>
        <w:t xml:space="preserve">The Plasma Controversy. </w:t>
      </w:r>
    </w:p>
    <w:p w:rsidR="005359B2" w:rsidRPr="00370948" w:rsidRDefault="005359B2" w:rsidP="005359B2">
      <w:pPr>
        <w:pStyle w:val="NoSpacing"/>
        <w:jc w:val="both"/>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However, when Birkeland first proposed his concept of the auroras, his ideas of electric currents in plasma were vehemently opposed by Sydney Chapman, a British mathematician and geophysicist.  As a result, the idea of currents in plasmas became mired in scientific politics [5]. </w:t>
      </w:r>
    </w:p>
    <w:p w:rsidR="005359B2" w:rsidRPr="00370948" w:rsidRDefault="005359B2" w:rsidP="005359B2">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31"/>
        <w:gridCol w:w="4130"/>
      </w:tblGrid>
      <w:tr w:rsidR="005359B2" w:rsidRPr="00370948" w:rsidTr="003442EA">
        <w:trPr>
          <w:trHeight w:val="3835"/>
          <w:jc w:val="center"/>
        </w:trPr>
        <w:tc>
          <w:tcPr>
            <w:tcW w:w="3006" w:type="dxa"/>
          </w:tcPr>
          <w:p w:rsidR="005359B2" w:rsidRPr="00370948" w:rsidRDefault="005359B2" w:rsidP="003442EA">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2466975" cy="3311647"/>
                  <wp:effectExtent l="19050" t="0" r="0" b="0"/>
                  <wp:docPr id="11" name="il_fi" descr="birkelandkrist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irkelandkristian"/>
                          <pic:cNvPicPr>
                            <a:picLocks noChangeAspect="1" noChangeArrowheads="1"/>
                          </pic:cNvPicPr>
                        </pic:nvPicPr>
                        <pic:blipFill>
                          <a:blip r:embed="rId274" cstate="print"/>
                          <a:srcRect/>
                          <a:stretch>
                            <a:fillRect/>
                          </a:stretch>
                        </pic:blipFill>
                        <pic:spPr bwMode="auto">
                          <a:xfrm>
                            <a:off x="0" y="0"/>
                            <a:ext cx="2470615" cy="3316534"/>
                          </a:xfrm>
                          <a:prstGeom prst="rect">
                            <a:avLst/>
                          </a:prstGeom>
                          <a:noFill/>
                          <a:ln w="9525">
                            <a:noFill/>
                            <a:miter lim="800000"/>
                            <a:headEnd/>
                            <a:tailEnd/>
                          </a:ln>
                        </pic:spPr>
                      </pic:pic>
                    </a:graphicData>
                  </a:graphic>
                </wp:inline>
              </w:drawing>
            </w:r>
          </w:p>
        </w:tc>
        <w:tc>
          <w:tcPr>
            <w:tcW w:w="3006" w:type="dxa"/>
          </w:tcPr>
          <w:p w:rsidR="005359B2" w:rsidRPr="00370948" w:rsidRDefault="005359B2" w:rsidP="003442EA">
            <w:pPr>
              <w:pStyle w:val="NoSpacing"/>
              <w:jc w:val="center"/>
              <w:rPr>
                <w:rFonts w:ascii="Book Antiqua" w:hAnsi="Book Antiqua"/>
                <w:sz w:val="20"/>
              </w:rPr>
            </w:pPr>
            <w:r w:rsidRPr="00370948">
              <w:rPr>
                <w:rFonts w:ascii="Book Antiqua" w:hAnsi="Book Antiqua"/>
                <w:noProof/>
                <w:sz w:val="20"/>
              </w:rPr>
              <w:drawing>
                <wp:inline distT="0" distB="0" distL="0" distR="0">
                  <wp:extent cx="2465858" cy="3324225"/>
                  <wp:effectExtent l="19050" t="0" r="0" b="0"/>
                  <wp:docPr id="792" name="il_fi" descr="sydneychapman1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ydneychapman1_500"/>
                          <pic:cNvPicPr>
                            <a:picLocks noChangeAspect="1" noChangeArrowheads="1"/>
                          </pic:cNvPicPr>
                        </pic:nvPicPr>
                        <pic:blipFill>
                          <a:blip r:embed="rId275" cstate="print"/>
                          <a:srcRect l="23264" t="4620" r="13809" b="10599"/>
                          <a:stretch>
                            <a:fillRect/>
                          </a:stretch>
                        </pic:blipFill>
                        <pic:spPr bwMode="auto">
                          <a:xfrm>
                            <a:off x="0" y="0"/>
                            <a:ext cx="2465858" cy="332422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b/>
          <w:i/>
          <w:sz w:val="20"/>
        </w:rPr>
      </w:pPr>
    </w:p>
    <w:p w:rsidR="005359B2" w:rsidRPr="00793FB3" w:rsidRDefault="005359B2" w:rsidP="005359B2">
      <w:pPr>
        <w:pStyle w:val="NoSpacing"/>
        <w:jc w:val="center"/>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3</w:t>
      </w:r>
      <w:r w:rsidRPr="00793FB3">
        <w:rPr>
          <w:rFonts w:ascii="Book Antiqua" w:hAnsi="Book Antiqua"/>
          <w:b/>
          <w:i/>
          <w:sz w:val="18"/>
          <w:szCs w:val="18"/>
        </w:rPr>
        <w:t xml:space="preserve"> Left:</w:t>
      </w:r>
      <w:r w:rsidRPr="00793FB3">
        <w:rPr>
          <w:rFonts w:ascii="Book Antiqua" w:hAnsi="Book Antiqua"/>
          <w:i/>
          <w:sz w:val="18"/>
          <w:szCs w:val="18"/>
        </w:rPr>
        <w:t xml:space="preserve"> Kristian Birkeland (1867-1917). </w:t>
      </w:r>
      <w:r w:rsidRPr="00793FB3">
        <w:rPr>
          <w:rFonts w:ascii="Book Antiqua" w:hAnsi="Book Antiqua"/>
          <w:b/>
          <w:i/>
          <w:sz w:val="18"/>
          <w:szCs w:val="18"/>
        </w:rPr>
        <w:t>Right:</w:t>
      </w:r>
      <w:r w:rsidRPr="00793FB3">
        <w:rPr>
          <w:rFonts w:ascii="Book Antiqua" w:hAnsi="Book Antiqua"/>
          <w:i/>
          <w:sz w:val="18"/>
          <w:szCs w:val="18"/>
        </w:rPr>
        <w:t xml:space="preserve"> Sydney Chapman (1888-1970)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sz w:val="20"/>
        </w:rPr>
        <w:tab/>
        <w:t>NASA summarized the situation regarding Chapman’s theories</w:t>
      </w:r>
      <w:r>
        <w:rPr>
          <w:rFonts w:ascii="Book Antiqua" w:hAnsi="Book Antiqua"/>
          <w:sz w:val="20"/>
        </w:rPr>
        <w:t xml:space="preserve"> thus</w:t>
      </w:r>
      <w:r w:rsidRPr="00370948">
        <w:rPr>
          <w:rFonts w:ascii="Book Antiqua" w:hAnsi="Book Antiqua"/>
          <w:sz w:val="20"/>
        </w:rPr>
        <w:t xml:space="preserve">: </w:t>
      </w:r>
      <w:r w:rsidRPr="00370948">
        <w:rPr>
          <w:rFonts w:ascii="Book Antiqua" w:hAnsi="Book Antiqua"/>
          <w:i/>
          <w:sz w:val="20"/>
        </w:rPr>
        <w:t xml:space="preserve">“[Chapman’s] Theories about plasmas, at that time called ionized gases, were developed without any contact with laboratory plasma work. In spite of this, the belief in such theories was so strong that they were applied directly to space. … The dominance of this experimentally unsupported theoretical approach lasted as long as a confrontation with reality could be avoided. … Although the theories were generally accepted, the plasma itself [in the laboratories] refused to behave accordingly. Instead, it displayed a large number of important effects that were not included in the theory. It was slowly realized that new theories had to be constructed, but this time in close contact with experiments. …”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i/>
          <w:sz w:val="20"/>
        </w:rPr>
        <w:tab/>
        <w:t xml:space="preserve">“The second confrontation came when space missions made the magnetosphere and interplanetary space accessible to physical instruments. The first results were interpreted in terms of the generally accepted theories or new theories built up on the same [old] basis. However, when the observational technique became more advanced it became obvious that these theories were not applicable. The plasma in space was just as complicated as laboratory plasmas. Today, in reality, very little is left of the Chapman-Ferraro theory and nothing of the Chapman-Vestine current system (although there are still many scientists who support them). Many theories that have been built on a similar basis are likely to share their fate.” </w:t>
      </w:r>
      <w:r w:rsidRPr="00370948">
        <w:rPr>
          <w:rFonts w:ascii="Book Antiqua" w:hAnsi="Book Antiqua"/>
          <w:sz w:val="20"/>
        </w:rPr>
        <w:t xml:space="preserve">[6] Because of this controversy, the term “Birkeland current” was not used until 1969. In that year, Birkeand’s prediction of the existence of these currents in auroras was being experimentally </w:t>
      </w:r>
      <w:r w:rsidRPr="00666F1C">
        <w:rPr>
          <w:rFonts w:ascii="Book Antiqua" w:hAnsi="Book Antiqua"/>
          <w:sz w:val="20"/>
        </w:rPr>
        <w:t>verified [7].</w:t>
      </w:r>
      <w:r w:rsidRPr="00370948">
        <w:rPr>
          <w:rFonts w:ascii="Book Antiqua" w:hAnsi="Book Antiqua"/>
          <w:sz w:val="20"/>
        </w:rPr>
        <w:t xml:space="preserve"> Hannes Alfvén, the Swedish physicist, also became involved in the controversy.  In 1942 he calculated that if a plasma cloud passed through a cloud of neutral gas with sufficient relative velocity, the neutral gas would itself become ionized and thereby become plasma. This </w:t>
      </w:r>
      <w:r w:rsidRPr="00370948">
        <w:rPr>
          <w:rFonts w:ascii="Book Antiqua" w:hAnsi="Book Antiqua"/>
          <w:i/>
          <w:sz w:val="20"/>
        </w:rPr>
        <w:t>“critical ionization velocity”</w:t>
      </w:r>
      <w:r w:rsidRPr="00370948">
        <w:rPr>
          <w:rFonts w:ascii="Book Antiqua" w:hAnsi="Book Antiqua"/>
          <w:sz w:val="20"/>
        </w:rPr>
        <w:t xml:space="preserve"> was predicted to be in the range of 5 to 50 kilometers per second. In 1961 this prediction was verified in a plasma laboratory, and this cloud velocity is now often called the Alfvén velocity. (This is one reason why gas clouds in space are usually ionized.)</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Alfvén's approach was to build from experiment to theory and then apply it to astronomical phenomena. In 1961, Alfvén explained the Sun’s visible features in terms of current filaments and sheets [9]. This explanation is currently being verified as a result of photographs obtained in July 2004 from the Swedish one-meter Solar Telescope (SST) at La Palma in the Canary Islands, and from the Japanese Hinode space telescope in March 2007. </w:t>
      </w:r>
      <w:r>
        <w:rPr>
          <w:rFonts w:ascii="Book Antiqua" w:hAnsi="Book Antiqua"/>
          <w:sz w:val="20"/>
        </w:rPr>
        <w:t xml:space="preserve"> Recent photographs of the sun’s activity continue to verify this.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Alfvén's work included the prediction, in 1963, that the large scale structure of the universe was filamentary [8]. This was proven to be correct in 1991</w:t>
      </w:r>
      <w:r>
        <w:rPr>
          <w:rFonts w:ascii="Book Antiqua" w:hAnsi="Book Antiqua"/>
          <w:sz w:val="20"/>
        </w:rPr>
        <w:t>.  It</w:t>
      </w:r>
      <w:r w:rsidRPr="00370948">
        <w:rPr>
          <w:rFonts w:ascii="Book Antiqua" w:hAnsi="Book Antiqua"/>
          <w:sz w:val="20"/>
        </w:rPr>
        <w:t xml:space="preserve"> came as a shock to a many astrophysicists.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1970, Alfvén was awarded the Nobel Prize in Physics for his work. On 16th June that same year, Chapman died and the vigorous opposition he led against the plasma pioneers slowly began to wane. As the above quote from NASA indicates, the tide is beginning to turn in favor of the new plasma physics which is slowly divesting itself of Chapman’s incorrect approach. As a result, many astrophysicists are now becoming more conscious of the role of electric currents and magnetic fields in astronomical phenomena in general. </w:t>
      </w:r>
    </w:p>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both"/>
        <w:rPr>
          <w:rFonts w:ascii="Book Antiqua" w:hAnsi="Book Antiqua"/>
          <w:b/>
          <w:sz w:val="20"/>
        </w:rPr>
      </w:pPr>
      <w:r w:rsidRPr="00370948">
        <w:rPr>
          <w:rFonts w:ascii="Book Antiqua" w:hAnsi="Book Antiqua"/>
          <w:b/>
          <w:sz w:val="20"/>
        </w:rPr>
        <w:t xml:space="preserve">1.3 </w:t>
      </w:r>
      <w:r w:rsidRPr="00370948">
        <w:rPr>
          <w:rFonts w:ascii="Book Antiqua" w:hAnsi="Book Antiqua"/>
          <w:bCs/>
          <w:i/>
          <w:iCs/>
          <w:color w:val="000000"/>
          <w:sz w:val="20"/>
        </w:rPr>
        <w:t xml:space="preserve">The Origin Of Magnetic Fields.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Plasmas exhibit electromagnetic effects.  Plasma is the only state of matter where neutral atoms are ionized into positive ions and negative electrons. The movement of these ions and electrons forms an electric current</w:t>
      </w:r>
      <w:r>
        <w:rPr>
          <w:rFonts w:ascii="Book Antiqua" w:hAnsi="Book Antiqua"/>
          <w:sz w:val="20"/>
        </w:rPr>
        <w:t xml:space="preserve"> (Figure 4 left and center)</w:t>
      </w:r>
      <w:r w:rsidRPr="00370948">
        <w:rPr>
          <w:rFonts w:ascii="Book Antiqua" w:hAnsi="Book Antiqua"/>
          <w:sz w:val="20"/>
        </w:rPr>
        <w:t>. Electric currents always have an intrinsic circling magnetic field</w:t>
      </w:r>
      <w:r>
        <w:rPr>
          <w:rFonts w:ascii="Book Antiqua" w:hAnsi="Book Antiqua"/>
          <w:sz w:val="20"/>
        </w:rPr>
        <w:t xml:space="preserve"> (see Figure 4 right). </w:t>
      </w:r>
      <w:r w:rsidRPr="00370948">
        <w:rPr>
          <w:rFonts w:ascii="Book Antiqua" w:hAnsi="Book Antiqua"/>
          <w:sz w:val="20"/>
        </w:rPr>
        <w:t xml:space="preserve">The presence of a magnetic field </w:t>
      </w:r>
      <w:r>
        <w:rPr>
          <w:rFonts w:ascii="Book Antiqua" w:hAnsi="Book Antiqua"/>
          <w:sz w:val="20"/>
        </w:rPr>
        <w:t xml:space="preserve">also </w:t>
      </w:r>
      <w:r w:rsidRPr="00370948">
        <w:rPr>
          <w:rFonts w:ascii="Book Antiqua" w:hAnsi="Book Antiqua"/>
          <w:sz w:val="20"/>
        </w:rPr>
        <w:t xml:space="preserve">necessarily implies that there is an electric current since this is the only known mechanism whereby magnetic fields are produced. This is true in space just as it is true on earth. A stream of moving ions or electrons constitutes an electric current. The circling magnetic field associated with this current confines the plasma to a filamentary shape.  In the case of a bar magnet, an electric current is produced by the motion of electrons in their orbit and/or by them spinning on their axes. The atoms of the magnet are aligned so that their respective electron currents are also aligned, giving it its magnetism. In either case, the electron, with its negative charge, is in motion, and a charge in motion is an electric current. </w:t>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p>
    <w:tbl>
      <w:tblPr>
        <w:tblStyle w:val="TableGrid"/>
        <w:tblW w:w="0" w:type="auto"/>
        <w:tblLook w:val="04A0"/>
      </w:tblPr>
      <w:tblGrid>
        <w:gridCol w:w="4222"/>
        <w:gridCol w:w="3836"/>
        <w:gridCol w:w="2958"/>
      </w:tblGrid>
      <w:tr w:rsidR="005359B2" w:rsidTr="003442EA">
        <w:tc>
          <w:tcPr>
            <w:tcW w:w="4248" w:type="dxa"/>
          </w:tcPr>
          <w:p w:rsidR="005359B2" w:rsidRDefault="005359B2" w:rsidP="003442EA">
            <w:pPr>
              <w:pStyle w:val="NoSpacing"/>
              <w:jc w:val="both"/>
              <w:rPr>
                <w:rFonts w:ascii="Book Antiqua" w:hAnsi="Book Antiqua"/>
                <w:sz w:val="20"/>
              </w:rPr>
            </w:pPr>
            <w:r w:rsidRPr="00580158">
              <w:rPr>
                <w:rFonts w:ascii="Book Antiqua" w:hAnsi="Book Antiqua"/>
                <w:noProof/>
                <w:sz w:val="20"/>
              </w:rPr>
              <w:drawing>
                <wp:inline distT="0" distB="0" distL="0" distR="0">
                  <wp:extent cx="2541270" cy="1494737"/>
                  <wp:effectExtent l="19050" t="0" r="0" b="0"/>
                  <wp:docPr id="793" name="Picture 3" descr="http://cnx.org/content/m42341/latest/Figure_21_01_03a.jpg"/>
                  <wp:cNvGraphicFramePr/>
                  <a:graphic xmlns:a="http://schemas.openxmlformats.org/drawingml/2006/main">
                    <a:graphicData uri="http://schemas.openxmlformats.org/drawingml/2006/picture">
                      <pic:pic xmlns:pic="http://schemas.openxmlformats.org/drawingml/2006/picture">
                        <pic:nvPicPr>
                          <pic:cNvPr id="4" name="irc_mi" descr="http://cnx.org/content/m42341/latest/Figure_21_01_03a.jpg"/>
                          <pic:cNvPicPr/>
                        </pic:nvPicPr>
                        <pic:blipFill>
                          <a:blip r:embed="rId276" cstate="print"/>
                          <a:srcRect r="-78" b="47134"/>
                          <a:stretch>
                            <a:fillRect/>
                          </a:stretch>
                        </pic:blipFill>
                        <pic:spPr bwMode="auto">
                          <a:xfrm>
                            <a:off x="0" y="0"/>
                            <a:ext cx="2544087" cy="1496394"/>
                          </a:xfrm>
                          <a:prstGeom prst="rect">
                            <a:avLst/>
                          </a:prstGeom>
                          <a:noFill/>
                          <a:ln w="9525">
                            <a:noFill/>
                            <a:miter lim="800000"/>
                            <a:headEnd/>
                            <a:tailEnd/>
                          </a:ln>
                        </pic:spPr>
                      </pic:pic>
                    </a:graphicData>
                  </a:graphic>
                </wp:inline>
              </w:drawing>
            </w:r>
          </w:p>
        </w:tc>
        <w:tc>
          <w:tcPr>
            <w:tcW w:w="3780" w:type="dxa"/>
          </w:tcPr>
          <w:p w:rsidR="005359B2" w:rsidRDefault="005359B2" w:rsidP="003442EA">
            <w:pPr>
              <w:pStyle w:val="NoSpacing"/>
              <w:jc w:val="both"/>
              <w:rPr>
                <w:rFonts w:ascii="Book Antiqua" w:hAnsi="Book Antiqua"/>
                <w:sz w:val="20"/>
              </w:rPr>
            </w:pPr>
            <w:r w:rsidRPr="005B2916">
              <w:rPr>
                <w:rFonts w:ascii="Book Antiqua" w:hAnsi="Book Antiqua"/>
                <w:noProof/>
                <w:sz w:val="20"/>
              </w:rPr>
              <w:drawing>
                <wp:inline distT="0" distB="0" distL="0" distR="0">
                  <wp:extent cx="2294779" cy="1405346"/>
                  <wp:effectExtent l="19050" t="0" r="0" b="0"/>
                  <wp:docPr id="794" name="Picture 6" descr="http://cnx.org/content/m42341/latest/Figure_21_01_03a.jpg"/>
                  <wp:cNvGraphicFramePr/>
                  <a:graphic xmlns:a="http://schemas.openxmlformats.org/drawingml/2006/main">
                    <a:graphicData uri="http://schemas.openxmlformats.org/drawingml/2006/picture">
                      <pic:pic xmlns:pic="http://schemas.openxmlformats.org/drawingml/2006/picture">
                        <pic:nvPicPr>
                          <pic:cNvPr id="4" name="irc_mi" descr="http://cnx.org/content/m42341/latest/Figure_21_01_03a.jpg"/>
                          <pic:cNvPicPr/>
                        </pic:nvPicPr>
                        <pic:blipFill>
                          <a:blip r:embed="rId276" cstate="print"/>
                          <a:srcRect t="51826" r="1576"/>
                          <a:stretch>
                            <a:fillRect/>
                          </a:stretch>
                        </pic:blipFill>
                        <pic:spPr bwMode="auto">
                          <a:xfrm>
                            <a:off x="0" y="0"/>
                            <a:ext cx="2298100" cy="1407380"/>
                          </a:xfrm>
                          <a:prstGeom prst="rect">
                            <a:avLst/>
                          </a:prstGeom>
                          <a:noFill/>
                          <a:ln w="9525">
                            <a:noFill/>
                            <a:miter lim="800000"/>
                            <a:headEnd/>
                            <a:tailEnd/>
                          </a:ln>
                        </pic:spPr>
                      </pic:pic>
                    </a:graphicData>
                  </a:graphic>
                </wp:inline>
              </w:drawing>
            </w:r>
          </w:p>
        </w:tc>
        <w:tc>
          <w:tcPr>
            <w:tcW w:w="2988" w:type="dxa"/>
          </w:tcPr>
          <w:p w:rsidR="005359B2" w:rsidRDefault="005359B2" w:rsidP="003442EA">
            <w:pPr>
              <w:pStyle w:val="NoSpacing"/>
              <w:jc w:val="both"/>
              <w:rPr>
                <w:rFonts w:ascii="Book Antiqua" w:hAnsi="Book Antiqua"/>
                <w:sz w:val="20"/>
              </w:rPr>
            </w:pPr>
            <w:r w:rsidRPr="00612842">
              <w:rPr>
                <w:rFonts w:ascii="Book Antiqua" w:hAnsi="Book Antiqua"/>
                <w:noProof/>
                <w:sz w:val="20"/>
              </w:rPr>
              <w:drawing>
                <wp:inline distT="0" distB="0" distL="0" distR="0">
                  <wp:extent cx="1725433" cy="1494845"/>
                  <wp:effectExtent l="19050" t="0" r="8117" b="0"/>
                  <wp:docPr id="795" name="Picture 7" descr="http://www.thunderbolts.info/wp/wp-content/uploads/2011/08/mag_field_current_450x370.jpg"/>
                  <wp:cNvGraphicFramePr/>
                  <a:graphic xmlns:a="http://schemas.openxmlformats.org/drawingml/2006/main">
                    <a:graphicData uri="http://schemas.openxmlformats.org/drawingml/2006/picture">
                      <pic:pic xmlns:pic="http://schemas.openxmlformats.org/drawingml/2006/picture">
                        <pic:nvPicPr>
                          <pic:cNvPr id="4" name="irc_mi" descr="http://www.thunderbolts.info/wp/wp-content/uploads/2011/08/mag_field_current_450x370.jpg"/>
                          <pic:cNvPicPr/>
                        </pic:nvPicPr>
                        <pic:blipFill>
                          <a:blip r:embed="rId277" cstate="print"/>
                          <a:srcRect l="5899"/>
                          <a:stretch>
                            <a:fillRect/>
                          </a:stretch>
                        </pic:blipFill>
                        <pic:spPr bwMode="auto">
                          <a:xfrm>
                            <a:off x="0" y="0"/>
                            <a:ext cx="1725433" cy="149484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20"/>
        </w:rPr>
      </w:pPr>
    </w:p>
    <w:p w:rsidR="005359B2" w:rsidRPr="00DB7D9D" w:rsidRDefault="005359B2" w:rsidP="005359B2">
      <w:pPr>
        <w:pStyle w:val="NoSpacing"/>
        <w:jc w:val="both"/>
        <w:rPr>
          <w:rFonts w:ascii="Book Antiqua" w:hAnsi="Book Antiqua"/>
          <w:i/>
          <w:sz w:val="18"/>
          <w:szCs w:val="18"/>
        </w:rPr>
      </w:pPr>
      <w:r w:rsidRPr="00DB7D9D">
        <w:rPr>
          <w:rFonts w:ascii="Book Antiqua" w:hAnsi="Book Antiqua"/>
          <w:b/>
          <w:i/>
          <w:sz w:val="18"/>
          <w:szCs w:val="18"/>
        </w:rPr>
        <w:t>Figure 4</w:t>
      </w:r>
      <w:r w:rsidRPr="00DB7D9D">
        <w:rPr>
          <w:rFonts w:ascii="Book Antiqua" w:hAnsi="Book Antiqua"/>
          <w:i/>
          <w:sz w:val="18"/>
          <w:szCs w:val="18"/>
        </w:rPr>
        <w:t xml:space="preserve">: </w:t>
      </w:r>
      <w:r w:rsidRPr="00DB7D9D">
        <w:rPr>
          <w:rFonts w:ascii="Book Antiqua" w:hAnsi="Book Antiqua"/>
          <w:b/>
          <w:i/>
          <w:sz w:val="18"/>
          <w:szCs w:val="18"/>
        </w:rPr>
        <w:t>(Left)</w:t>
      </w:r>
      <w:r w:rsidRPr="00DB7D9D">
        <w:rPr>
          <w:rFonts w:ascii="Book Antiqua" w:hAnsi="Book Antiqua"/>
          <w:i/>
          <w:sz w:val="18"/>
          <w:szCs w:val="18"/>
        </w:rPr>
        <w:t xml:space="preserve"> Positive ions</w:t>
      </w:r>
      <w:r>
        <w:rPr>
          <w:rFonts w:ascii="Book Antiqua" w:hAnsi="Book Antiqua"/>
          <w:i/>
          <w:sz w:val="18"/>
          <w:szCs w:val="18"/>
        </w:rPr>
        <w:t xml:space="preserve"> (5 in this case)</w:t>
      </w:r>
      <w:r w:rsidRPr="00DB7D9D">
        <w:rPr>
          <w:rFonts w:ascii="Book Antiqua" w:hAnsi="Book Antiqua"/>
          <w:i/>
          <w:sz w:val="18"/>
          <w:szCs w:val="18"/>
        </w:rPr>
        <w:t xml:space="preserve"> </w:t>
      </w:r>
      <w:r>
        <w:rPr>
          <w:rFonts w:ascii="Book Antiqua" w:hAnsi="Book Antiqua"/>
          <w:i/>
          <w:sz w:val="18"/>
          <w:szCs w:val="18"/>
        </w:rPr>
        <w:t xml:space="preserve">moving from left to right through a given area, A, in unit time </w:t>
      </w:r>
      <w:r w:rsidRPr="00DB7D9D">
        <w:rPr>
          <w:rFonts w:ascii="Book Antiqua" w:hAnsi="Book Antiqua"/>
          <w:i/>
          <w:sz w:val="18"/>
          <w:szCs w:val="18"/>
        </w:rPr>
        <w:t>form</w:t>
      </w:r>
      <w:r>
        <w:rPr>
          <w:rFonts w:ascii="Book Antiqua" w:hAnsi="Book Antiqua"/>
          <w:i/>
          <w:sz w:val="18"/>
          <w:szCs w:val="18"/>
        </w:rPr>
        <w:t>s</w:t>
      </w:r>
      <w:r w:rsidRPr="00DB7D9D">
        <w:rPr>
          <w:rFonts w:ascii="Book Antiqua" w:hAnsi="Book Antiqua"/>
          <w:i/>
          <w:sz w:val="18"/>
          <w:szCs w:val="18"/>
        </w:rPr>
        <w:t xml:space="preserve"> an electric curren</w:t>
      </w:r>
      <w:r>
        <w:rPr>
          <w:rFonts w:ascii="Book Antiqua" w:hAnsi="Book Antiqua"/>
          <w:i/>
          <w:sz w:val="18"/>
          <w:szCs w:val="18"/>
        </w:rPr>
        <w:t>t, I.(</w:t>
      </w:r>
      <w:r w:rsidRPr="00DB7D9D">
        <w:rPr>
          <w:rFonts w:ascii="Book Antiqua" w:hAnsi="Book Antiqua"/>
          <w:b/>
          <w:i/>
          <w:sz w:val="18"/>
          <w:szCs w:val="18"/>
        </w:rPr>
        <w:t>Center)</w:t>
      </w:r>
      <w:r w:rsidRPr="00DB7D9D">
        <w:rPr>
          <w:rFonts w:ascii="Book Antiqua" w:hAnsi="Book Antiqua"/>
          <w:i/>
          <w:sz w:val="18"/>
          <w:szCs w:val="18"/>
        </w:rPr>
        <w:t xml:space="preserve"> </w:t>
      </w:r>
      <w:r>
        <w:rPr>
          <w:rFonts w:ascii="Book Antiqua" w:hAnsi="Book Antiqua"/>
          <w:i/>
          <w:sz w:val="18"/>
          <w:szCs w:val="18"/>
        </w:rPr>
        <w:t>Five n</w:t>
      </w:r>
      <w:r w:rsidRPr="00DB7D9D">
        <w:rPr>
          <w:rFonts w:ascii="Book Antiqua" w:hAnsi="Book Antiqua"/>
          <w:i/>
          <w:sz w:val="18"/>
          <w:szCs w:val="18"/>
        </w:rPr>
        <w:t xml:space="preserve">egative electrons </w:t>
      </w:r>
      <w:r>
        <w:rPr>
          <w:rFonts w:ascii="Book Antiqua" w:hAnsi="Book Antiqua"/>
          <w:i/>
          <w:sz w:val="18"/>
          <w:szCs w:val="18"/>
        </w:rPr>
        <w:t xml:space="preserve">moving from right to left through an area A in unit time </w:t>
      </w:r>
      <w:r w:rsidRPr="00DB7D9D">
        <w:rPr>
          <w:rFonts w:ascii="Book Antiqua" w:hAnsi="Book Antiqua"/>
          <w:i/>
          <w:sz w:val="18"/>
          <w:szCs w:val="18"/>
        </w:rPr>
        <w:t>form an equivalent positive current</w:t>
      </w:r>
      <w:r>
        <w:rPr>
          <w:rFonts w:ascii="Book Antiqua" w:hAnsi="Book Antiqua"/>
          <w:i/>
          <w:sz w:val="18"/>
          <w:szCs w:val="18"/>
        </w:rPr>
        <w:t>, I.</w:t>
      </w:r>
      <w:r w:rsidRPr="00DB7D9D">
        <w:rPr>
          <w:rFonts w:ascii="Book Antiqua" w:hAnsi="Book Antiqua"/>
          <w:i/>
          <w:sz w:val="18"/>
          <w:szCs w:val="18"/>
        </w:rPr>
        <w:t xml:space="preserve"> </w:t>
      </w:r>
      <w:r w:rsidRPr="00DB7D9D">
        <w:rPr>
          <w:rFonts w:ascii="Book Antiqua" w:hAnsi="Book Antiqua"/>
          <w:b/>
          <w:i/>
          <w:sz w:val="18"/>
          <w:szCs w:val="18"/>
        </w:rPr>
        <w:t>(Right)</w:t>
      </w:r>
      <w:r w:rsidRPr="00DB7D9D">
        <w:rPr>
          <w:rFonts w:ascii="Book Antiqua" w:hAnsi="Book Antiqua"/>
          <w:i/>
          <w:sz w:val="18"/>
          <w:szCs w:val="18"/>
        </w:rPr>
        <w:t xml:space="preserve"> All electric currents, I, no matter how they are formed</w:t>
      </w:r>
      <w:r>
        <w:rPr>
          <w:rFonts w:ascii="Book Antiqua" w:hAnsi="Book Antiqua"/>
          <w:i/>
          <w:sz w:val="18"/>
          <w:szCs w:val="18"/>
        </w:rPr>
        <w:t>,</w:t>
      </w:r>
      <w:r w:rsidRPr="00DB7D9D">
        <w:rPr>
          <w:rFonts w:ascii="Book Antiqua" w:hAnsi="Book Antiqua"/>
          <w:i/>
          <w:sz w:val="18"/>
          <w:szCs w:val="18"/>
        </w:rPr>
        <w:t xml:space="preserve"> have a circling magnetic field (B).</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Just like an electron in its orbit, if </w:t>
      </w:r>
      <w:r>
        <w:rPr>
          <w:rFonts w:ascii="Book Antiqua" w:hAnsi="Book Antiqua"/>
          <w:sz w:val="20"/>
        </w:rPr>
        <w:t>an electric</w:t>
      </w:r>
      <w:r w:rsidRPr="00370948">
        <w:rPr>
          <w:rFonts w:ascii="Book Antiqua" w:hAnsi="Book Antiqua"/>
          <w:sz w:val="20"/>
        </w:rPr>
        <w:t xml:space="preserve"> current is traveling in a loop, such as in the wire of a cylindrically wound solenoid, it will also produce a magnetic field. The polarity of that field depends on whether the electric charge is positive or negative.</w:t>
      </w:r>
      <w:r>
        <w:rPr>
          <w:rFonts w:ascii="Book Antiqua" w:hAnsi="Book Antiqua"/>
          <w:sz w:val="20"/>
        </w:rPr>
        <w:t xml:space="preserve"> </w:t>
      </w:r>
      <w:r w:rsidRPr="00370948">
        <w:rPr>
          <w:rFonts w:ascii="Book Antiqua" w:hAnsi="Book Antiqua"/>
          <w:sz w:val="20"/>
        </w:rPr>
        <w:t xml:space="preserve"> In the 19</w:t>
      </w:r>
      <w:r w:rsidRPr="00370948">
        <w:rPr>
          <w:rFonts w:ascii="Book Antiqua" w:hAnsi="Book Antiqua"/>
          <w:sz w:val="20"/>
          <w:vertAlign w:val="superscript"/>
        </w:rPr>
        <w:t>th</w:t>
      </w:r>
      <w:r w:rsidRPr="00370948">
        <w:rPr>
          <w:rFonts w:ascii="Book Antiqua" w:hAnsi="Book Antiqua"/>
          <w:sz w:val="20"/>
        </w:rPr>
        <w:t xml:space="preserve"> century, a convention was agreed upon that if one looks at the loop of the current from the top, and the current is going anticlockwise, then the end you are looking at is the magnetic north pole.  If, looking down at the loop, it is going clockwise, then you are looking at the magnetic south pole,.  </w:t>
      </w:r>
      <w:r>
        <w:rPr>
          <w:rFonts w:ascii="Book Antiqua" w:hAnsi="Book Antiqua"/>
          <w:sz w:val="20"/>
        </w:rPr>
        <w:t>In this way a magnetic north and south are defined for any object in the universe.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This convention, as stated above, defined the direction of the current only as the direction of motion of the positive charge.  Later experiments concluded, however, that an electron current, such as we see in a bar magnet, is simply the reverse of the motion of the positive current (positive ions).  This means if you are looking at a negative loop, the counterclockwise motion will indicate the south magnetic pole and the clockwise the north.</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same is true for the motions of positive ions or negative electrons in plasma out in space. Their motion will produce an electric current, and this current will, in turn, produce a magnetic field.  This is true even if the current </w:t>
      </w:r>
      <w:r w:rsidRPr="00370948">
        <w:rPr>
          <w:rFonts w:ascii="Book Antiqua" w:hAnsi="Book Antiqua"/>
          <w:sz w:val="20"/>
        </w:rPr>
        <w:lastRenderedPageBreak/>
        <w:t xml:space="preserve">direction is linear rather than circular.  It follows, therefore, that the existence of either an electric current or a magnetic field in space necessarily implies that plasma is present with the ions and electrons in motion.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In dealing with astronomical objects, we are often only aware of magnetic fields</w:t>
      </w:r>
      <w:r>
        <w:rPr>
          <w:rFonts w:ascii="Book Antiqua" w:hAnsi="Book Antiqua"/>
          <w:sz w:val="20"/>
        </w:rPr>
        <w:t xml:space="preserve">.  We often do not associate them with the electric currents, or plasma filaments, that have generated them.  These filaments exist on a much larger scale than the magnetic field we are seeing.  </w:t>
      </w:r>
      <w:r w:rsidRPr="00370948">
        <w:rPr>
          <w:rFonts w:ascii="Book Antiqua" w:hAnsi="Book Antiqua"/>
          <w:sz w:val="20"/>
        </w:rPr>
        <w:t xml:space="preserve"> So it is often considered that the magnetic field is intrinsic to that part of space without looking for the larger scale current circuit that produced it.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Cs/>
          <w:i/>
          <w:iCs/>
          <w:color w:val="000000"/>
          <w:sz w:val="20"/>
        </w:rPr>
        <w:t>1.4. Plasma And Magnetic Constriction</w:t>
      </w:r>
      <w:r w:rsidRPr="00370948">
        <w:rPr>
          <w:rFonts w:ascii="Book Antiqua" w:hAnsi="Book Antiqua"/>
          <w:b/>
          <w:bCs/>
          <w:iCs/>
          <w:color w:val="000000"/>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However these</w:t>
      </w:r>
      <w:r>
        <w:rPr>
          <w:rFonts w:ascii="Book Antiqua" w:hAnsi="Book Antiqua"/>
          <w:sz w:val="20"/>
        </w:rPr>
        <w:t xml:space="preserve"> massive</w:t>
      </w:r>
      <w:r w:rsidRPr="00370948">
        <w:rPr>
          <w:rFonts w:ascii="Book Antiqua" w:hAnsi="Book Antiqua"/>
          <w:sz w:val="20"/>
        </w:rPr>
        <w:t xml:space="preserve"> currents do exist.  They are made up of the positive ions (atomic nuclei) and negative electrons in motion.  These giant, primary, electric currents exist on a galactic scale and even larger.  They have giant magnetic fields associated with them.  These magnetic fields are defined as the primary magnetic fields.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 charged particles making up the plasmas in the galaxies tend to follow these primary magnetic lines.  Th</w:t>
      </w:r>
      <w:r>
        <w:rPr>
          <w:rFonts w:ascii="Book Antiqua" w:hAnsi="Book Antiqua"/>
          <w:sz w:val="20"/>
        </w:rPr>
        <w:t>is</w:t>
      </w:r>
      <w:r w:rsidRPr="00370948">
        <w:rPr>
          <w:rFonts w:ascii="Book Antiqua" w:hAnsi="Book Antiqua"/>
          <w:sz w:val="20"/>
        </w:rPr>
        <w:t xml:space="preserve"> result</w:t>
      </w:r>
      <w:r>
        <w:rPr>
          <w:rFonts w:ascii="Book Antiqua" w:hAnsi="Book Antiqua"/>
          <w:sz w:val="20"/>
        </w:rPr>
        <w:t>s</w:t>
      </w:r>
      <w:r w:rsidRPr="00370948">
        <w:rPr>
          <w:rFonts w:ascii="Book Antiqua" w:hAnsi="Book Antiqua"/>
          <w:sz w:val="20"/>
        </w:rPr>
        <w:t xml:space="preserve"> in secondary electric currents which then produce </w:t>
      </w:r>
      <w:r>
        <w:rPr>
          <w:rFonts w:ascii="Book Antiqua" w:hAnsi="Book Antiqua"/>
          <w:sz w:val="20"/>
        </w:rPr>
        <w:t xml:space="preserve">the </w:t>
      </w:r>
      <w:r w:rsidRPr="00370948">
        <w:rPr>
          <w:rFonts w:ascii="Book Antiqua" w:hAnsi="Book Antiqua"/>
          <w:sz w:val="20"/>
        </w:rPr>
        <w:t>secondary magnetic fields</w:t>
      </w:r>
      <w:r>
        <w:rPr>
          <w:rFonts w:ascii="Book Antiqua" w:hAnsi="Book Antiqua"/>
          <w:sz w:val="20"/>
        </w:rPr>
        <w:t xml:space="preserve"> which are the ones we usually are aware of</w:t>
      </w:r>
      <w:r w:rsidRPr="00370948">
        <w:rPr>
          <w:rFonts w:ascii="Book Antiqua" w:hAnsi="Book Antiqua"/>
          <w:sz w:val="20"/>
        </w:rPr>
        <w:t xml:space="preserve">.  These secondary currents are called field-aligned currents since they are forced to follow the primary magnetic field.  </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the existence of such field-aligned currents in space was first anticipated by Kristian Birkeland, they are now called Birkeland currents [10]. </w:t>
      </w:r>
      <w:r>
        <w:rPr>
          <w:rFonts w:ascii="Book Antiqua" w:hAnsi="Book Antiqua"/>
          <w:sz w:val="20"/>
        </w:rPr>
        <w:t xml:space="preserve">Each </w:t>
      </w:r>
      <w:r w:rsidRPr="00370948">
        <w:rPr>
          <w:rFonts w:ascii="Book Antiqua" w:hAnsi="Book Antiqua"/>
          <w:sz w:val="20"/>
        </w:rPr>
        <w:t xml:space="preserve"> field-aligned current</w:t>
      </w:r>
      <w:r>
        <w:rPr>
          <w:rFonts w:ascii="Book Antiqua" w:hAnsi="Book Antiqua"/>
          <w:sz w:val="20"/>
        </w:rPr>
        <w:t>s</w:t>
      </w:r>
      <w:r w:rsidRPr="00370948">
        <w:rPr>
          <w:rFonts w:ascii="Book Antiqua" w:hAnsi="Book Antiqua"/>
          <w:sz w:val="20"/>
        </w:rPr>
        <w:t xml:space="preserve"> generate</w:t>
      </w:r>
      <w:r>
        <w:rPr>
          <w:rFonts w:ascii="Book Antiqua" w:hAnsi="Book Antiqua"/>
          <w:sz w:val="20"/>
        </w:rPr>
        <w:t>s</w:t>
      </w:r>
      <w:r w:rsidRPr="00370948">
        <w:rPr>
          <w:rFonts w:ascii="Book Antiqua" w:hAnsi="Book Antiqua"/>
          <w:sz w:val="20"/>
        </w:rPr>
        <w:t xml:space="preserve"> </w:t>
      </w:r>
      <w:r>
        <w:rPr>
          <w:rFonts w:ascii="Book Antiqua" w:hAnsi="Book Antiqua"/>
          <w:sz w:val="20"/>
        </w:rPr>
        <w:t>its</w:t>
      </w:r>
      <w:r w:rsidRPr="00370948">
        <w:rPr>
          <w:rFonts w:ascii="Book Antiqua" w:hAnsi="Book Antiqua"/>
          <w:sz w:val="20"/>
        </w:rPr>
        <w:t xml:space="preserve"> own magnetic field</w:t>
      </w:r>
      <w:r>
        <w:rPr>
          <w:rFonts w:ascii="Book Antiqua" w:hAnsi="Book Antiqua"/>
          <w:sz w:val="20"/>
        </w:rPr>
        <w:t>s which</w:t>
      </w:r>
      <w:r w:rsidRPr="00370948">
        <w:rPr>
          <w:rFonts w:ascii="Book Antiqua" w:hAnsi="Book Antiqua"/>
          <w:sz w:val="20"/>
        </w:rPr>
        <w:t xml:space="preserve"> wrap</w:t>
      </w:r>
      <w:r>
        <w:rPr>
          <w:rFonts w:ascii="Book Antiqua" w:hAnsi="Book Antiqua"/>
          <w:sz w:val="20"/>
        </w:rPr>
        <w:t>s</w:t>
      </w:r>
      <w:r w:rsidRPr="00370948">
        <w:rPr>
          <w:rFonts w:ascii="Book Antiqua" w:hAnsi="Book Antiqua"/>
          <w:sz w:val="20"/>
        </w:rPr>
        <w:t xml:space="preserve"> </w:t>
      </w:r>
      <w:r>
        <w:rPr>
          <w:rFonts w:ascii="Book Antiqua" w:hAnsi="Book Antiqua"/>
          <w:sz w:val="20"/>
        </w:rPr>
        <w:t>itself</w:t>
      </w:r>
      <w:r w:rsidRPr="00370948">
        <w:rPr>
          <w:rFonts w:ascii="Book Antiqua" w:hAnsi="Book Antiqua"/>
          <w:sz w:val="20"/>
        </w:rPr>
        <w:t xml:space="preserve"> around the current circumferentially, constricting the plasma into a stringy rope-like structure shaped like a filamentary cable, or fiber</w:t>
      </w:r>
      <w:r>
        <w:rPr>
          <w:rFonts w:ascii="Book Antiqua" w:hAnsi="Book Antiqua"/>
          <w:sz w:val="20"/>
        </w:rPr>
        <w:t xml:space="preserve"> or strands of spaghetti</w:t>
      </w:r>
      <w:r w:rsidRPr="00370948">
        <w:rPr>
          <w:rFonts w:ascii="Book Antiqua" w:hAnsi="Book Antiqua"/>
          <w:sz w:val="20"/>
        </w:rPr>
        <w:t xml:space="preserve">.  With an electric current of high intensity, this filamentary cable will itself often twist, producing a helical pinch that spirals like a corkscrew or a twisted, braided rope. These varieties of rope-like structures are also typical characteristics of Birkeland currents in plasma.  We can see an approximation of what is happening when we look at lightning, which is plasma in arc mode.  The twisting and forking are in response to disturbances to </w:t>
      </w:r>
      <w:r w:rsidRPr="00F8009C">
        <w:rPr>
          <w:rFonts w:ascii="Book Antiqua" w:hAnsi="Book Antiqua"/>
          <w:sz w:val="20"/>
        </w:rPr>
        <w:t>its magnetic field.</w:t>
      </w:r>
      <w:r>
        <w:rPr>
          <w:rFonts w:ascii="Book Antiqua" w:hAnsi="Book Antiqua"/>
          <w:sz w:val="20"/>
        </w:rPr>
        <w:t xml:space="preserve"> These characteristics can be seen in objects in space such as the Cygnus Loop (Fig 5).</w:t>
      </w:r>
    </w:p>
    <w:p w:rsidR="005359B2" w:rsidRDefault="005359B2" w:rsidP="005359B2">
      <w:pPr>
        <w:pStyle w:val="NoSpacing"/>
        <w:jc w:val="both"/>
        <w:rPr>
          <w:rFonts w:ascii="Book Antiqua" w:hAnsi="Book Antiqua"/>
          <w:sz w:val="20"/>
        </w:rPr>
      </w:pPr>
    </w:p>
    <w:p w:rsidR="005359B2" w:rsidRDefault="005359B2" w:rsidP="005359B2">
      <w:pPr>
        <w:pStyle w:val="NoSpacing"/>
        <w:jc w:val="center"/>
        <w:rPr>
          <w:rFonts w:ascii="Book Antiqua" w:hAnsi="Book Antiqua"/>
          <w:sz w:val="20"/>
        </w:rPr>
      </w:pPr>
      <w:r w:rsidRPr="00F8009C">
        <w:rPr>
          <w:rFonts w:ascii="Book Antiqua" w:hAnsi="Book Antiqua"/>
          <w:noProof/>
          <w:sz w:val="20"/>
        </w:rPr>
        <w:drawing>
          <wp:inline distT="0" distB="0" distL="0" distR="0">
            <wp:extent cx="3623182" cy="1475335"/>
            <wp:effectExtent l="19050" t="0" r="0" b="0"/>
            <wp:docPr id="796" name="Picture 2" descr="http://t0.gstatic.com/images?q=tbn:ANd9GcTkVFuMQlXi5N0yn3ioFhzdDx75bNwuOXgqXGAFWbt_CbMAsCkqEw"/>
            <wp:cNvGraphicFramePr/>
            <a:graphic xmlns:a="http://schemas.openxmlformats.org/drawingml/2006/main">
              <a:graphicData uri="http://schemas.openxmlformats.org/drawingml/2006/picture">
                <pic:pic xmlns:pic="http://schemas.openxmlformats.org/drawingml/2006/picture">
                  <pic:nvPicPr>
                    <pic:cNvPr id="1026" name="Picture 2" descr="http://t0.gstatic.com/images?q=tbn:ANd9GcTkVFuMQlXi5N0yn3ioFhzdDx75bNwuOXgqXGAFWbt_CbMAsCkqEw"/>
                    <pic:cNvPicPr>
                      <a:picLocks noChangeAspect="1" noChangeArrowheads="1"/>
                    </pic:cNvPicPr>
                  </pic:nvPicPr>
                  <pic:blipFill>
                    <a:blip r:embed="rId278" cstate="print"/>
                    <a:srcRect/>
                    <a:stretch>
                      <a:fillRect/>
                    </a:stretch>
                  </pic:blipFill>
                  <pic:spPr bwMode="auto">
                    <a:xfrm>
                      <a:off x="0" y="0"/>
                      <a:ext cx="3625578" cy="1476311"/>
                    </a:xfrm>
                    <a:prstGeom prst="rect">
                      <a:avLst/>
                    </a:prstGeom>
                    <a:noFill/>
                  </pic:spPr>
                </pic:pic>
              </a:graphicData>
            </a:graphic>
          </wp:inline>
        </w:drawing>
      </w:r>
    </w:p>
    <w:p w:rsidR="005359B2" w:rsidRDefault="005359B2" w:rsidP="005359B2">
      <w:pPr>
        <w:pStyle w:val="NoSpacing"/>
        <w:jc w:val="center"/>
        <w:rPr>
          <w:rFonts w:ascii="Book Antiqua" w:hAnsi="Book Antiqua"/>
          <w:sz w:val="20"/>
        </w:rPr>
      </w:pPr>
    </w:p>
    <w:p w:rsidR="005359B2" w:rsidRPr="00F8009C" w:rsidRDefault="005359B2" w:rsidP="005359B2">
      <w:pPr>
        <w:pStyle w:val="NoSpacing"/>
        <w:jc w:val="center"/>
        <w:rPr>
          <w:rFonts w:ascii="Book Antiqua" w:hAnsi="Book Antiqua"/>
          <w:i/>
          <w:sz w:val="18"/>
          <w:szCs w:val="18"/>
        </w:rPr>
      </w:pPr>
      <w:r w:rsidRPr="00F8009C">
        <w:rPr>
          <w:rFonts w:ascii="Book Antiqua" w:hAnsi="Book Antiqua"/>
          <w:b/>
          <w:i/>
          <w:sz w:val="18"/>
          <w:szCs w:val="18"/>
        </w:rPr>
        <w:t xml:space="preserve">Figure </w:t>
      </w:r>
      <w:r>
        <w:rPr>
          <w:rFonts w:ascii="Book Antiqua" w:hAnsi="Book Antiqua"/>
          <w:b/>
          <w:i/>
          <w:sz w:val="18"/>
          <w:szCs w:val="18"/>
        </w:rPr>
        <w:t>5</w:t>
      </w:r>
      <w:r w:rsidRPr="00F8009C">
        <w:rPr>
          <w:rFonts w:ascii="Book Antiqua" w:hAnsi="Book Antiqua"/>
          <w:b/>
          <w:i/>
          <w:sz w:val="18"/>
          <w:szCs w:val="18"/>
        </w:rPr>
        <w:t>:</w:t>
      </w:r>
      <w:r w:rsidRPr="00F8009C">
        <w:rPr>
          <w:rFonts w:ascii="Book Antiqua" w:hAnsi="Book Antiqua"/>
          <w:i/>
          <w:sz w:val="18"/>
          <w:szCs w:val="18"/>
        </w:rPr>
        <w:t xml:space="preserve">  A plasma filament in the constellation Cygnus</w:t>
      </w:r>
      <w:r>
        <w:rPr>
          <w:rFonts w:ascii="Book Antiqua" w:hAnsi="Book Antiqua"/>
          <w:i/>
          <w:sz w:val="18"/>
          <w:szCs w:val="18"/>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These phenomena were not generally understood in the early 20</w:t>
      </w:r>
      <w:r w:rsidRPr="00370948">
        <w:rPr>
          <w:rFonts w:ascii="Book Antiqua" w:hAnsi="Book Antiqua"/>
          <w:sz w:val="20"/>
          <w:vertAlign w:val="superscript"/>
        </w:rPr>
        <w:t>th</w:t>
      </w:r>
      <w:r w:rsidRPr="00370948">
        <w:rPr>
          <w:rFonts w:ascii="Book Antiqua" w:hAnsi="Book Antiqua"/>
          <w:sz w:val="20"/>
        </w:rPr>
        <w:t xml:space="preserve"> century, even though the first clue was perceived by Pollock and Barraclough in 1905. They investigated a copper rod that had been struck by lightning near Sydney, Australia. The rod had been compressed and distorted by the strike. Their analysis established that the interaction between the large current flow in the lightning bolt and its own magnetic field had produced compressive forces that caused the distortion [11]. It was not until 1934 that an analysis performed by Bennett dealt with the radial pressure exerted in such instances [12]. The characteristic constrictive action, which is the product of the circumferential (or azimuthal) magnetic field, pinching the plasma filaments, is now called the Bennett pinch or Z-pinch [13]. This pinching or bunching is usually accompanied by the accumulation of matter. This explains why interstellar matter displays such a variety of filamentary structures. The standard Bennett pinch due to the gradient of magnetic pressure </w:t>
      </w: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oMath>
      <w:r w:rsidRPr="00370948">
        <w:rPr>
          <w:rFonts w:ascii="Book Antiqua" w:hAnsi="Book Antiqua"/>
          <w:sz w:val="20"/>
        </w:rPr>
        <w:t xml:space="preserve"> is given by</w:t>
      </w:r>
    </w:p>
    <w:p w:rsidR="005359B2" w:rsidRPr="00370948" w:rsidRDefault="005359B2" w:rsidP="005359B2">
      <w:pPr>
        <w:pStyle w:val="NoSpacing"/>
        <w:jc w:val="both"/>
        <w:rPr>
          <w:rFonts w:ascii="Book Antiqua" w:hAnsi="Book Antiqua"/>
          <w:sz w:val="20"/>
        </w:rPr>
      </w:pPr>
    </w:p>
    <w:p w:rsidR="005359B2" w:rsidRPr="00370948" w:rsidRDefault="00241D2F" w:rsidP="005359B2">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m:t>
        </m:r>
      </m:oMath>
      <w:r w:rsidR="005359B2" w:rsidRPr="00370948">
        <w:rPr>
          <w:rFonts w:ascii="Book Antiqua" w:hAnsi="Book Antiqua"/>
          <w:sz w:val="20"/>
        </w:rPr>
        <w:t xml:space="preserve">,   </w:t>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t xml:space="preserve">    </w:t>
      </w:r>
      <w:r w:rsidR="005359B2" w:rsidRPr="00370948">
        <w:rPr>
          <w:rFonts w:ascii="Book Antiqua" w:hAnsi="Book Antiqua"/>
          <w:i/>
          <w:sz w:val="20"/>
        </w:rPr>
        <w:t xml:space="preserve">   (1)</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B</m:t>
        </m:r>
      </m:oMath>
      <w:r w:rsidRPr="00370948">
        <w:rPr>
          <w:rFonts w:ascii="Book Antiqua" w:hAnsi="Book Antiqua"/>
          <w:sz w:val="20"/>
        </w:rPr>
        <w:t xml:space="preserve"> is the magnetic flux density or magnetic induction, and </w:t>
      </w:r>
      <m:oMath>
        <m:r>
          <w:rPr>
            <w:rFonts w:ascii="Cambria Math" w:hAnsi="Cambria Math"/>
            <w:sz w:val="20"/>
          </w:rPr>
          <m:t>μ</m:t>
        </m:r>
      </m:oMath>
      <w:r w:rsidRPr="00370948">
        <w:rPr>
          <w:rFonts w:ascii="Book Antiqua" w:hAnsi="Book Antiqua"/>
          <w:sz w:val="20"/>
        </w:rPr>
        <w:t xml:space="preserve"> is the magnetic permeability of the vacuum. Bennett also noted that the compression occurred whether or not the material was fully ionized</w:t>
      </w:r>
      <w:r>
        <w:rPr>
          <w:rFonts w:ascii="Book Antiqua" w:hAnsi="Book Antiqua"/>
          <w:sz w:val="20"/>
        </w:rPr>
        <w:t xml:space="preserve"> (see Figure 6)</w:t>
      </w:r>
      <w:r w:rsidRPr="00370948">
        <w:rPr>
          <w:rFonts w:ascii="Book Antiqua" w:hAnsi="Book Antiqua"/>
          <w:sz w:val="20"/>
        </w:rPr>
        <w:t>.  Since then</w:t>
      </w:r>
      <w:r>
        <w:rPr>
          <w:rFonts w:ascii="Book Antiqua" w:hAnsi="Book Antiqua"/>
          <w:sz w:val="20"/>
        </w:rPr>
        <w:t>,</w:t>
      </w:r>
      <w:r w:rsidRPr="00370948">
        <w:rPr>
          <w:rFonts w:ascii="Book Antiqua" w:hAnsi="Book Antiqua"/>
          <w:sz w:val="20"/>
        </w:rPr>
        <w:t xml:space="preserve"> other pinch effects have been discovered that differ in their geometry and/or operating forces. However, all such pinched-current filaments are </w:t>
      </w:r>
      <w:r>
        <w:rPr>
          <w:rFonts w:ascii="Book Antiqua" w:hAnsi="Book Antiqua"/>
          <w:sz w:val="20"/>
        </w:rPr>
        <w:t xml:space="preserve">now </w:t>
      </w:r>
      <w:r w:rsidRPr="00370948">
        <w:rPr>
          <w:rFonts w:ascii="Book Antiqua" w:hAnsi="Book Antiqua"/>
          <w:sz w:val="20"/>
        </w:rPr>
        <w:t>given the name ‘Birkeland currents.’</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9725AF">
        <w:rPr>
          <w:rFonts w:ascii="Book Antiqua" w:hAnsi="Book Antiqua"/>
          <w:noProof/>
          <w:sz w:val="20"/>
        </w:rPr>
        <w:drawing>
          <wp:inline distT="0" distB="0" distL="0" distR="0">
            <wp:extent cx="3238980" cy="2285728"/>
            <wp:effectExtent l="19050" t="0" r="0" b="0"/>
            <wp:docPr id="797" name="Picture 4" descr="Instability"/>
            <wp:cNvGraphicFramePr/>
            <a:graphic xmlns:a="http://schemas.openxmlformats.org/drawingml/2006/main">
              <a:graphicData uri="http://schemas.openxmlformats.org/drawingml/2006/picture">
                <pic:pic xmlns:pic="http://schemas.openxmlformats.org/drawingml/2006/picture">
                  <pic:nvPicPr>
                    <pic:cNvPr id="99333" name="Picture 4" descr="Instability"/>
                    <pic:cNvPicPr>
                      <a:picLocks noChangeAspect="1" noChangeArrowheads="1"/>
                    </pic:cNvPicPr>
                  </pic:nvPicPr>
                  <pic:blipFill>
                    <a:blip r:embed="rId279" cstate="print"/>
                    <a:srcRect/>
                    <a:stretch>
                      <a:fillRect/>
                    </a:stretch>
                  </pic:blipFill>
                  <pic:spPr bwMode="auto">
                    <a:xfrm>
                      <a:off x="0" y="0"/>
                      <a:ext cx="3239366" cy="2286000"/>
                    </a:xfrm>
                    <a:prstGeom prst="rect">
                      <a:avLst/>
                    </a:prstGeom>
                    <a:noFill/>
                    <a:ln w="9525">
                      <a:noFill/>
                      <a:miter lim="800000"/>
                      <a:headEnd/>
                      <a:tailEnd/>
                    </a:ln>
                  </pic:spPr>
                </pic:pic>
              </a:graphicData>
            </a:graphic>
          </wp:inline>
        </w:drawing>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9D6132">
        <w:rPr>
          <w:rFonts w:ascii="Book Antiqua" w:hAnsi="Book Antiqua"/>
          <w:b/>
          <w:i/>
          <w:sz w:val="18"/>
          <w:szCs w:val="18"/>
        </w:rPr>
        <w:t>Figure 6:</w:t>
      </w:r>
      <w:r w:rsidRPr="009D6132">
        <w:rPr>
          <w:rFonts w:ascii="Book Antiqua" w:hAnsi="Book Antiqua"/>
          <w:i/>
          <w:sz w:val="18"/>
          <w:szCs w:val="18"/>
        </w:rPr>
        <w:t xml:space="preserve"> When current flow or temperature varies along a plasma filament, the magnetic field becomes unstable. In the top example there is the compression of material by the Bennett pinch, </w:t>
      </w:r>
      <w:r>
        <w:rPr>
          <w:rFonts w:ascii="Book Antiqua" w:hAnsi="Book Antiqua"/>
          <w:i/>
          <w:sz w:val="18"/>
          <w:szCs w:val="18"/>
        </w:rPr>
        <w:t xml:space="preserve">or “Z-pinch,” </w:t>
      </w:r>
      <w:r w:rsidRPr="009D6132">
        <w:rPr>
          <w:rFonts w:ascii="Book Antiqua" w:hAnsi="Book Antiqua"/>
          <w:i/>
          <w:sz w:val="18"/>
          <w:szCs w:val="18"/>
        </w:rPr>
        <w:t>while the bottom example is known as a</w:t>
      </w:r>
      <w:r>
        <w:rPr>
          <w:rFonts w:ascii="Book Antiqua" w:hAnsi="Book Antiqua"/>
          <w:i/>
          <w:sz w:val="18"/>
          <w:szCs w:val="18"/>
        </w:rPr>
        <w:t xml:space="preserve"> </w:t>
      </w:r>
      <w:r w:rsidRPr="009D6132">
        <w:rPr>
          <w:rFonts w:ascii="Book Antiqua" w:hAnsi="Book Antiqua"/>
          <w:i/>
          <w:sz w:val="18"/>
          <w:szCs w:val="18"/>
        </w:rPr>
        <w:t>“kink instability</w:t>
      </w:r>
      <w:r>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By 1985, Birkeland currents had become well-known and discussion of their role in an astronomical context was opening up. In that year, Fälthammer made an important comment. He wrote, </w:t>
      </w:r>
      <w:r w:rsidRPr="00370948">
        <w:rPr>
          <w:rFonts w:ascii="Book Antiqua" w:hAnsi="Book Antiqua"/>
          <w:i/>
          <w:sz w:val="20"/>
        </w:rPr>
        <w:t>“A reason why Birkeland currents are particularly interesting is that, in the plasma forced to carry them, they cause a number of plasma physical processes to occur (waves, instabilities, fine structure formation). These in turn lead to consequences such as acceleration of charged particles, both positive and negative, and element separation (such as preferential ejection of oxygen ions). Both of these classes of phenomena should have a general astrophysical interest far beyond that of understanding the space environment of our own earth.”</w:t>
      </w:r>
      <w:r w:rsidRPr="00370948">
        <w:rPr>
          <w:rFonts w:ascii="Book Antiqua" w:hAnsi="Book Antiqua"/>
          <w:sz w:val="20"/>
        </w:rPr>
        <w:t xml:space="preserve"> [14]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6B5906">
        <w:rPr>
          <w:rFonts w:ascii="Book Antiqua" w:hAnsi="Book Antiqua"/>
          <w:bCs/>
          <w:i/>
          <w:iCs/>
          <w:sz w:val="20"/>
        </w:rPr>
        <w:t>1.5. The Size Range Of Plasma Phenomena.</w:t>
      </w:r>
      <w:r w:rsidRPr="00370948">
        <w:rPr>
          <w:rFonts w:ascii="Book Antiqua" w:hAnsi="Book Antiqua"/>
          <w:bCs/>
          <w:i/>
          <w:iCs/>
          <w:sz w:val="20"/>
        </w:rPr>
        <w:t xml:space="preserve"> </w:t>
      </w:r>
    </w:p>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laboratory, plasmas commonly display the typical filamentary, rope-like, structure mentioned earlier, as well as occurring as thin current sheets. On a cosmic scale, plasmas exhibit the same filamentary structures that are associated with field-aligned Birkeland currents. There are many examples in nature of such electric currents aligned with magnetic fields. For instance, there are those in our atmosphere and the near space environment of our own earth. As Scott points out, </w:t>
      </w:r>
      <w:r w:rsidRPr="00370948">
        <w:rPr>
          <w:rFonts w:ascii="Book Antiqua" w:hAnsi="Book Antiqua"/>
          <w:i/>
          <w:sz w:val="20"/>
        </w:rPr>
        <w:t>“The strange ‘sprites’, ‘ELVES,’ and ‘blue jets’ associated with electrical storms on Earth are examples of Birkeland currents within the plasma of our upper atmosphere.”</w:t>
      </w:r>
      <w:r w:rsidRPr="00370948">
        <w:rPr>
          <w:rFonts w:ascii="Book Antiqua" w:hAnsi="Book Antiqua"/>
          <w:sz w:val="20"/>
        </w:rPr>
        <w:t xml:space="preserve"> [15] Again, as Peratt notes, auroras have been observed that have filaments parallel to the magnetic field with dimensions that range in length from about 100 meters to 100 kilometers [16, 17]. In auroras, these Birkeland current filaments are often called “auroral electro-jets” and carry currents of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m:t>
            </m:r>
          </m:sup>
        </m:sSup>
      </m:oMath>
      <w:r w:rsidRPr="00370948">
        <w:rPr>
          <w:rFonts w:ascii="Book Antiqua" w:hAnsi="Book Antiqua"/>
          <w:sz w:val="20"/>
        </w:rPr>
        <w:t xml:space="preserve"> amperes [18]. By contrast, current filaments in solar prominences can carry</w:t>
      </w:r>
      <w:r>
        <w:rPr>
          <w:rFonts w:ascii="Book Antiqua" w:hAnsi="Book Antiqua"/>
          <w:sz w:val="20"/>
        </w:rPr>
        <w:t xml:space="preserve"> up to</w:t>
      </w:r>
      <w:r w:rsidRPr="00370948">
        <w:rPr>
          <w:rFonts w:ascii="Book Antiqua" w:hAnsi="Book Antiqua"/>
          <w:sz w:val="20"/>
        </w:rPr>
        <w:t xml:space="preserve">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oMath>
      <w:r w:rsidRPr="00370948">
        <w:rPr>
          <w:rFonts w:ascii="Book Antiqua" w:hAnsi="Book Antiqua"/>
          <w:sz w:val="20"/>
        </w:rPr>
        <w:t xml:space="preserve"> amps</w:t>
      </w:r>
      <w:r>
        <w:rPr>
          <w:rFonts w:ascii="Book Antiqua" w:hAnsi="Book Antiqua"/>
          <w:sz w:val="20"/>
        </w:rPr>
        <w:t>. (S</w:t>
      </w:r>
      <w:r w:rsidRPr="00370948">
        <w:rPr>
          <w:rFonts w:ascii="Book Antiqua" w:hAnsi="Book Antiqua"/>
          <w:sz w:val="20"/>
        </w:rPr>
        <w:t xml:space="preserve">ee </w:t>
      </w:r>
      <w:r>
        <w:rPr>
          <w:rFonts w:ascii="Book Antiqua" w:hAnsi="Book Antiqua"/>
          <w:sz w:val="20"/>
        </w:rPr>
        <w:t>the following URL:</w:t>
      </w:r>
    </w:p>
    <w:p w:rsidR="005359B2" w:rsidRPr="00370948" w:rsidRDefault="00241D2F" w:rsidP="005359B2">
      <w:pPr>
        <w:pStyle w:val="NoSpacing"/>
        <w:jc w:val="both"/>
        <w:rPr>
          <w:rFonts w:ascii="Book Antiqua" w:hAnsi="Book Antiqua"/>
          <w:sz w:val="20"/>
        </w:rPr>
      </w:pPr>
      <w:hyperlink r:id="rId280" w:history="1">
        <w:r w:rsidR="005359B2" w:rsidRPr="00F11A91">
          <w:rPr>
            <w:rStyle w:val="Hyperlink"/>
            <w:rFonts w:ascii="Book Antiqua" w:hAnsi="Book Antiqua"/>
            <w:i/>
            <w:sz w:val="20"/>
          </w:rPr>
          <w:t>http://www.thunderbolts.info/tpod/2005/arch05/051031plasma.htm</w:t>
        </w:r>
      </w:hyperlink>
      <w:r w:rsidR="005359B2">
        <w:t>).</w:t>
      </w:r>
      <w:r w:rsidR="005359B2"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Photographs of the Sun by the Swedish Solar Telescope revealed Birkeland currents called </w:t>
      </w:r>
      <w:r w:rsidRPr="00370948">
        <w:rPr>
          <w:rFonts w:ascii="Book Antiqua" w:hAnsi="Book Antiqua"/>
          <w:i/>
          <w:sz w:val="20"/>
        </w:rPr>
        <w:t>“spicule jets [that measure] about 300 miles in diameter, and a length of 2000 to 5000 miles.”</w:t>
      </w:r>
      <w:r w:rsidRPr="00370948">
        <w:rPr>
          <w:rFonts w:ascii="Book Antiqua" w:hAnsi="Book Antiqua"/>
          <w:sz w:val="20"/>
        </w:rPr>
        <w:t xml:space="preserve"> [19] During March 2007, the Hinode Space Telescope sent back solar images that also confirm Alfvén’s analysis and reveal Birkeland currents on the sun of 8000 kilometers long. At a NASA Press Conference in 2007, Leon Golub from the Harvard-Smithsonian Center for Astrophysics (CfA) said, </w:t>
      </w:r>
      <w:r w:rsidRPr="00370948">
        <w:rPr>
          <w:rFonts w:ascii="Book Antiqua" w:hAnsi="Book Antiqua"/>
          <w:i/>
          <w:sz w:val="20"/>
        </w:rPr>
        <w:t xml:space="preserve">“We’ve seen many new and unexpected things. Everything we thought we knew about X-ray images of the Sun is now out of </w:t>
      </w:r>
      <w:r w:rsidRPr="00370948">
        <w:rPr>
          <w:rFonts w:ascii="Book Antiqua" w:hAnsi="Book Antiqua"/>
          <w:i/>
          <w:sz w:val="20"/>
        </w:rPr>
        <w:lastRenderedPageBreak/>
        <w:t>date.”</w:t>
      </w:r>
      <w:r w:rsidRPr="00370948">
        <w:rPr>
          <w:rFonts w:ascii="Book Antiqua" w:hAnsi="Book Antiqua"/>
          <w:sz w:val="20"/>
        </w:rPr>
        <w:t xml:space="preserve"> [20] Additional images emphasizing the role of Birkeland currents on the Sun are available on the </w:t>
      </w:r>
      <w:r w:rsidRPr="00370948">
        <w:rPr>
          <w:rFonts w:ascii="Book Antiqua" w:hAnsi="Book Antiqua"/>
          <w:i/>
          <w:sz w:val="20"/>
        </w:rPr>
        <w:t xml:space="preserve">Nature </w:t>
      </w:r>
      <w:r w:rsidRPr="00370948">
        <w:rPr>
          <w:rFonts w:ascii="Book Antiqua" w:hAnsi="Book Antiqua"/>
          <w:sz w:val="20"/>
        </w:rPr>
        <w:t xml:space="preserve">website [21].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Peratt also mentions that space probes have found “flux ropes” in the ionosphere of Venus whose filamentary diameters are of the order of 20 kilometers [16, 17].  On a larger scale he lists examples of plasma filaments in the Veil, Orion, and Crab nebulas. Additionally, at the 1999 International Conference on Plasma Science in Monterey, California, radio astronomer Gerrit Verschuur announced that after high resolution processing of the data from about 2000 clouds of so-called ‘neutral hydrogen’ in our galaxy, he found they were actually made up of plasma filaments which twisted and wound like helices over enormous distances. He estimated that the interstellar filaments conducted electricity having currents as high as ten-thousand-billion amperes [22].</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On 12th January, 2006, astronomers announced discovery of a helical magnetic field in interstellar space, coiled like a snake around a gas cloud in the constellation of Orion. </w:t>
      </w:r>
      <w:r w:rsidRPr="00370948">
        <w:rPr>
          <w:rFonts w:ascii="Book Antiqua" w:hAnsi="Book Antiqua"/>
          <w:i/>
          <w:sz w:val="20"/>
        </w:rPr>
        <w:t>"You can think of this structure as a giant, magnetic Slinky wrapped around a long, finger-like interstellar cloud,"</w:t>
      </w:r>
      <w:r w:rsidRPr="00370948">
        <w:rPr>
          <w:rFonts w:ascii="Book Antiqua" w:hAnsi="Book Antiqua"/>
          <w:sz w:val="20"/>
        </w:rPr>
        <w:t xml:space="preserve"> said Timothy Robishaw, a graduate student in astronomy at the University of California, Berkeley. </w:t>
      </w:r>
      <w:r w:rsidRPr="00370948">
        <w:rPr>
          <w:rFonts w:ascii="Book Antiqua" w:hAnsi="Book Antiqua"/>
          <w:i/>
          <w:sz w:val="20"/>
        </w:rPr>
        <w:t>"The magnetic field lines are like stretched rubber bands; the tension squeezes the cloud into its filamentary shape."</w:t>
      </w:r>
      <w:r w:rsidRPr="00370948">
        <w:rPr>
          <w:rFonts w:ascii="Book Antiqua" w:hAnsi="Book Antiqua"/>
          <w:sz w:val="20"/>
        </w:rPr>
        <w:t xml:space="preserve"> This announcement by Robishaw and Carl Heiles, UC Berkeley professor of astronomy, was made during a presentation at the American Astronomical Society meeting in Washington, D.C. The results of the examination of the Orion Molecular Cloud using the Green Bank Radio Telescope in West Virginia were presented visually in Figure </w:t>
      </w:r>
      <w:r>
        <w:rPr>
          <w:rFonts w:ascii="Book Antiqua" w:hAnsi="Book Antiqua"/>
          <w:sz w:val="20"/>
        </w:rPr>
        <w:t>7</w:t>
      </w:r>
      <w:r w:rsidRPr="00370948">
        <w:rPr>
          <w:rFonts w:ascii="Book Antiqua" w:hAnsi="Book Antiqua"/>
          <w:sz w:val="20"/>
        </w:rPr>
        <w:t>.</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color w:val="000000"/>
          <w:sz w:val="20"/>
        </w:rPr>
        <w:drawing>
          <wp:inline distT="0" distB="0" distL="0" distR="0">
            <wp:extent cx="4376218" cy="3427788"/>
            <wp:effectExtent l="19050" t="0" r="5282" b="0"/>
            <wp:docPr id="798" name="Picture 1" descr="Helical magnetic field wrapping around molecular cloud in O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ical magnetic field wrapping around molecular cloud in Orion"/>
                    <pic:cNvPicPr>
                      <a:picLocks noChangeAspect="1" noChangeArrowheads="1"/>
                    </pic:cNvPicPr>
                  </pic:nvPicPr>
                  <pic:blipFill>
                    <a:blip r:embed="rId281" cstate="print"/>
                    <a:srcRect/>
                    <a:stretch>
                      <a:fillRect/>
                    </a:stretch>
                  </pic:blipFill>
                  <pic:spPr bwMode="auto">
                    <a:xfrm>
                      <a:off x="0" y="0"/>
                      <a:ext cx="4385018" cy="3434681"/>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7</w:t>
      </w:r>
      <w:r w:rsidRPr="00793FB3">
        <w:rPr>
          <w:rFonts w:ascii="Book Antiqua" w:hAnsi="Book Antiqua"/>
          <w:b/>
          <w:i/>
          <w:sz w:val="18"/>
          <w:szCs w:val="18"/>
        </w:rPr>
        <w:t>:</w:t>
      </w:r>
      <w:r w:rsidRPr="00793FB3">
        <w:rPr>
          <w:rFonts w:ascii="Book Antiqua" w:hAnsi="Book Antiqua"/>
          <w:i/>
          <w:sz w:val="18"/>
          <w:szCs w:val="18"/>
        </w:rPr>
        <w:t xml:space="preserve"> The Orion Molecular Cloud superimposed on the Orion constellation, with the orange star Betelgeuse at the top corner and the blue star Rigel at the bottom. The inset shows the Slinky-like coils of the helical magnetic field surrounding the filamentary cloud.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Many years earlier, in 1984, Yusef-Zudeh et al. had pointed out that twisting filaments, held by a magnetic field, extend for nearly 500 light years in the center of our galaxy and were characteristically 3 light years wide [23]. About the same time Perley et al. demonstrated that filaments may exceed a length of 65,000 light years within the radio bright lobes </w:t>
      </w:r>
      <w:r w:rsidRPr="00370948">
        <w:rPr>
          <w:rFonts w:ascii="Book Antiqua" w:hAnsi="Book Antiqua"/>
          <w:sz w:val="20"/>
        </w:rPr>
        <w:lastRenderedPageBreak/>
        <w:t>of double radio galaxies [24]. Thus the magnetic pinch of a Birkeland current can maintain filaments of glowing matter over distances of thousands of light years.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Additional research has yielded more evidence of plasma interactions in our solar system.  Space probes have shown that Jupiter’s rings and moons exist within an intense region of ions and electrons trapped in the planet’s magnetic field. These particles and fields comprise the Jovian magnetosphere and plasmasphere which extends 3 to 7 million kilometers towards the Sun and stretches in a windsock shape past Saturn’s orbit. Saturn sometimes passes through it. If this plasmasphere were in glow mode, it would appear larger than the full moon to us. Indeed, the Sun itself would easily fit within its limits [25].</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NASA’s Spitzer space telescope gives another example.  One of the first images it returned after launch was of the spiral galaxy M81. The Spitzer space telescope detected faint infra-red or heat radiation through clouds of obscuring material. In this way it was able to give an excellent view of the filaments that form the entire galactic structure of the galaxy M81. This can be viewed in Fig</w:t>
      </w:r>
      <w:r>
        <w:rPr>
          <w:rFonts w:ascii="Book Antiqua" w:hAnsi="Book Antiqua"/>
          <w:sz w:val="20"/>
        </w:rPr>
        <w:t>ure</w:t>
      </w:r>
      <w:r w:rsidRPr="00370948">
        <w:rPr>
          <w:rFonts w:ascii="Book Antiqua" w:hAnsi="Book Antiqua"/>
          <w:sz w:val="20"/>
        </w:rPr>
        <w:t xml:space="preserve"> </w:t>
      </w:r>
      <w:r>
        <w:rPr>
          <w:rFonts w:ascii="Book Antiqua" w:hAnsi="Book Antiqua"/>
          <w:sz w:val="20"/>
        </w:rPr>
        <w:t>8</w:t>
      </w:r>
      <w:r w:rsidRPr="00370948">
        <w:rPr>
          <w:rFonts w:ascii="Book Antiqua" w:hAnsi="Book Antiqua"/>
          <w:sz w:val="20"/>
        </w:rPr>
        <w:t xml:space="preserve"> and at [26] or [27].</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noProof/>
          <w:sz w:val="20"/>
        </w:rPr>
      </w:pPr>
      <w:r w:rsidRPr="00370948">
        <w:rPr>
          <w:rFonts w:ascii="Book Antiqua" w:hAnsi="Book Antiqua"/>
          <w:noProof/>
          <w:sz w:val="20"/>
        </w:rPr>
        <w:drawing>
          <wp:inline distT="0" distB="0" distL="0" distR="0">
            <wp:extent cx="5290252" cy="3219450"/>
            <wp:effectExtent l="19050" t="0" r="5648" b="0"/>
            <wp:docPr id="799" name="il_fi" descr="http://www.athenaeum.athenaverse.com/archives/galaxy_86big_M81_spitzer-telescope_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henaeum.athenaverse.com/archives/galaxy_86big_M81_spitzer-telescope_nasa.jpg"/>
                    <pic:cNvPicPr>
                      <a:picLocks noChangeAspect="1" noChangeArrowheads="1"/>
                    </pic:cNvPicPr>
                  </pic:nvPicPr>
                  <pic:blipFill>
                    <a:blip r:embed="rId282" cstate="print"/>
                    <a:srcRect l="10052" t="15801" r="2922" b="13987"/>
                    <a:stretch>
                      <a:fillRect/>
                    </a:stretch>
                  </pic:blipFill>
                  <pic:spPr bwMode="auto">
                    <a:xfrm>
                      <a:off x="0" y="0"/>
                      <a:ext cx="5306190" cy="3229149"/>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noProof/>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noProof/>
          <w:sz w:val="18"/>
          <w:szCs w:val="18"/>
        </w:rPr>
        <w:t xml:space="preserve">Figure </w:t>
      </w:r>
      <w:r>
        <w:rPr>
          <w:rFonts w:ascii="Book Antiqua" w:hAnsi="Book Antiqua"/>
          <w:b/>
          <w:i/>
          <w:noProof/>
          <w:sz w:val="18"/>
          <w:szCs w:val="18"/>
        </w:rPr>
        <w:t>8</w:t>
      </w:r>
      <w:r w:rsidRPr="00793FB3">
        <w:rPr>
          <w:rFonts w:ascii="Book Antiqua" w:hAnsi="Book Antiqua"/>
          <w:b/>
          <w:i/>
          <w:noProof/>
          <w:sz w:val="18"/>
          <w:szCs w:val="18"/>
        </w:rPr>
        <w:t>:</w:t>
      </w:r>
      <w:r w:rsidRPr="00793FB3">
        <w:rPr>
          <w:rFonts w:ascii="Book Antiqua" w:hAnsi="Book Antiqua"/>
          <w:i/>
          <w:noProof/>
          <w:sz w:val="18"/>
          <w:szCs w:val="18"/>
        </w:rPr>
        <w:t xml:space="preserve"> Spitzer Space Telescope image of galaxy M81. The plasma filaments making up the spiral arms are prominent in this photo. The stars along these filaments have a classical “beads on a string” appearance which is typical of Z-pinches in plasma filaments.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Galaxies like this can extend to 150,000 light years in diameter. With these examples in mind, it is clear that plasma filaments and Birkeland currents behave in a consistent way at all scales, from laboratory experiments up to at least the size of galaxies. That is consistent behavior on a scale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 xml:space="preserve">On 3 November, 2009 ESO astronomers found over 150 galaxies some 6.7 billion light years away in a filamentary structure 60 million light years long [28]. On 18 May, 2012, astronomers using the Herschel Space Observatory found that two of the galaxy clusters within the RCS 2319+00 supercluster at </w:t>
      </w:r>
      <m:oMath>
        <m:r>
          <w:rPr>
            <w:rFonts w:ascii="Cambria Math" w:hAnsi="Cambria Math"/>
            <w:sz w:val="20"/>
          </w:rPr>
          <m:t>z</m:t>
        </m:r>
        <m:r>
          <w:rPr>
            <w:rFonts w:ascii="Cambria Math" w:hAnsi="Book Antiqua"/>
            <w:sz w:val="20"/>
          </w:rPr>
          <m:t xml:space="preserve"> = 0.9</m:t>
        </m:r>
      </m:oMath>
      <w:r w:rsidRPr="00370948">
        <w:rPr>
          <w:rFonts w:ascii="Book Antiqua" w:hAnsi="Book Antiqua"/>
          <w:sz w:val="20"/>
        </w:rPr>
        <w:t xml:space="preserve"> are connected by a filament 1.85 million light years long containing billions of stars. These findings confirm that the basic structure of the universe is filamentary with consistent behavior up to a scale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370948">
        <w:rPr>
          <w:rFonts w:ascii="Book Antiqua" w:hAnsi="Book Antiqua"/>
          <w:sz w:val="20"/>
        </w:rPr>
        <w:t xml:space="preserve"> [29].</w:t>
      </w:r>
    </w:p>
    <w:p w:rsidR="00050FFF" w:rsidRDefault="00050FFF" w:rsidP="005359B2">
      <w:pPr>
        <w:pStyle w:val="NoSpacing"/>
        <w:jc w:val="both"/>
        <w:rPr>
          <w:rFonts w:ascii="Book Antiqua" w:hAnsi="Book Antiqua"/>
          <w:sz w:val="20"/>
        </w:rPr>
      </w:pPr>
    </w:p>
    <w:p w:rsidR="00050FFF" w:rsidRPr="00370948" w:rsidRDefault="00050FFF"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370948">
        <w:rPr>
          <w:rFonts w:ascii="Book Antiqua" w:hAnsi="Book Antiqua"/>
          <w:bCs/>
          <w:i/>
          <w:iCs/>
          <w:sz w:val="20"/>
        </w:rPr>
        <w:lastRenderedPageBreak/>
        <w:t>1.6. Plasma Sheets And Double Layers.</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laboratory, as well as in space, plasma current sheets and double layers frequently occur. When an electric current flows through part of the volume of an extensive plasma, magnetic forces tend to compress the current into thin layers that pass through this volume.  In this way, electrical currents are confined to a surface within the plasma rather than spread throughout a volume of space. The presence of such a plasma sheet that extends throughout </w:t>
      </w:r>
      <w:r>
        <w:rPr>
          <w:rFonts w:ascii="Book Antiqua" w:hAnsi="Book Antiqua"/>
          <w:sz w:val="20"/>
        </w:rPr>
        <w:t>our</w:t>
      </w:r>
      <w:r w:rsidRPr="00370948">
        <w:rPr>
          <w:rFonts w:ascii="Book Antiqua" w:hAnsi="Book Antiqua"/>
          <w:sz w:val="20"/>
        </w:rPr>
        <w:t xml:space="preserve"> Solar System was first verified in 1965 [30].  It is now called the Heliospheric Current Sheet.   It is about 10,000 kilometers thick and is known to extend from the Sun to the regions beyond Pluto.</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sun’s corona contains plasma current sheets that typically have an aspect ratio, or breadth divided by thickness, of 100,000:1. However, the Heliospheric Current Sheet has an aspect ratio that is significantly greater than that. An illustration of this current sheet is in Figure </w:t>
      </w:r>
      <w:r>
        <w:rPr>
          <w:rFonts w:ascii="Book Antiqua" w:hAnsi="Book Antiqua"/>
          <w:sz w:val="20"/>
        </w:rPr>
        <w:t>9</w:t>
      </w:r>
      <w:r w:rsidRPr="00370948">
        <w:rPr>
          <w:rFonts w:ascii="Book Antiqua" w:hAnsi="Book Antiqua"/>
          <w:sz w:val="20"/>
        </w:rPr>
        <w:t xml:space="preserve"> and appropriate comment and discussion can be found at the link given in the Figure references.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690528" cy="2435838"/>
            <wp:effectExtent l="19050" t="0" r="0" b="0"/>
            <wp:docPr id="41" name="il_fi" descr="615px-Heliospheric-curren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15px-Heliospheric-current-sheet"/>
                    <pic:cNvPicPr>
                      <a:picLocks noChangeAspect="1" noChangeArrowheads="1"/>
                    </pic:cNvPicPr>
                  </pic:nvPicPr>
                  <pic:blipFill>
                    <a:blip r:embed="rId283" cstate="print"/>
                    <a:srcRect t="7358" r="1585" b="6126"/>
                    <a:stretch>
                      <a:fillRect/>
                    </a:stretch>
                  </pic:blipFill>
                  <pic:spPr bwMode="auto">
                    <a:xfrm>
                      <a:off x="0" y="0"/>
                      <a:ext cx="4690095" cy="243561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9</w:t>
      </w:r>
      <w:r w:rsidRPr="00793FB3">
        <w:rPr>
          <w:rFonts w:ascii="Book Antiqua" w:hAnsi="Book Antiqua"/>
          <w:b/>
          <w:i/>
          <w:sz w:val="18"/>
          <w:szCs w:val="18"/>
        </w:rPr>
        <w:t>:</w:t>
      </w:r>
      <w:r w:rsidRPr="00793FB3">
        <w:rPr>
          <w:rFonts w:ascii="Book Antiqua" w:hAnsi="Book Antiqua"/>
          <w:i/>
          <w:sz w:val="18"/>
          <w:szCs w:val="18"/>
        </w:rPr>
        <w:t xml:space="preserve"> The Sun’s heliospheric current sheet is the surface within the </w:t>
      </w:r>
      <w:hyperlink r:id="rId284" w:tooltip="Solar System" w:history="1">
        <w:r w:rsidRPr="00793FB3">
          <w:rPr>
            <w:rFonts w:ascii="Book Antiqua" w:hAnsi="Book Antiqua"/>
            <w:i/>
            <w:sz w:val="18"/>
            <w:szCs w:val="18"/>
          </w:rPr>
          <w:t>Solar System</w:t>
        </w:r>
      </w:hyperlink>
      <w:r w:rsidRPr="00793FB3">
        <w:rPr>
          <w:rFonts w:ascii="Book Antiqua" w:hAnsi="Book Antiqua"/>
          <w:i/>
          <w:sz w:val="18"/>
          <w:szCs w:val="18"/>
        </w:rPr>
        <w:t xml:space="preserve"> where the </w:t>
      </w:r>
      <w:hyperlink r:id="rId285" w:tooltip="Magnet" w:history="1">
        <w:r w:rsidRPr="00793FB3">
          <w:rPr>
            <w:rFonts w:ascii="Book Antiqua" w:hAnsi="Book Antiqua"/>
            <w:i/>
            <w:sz w:val="18"/>
            <w:szCs w:val="18"/>
          </w:rPr>
          <w:t>polarity</w:t>
        </w:r>
      </w:hyperlink>
      <w:r w:rsidRPr="00793FB3">
        <w:rPr>
          <w:rFonts w:ascii="Book Antiqua" w:hAnsi="Book Antiqua"/>
          <w:i/>
          <w:sz w:val="18"/>
          <w:szCs w:val="18"/>
        </w:rPr>
        <w:t xml:space="preserve"> of the </w:t>
      </w:r>
      <w:hyperlink r:id="rId286" w:tooltip="Sun" w:history="1">
        <w:r w:rsidRPr="00793FB3">
          <w:rPr>
            <w:rFonts w:ascii="Book Antiqua" w:hAnsi="Book Antiqua"/>
            <w:i/>
            <w:sz w:val="18"/>
            <w:szCs w:val="18"/>
          </w:rPr>
          <w:t>Sun</w:t>
        </w:r>
      </w:hyperlink>
      <w:r w:rsidRPr="00793FB3">
        <w:rPr>
          <w:rFonts w:ascii="Book Antiqua" w:hAnsi="Book Antiqua"/>
          <w:i/>
          <w:sz w:val="18"/>
          <w:szCs w:val="18"/>
        </w:rPr>
        <w:t xml:space="preserve">'s </w:t>
      </w:r>
      <w:hyperlink r:id="rId287" w:tooltip="Magnetic field" w:history="1">
        <w:r w:rsidRPr="00793FB3">
          <w:rPr>
            <w:rFonts w:ascii="Book Antiqua" w:hAnsi="Book Antiqua"/>
            <w:i/>
            <w:sz w:val="18"/>
            <w:szCs w:val="18"/>
          </w:rPr>
          <w:t>magnetic field</w:t>
        </w:r>
      </w:hyperlink>
      <w:r w:rsidRPr="00793FB3">
        <w:rPr>
          <w:rFonts w:ascii="Book Antiqua" w:hAnsi="Book Antiqua"/>
          <w:i/>
          <w:sz w:val="18"/>
          <w:szCs w:val="18"/>
        </w:rPr>
        <w:t xml:space="preserve"> changes from north to south. Its shape comes from the Sun’s rotating magnetic field which is at an angle to the plane of the orbits of the planets.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 related phenomenon is the formation of a Double Layer in plasma (abbreviated as DL).  Irving Langmuir discovered that current-carrying plasmas isolate themselves electrically. Wherever there is a significant voltage difference between sections of plasma, it will be largely confined by the formation of two parallel layers within that plasma which have opposite charges. One layer will have an excess of positive ions while the other layer will consist of an excess of negative charges. Because this protective double layer forms so readily and spontaneously in ionized gases, it appears as if it almost has a life of its own. As a result, Langmuir was moved to call this ionized gas “plasma” as it was reminiscent of blood plasma. He then invented his ingenious probe to measure DL voltage differences.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Since most of the voltage drop within a given section of plasma will be contained in the DL, it follows that this is where the strongest electric field will be found. This also means that these double layers can accelerate charged particles to very high energies. Thus, with DL in our earth’s magnetosphere, kilovolt energies are common for charged particles [31 – 34]. In space, the energies are even higher. It should also be noted that Birkeland currents are usually sheathed in a double layer. Therefore such currents can be associated with high particle energies and velocities.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Several mechanisms exist whereby a DL can be formed. One such mechanism occurs if plasma is divided into two regions having temperature or density differences, and a surface, plane or interface separating them. If we consider temperature differences, we find that electrons from the hot side of the plasma will travel at a higher velocity than those </w:t>
      </w:r>
      <w:r w:rsidRPr="00370948">
        <w:rPr>
          <w:rFonts w:ascii="Book Antiqua" w:hAnsi="Book Antiqua"/>
          <w:sz w:val="20"/>
        </w:rPr>
        <w:lastRenderedPageBreak/>
        <w:t>in the cooler side. Although electrons may stream freely in either direction, the flux of electrons from the hot area to the cooler area will be greater than the flux of the electrons in the other direction. This occurs because the electrons from the hot side have a greater average speed. Since more electrons enter the cool plasma than exit it, part of the cool region becomes negatively charged as the number of electrons there increases. The hot region will then become positively charged. This results in a potential difference between the two regions, causing an electric field to build.  This field then starts to accelerate electrons towards the hot region of plasma, reducing the net flux. In the end, the electric field increases until the fluxes of electrons in either direction are equal, preventing further charge build up in the two plasma regions. The DL which has formed has a drop in electric potential that is exactly balanced by the difference in thermal potential between the two plasma regions. In general, the oppositely charged DL are usually maintained because their electric potential difference is balanced by a compensating pressure which may have a variety of origins.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1.7. Cosmological Plasma Filaments And Sheets. </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Surveys have shown cosmos-wide examples of plasma filaments and sheets occur. The Cambridge Cosmology group reproduces the diagram from the CfA survey of large-scale structures of the universe and comment that:</w:t>
      </w:r>
      <w:r>
        <w:rPr>
          <w:rFonts w:ascii="Book Antiqua" w:hAnsi="Book Antiqua"/>
          <w:sz w:val="20"/>
        </w:rPr>
        <w:t xml:space="preserve"> </w:t>
      </w:r>
      <w:r w:rsidRPr="00370948">
        <w:rPr>
          <w:rFonts w:ascii="Book Antiqua" w:hAnsi="Book Antiqua"/>
          <w:sz w:val="20"/>
        </w:rPr>
        <w:t>“</w:t>
      </w:r>
      <w:r w:rsidRPr="00370948">
        <w:rPr>
          <w:rFonts w:ascii="Book Antiqua" w:hAnsi="Book Antiqua"/>
          <w:i/>
          <w:iCs/>
          <w:sz w:val="20"/>
        </w:rPr>
        <w:t xml:space="preserve">Galaxy positions are plotted as white points and large filamentary and sheet-like structures are evident, as well as bubble-like voids.” </w:t>
      </w:r>
      <w:r w:rsidRPr="00370948">
        <w:rPr>
          <w:rFonts w:ascii="Book Antiqua" w:hAnsi="Book Antiqua"/>
          <w:iCs/>
          <w:sz w:val="20"/>
        </w:rPr>
        <w:t>[35]</w:t>
      </w:r>
      <w:r w:rsidRPr="00370948">
        <w:rPr>
          <w:rFonts w:ascii="Book Antiqua" w:hAnsi="Book Antiqua"/>
          <w:sz w:val="20"/>
        </w:rPr>
        <w:t xml:space="preserve"> They state </w:t>
      </w:r>
      <w:r w:rsidRPr="00370948">
        <w:rPr>
          <w:rFonts w:ascii="Book Antiqua" w:hAnsi="Book Antiqua"/>
          <w:i/>
          <w:sz w:val="20"/>
        </w:rPr>
        <w:t xml:space="preserve">“Deep redshift surveys reveal a very bubbly structure to the universe with galaxies primarily confined to sheets and filaments.” </w:t>
      </w:r>
      <w:r w:rsidRPr="00370948">
        <w:rPr>
          <w:rFonts w:ascii="Book Antiqua" w:hAnsi="Book Antiqua"/>
          <w:sz w:val="20"/>
        </w:rPr>
        <w:t xml:space="preserve">[35] Similarly, the Particle Physics and Astronomy Research Council (PPARC) website states that large-scale surveys of the cosmos </w:t>
      </w:r>
      <w:r w:rsidRPr="00370948">
        <w:rPr>
          <w:rFonts w:ascii="Book Antiqua" w:hAnsi="Book Antiqua"/>
          <w:i/>
          <w:sz w:val="20"/>
        </w:rPr>
        <w:t xml:space="preserve">“reveal the hierarchical structure of galaxies, galaxy clusters and superclusters linked by filaments and sheets surrounding huge voids.” </w:t>
      </w:r>
      <w:r w:rsidRPr="00370948">
        <w:rPr>
          <w:rFonts w:ascii="Book Antiqua" w:hAnsi="Book Antiqua"/>
          <w:sz w:val="20"/>
        </w:rPr>
        <w:t>[36]</w:t>
      </w:r>
      <w:r w:rsidRPr="00370948">
        <w:rPr>
          <w:rFonts w:ascii="Book Antiqua" w:hAnsi="Book Antiqua"/>
          <w:i/>
          <w:sz w:val="20"/>
        </w:rPr>
        <w:t xml:space="preserve"> </w:t>
      </w:r>
      <w:r w:rsidRPr="00370948">
        <w:rPr>
          <w:rFonts w:ascii="Book Antiqua" w:hAnsi="Book Antiqua"/>
          <w:sz w:val="20"/>
        </w:rPr>
        <w:t xml:space="preserve">Their three dimensional diagram of filaments can be found at [36] with comments on their website [37]. Figure </w:t>
      </w:r>
      <w:r>
        <w:rPr>
          <w:rFonts w:ascii="Book Antiqua" w:hAnsi="Book Antiqua"/>
          <w:sz w:val="20"/>
        </w:rPr>
        <w:t>10</w:t>
      </w:r>
      <w:r w:rsidRPr="00370948">
        <w:rPr>
          <w:rFonts w:ascii="Book Antiqua" w:hAnsi="Book Antiqua"/>
          <w:sz w:val="20"/>
        </w:rPr>
        <w:t xml:space="preserve"> plots galaxy positions using USA and European facilities.</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cs="Arial"/>
          <w:sz w:val="18"/>
          <w:szCs w:val="18"/>
        </w:rPr>
      </w:pPr>
      <w:r w:rsidRPr="00370948">
        <w:rPr>
          <w:rFonts w:ascii="Book Antiqua" w:hAnsi="Book Antiqua" w:cs="Arial"/>
          <w:noProof/>
          <w:sz w:val="20"/>
        </w:rPr>
        <w:drawing>
          <wp:inline distT="0" distB="0" distL="0" distR="0">
            <wp:extent cx="3943692" cy="3334871"/>
            <wp:effectExtent l="19050" t="0" r="0" b="0"/>
            <wp:docPr id="51" name="il_fi" descr="ZPE-Plasma_model_clip_image0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ZPE-Plasma_model_clip_image002_0001"/>
                    <pic:cNvPicPr>
                      <a:picLocks noChangeAspect="1" noChangeArrowheads="1"/>
                    </pic:cNvPicPr>
                  </pic:nvPicPr>
                  <pic:blipFill>
                    <a:blip r:embed="rId288" cstate="print"/>
                    <a:srcRect l="2785" t="6261" r="8653" b="1788"/>
                    <a:stretch>
                      <a:fillRect/>
                    </a:stretch>
                  </pic:blipFill>
                  <pic:spPr bwMode="auto">
                    <a:xfrm>
                      <a:off x="0" y="0"/>
                      <a:ext cx="3946848" cy="3337540"/>
                    </a:xfrm>
                    <a:prstGeom prst="rect">
                      <a:avLst/>
                    </a:prstGeom>
                    <a:noFill/>
                    <a:ln w="9525">
                      <a:noFill/>
                      <a:miter lim="800000"/>
                      <a:headEnd/>
                      <a:tailEnd/>
                    </a:ln>
                  </pic:spPr>
                </pic:pic>
              </a:graphicData>
            </a:graphic>
          </wp:inline>
        </w:drawing>
      </w:r>
    </w:p>
    <w:p w:rsidR="005359B2" w:rsidRPr="00370948" w:rsidRDefault="005359B2" w:rsidP="005359B2">
      <w:pPr>
        <w:pStyle w:val="NoSpacing"/>
        <w:rPr>
          <w:rFonts w:ascii="Book Antiqua" w:hAnsi="Book Antiqua" w:cs="Arial"/>
          <w:sz w:val="18"/>
          <w:szCs w:val="18"/>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10</w:t>
      </w:r>
      <w:r w:rsidRPr="00793FB3">
        <w:rPr>
          <w:rFonts w:ascii="Book Antiqua" w:hAnsi="Book Antiqua"/>
          <w:b/>
          <w:i/>
          <w:sz w:val="18"/>
          <w:szCs w:val="18"/>
        </w:rPr>
        <w:t>:</w:t>
      </w:r>
      <w:r w:rsidRPr="00793FB3">
        <w:rPr>
          <w:rFonts w:ascii="Book Antiqua" w:hAnsi="Book Antiqua"/>
          <w:i/>
          <w:sz w:val="18"/>
          <w:szCs w:val="18"/>
        </w:rPr>
        <w:t xml:space="preserve"> Plot of observed galaxy positions from European and USA facilities, October 2006. The yellow and green dots are galaxies and the red dots are galaxy clusters. Blue lines mark the filamentary structure.</w:t>
      </w:r>
    </w:p>
    <w:p w:rsidR="005359B2" w:rsidRPr="00370948" w:rsidRDefault="005359B2" w:rsidP="005359B2">
      <w:pPr>
        <w:pStyle w:val="NoSpacing"/>
        <w:jc w:val="both"/>
        <w:rPr>
          <w:rFonts w:ascii="Book Antiqua" w:hAnsi="Book Antiqua" w:cs="Arial"/>
          <w:i/>
          <w:sz w:val="18"/>
          <w:szCs w:val="18"/>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These structures trace out the behavior of plasma filaments and sheets on a cosmological scale. This was just what Alfvén had predicted, yet it caught many astrophysicists unprepared. Some still try to account for these structures using gravity, but they require the very finely tuned action </w:t>
      </w:r>
      <w:r w:rsidRPr="006B5906">
        <w:rPr>
          <w:rFonts w:ascii="Book Antiqua" w:hAnsi="Book Antiqua"/>
          <w:sz w:val="20"/>
        </w:rPr>
        <w:t>of</w:t>
      </w:r>
      <w:r>
        <w:rPr>
          <w:rFonts w:ascii="Book Antiqua" w:hAnsi="Book Antiqua"/>
          <w:sz w:val="20"/>
        </w:rPr>
        <w:t xml:space="preserve"> the unseen and unfound</w:t>
      </w:r>
      <w:r w:rsidRPr="006B5906">
        <w:rPr>
          <w:rFonts w:ascii="Book Antiqua" w:hAnsi="Book Antiqua"/>
          <w:sz w:val="20"/>
        </w:rPr>
        <w:t xml:space="preserve"> “dark matter</w:t>
      </w:r>
      <w:r w:rsidRPr="00370948">
        <w:rPr>
          <w:rFonts w:ascii="Book Antiqua" w:hAnsi="Book Antiqua"/>
          <w:sz w:val="20"/>
        </w:rPr>
        <w:t xml:space="preserve">” to produce the desired result. Nevertheless, if these structures are compared with typical plasma behavior, one cannot avoid the conclusion that </w:t>
      </w:r>
      <w:r w:rsidRPr="00370948">
        <w:rPr>
          <w:rFonts w:ascii="Book Antiqua" w:hAnsi="Book Antiqua"/>
          <w:sz w:val="20"/>
        </w:rPr>
        <w:lastRenderedPageBreak/>
        <w:t xml:space="preserve">the inception of the cosmos involved plasma sheets, filaments and Birkeland currents. They also show consistent plasma behavior from the laboratory to cosmos-wide scales.  </w:t>
      </w:r>
    </w:p>
    <w:p w:rsidR="005359B2" w:rsidRPr="00370948" w:rsidRDefault="005359B2" w:rsidP="005359B2">
      <w:pPr>
        <w:pStyle w:val="NoSpacing"/>
        <w:jc w:val="both"/>
        <w:rPr>
          <w:rFonts w:ascii="Book Antiqua" w:hAnsi="Book Antiqua"/>
          <w:sz w:val="20"/>
        </w:rPr>
      </w:pPr>
      <w:r w:rsidRPr="00370948">
        <w:rPr>
          <w:rFonts w:ascii="Book Antiqua" w:hAnsi="Book Antiqua" w:cs="Arial"/>
          <w:sz w:val="18"/>
          <w:szCs w:val="18"/>
        </w:rPr>
        <w:t xml:space="preserve"> </w:t>
      </w: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1.8. Sorting Of Elements By Plasma Currents.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Currents flowing in an ionized or partially ionized plasma can cause a separation of elements. When there are a variety of ions in a filament, there tends to be a preferential, radial transportation of ions. Elements with the lowest ionization potential are brought closest to the axis of the current. Peratt pointed out that the most abundant elements will be sorted into a layered structure in plasma filaments. He states: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370948">
        <w:rPr>
          <w:rFonts w:ascii="Book Antiqua" w:hAnsi="Book Antiqua"/>
          <w:i/>
          <w:sz w:val="20"/>
        </w:rPr>
        <w:t xml:space="preserve">“Helium will make up the most widely distributed outer layer; hydrogen, oxygen and nitrogen should form the middle layers; and iron silicon and magnesium will make up the inner layers. Interlap between the layers can be expected and, for the case of galaxies, the metal-to-hydrogen ratio should be maximum near center and decrease outwardly.” </w:t>
      </w:r>
      <w:r w:rsidRPr="00370948">
        <w:rPr>
          <w:rFonts w:ascii="Book Antiqua" w:hAnsi="Book Antiqua"/>
          <w:sz w:val="20"/>
        </w:rPr>
        <w:t xml:space="preserve">[38]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Going in the other direction, and starting in the center, the order of elements in terms of their ionization potentials in electron volts (eV) will begin with the radioactive elements Rubidium, Potassium, Radium, Uranium, Plutonium and Thorium (4.5 to 6 eV).  Continuing out, still in order of ionization potential are Nickel, Iron and metals (7.7 eV); then Silicon (8.2 eV);  followed by Sulfur and Carbon (10.5 to 11.3 eV). The outermost elements would be Hydrogen and Oxygen (13.6 eV), followed by Nitrogen (14.5 eV) and Helium (24.5 eV). As Peratt points out, this mechanism provides an efficient means to accumulate matter within a plasma [39]. This property of plasma filaments, which causes different  elements to distribute themselves radially according to their ionization potentials, was initially studied in detail by Marklund, and is now called Marklund convection [40]</w:t>
      </w:r>
      <w:r>
        <w:rPr>
          <w:rFonts w:ascii="Book Antiqua" w:hAnsi="Book Antiqua"/>
          <w:sz w:val="20"/>
        </w:rPr>
        <w:t xml:space="preserve"> (Figure 11)</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center"/>
        <w:rPr>
          <w:rFonts w:ascii="Book Antiqua" w:hAnsi="Book Antiqua"/>
          <w:sz w:val="20"/>
        </w:rPr>
      </w:pPr>
      <w:r w:rsidRPr="00370948">
        <w:rPr>
          <w:rFonts w:ascii="Book Antiqua" w:hAnsi="Book Antiqua"/>
          <w:sz w:val="20"/>
        </w:rPr>
        <w:object w:dxaOrig="7191" w:dyaOrig="5390">
          <v:shape id="_x0000_i1049" type="#_x0000_t75" style="width:327.35pt;height:265pt" o:ole="">
            <v:imagedata r:id="rId289" o:title=""/>
          </v:shape>
          <o:OLEObject Type="Embed" ProgID="PowerPoint.Slide.12" ShapeID="_x0000_i1049" DrawAspect="Content" ObjectID="_1438188861" r:id="rId290"/>
        </w:object>
      </w:r>
    </w:p>
    <w:p w:rsidR="005359B2" w:rsidRDefault="005359B2" w:rsidP="005359B2">
      <w:pPr>
        <w:pStyle w:val="NoSpacing"/>
        <w:rPr>
          <w:rFonts w:ascii="Book Antiqua" w:hAnsi="Book Antiqua"/>
          <w:i/>
          <w:sz w:val="18"/>
          <w:szCs w:val="18"/>
        </w:rPr>
      </w:pPr>
      <w:r w:rsidRPr="00370948">
        <w:rPr>
          <w:rFonts w:ascii="Book Antiqua" w:hAnsi="Book Antiqua"/>
          <w:sz w:val="18"/>
          <w:szCs w:val="18"/>
        </w:rPr>
        <w:t xml:space="preserve"> </w:t>
      </w:r>
      <w:r w:rsidRPr="00793FB3">
        <w:rPr>
          <w:rFonts w:ascii="Book Antiqua" w:hAnsi="Book Antiqua"/>
          <w:b/>
          <w:i/>
          <w:sz w:val="18"/>
          <w:szCs w:val="18"/>
        </w:rPr>
        <w:t xml:space="preserve">Figure </w:t>
      </w:r>
      <w:r>
        <w:rPr>
          <w:rFonts w:ascii="Book Antiqua" w:hAnsi="Book Antiqua"/>
          <w:b/>
          <w:i/>
          <w:sz w:val="18"/>
          <w:szCs w:val="18"/>
        </w:rPr>
        <w:t>11</w:t>
      </w:r>
      <w:r w:rsidRPr="00793FB3">
        <w:rPr>
          <w:rFonts w:ascii="Book Antiqua" w:hAnsi="Book Antiqua"/>
          <w:b/>
          <w:i/>
          <w:sz w:val="18"/>
          <w:szCs w:val="18"/>
        </w:rPr>
        <w:t>:</w:t>
      </w:r>
      <w:r w:rsidRPr="00793FB3">
        <w:rPr>
          <w:rFonts w:ascii="Book Antiqua" w:hAnsi="Book Antiqua"/>
          <w:i/>
          <w:sz w:val="18"/>
          <w:szCs w:val="18"/>
        </w:rPr>
        <w:t xml:space="preserve"> Element sorting by Marklund Convection</w:t>
      </w:r>
      <w:r>
        <w:rPr>
          <w:rFonts w:ascii="Book Antiqua" w:hAnsi="Book Antiqua"/>
          <w:i/>
          <w:sz w:val="18"/>
          <w:szCs w:val="18"/>
        </w:rPr>
        <w:t xml:space="preserve">. Th elements iron and nickel will accumulate in the filament center with helium on the outside. </w:t>
      </w:r>
    </w:p>
    <w:p w:rsidR="005359B2" w:rsidRDefault="005359B2" w:rsidP="005359B2">
      <w:pPr>
        <w:pStyle w:val="NoSpacing"/>
        <w:rPr>
          <w:rFonts w:ascii="Book Antiqua" w:hAnsi="Book Antiqua"/>
          <w:i/>
          <w:sz w:val="18"/>
          <w:szCs w:val="18"/>
        </w:rPr>
      </w:pPr>
    </w:p>
    <w:p w:rsidR="005359B2" w:rsidRDefault="005359B2" w:rsidP="005359B2">
      <w:pPr>
        <w:pStyle w:val="NoSpacing"/>
        <w:jc w:val="both"/>
        <w:rPr>
          <w:rFonts w:ascii="Book Antiqua" w:hAnsi="Book Antiqua"/>
          <w:sz w:val="20"/>
        </w:rPr>
      </w:pPr>
      <w:r w:rsidRPr="00370948">
        <w:rPr>
          <w:rFonts w:ascii="Book Antiqua" w:hAnsi="Book Antiqua"/>
          <w:sz w:val="20"/>
        </w:rPr>
        <w:t xml:space="preserve">Marklund stated </w:t>
      </w:r>
      <w:r w:rsidRPr="00370948">
        <w:rPr>
          <w:rFonts w:ascii="Book Antiqua" w:hAnsi="Book Antiqua"/>
          <w:i/>
          <w:sz w:val="20"/>
        </w:rPr>
        <w:t xml:space="preserve">“In my paper in Nature the plasma convects radially inwards, with the normal [predicted] velocity, towards the center of a cylindrical flux tube. During this convection inwards, the different chemical constituents of the plasma, each having its specific ionization potential, enter into a progressively cooler region. The plasma constituents will recombine and become neutral, and </w:t>
      </w:r>
      <w:r w:rsidRPr="00370948">
        <w:rPr>
          <w:rFonts w:ascii="Book Antiqua" w:hAnsi="Book Antiqua"/>
          <w:i/>
          <w:sz w:val="20"/>
        </w:rPr>
        <w:lastRenderedPageBreak/>
        <w:t>thus no longer be under the influence of the electromagnetic forcing. The ionization potentials will thus determine where the different species will be deposited, or stopped in their motion.”</w:t>
      </w:r>
      <w:r w:rsidRPr="00370948">
        <w:rPr>
          <w:rFonts w:ascii="Book Antiqua" w:hAnsi="Book Antiqua"/>
          <w:sz w:val="20"/>
        </w:rPr>
        <w:t xml:space="preserve"> [</w:t>
      </w:r>
      <w:r w:rsidRPr="00BB1CFE">
        <w:rPr>
          <w:rFonts w:ascii="Book Antiqua" w:hAnsi="Book Antiqua"/>
          <w:sz w:val="20"/>
        </w:rPr>
        <w:t xml:space="preserve">41] Figure </w:t>
      </w:r>
      <w:r>
        <w:rPr>
          <w:rFonts w:ascii="Book Antiqua" w:hAnsi="Book Antiqua"/>
          <w:sz w:val="20"/>
        </w:rPr>
        <w:t>11</w:t>
      </w:r>
      <w:r w:rsidRPr="00BB1CFE">
        <w:rPr>
          <w:rFonts w:ascii="Book Antiqua" w:hAnsi="Book Antiqua"/>
          <w:sz w:val="20"/>
        </w:rPr>
        <w:t xml:space="preserve"> illustrates this.</w:t>
      </w:r>
    </w:p>
    <w:p w:rsidR="005359B2" w:rsidRPr="00793FB3" w:rsidRDefault="005359B2" w:rsidP="005359B2">
      <w:pPr>
        <w:pStyle w:val="NoSpacing"/>
        <w:rPr>
          <w:rFonts w:ascii="Book Antiqua" w:hAnsi="Book Antiqua"/>
          <w:i/>
          <w:sz w:val="18"/>
          <w:szCs w:val="18"/>
        </w:rPr>
      </w:pPr>
    </w:p>
    <w:p w:rsidR="005359B2" w:rsidRPr="00370948" w:rsidRDefault="005359B2" w:rsidP="005359B2">
      <w:pPr>
        <w:pStyle w:val="NoSpacing"/>
        <w:rPr>
          <w:rFonts w:ascii="Book Antiqua" w:hAnsi="Book Antiqua"/>
          <w:i/>
          <w:color w:val="FF0000"/>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Ionization potential charts show where, in a layered filament, the highest concentration of any element will probably be found. The velocity, </w:t>
      </w:r>
      <m:oMath>
        <m:r>
          <w:rPr>
            <w:rFonts w:ascii="Cambria Math" w:hAnsi="Cambria Math"/>
            <w:sz w:val="20"/>
          </w:rPr>
          <m:t>v</m:t>
        </m:r>
      </m:oMath>
      <w:r w:rsidRPr="00370948">
        <w:rPr>
          <w:rFonts w:ascii="Book Antiqua" w:hAnsi="Book Antiqua"/>
          <w:sz w:val="20"/>
        </w:rPr>
        <w:t>, with which the various ions will drift towards the center is given by [38]:</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oMath>
      <w:r w:rsidRPr="00370948">
        <w:rPr>
          <w:rFonts w:ascii="Book Antiqua" w:hAnsi="Book Antiqua"/>
          <w:sz w:val="20"/>
        </w:rPr>
        <w:t xml:space="preserve">   .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B</m:t>
        </m:r>
      </m:oMath>
      <w:r w:rsidRPr="00370948">
        <w:rPr>
          <w:rFonts w:ascii="Book Antiqua" w:hAnsi="Book Antiqua"/>
          <w:sz w:val="20"/>
        </w:rPr>
        <w:t xml:space="preserve"> is the magnetic flux density or magnetic induction, and the electromagnetic force on ions causing them to drift is given by </w:t>
      </w:r>
      <m:oMath>
        <m:r>
          <w:rPr>
            <w:rFonts w:ascii="Cambria Math" w:hAnsi="Book Antiqua"/>
            <w:sz w:val="20"/>
          </w:rPr>
          <m:t>(</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m:t>
        </m:r>
      </m:oMath>
      <w:r w:rsidRPr="00370948">
        <w:rPr>
          <w:rFonts w:ascii="Book Antiqua" w:hAnsi="Book Antiqua"/>
          <w:sz w:val="20"/>
        </w:rPr>
        <w:t xml:space="preserve">. It is generally true that the ion drift velocity in a system is given by the ratio of the electric field to the magnetic field, that is: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oMath>
      <w:r w:rsidRPr="00370948">
        <w:rPr>
          <w:rFonts w:ascii="Book Antiqua" w:hAnsi="Book Antiqua"/>
          <w:i/>
          <w:sz w:val="20"/>
        </w:rPr>
        <w:t xml:space="preserve">  . </w:t>
      </w:r>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(3)</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For electromagnetic waves, </w:t>
      </w:r>
      <m:oMath>
        <m:r>
          <w:rPr>
            <w:rFonts w:ascii="Cambria Math" w:hAnsi="Cambria Math"/>
            <w:sz w:val="20"/>
          </w:rPr>
          <m:t>v</m:t>
        </m:r>
        <m:r>
          <w:rPr>
            <w:rFonts w:ascii="Cambria Math" w:hAnsi="Book Antiqua"/>
            <w:sz w:val="20"/>
          </w:rPr>
          <m:t xml:space="preserve"> = </m:t>
        </m:r>
        <m:r>
          <w:rPr>
            <w:rFonts w:ascii="Cambria Math" w:hAnsi="Cambria Math"/>
            <w:sz w:val="20"/>
          </w:rPr>
          <m:t>c</m:t>
        </m:r>
      </m:oMath>
      <w:r w:rsidRPr="00370948">
        <w:rPr>
          <w:rFonts w:ascii="Book Antiqua" w:hAnsi="Book Antiqua"/>
          <w:sz w:val="20"/>
        </w:rPr>
        <w:t xml:space="preserve">, where </w:t>
      </w:r>
      <m:oMath>
        <m:r>
          <w:rPr>
            <w:rFonts w:ascii="Cambria Math" w:hAnsi="Cambria Math"/>
            <w:sz w:val="20"/>
          </w:rPr>
          <m:t>c</m:t>
        </m:r>
      </m:oMath>
      <w:r w:rsidRPr="00370948">
        <w:rPr>
          <w:rFonts w:ascii="Book Antiqua" w:hAnsi="Book Antiqua"/>
          <w:sz w:val="20"/>
        </w:rPr>
        <w:t xml:space="preserve"> is the velocity of light. In plasma out in space, the typical drift velocity of ions can often approach the speed of light, or at least a significant fraction of it. The formula for the rate of accumulation of ions in a filament is given by </w:t>
      </w:r>
      <m:oMath>
        <m:r>
          <w:rPr>
            <w:rFonts w:ascii="Cambria Math" w:hAnsi="Cambria Math"/>
            <w:sz w:val="20"/>
          </w:rPr>
          <m:t>dM</m:t>
        </m:r>
        <m:r>
          <w:rPr>
            <w:rFonts w:ascii="Cambria Math" w:hAnsi="Book Antiqua"/>
            <w:sz w:val="20"/>
          </w:rPr>
          <m:t>/</m:t>
        </m:r>
        <m:r>
          <w:rPr>
            <w:rFonts w:ascii="Cambria Math" w:hAnsi="Cambria Math"/>
            <w:sz w:val="20"/>
          </w:rPr>
          <m:t>dt</m:t>
        </m:r>
      </m:oMath>
      <w:r w:rsidRPr="00370948">
        <w:rPr>
          <w:rFonts w:ascii="Book Antiqua" w:hAnsi="Book Antiqua"/>
          <w:sz w:val="20"/>
        </w:rPr>
        <w:t xml:space="preserve"> which is defined as [42]: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r</m:t>
        </m:r>
      </m:oMath>
      <w:r w:rsidRPr="00370948">
        <w:rPr>
          <w:rFonts w:ascii="Book Antiqua" w:hAnsi="Book Antiqua"/>
          <w:sz w:val="20"/>
        </w:rPr>
        <w:t xml:space="preserve"> is the radius of the filament,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I</m:t>
        </m:r>
      </m:oMath>
      <w:r w:rsidRPr="00370948">
        <w:rPr>
          <w:rFonts w:ascii="Book Antiqua" w:hAnsi="Book Antiqua"/>
          <w:sz w:val="20"/>
        </w:rPr>
        <w:t xml:space="preserve"> is the electric current, </w:t>
      </w:r>
      <m:oMath>
        <m:r>
          <w:rPr>
            <w:rFonts w:ascii="Cambria Math" w:hAnsi="Cambria Math"/>
            <w:sz w:val="20"/>
          </w:rPr>
          <m:t>μ</m:t>
        </m:r>
      </m:oMath>
      <w:r w:rsidRPr="00370948">
        <w:rPr>
          <w:rFonts w:ascii="Book Antiqua" w:hAnsi="Book Antiqua"/>
          <w:sz w:val="20"/>
        </w:rPr>
        <w:t xml:space="preserve"> is the magnetic permeability of the vacuum and</w:t>
      </w:r>
      <m:oMath>
        <m:r>
          <w:rPr>
            <w:rFonts w:ascii="Cambria Math" w:hAnsi="Book Antiqua"/>
            <w:sz w:val="20"/>
          </w:rPr>
          <m:t xml:space="preserve"> </m:t>
        </m:r>
        <m:r>
          <w:rPr>
            <w:rFonts w:ascii="Cambria Math" w:hAnsi="Cambria Math"/>
            <w:sz w:val="20"/>
          </w:rPr>
          <m:t>ρ</m:t>
        </m:r>
      </m:oMath>
      <w:r w:rsidRPr="00370948">
        <w:rPr>
          <w:rFonts w:ascii="Book Antiqua" w:hAnsi="Book Antiqua"/>
          <w:sz w:val="20"/>
        </w:rPr>
        <w:t xml:space="preserve"> is the number density of ions.</w:t>
      </w:r>
    </w:p>
    <w:p w:rsidR="005359B2" w:rsidRPr="00370948" w:rsidRDefault="005359B2" w:rsidP="005359B2">
      <w:pPr>
        <w:pStyle w:val="NoSpacing"/>
        <w:rPr>
          <w:rFonts w:ascii="Book Antiqua" w:hAnsi="Book Antiqua"/>
          <w:b/>
          <w:bCs/>
          <w:iCs/>
          <w:sz w:val="20"/>
        </w:rPr>
      </w:pPr>
    </w:p>
    <w:p w:rsidR="005359B2" w:rsidRDefault="005359B2" w:rsidP="005359B2">
      <w:pPr>
        <w:pStyle w:val="NoSpacing"/>
        <w:rPr>
          <w:rFonts w:ascii="Book Antiqua" w:hAnsi="Book Antiqua"/>
          <w:bCs/>
          <w:i/>
          <w:iCs/>
          <w:sz w:val="20"/>
        </w:rPr>
      </w:pPr>
      <w:r w:rsidRPr="00370948">
        <w:rPr>
          <w:rFonts w:ascii="Book Antiqua" w:hAnsi="Book Antiqua"/>
          <w:bCs/>
          <w:i/>
          <w:iCs/>
          <w:sz w:val="20"/>
        </w:rPr>
        <w:t>1.9. Interactions Between Plasma Currents.</w:t>
      </w:r>
    </w:p>
    <w:p w:rsidR="005359B2" w:rsidRPr="00370948" w:rsidRDefault="005359B2" w:rsidP="005359B2">
      <w:pPr>
        <w:pStyle w:val="NoSpacing"/>
        <w:jc w:val="center"/>
        <w:rPr>
          <w:rFonts w:ascii="Book Antiqua" w:hAnsi="Book Antiqua"/>
          <w:bCs/>
          <w:i/>
          <w:iCs/>
          <w:sz w:val="20"/>
        </w:rPr>
      </w:pPr>
    </w:p>
    <w:p w:rsidR="005359B2" w:rsidRDefault="005359B2" w:rsidP="005359B2">
      <w:pPr>
        <w:pStyle w:val="NoSpacing"/>
        <w:jc w:val="center"/>
        <w:rPr>
          <w:rFonts w:ascii="Book Antiqua" w:hAnsi="Book Antiqua"/>
          <w:sz w:val="20"/>
        </w:rPr>
      </w:pPr>
      <w:r w:rsidRPr="009D7B14">
        <w:rPr>
          <w:rFonts w:ascii="Book Antiqua" w:hAnsi="Book Antiqua"/>
          <w:sz w:val="20"/>
        </w:rPr>
        <w:object w:dxaOrig="7191" w:dyaOrig="5390">
          <v:shape id="_x0000_i1050" type="#_x0000_t75" style="width:359.4pt;height:197.25pt" o:ole="">
            <v:imagedata r:id="rId291" o:title=""/>
          </v:shape>
          <o:OLEObject Type="Embed" ProgID="PowerPoint.Slide.12" ShapeID="_x0000_i1050" DrawAspect="Content" ObjectID="_1438188862" r:id="rId292"/>
        </w:object>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i/>
          <w:sz w:val="18"/>
          <w:szCs w:val="18"/>
        </w:rPr>
      </w:pPr>
      <w:r w:rsidRPr="00BB1EEF">
        <w:rPr>
          <w:rFonts w:ascii="Book Antiqua" w:hAnsi="Book Antiqua"/>
          <w:b/>
          <w:i/>
          <w:sz w:val="18"/>
          <w:szCs w:val="18"/>
        </w:rPr>
        <w:t>Figure 12:</w:t>
      </w:r>
      <w:r w:rsidRPr="00BB1EEF">
        <w:rPr>
          <w:rFonts w:ascii="Book Antiqua" w:hAnsi="Book Antiqua"/>
          <w:i/>
          <w:sz w:val="18"/>
          <w:szCs w:val="18"/>
        </w:rPr>
        <w:t xml:space="preserve"> The behavior of two parallel wires carrying a current. Wires with parallel currents attract, while anti-parallel currents repel. This occurs because of the attraction or repulsion of the circling magnetic fields in both wires. The same results occur for parallel plasma filaments</w:t>
      </w:r>
      <w:r>
        <w:rPr>
          <w:rFonts w:ascii="Book Antiqua" w:hAnsi="Book Antiqua"/>
          <w:i/>
          <w:sz w:val="18"/>
          <w:szCs w:val="18"/>
        </w:rPr>
        <w:t>.</w:t>
      </w:r>
    </w:p>
    <w:p w:rsidR="005359B2" w:rsidRPr="00BB1EEF" w:rsidRDefault="005359B2" w:rsidP="005359B2">
      <w:pPr>
        <w:pStyle w:val="NoSpacing"/>
        <w:jc w:val="both"/>
        <w:rPr>
          <w:rFonts w:ascii="Book Antiqua" w:hAnsi="Book Antiqua"/>
          <w:i/>
          <w:sz w:val="18"/>
          <w:szCs w:val="18"/>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Birkeland currents can interact with each other in different ways.  Two parallel Birkeland currents moving in the same direction will attract each other with a force that is inversely proportional to the distance between them. The attractive force is also proportional to the strength of each current multiplied together [43]. Thus stronger currents result in even stronger attractive forces. If the currents are moving in opposite directions, the same proportionalities hold but the force is repulsive. This also holds true for electric currents in parallel wires as Ampere first demonstrated in 1820. This can be </w:t>
      </w:r>
      <w:r w:rsidRPr="00370948">
        <w:rPr>
          <w:rFonts w:ascii="Book Antiqua" w:hAnsi="Book Antiqua"/>
          <w:sz w:val="20"/>
        </w:rPr>
        <w:lastRenderedPageBreak/>
        <w:t xml:space="preserve">expressed mathematically. If the attractive or repulsive force is </w:t>
      </w:r>
      <m:oMath>
        <m:r>
          <w:rPr>
            <w:rFonts w:ascii="Cambria Math" w:hAnsi="Cambria Math"/>
            <w:sz w:val="20"/>
          </w:rPr>
          <m:t>δF</m:t>
        </m:r>
      </m:oMath>
      <w:r w:rsidRPr="00370948">
        <w:rPr>
          <w:rFonts w:ascii="Book Antiqua" w:hAnsi="Book Antiqua"/>
          <w:sz w:val="20"/>
        </w:rPr>
        <w:t xml:space="preserve">, on a length </w:t>
      </w:r>
      <m:oMath>
        <m:r>
          <w:rPr>
            <w:rFonts w:ascii="Cambria Math" w:hAnsi="Cambria Math"/>
            <w:sz w:val="20"/>
          </w:rPr>
          <m:t>δl</m:t>
        </m:r>
      </m:oMath>
      <w:r w:rsidRPr="00370948">
        <w:rPr>
          <w:rFonts w:ascii="Book Antiqua" w:hAnsi="Book Antiqua"/>
          <w:sz w:val="20"/>
        </w:rPr>
        <w:t xml:space="preserve"> of either current whose distance apart is </w:t>
      </w:r>
      <m:oMath>
        <m:r>
          <w:rPr>
            <w:rFonts w:ascii="Cambria Math" w:hAnsi="Cambria Math"/>
            <w:sz w:val="20"/>
          </w:rPr>
          <m:t>r</m:t>
        </m:r>
      </m:oMath>
      <w:r w:rsidRPr="00370948">
        <w:rPr>
          <w:rFonts w:ascii="Book Antiqua" w:hAnsi="Book Antiqua"/>
          <w:sz w:val="20"/>
        </w:rPr>
        <w:t>, with the currents being</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I</m:t>
            </m:r>
          </m:e>
          <m:sub>
            <m:r>
              <w:rPr>
                <w:rFonts w:ascii="Cambria Math" w:hAnsi="Book Antiqua"/>
                <w:sz w:val="20"/>
              </w:rPr>
              <m:t>1</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oMath>
      <w:r w:rsidRPr="00370948">
        <w:rPr>
          <w:rFonts w:ascii="Book Antiqua" w:hAnsi="Book Antiqua"/>
          <w:sz w:val="20"/>
        </w:rPr>
        <w:t xml:space="preserve"> respectively, then we can write [44]: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(5)</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equation (5) the quantity </w:t>
      </w:r>
      <m:oMath>
        <m:r>
          <w:rPr>
            <w:rFonts w:ascii="Cambria Math" w:hAnsi="Cambria Math"/>
            <w:sz w:val="20"/>
          </w:rPr>
          <m:t>μ</m:t>
        </m:r>
      </m:oMath>
      <w:r w:rsidRPr="00370948">
        <w:rPr>
          <w:rFonts w:ascii="Book Antiqua" w:hAnsi="Book Antiqua"/>
          <w:sz w:val="20"/>
        </w:rPr>
        <w:t xml:space="preserve"> is again the magnetic permeability of the vacuum, as previously dealt with in Chapters 1 and 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360"/>
        <w:jc w:val="both"/>
        <w:rPr>
          <w:rFonts w:ascii="Book Antiqua" w:hAnsi="Book Antiqua"/>
          <w:sz w:val="20"/>
        </w:rPr>
      </w:pPr>
      <w:r w:rsidRPr="00370948">
        <w:rPr>
          <w:rFonts w:ascii="Book Antiqua" w:hAnsi="Book Antiqua"/>
          <w:sz w:val="20"/>
        </w:rPr>
        <w:t xml:space="preserve">The interactions which take place with electromagnetic forces contrasts sharply with gravitational forces.   Gravitational force is inversely proportional to the square of the distance [43]. Electromagnetic forces in plasma, however, can exceed gravitational forces by a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39</m:t>
            </m:r>
          </m:sup>
        </m:sSup>
      </m:oMath>
      <w:r w:rsidRPr="00370948">
        <w:rPr>
          <w:rFonts w:ascii="Book Antiqua" w:hAnsi="Book Antiqua"/>
          <w:sz w:val="20"/>
        </w:rPr>
        <w:t>. Even in neutral hydrogen regions of space where the ionization is as low as 1 part in 10,000, electromagnetism is nevertheless still about</w:t>
      </w:r>
      <m:oMath>
        <m:sSup>
          <m:sSupPr>
            <m:ctrlPr>
              <w:rPr>
                <w:rFonts w:ascii="Cambria Math" w:hAnsi="Book Antiqua"/>
                <w:i/>
                <w:sz w:val="20"/>
              </w:rPr>
            </m:ctrlPr>
          </m:sSupPr>
          <m:e>
            <m:r>
              <w:rPr>
                <w:rFonts w:ascii="Cambria Math" w:hAnsi="Book Antiqua"/>
                <w:sz w:val="20"/>
              </w:rPr>
              <m:t xml:space="preserve"> 10</m:t>
            </m:r>
          </m:e>
          <m:sup>
            <m:r>
              <w:rPr>
                <w:rFonts w:ascii="Cambria Math" w:hAnsi="Book Antiqua"/>
                <w:sz w:val="20"/>
              </w:rPr>
              <m:t>7</m:t>
            </m:r>
          </m:sup>
        </m:sSup>
      </m:oMath>
      <w:r w:rsidRPr="00370948">
        <w:rPr>
          <w:rFonts w:ascii="Book Antiqua" w:hAnsi="Book Antiqua"/>
          <w:sz w:val="20"/>
        </w:rPr>
        <w:t xml:space="preserve"> times stronger than gravity [43].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1.10. Dusty Plasmas.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tendency is to think of a plasma as a ‘pure’ state of matter.  But plasmas can be ‘dusty.’ The role of dust in plasmas was initially discussed by Irving Langmuir in 1924 [45]. He described the result when minute drops of tungsten vapor were inserted into plasma.  He concluded that the experimental results indicated that electrons from the plasma attached themselves to the minute drops causing them to become negatively charged.  This caused them to move about under the influence of the electric fields in the plasma. In 1941 Lyman Spitzer discussed a similar process whereby interstellar dust particles acquire a negative charge because they are immersed in an ionized gas or plasma [46].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 negative charge is imparted because the electrons in plasmas move more swiftly than ions, and so the number of encounters with the electrons is greater than with the positive ions. This results in a net negative charge even if the plasma is in an electrically neutral state overall. In 1954, Hannes Alfvén considered how this process could build up large bodies in the early Solar System [47]. Peratt has discussed the size of particles that have become electrically charged and can then be influenced by that charge rather than by gravity [38]. However, when the ZPE strength was significantly lower, this size may have been significantly increased for charged particles in the early universe.  This is discussed later.</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In the early 1980’s, Voyager 2 gave us information regarding the rings of Saturn which opened up the discussion about dusty plasmas.  The images of Saturn revealed a pattern of nearly radial “spokes” rotating around the outer portion of the dense B ring. This was something that observers on earth had glimpsed for decades when conditions were favorable, but the spokes were often dismissed as illusory. But as the spacecraft approached Saturn, the spokes appeared dark against the bright background of the rings. As the craft pulled away the effect was reversed. This means that the material making up the spokes scatters sunlight preferentially in the forward direction.  This is a property of fine dust. Furthermore, the spokes were not stationary structures, but showed they could form in as little as five minutes.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Gravitational effects alone cannot achieve this, but electric and magnetic fields can. In 1983, Goertz and Morfill demonstrated that these spokes were a dusty plasma of micron sized particles that appeared to be about 80 km above the plane of the rings [48]. It was later noted that the formation and disappearance of these spokes coincided with powerful bursts of radio waves originating within Saturn’s magnetic field and extending out beyond the rings.  Called Saturn Kilometric Radiation</w:t>
      </w:r>
      <w:r>
        <w:rPr>
          <w:rFonts w:ascii="Book Antiqua" w:hAnsi="Book Antiqua"/>
          <w:sz w:val="20"/>
        </w:rPr>
        <w:t xml:space="preserve"> (SKR)</w:t>
      </w:r>
      <w:r w:rsidRPr="00370948">
        <w:rPr>
          <w:rFonts w:ascii="Book Antiqua" w:hAnsi="Book Antiqua"/>
          <w:sz w:val="20"/>
        </w:rPr>
        <w:t xml:space="preserve">, these bursts of radiation cause dust particles to gain electrons and become electrostatically suspended above the plane of the rings [49], while the SKR itself is due to lightning in Saturn’s atmosphere.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can come a lot closer to home and see a good example of a dusty plasma.  At an altitude of 85 km above the earth are noctilucent or ‘night-shining’ clouds. These clouds are typically seen at high latitudes during early summer. They are composed of ice crystals formed around meteoritic dust as nuclei in the polar mesosphere at temperatures around 100 K. Because these crystals are near the ionospheric plasma, free electrons from there attach to the crystals to form a dusty plasma of charged ice crystals about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Cambria Math"/>
                <w:sz w:val="20"/>
              </w:rPr>
              <m:t>-</m:t>
            </m:r>
            <m:r>
              <w:rPr>
                <w:rFonts w:ascii="Cambria Math" w:hAnsi="Book Antiqua"/>
                <w:sz w:val="20"/>
              </w:rPr>
              <m:t>8</m:t>
            </m:r>
          </m:sup>
        </m:sSup>
      </m:oMath>
      <w:r w:rsidRPr="00370948">
        <w:rPr>
          <w:rFonts w:ascii="Book Antiqua" w:hAnsi="Book Antiqua"/>
          <w:sz w:val="20"/>
        </w:rPr>
        <w:t xml:space="preserve"> meters across [50]. In general, if it is assumed that the capacitance of a dust grain of radius, </w:t>
      </w:r>
      <m:oMath>
        <m:r>
          <w:rPr>
            <w:rFonts w:ascii="Cambria Math" w:hAnsi="Cambria Math"/>
            <w:sz w:val="20"/>
          </w:rPr>
          <m:t>a</m:t>
        </m:r>
      </m:oMath>
      <w:r w:rsidRPr="00370948">
        <w:rPr>
          <w:rFonts w:ascii="Book Antiqua" w:hAnsi="Book Antiqua"/>
          <w:sz w:val="20"/>
        </w:rPr>
        <w:t xml:space="preserve">, is that of a spherical charged conductor of the same size, then the charge, </w:t>
      </w:r>
      <m:oMath>
        <m:r>
          <w:rPr>
            <w:rFonts w:ascii="Cambria Math" w:hAnsi="Cambria Math"/>
            <w:sz w:val="20"/>
          </w:rPr>
          <m:t>Q</m:t>
        </m:r>
      </m:oMath>
      <w:r w:rsidRPr="00370948">
        <w:rPr>
          <w:rFonts w:ascii="Book Antiqua" w:hAnsi="Book Antiqua"/>
          <w:sz w:val="20"/>
        </w:rPr>
        <w:t>, acquired by the grain is given by [50]: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Q</m:t>
        </m:r>
        <m:r>
          <w:rPr>
            <w:rFonts w:ascii="Cambria Math" w:hAnsi="Book Antiqua"/>
            <w:sz w:val="20"/>
          </w:rPr>
          <m:t xml:space="preserve">  = 4 </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a</m:t>
        </m:r>
        <m:r>
          <w:rPr>
            <w:rFonts w:ascii="Cambria Math" w:hAnsi="Book Antiqua"/>
            <w:sz w:val="20"/>
          </w:rPr>
          <m:t xml:space="preserve"> </m:t>
        </m:r>
        <m:r>
          <w:rPr>
            <w:rFonts w:ascii="Cambria Math" w:hAnsi="Cambria Math"/>
            <w:sz w:val="20"/>
          </w:rPr>
          <m:t>V</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(6)</w:t>
      </w:r>
    </w:p>
    <w:p w:rsidR="005359B2"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V</m:t>
        </m:r>
      </m:oMath>
      <w:r w:rsidRPr="00370948">
        <w:rPr>
          <w:rFonts w:ascii="Book Antiqua" w:hAnsi="Book Antiqua"/>
          <w:sz w:val="20"/>
        </w:rPr>
        <w:t xml:space="preserve"> is the electrical potential difference between the grain and the plasma and ε is the electrical permittivity of the vacuum. In the case of a particle or grain at rest in a dilute plasma, the electron and ion currents will result in a potential difference for the grain or particle of</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oMath>
      <w:r w:rsidRPr="00370948">
        <w:rPr>
          <w:rFonts w:ascii="Book Antiqua" w:hAnsi="Book Antiqua"/>
          <w:i/>
          <w:sz w:val="20"/>
        </w:rPr>
        <w:tab/>
        <w:t>.</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m:oMath>
        <m:r>
          <w:rPr>
            <w:rFonts w:ascii="Cambria Math" w:hAnsi="Cambria Math"/>
            <w:sz w:val="20"/>
          </w:rPr>
          <m:t>T</m:t>
        </m:r>
        <m:r>
          <w:rPr>
            <w:rFonts w:ascii="Cambria Math" w:hAnsi="Book Antiqua"/>
            <w:sz w:val="20"/>
          </w:rPr>
          <m:t xml:space="preserve"> </m:t>
        </m:r>
      </m:oMath>
      <w:r w:rsidRPr="00370948">
        <w:rPr>
          <w:rFonts w:ascii="Book Antiqua" w:hAnsi="Book Antiqua"/>
          <w:sz w:val="20"/>
        </w:rPr>
        <w:t>is the temperature of the ions or electrons,</w:t>
      </w:r>
      <m:oMath>
        <m:r>
          <w:rPr>
            <w:rFonts w:ascii="Cambria Math" w:hAnsi="Book Antiqua"/>
            <w:sz w:val="20"/>
          </w:rPr>
          <m:t xml:space="preserve"> </m:t>
        </m:r>
        <m:r>
          <w:rPr>
            <w:rFonts w:ascii="Cambria Math" w:hAnsi="Cambria Math"/>
            <w:sz w:val="20"/>
          </w:rPr>
          <m:t>k</m:t>
        </m:r>
      </m:oMath>
      <w:r w:rsidRPr="00370948">
        <w:rPr>
          <w:rFonts w:ascii="Book Antiqua" w:hAnsi="Book Antiqua"/>
          <w:sz w:val="20"/>
        </w:rPr>
        <w:t xml:space="preserve"> is Boltzmann’s constant and </w:t>
      </w:r>
      <m:oMath>
        <m:r>
          <w:rPr>
            <w:rFonts w:ascii="Cambria Math" w:hAnsi="Cambria Math"/>
            <w:sz w:val="20"/>
          </w:rPr>
          <m:t>e</m:t>
        </m:r>
      </m:oMath>
      <w:r w:rsidRPr="00370948">
        <w:rPr>
          <w:rFonts w:ascii="Book Antiqua" w:hAnsi="Book Antiqua"/>
          <w:sz w:val="20"/>
        </w:rPr>
        <w:t xml:space="preserve"> is the electronic charge. When this is applied to hydrogen plasma with </w:t>
      </w:r>
      <m:oMath>
        <m:r>
          <w:rPr>
            <w:rFonts w:ascii="Cambria Math" w:hAnsi="Cambria Math"/>
            <w:sz w:val="20"/>
          </w:rPr>
          <m:t>kT</m:t>
        </m:r>
      </m:oMath>
      <w:r w:rsidRPr="00370948">
        <w:rPr>
          <w:rFonts w:ascii="Book Antiqua" w:hAnsi="Book Antiqua"/>
          <w:sz w:val="20"/>
        </w:rPr>
        <w:t xml:space="preserve"> equal to 3 eV (electron Volts), equations (6) and (7) suggest that a particle of radius of </w:t>
      </w:r>
      <m:oMath>
        <m:sSup>
          <m:sSupPr>
            <m:ctrlPr>
              <w:rPr>
                <w:rFonts w:ascii="Cambria Math" w:hAnsi="Cambria Math"/>
                <w:i/>
                <w:sz w:val="20"/>
              </w:rPr>
            </m:ctrlPr>
          </m:sSupPr>
          <m:e>
            <m:r>
              <w:rPr>
                <w:rFonts w:ascii="Cambria Math" w:hAnsi="Cambria Math"/>
                <w:sz w:val="20"/>
              </w:rPr>
              <m:t xml:space="preserve">10 </m:t>
            </m:r>
          </m:e>
          <m:sup>
            <m:r>
              <w:rPr>
                <w:rFonts w:ascii="Cambria Math" w:hAnsi="Cambria Math"/>
                <w:sz w:val="20"/>
              </w:rPr>
              <m:t xml:space="preserve">-6 </m:t>
            </m:r>
          </m:sup>
        </m:sSup>
      </m:oMath>
      <w:r w:rsidRPr="00370948">
        <w:rPr>
          <w:rFonts w:ascii="Book Antiqua" w:hAnsi="Book Antiqua"/>
          <w:sz w:val="20"/>
        </w:rPr>
        <w:t>meters will carry a charge equivalent to 5000 electrons [50]. This means that electrostatic forces on dust grains can be seen to be significant.</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This depletion of electrons by absorption on dust particles affects the plasma waves. For example, sound waves in plasma, also known as ion-acoustic waves, propagate at higher velocities and with significantly less damping in plasmas that contain negatively charged dust particles. The first physics experiment, known as the Nefedov Plasma Crystal Experiment [51], done in the weightlessness of the International Space Station in February of 2001, was with dusty-plasmas to see how they behaved in the depths of space. A typical structure formed in this dusty plasma was a sharply defined void surrounded by a dusty plasma region which was constrained by fluid vortices along the outer edges of the container and along its central horizontal axis [50]. The result was similar to the honeycomb or bubble structure, formed by filaments, typical of macroscopic galaxy cluster distribution.</w:t>
      </w:r>
    </w:p>
    <w:p w:rsidR="005359B2"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370948">
        <w:rPr>
          <w:rFonts w:ascii="Book Antiqua" w:hAnsi="Book Antiqua"/>
          <w:bCs/>
          <w:i/>
          <w:iCs/>
          <w:sz w:val="20"/>
        </w:rPr>
        <w:t xml:space="preserve">1.11. Plasma Instabilities And Vortex Formation. </w:t>
      </w:r>
    </w:p>
    <w:p w:rsidR="005359B2" w:rsidRPr="00370948" w:rsidRDefault="005359B2" w:rsidP="005359B2">
      <w:pPr>
        <w:pStyle w:val="NoSpacing"/>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have already mentioned the Bennett or Z-pinch instability that leads to the bunching of currents and magnetic fields in filaments on a cosmic scale. There are a variety of plasma instabilities, of which over forty different types have been listed, often depending on the method of classification. They may be broadly classified as macroscopic or microscopic instabilities, although the distinction is not sharp. Macroscopic instabilities influence the spatial distribution of the plasma filament and are often classified according to the geometry of the distortion. Using this approach, there are then four sub-categories under this heading [52].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First, there is </w:t>
      </w:r>
      <w:r w:rsidRPr="00370948">
        <w:rPr>
          <w:rFonts w:ascii="Book Antiqua" w:hAnsi="Book Antiqua"/>
          <w:b/>
          <w:sz w:val="20"/>
        </w:rPr>
        <w:t>sausage mode</w:t>
      </w:r>
      <w:r w:rsidRPr="00370948">
        <w:rPr>
          <w:rFonts w:ascii="Book Antiqua" w:hAnsi="Book Antiqua"/>
          <w:sz w:val="20"/>
        </w:rPr>
        <w:t xml:space="preserve"> in which plasma filaments contract at regular intervals. Here, the filament radius varies along the axis of the filament. There can be standard sausaging by this process or, alternatively, sausaging with either axial hollowing or axial bunching.  Second is the </w:t>
      </w:r>
      <w:r w:rsidRPr="00370948">
        <w:rPr>
          <w:rFonts w:ascii="Book Antiqua" w:hAnsi="Book Antiqua"/>
          <w:b/>
          <w:sz w:val="20"/>
        </w:rPr>
        <w:t>sinuous, hose or kink mode</w:t>
      </w:r>
      <w:r w:rsidRPr="00370948">
        <w:rPr>
          <w:rFonts w:ascii="Book Antiqua" w:hAnsi="Book Antiqua"/>
          <w:sz w:val="20"/>
        </w:rPr>
        <w:t xml:space="preserve"> in which the filament bends sideways without any change in the form of the filament other than the position of its center of mass. Third, the </w:t>
      </w:r>
      <w:r w:rsidRPr="00370948">
        <w:rPr>
          <w:rFonts w:ascii="Book Antiqua" w:hAnsi="Book Antiqua"/>
          <w:b/>
          <w:sz w:val="20"/>
        </w:rPr>
        <w:t>filamentation mode</w:t>
      </w:r>
      <w:r w:rsidRPr="00370948">
        <w:rPr>
          <w:rFonts w:ascii="Book Antiqua" w:hAnsi="Book Antiqua"/>
          <w:sz w:val="20"/>
        </w:rPr>
        <w:t xml:space="preserve"> can occur in which the main filament breaks up into a number of smaller filaments</w:t>
      </w:r>
      <w:r>
        <w:rPr>
          <w:rFonts w:ascii="Book Antiqua" w:hAnsi="Book Antiqua"/>
          <w:sz w:val="20"/>
        </w:rPr>
        <w:t>. Something like a cable with a lot of wires running through it</w:t>
      </w:r>
      <w:r w:rsidRPr="00370948">
        <w:rPr>
          <w:rFonts w:ascii="Book Antiqua" w:hAnsi="Book Antiqua"/>
          <w:sz w:val="20"/>
        </w:rPr>
        <w:t xml:space="preserve">. These smaller filaments may have an elliptical cross-section or a pear-shaped (pyriform) cross-section. Fourth is a </w:t>
      </w:r>
      <w:r w:rsidRPr="00370948">
        <w:rPr>
          <w:rFonts w:ascii="Book Antiqua" w:hAnsi="Book Antiqua"/>
          <w:b/>
          <w:sz w:val="20"/>
        </w:rPr>
        <w:t>ripple mode</w:t>
      </w:r>
      <w:r w:rsidRPr="00370948">
        <w:rPr>
          <w:rFonts w:ascii="Book Antiqua" w:hAnsi="Book Antiqua"/>
          <w:sz w:val="20"/>
        </w:rPr>
        <w:t xml:space="preserve"> where the filament is distorted by small-scale ripples on the surface. Sometimes these macroscopic instabilities are labeled as magnetohydrodynamic, hydrodynamic, or low frequency instabilities.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Microscopic</w:t>
      </w:r>
      <w:r w:rsidRPr="00370948">
        <w:rPr>
          <w:rFonts w:ascii="Book Antiqua" w:hAnsi="Book Antiqua"/>
          <w:sz w:val="20"/>
        </w:rPr>
        <w:t xml:space="preserve"> instabilities usually excite local fluctuations of density and electro-magnetic fields in plasma. These micro-instabilities can sometimes grow and be directly linked with a macroscopic counterpart. For example, the filamentation mode can be the macroscopic stage of a growing transverse electrostatic micro-instability known as the Weibel instability [52].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When ions or electrons propagate along an axial magnetic field in a filament, a threshold can be passed with the resultant plasma current that causes the break-up of the beam into discrete vortex-like current bundles. This is called a “slipping stream” or </w:t>
      </w:r>
      <w:r w:rsidRPr="00370948">
        <w:rPr>
          <w:rFonts w:ascii="Book Antiqua" w:hAnsi="Book Antiqua"/>
          <w:b/>
          <w:sz w:val="20"/>
        </w:rPr>
        <w:t>diocotron</w:t>
      </w:r>
      <w:r w:rsidRPr="00370948">
        <w:rPr>
          <w:rFonts w:ascii="Book Antiqua" w:hAnsi="Book Antiqua"/>
          <w:sz w:val="20"/>
        </w:rPr>
        <w:t xml:space="preserve"> instability. This type of instability may also arise if charge neutrality is not locally maintained such as when electrons and ions separate. There then arises a shear velocity which azimuthally results in </w:t>
      </w:r>
      <w:r w:rsidRPr="00370948">
        <w:rPr>
          <w:rFonts w:ascii="Book Antiqua" w:hAnsi="Book Antiqua"/>
          <w:sz w:val="20"/>
        </w:rPr>
        <w:lastRenderedPageBreak/>
        <w:t xml:space="preserve">vortex phenomena and also axially forms current bundles or filaments. The instability can occur in solid or annular filaments as well as in sheet beams. On earth, this azimuthal vortex can be seen as auroral curtains [53].  As Peratt indicates [54], the axial vorticity component of this type of instability is given by </w:t>
      </w:r>
      <m:oMath>
        <m:r>
          <w:rPr>
            <w:rFonts w:ascii="Cambria Math" w:hAnsi="Cambria Math"/>
            <w:sz w:val="20"/>
          </w:rPr>
          <m:t>W</m:t>
        </m:r>
      </m:oMath>
      <w:r w:rsidRPr="00370948">
        <w:rPr>
          <w:rFonts w:ascii="Book Antiqua" w:hAnsi="Book Antiqua"/>
          <w:i/>
          <w:sz w:val="20"/>
        </w:rPr>
        <w:t>,</w:t>
      </w:r>
      <w:r w:rsidRPr="00370948">
        <w:rPr>
          <w:rFonts w:ascii="Book Antiqua" w:hAnsi="Book Antiqua"/>
          <w:sz w:val="20"/>
        </w:rPr>
        <w:t xml:space="preserve"> which is mathematically described as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Cambria Math" w:hAnsi="Cambria Math"/>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(8)</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is the permittivity of free space while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oMath>
      <w:r w:rsidRPr="00370948">
        <w:rPr>
          <w:rFonts w:ascii="Book Antiqua" w:hAnsi="Book Antiqua"/>
          <w:sz w:val="20"/>
        </w:rPr>
        <w:t xml:space="preserve"> are the numbers of electrons and ions respectively. These instabilities result in profound cosmological effects when coupled with other plasma phenomena and the behavior of the Zero Point Energy.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2. The Zero Point Energy And Plasma Physics. </w:t>
      </w:r>
    </w:p>
    <w:p w:rsidR="005359B2" w:rsidRPr="00370948" w:rsidRDefault="005359B2" w:rsidP="005359B2">
      <w:pPr>
        <w:pStyle w:val="NoSpacing"/>
        <w:rPr>
          <w:rFonts w:ascii="Book Antiqua" w:hAnsi="Book Antiqua"/>
          <w:bCs/>
          <w:i/>
          <w:iCs/>
          <w:color w:val="000000"/>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2.1. Behavior Of Electric &amp; Magnetic Quantities.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Our starting points for the effects of increasing ZPE on quantities in plasma physics comes from the relationship which has been shown above in </w:t>
      </w:r>
      <w:r>
        <w:rPr>
          <w:rFonts w:ascii="Book Antiqua" w:hAnsi="Book Antiqua"/>
          <w:sz w:val="20"/>
        </w:rPr>
        <w:t>Chapter</w:t>
      </w:r>
      <w:r w:rsidRPr="00370948">
        <w:rPr>
          <w:rFonts w:ascii="Book Antiqua" w:hAnsi="Book Antiqua"/>
          <w:sz w:val="20"/>
        </w:rPr>
        <w:t xml:space="preserve"> 2 to hold cosmologically, namely that</w:t>
      </w:r>
    </w:p>
    <w:p w:rsidR="005359B2" w:rsidRPr="00370948" w:rsidRDefault="005359B2" w:rsidP="005359B2">
      <w:pPr>
        <w:pStyle w:val="NoSpacing"/>
        <w:jc w:val="both"/>
        <w:rPr>
          <w:rFonts w:ascii="Book Antiqua" w:hAnsi="Book Antiqua"/>
          <w:i/>
          <w:iCs/>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hc</m:t>
        </m:r>
        <m:r>
          <w:rPr>
            <w:rFonts w:ascii="Cambria Math" w:hAnsi="Book Antiqua"/>
            <w:sz w:val="20"/>
          </w:rPr>
          <m:t xml:space="preserve"> = </m:t>
        </m:r>
        <m:r>
          <w:rPr>
            <w:rFonts w:ascii="Cambria Math" w:hAnsi="Cambria Math"/>
            <w:sz w:val="20"/>
          </w:rPr>
          <m:t>invariant</m:t>
        </m:r>
        <m:r>
          <w:rPr>
            <w:rFonts w:ascii="Cambria Math" w:hAnsi="Book Antiqua"/>
            <w:sz w:val="20"/>
          </w:rPr>
          <m:t xml:space="preserve">       </m:t>
        </m:r>
        <m:r>
          <m:rPr>
            <m:sty m:val="b"/>
          </m:rPr>
          <w:rPr>
            <w:rFonts w:ascii="Cambria Math" w:hAnsi="Cambria Math"/>
            <w:sz w:val="20"/>
          </w:rPr>
          <m:t>so</m:t>
        </m:r>
        <m:r>
          <m:rPr>
            <m:sty m:val="b"/>
          </m:rPr>
          <w:rPr>
            <w:rFonts w:ascii="Cambria Math" w:hAnsi="Book Antiqua"/>
            <w:sz w:val="20"/>
          </w:rPr>
          <m:t xml:space="preserve"> </m:t>
        </m:r>
        <m:r>
          <m:rPr>
            <m:sty m:val="b"/>
          </m:rPr>
          <w:rPr>
            <w:rFonts w:ascii="Cambria Math" w:hAnsi="Cambria Math"/>
            <w:sz w:val="20"/>
          </w:rPr>
          <m:t>that</m:t>
        </m:r>
        <m:r>
          <w:rPr>
            <w:rFonts w:ascii="Cambria Math" w:hAnsi="Book Antiqua"/>
            <w:sz w:val="20"/>
          </w:rPr>
          <m:t xml:space="preserve">       </m:t>
        </m:r>
        <m:r>
          <w:rPr>
            <w:rFonts w:ascii="Cambria Math" w:hAnsi="Cambria Math"/>
            <w:sz w:val="20"/>
          </w:rPr>
          <m:t>h</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sz w:val="20"/>
        </w:rPr>
        <w:t xml:space="preserve">(9)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As pointed out, data out to the frontiers of the cosmos support this to parts per million.  Data revealed that the fine structure constant, </w:t>
      </w:r>
      <w:r w:rsidRPr="00370948">
        <w:rPr>
          <w:rFonts w:ascii="Book Antiqua" w:hAnsi="Book Antiqua"/>
          <w:i/>
          <w:iCs/>
          <w:sz w:val="20"/>
        </w:rPr>
        <w:t xml:space="preserve">α  ( </w:t>
      </w:r>
      <w:r w:rsidRPr="00370948">
        <w:rPr>
          <w:rFonts w:ascii="Book Antiqua" w:hAnsi="Book Antiqua"/>
          <w:sz w:val="20"/>
        </w:rPr>
        <w:t>[</w:t>
      </w:r>
      <w:r w:rsidRPr="00370948">
        <w:rPr>
          <w:rFonts w:ascii="Book Antiqua" w:hAnsi="Book Antiqua"/>
          <w:i/>
          <w:iCs/>
          <w:sz w:val="20"/>
        </w:rPr>
        <w:t>e</w:t>
      </w:r>
      <w:r w:rsidRPr="00370948">
        <w:rPr>
          <w:rFonts w:ascii="Book Antiqua" w:hAnsi="Book Antiqua"/>
          <w:i/>
          <w:iCs/>
          <w:sz w:val="20"/>
          <w:vertAlign w:val="superscript"/>
        </w:rPr>
        <w:t>2</w:t>
      </w:r>
      <w:r w:rsidRPr="00370948">
        <w:rPr>
          <w:rFonts w:ascii="Book Antiqua" w:hAnsi="Book Antiqua"/>
          <w:i/>
          <w:iCs/>
          <w:sz w:val="20"/>
        </w:rPr>
        <w:t>/ε</w:t>
      </w:r>
      <w:r w:rsidRPr="00370948">
        <w:rPr>
          <w:rFonts w:ascii="Book Antiqua" w:hAnsi="Book Antiqua"/>
          <w:sz w:val="20"/>
        </w:rPr>
        <w:t>][1</w:t>
      </w:r>
      <w:r w:rsidRPr="00370948">
        <w:rPr>
          <w:rFonts w:ascii="Book Antiqua" w:hAnsi="Book Antiqua"/>
          <w:i/>
          <w:iCs/>
          <w:sz w:val="20"/>
        </w:rPr>
        <w:t>/</w:t>
      </w:r>
      <w:r w:rsidRPr="00370948">
        <w:rPr>
          <w:rFonts w:ascii="Book Antiqua" w:hAnsi="Book Antiqua"/>
          <w:sz w:val="20"/>
        </w:rPr>
        <w:t>(2</w:t>
      </w:r>
      <w:r w:rsidRPr="00370948">
        <w:rPr>
          <w:rFonts w:ascii="Book Antiqua" w:hAnsi="Book Antiqua"/>
          <w:i/>
          <w:iCs/>
          <w:sz w:val="20"/>
        </w:rPr>
        <w:t>hc</w:t>
      </w:r>
      <w:r w:rsidRPr="00370948">
        <w:rPr>
          <w:rFonts w:ascii="Book Antiqua" w:hAnsi="Book Antiqua"/>
          <w:sz w:val="20"/>
        </w:rPr>
        <w:t xml:space="preserve">)] ), is constant too, which means </w:t>
      </w:r>
    </w:p>
    <w:p w:rsidR="005359B2" w:rsidRPr="00370948" w:rsidRDefault="005359B2" w:rsidP="005359B2">
      <w:pPr>
        <w:pStyle w:val="NoSpacing"/>
        <w:jc w:val="both"/>
        <w:rPr>
          <w:rFonts w:ascii="Book Antiqua" w:hAnsi="Book Antiqua"/>
          <w:i/>
          <w:iCs/>
          <w:sz w:val="20"/>
        </w:rPr>
      </w:pPr>
    </w:p>
    <w:p w:rsidR="005359B2" w:rsidRPr="00370948" w:rsidRDefault="00241D2F" w:rsidP="005359B2">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5359B2" w:rsidRPr="00370948">
        <w:rPr>
          <w:rFonts w:ascii="Book Antiqua" w:hAnsi="Book Antiqua"/>
          <w:i/>
          <w:iCs/>
          <w:sz w:val="20"/>
        </w:rPr>
        <w:t>.</w:t>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t xml:space="preserve"> </w:t>
      </w:r>
      <w:r w:rsidR="005359B2" w:rsidRPr="00370948">
        <w:rPr>
          <w:rFonts w:ascii="Book Antiqua" w:hAnsi="Book Antiqua"/>
          <w:i/>
          <w:sz w:val="20"/>
        </w:rPr>
        <w:t>(10)</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the electrical permittivity of free space.  However, in Chapter 2, it was shown that </w:t>
      </w:r>
      <m:oMath>
        <m:r>
          <w:rPr>
            <w:rFonts w:ascii="Cambria Math" w:hAnsi="Cambria Math"/>
            <w:sz w:val="20"/>
          </w:rPr>
          <m:t>ε</m:t>
        </m:r>
      </m:oMath>
      <w:r w:rsidRPr="00370948">
        <w:rPr>
          <w:rFonts w:ascii="Book Antiqua" w:hAnsi="Book Antiqua"/>
          <w:i/>
          <w:iCs/>
          <w:sz w:val="20"/>
        </w:rPr>
        <w:t xml:space="preserve"> </w:t>
      </w:r>
      <w:r w:rsidRPr="00370948">
        <w:rPr>
          <w:rFonts w:ascii="Book Antiqua" w:hAnsi="Book Antiqua"/>
          <w:iCs/>
          <w:sz w:val="20"/>
        </w:rPr>
        <w:t xml:space="preserve">is </w:t>
      </w:r>
      <w:r w:rsidRPr="00370948">
        <w:rPr>
          <w:rFonts w:ascii="Book Antiqua" w:hAnsi="Book Antiqua"/>
          <w:sz w:val="20"/>
        </w:rPr>
        <w:t xml:space="preserve">proportional to the ZPE strength, </w:t>
      </w:r>
      <m:oMath>
        <m:r>
          <w:rPr>
            <w:rFonts w:ascii="Cambria Math" w:hAnsi="Cambria Math"/>
            <w:sz w:val="20"/>
          </w:rPr>
          <m:t>U</m:t>
        </m:r>
      </m:oMath>
      <w:r w:rsidRPr="00370948">
        <w:rPr>
          <w:rFonts w:ascii="Book Antiqua" w:hAnsi="Book Antiqua"/>
          <w:sz w:val="20"/>
        </w:rPr>
        <w:t xml:space="preserve">. This means (10) requires that: </w:t>
      </w:r>
    </w:p>
    <w:p w:rsidR="005359B2" w:rsidRPr="00370948" w:rsidRDefault="005359B2" w:rsidP="005359B2">
      <w:pPr>
        <w:pStyle w:val="NoSpacing"/>
        <w:jc w:val="both"/>
        <w:rPr>
          <w:rFonts w:ascii="Book Antiqua" w:hAnsi="Book Antiqua"/>
          <w:i/>
          <w:iCs/>
          <w:sz w:val="20"/>
        </w:rPr>
      </w:pPr>
    </w:p>
    <w:p w:rsidR="005359B2" w:rsidRPr="00370948" w:rsidRDefault="00241D2F" w:rsidP="005359B2">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 xml:space="preserve"> ~ </m:t>
        </m:r>
        <m:r>
          <w:rPr>
            <w:rFonts w:ascii="Cambria Math" w:hAnsi="Cambria Math"/>
            <w:sz w:val="20"/>
          </w:rPr>
          <m:t>U</m:t>
        </m:r>
      </m:oMath>
      <w:r w:rsidR="005359B2" w:rsidRPr="00370948">
        <w:rPr>
          <w:rFonts w:ascii="Book Antiqua" w:hAnsi="Book Antiqua"/>
          <w:i/>
          <w:iCs/>
          <w:sz w:val="20"/>
        </w:rPr>
        <w:t xml:space="preserve"> .</w:t>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t xml:space="preserve"> </w:t>
      </w:r>
      <w:r w:rsidR="005359B2" w:rsidRPr="00370948">
        <w:rPr>
          <w:rFonts w:ascii="Book Antiqua" w:hAnsi="Book Antiqua"/>
          <w:i/>
          <w:sz w:val="20"/>
        </w:rPr>
        <w:t>(11)</w:t>
      </w:r>
      <w:r w:rsidR="005359B2"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Since electrostatic force, </w:t>
      </w:r>
      <m:oMath>
        <m:r>
          <w:rPr>
            <w:rFonts w:ascii="Cambria Math" w:hAnsi="Cambria Math"/>
            <w:sz w:val="20"/>
          </w:rPr>
          <m:t>F</m:t>
        </m:r>
      </m:oMath>
      <w:r w:rsidRPr="00370948">
        <w:rPr>
          <w:rFonts w:ascii="Book Antiqua" w:hAnsi="Book Antiqua"/>
          <w:sz w:val="20"/>
        </w:rPr>
        <w:t xml:space="preserve">, is given by the terms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m:t>
        </m:r>
      </m:oMath>
      <w:r w:rsidRPr="00370948">
        <w:rPr>
          <w:rFonts w:ascii="Book Antiqua" w:hAnsi="Book Antiqua"/>
          <w:sz w:val="20"/>
        </w:rPr>
        <w:t xml:space="preserve">], which is constant when </w:t>
      </w:r>
      <m:oMath>
        <m:r>
          <w:rPr>
            <w:rFonts w:ascii="Cambria Math" w:hAnsi="Cambria Math"/>
            <w:sz w:val="20"/>
          </w:rPr>
          <m:t>r</m:t>
        </m:r>
      </m:oMath>
      <w:r w:rsidRPr="00370948">
        <w:rPr>
          <w:rFonts w:ascii="Book Antiqua" w:hAnsi="Book Antiqua"/>
          <w:sz w:val="20"/>
        </w:rPr>
        <w:t xml:space="preserve"> (distance) is constant, then we can write</w:t>
      </w:r>
    </w:p>
    <w:p w:rsidR="005359B2" w:rsidRPr="00370948" w:rsidRDefault="005359B2" w:rsidP="005359B2">
      <w:pPr>
        <w:pStyle w:val="NoSpacing"/>
        <w:jc w:val="both"/>
        <w:rPr>
          <w:rFonts w:ascii="Book Antiqua" w:hAnsi="Book Antiqua"/>
          <w:i/>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F</m:t>
        </m:r>
        <m:r>
          <w:rPr>
            <w:rFonts w:ascii="Cambria Math" w:hAnsi="Book Antiqua"/>
            <w:sz w:val="20"/>
            <w:lang w:val="en-CA"/>
          </w:rPr>
          <m:t xml:space="preserve">  =  </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But if </w:t>
      </w:r>
      <m:oMath>
        <m:r>
          <w:rPr>
            <w:rFonts w:ascii="Cambria Math" w:hAnsi="Cambria Math"/>
            <w:sz w:val="20"/>
          </w:rPr>
          <m:t>E</m:t>
        </m:r>
      </m:oMath>
      <w:r w:rsidRPr="00370948">
        <w:rPr>
          <w:rFonts w:ascii="Book Antiqua" w:hAnsi="Book Antiqua"/>
          <w:sz w:val="20"/>
        </w:rPr>
        <w:t xml:space="preserve"> is the magnitude of the electric field strength, then the electrostatic force </w:t>
      </w:r>
      <m:oMath>
        <m:r>
          <w:rPr>
            <w:rFonts w:ascii="Cambria Math" w:hAnsi="Cambria Math"/>
            <w:sz w:val="20"/>
          </w:rPr>
          <m:t>F</m:t>
        </m:r>
      </m:oMath>
      <w:r w:rsidRPr="00370948">
        <w:rPr>
          <w:rFonts w:ascii="Book Antiqua" w:hAnsi="Book Antiqua"/>
          <w:sz w:val="20"/>
        </w:rPr>
        <w:t xml:space="preserve"> is also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F</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E</m:t>
        </m:r>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(13)</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Therefore, from (11) and (13), it follows that the magnitude of the field strength, </w:t>
      </w:r>
      <m:oMath>
        <m:r>
          <w:rPr>
            <w:rFonts w:ascii="Cambria Math" w:hAnsi="Cambria Math"/>
            <w:sz w:val="20"/>
          </w:rPr>
          <m:t>E</m:t>
        </m:r>
      </m:oMath>
      <w:r w:rsidRPr="00370948">
        <w:rPr>
          <w:rFonts w:ascii="Book Antiqua" w:hAnsi="Book Antiqua"/>
          <w:sz w:val="20"/>
        </w:rPr>
        <w:t>, is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ab/>
        <w:t xml:space="preserve"> (14)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Field strengths can also be written as </w:t>
      </w:r>
      <m:oMath>
        <m:r>
          <w:rPr>
            <w:rFonts w:ascii="Cambria Math" w:hAnsi="Cambria Math"/>
            <w:sz w:val="20"/>
          </w:rPr>
          <m:t>E</m:t>
        </m:r>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r</m:t>
        </m:r>
      </m:oMath>
      <w:r w:rsidRPr="00370948">
        <w:rPr>
          <w:rFonts w:ascii="Book Antiqua" w:hAnsi="Book Antiqua"/>
          <w:sz w:val="20"/>
        </w:rPr>
        <w:t xml:space="preserve"> in volts per meter. Since distance, </w:t>
      </w:r>
      <m:oMath>
        <m:r>
          <w:rPr>
            <w:rFonts w:ascii="Cambria Math" w:hAnsi="Cambria Math"/>
            <w:sz w:val="20"/>
          </w:rPr>
          <m:t>r</m:t>
        </m:r>
      </m:oMath>
      <w:r w:rsidRPr="00370948">
        <w:rPr>
          <w:rFonts w:ascii="Book Antiqua" w:hAnsi="Book Antiqua"/>
          <w:sz w:val="20"/>
        </w:rPr>
        <w:t>, is unchanged, then:</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V</m:t>
        </m:r>
        <m:r>
          <w:rPr>
            <w:rFonts w:ascii="Cambria Math" w:hAnsi="Book Antiqua"/>
            <w:sz w:val="20"/>
            <w:lang w:val="en-CA"/>
          </w:rPr>
          <m:t xml:space="preserve">  </m:t>
        </m:r>
        <m:r>
          <w:rPr>
            <w:rFonts w:ascii="Cambria Math" w:hAnsi="Book Antiqua"/>
            <w:sz w:val="20"/>
          </w:rPr>
          <m:t xml:space="preserve">~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(15)</w:t>
      </w:r>
    </w:p>
    <w:p w:rsidR="005359B2" w:rsidRPr="00370948" w:rsidRDefault="005359B2" w:rsidP="005359B2">
      <w:pPr>
        <w:pStyle w:val="NoSpacing"/>
        <w:jc w:val="both"/>
        <w:rPr>
          <w:rFonts w:ascii="Book Antiqua" w:hAnsi="Book Antiqua"/>
          <w:i/>
          <w:sz w:val="20"/>
          <w:lang w:val="en-CA"/>
        </w:rPr>
      </w:pP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There is, however, an alternative derivation, since the potential at a given point is defined in [55] as:</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V</m:t>
        </m:r>
        <m:r>
          <w:rPr>
            <w:rFonts w:ascii="Cambria Math" w:hAnsi="Book Antiqua"/>
            <w:sz w:val="20"/>
            <w:lang w:val="en-CA"/>
          </w:rPr>
          <m:t xml:space="preserve">  =   </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r>
          <w:rPr>
            <w:rFonts w:ascii="Cambria Math" w:hAnsi="Cambria Math"/>
            <w:sz w:val="20"/>
          </w:rPr>
          <m:t>r</m:t>
        </m:r>
        <m:r>
          <w:rPr>
            <w:rFonts w:ascii="Cambria Math" w:hAnsi="Book Antiqua"/>
            <w:sz w:val="20"/>
          </w:rPr>
          <m:t xml:space="preserve">)] </m:t>
        </m:r>
        <m:r>
          <w:rPr>
            <w:rFonts w:ascii="Cambria Math" w:hAnsi="Cambria Math"/>
            <w:sz w:val="20"/>
          </w:rPr>
          <m:t>volts</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45159B">
        <w:rPr>
          <w:rFonts w:ascii="Book Antiqua" w:hAnsi="Book Antiqua"/>
          <w:sz w:val="20"/>
          <w:lang w:val="en-CA"/>
        </w:rPr>
        <w:t>(16)</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lastRenderedPageBreak/>
        <w:t xml:space="preserve">This means that the energy of a charged conductor, </w:t>
      </w:r>
      <m:oMath>
        <m:r>
          <w:rPr>
            <w:rFonts w:ascii="Cambria Math" w:hAnsi="Cambria Math"/>
            <w:sz w:val="20"/>
            <w:lang w:val="en-CA"/>
          </w:rPr>
          <m:t>½</m:t>
        </m:r>
        <m:r>
          <w:rPr>
            <w:rFonts w:ascii="Cambria Math" w:hAnsi="Book Antiqua"/>
            <w:sz w:val="20"/>
            <w:lang w:val="en-CA"/>
          </w:rPr>
          <m:t xml:space="preserve"> </m:t>
        </m:r>
        <m:r>
          <w:rPr>
            <w:rFonts w:ascii="Cambria Math" w:hAnsi="Cambria Math"/>
            <w:sz w:val="20"/>
            <w:lang w:val="en-CA"/>
          </w:rPr>
          <m:t>eV</m:t>
        </m:r>
      </m:oMath>
      <w:r w:rsidRPr="00370948">
        <w:rPr>
          <w:rFonts w:ascii="Book Antiqua" w:hAnsi="Book Antiqua"/>
          <w:i/>
          <w:sz w:val="20"/>
          <w:lang w:val="en-CA"/>
        </w:rPr>
        <w:t xml:space="preserve">, </w:t>
      </w:r>
      <w:r w:rsidRPr="00370948">
        <w:rPr>
          <w:rFonts w:ascii="Book Antiqua" w:hAnsi="Book Antiqua"/>
          <w:sz w:val="20"/>
          <w:lang w:val="en-CA"/>
        </w:rPr>
        <w:t xml:space="preserve">is constant from (11) and (15). Therefore, from the definition of capacitance, </w:t>
      </w: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oMath>
      <w:r w:rsidRPr="00370948">
        <w:rPr>
          <w:rFonts w:ascii="Book Antiqua" w:hAnsi="Book Antiqua"/>
          <w:i/>
          <w:sz w:val="20"/>
          <w:lang w:val="en-CA"/>
        </w:rPr>
        <w:t>,</w:t>
      </w:r>
      <w:r w:rsidRPr="00370948">
        <w:rPr>
          <w:rFonts w:ascii="Book Antiqua" w:hAnsi="Book Antiqua"/>
          <w:sz w:val="20"/>
          <w:lang w:val="en-CA"/>
        </w:rPr>
        <w:t xml:space="preserve"> and from (16), it will behave as follows:</w:t>
      </w: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 xml:space="preserve"> </w:t>
      </w: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r>
          <w:rPr>
            <w:rFonts w:ascii="Cambria Math" w:hAnsi="Book Antiqua"/>
            <w:sz w:val="20"/>
            <w:lang w:val="en-CA"/>
          </w:rPr>
          <m:t xml:space="preserve"> = </m:t>
        </m:r>
        <m:r>
          <w:rPr>
            <w:rFonts w:ascii="Cambria Math" w:hAnsi="Book Antiqua"/>
            <w:sz w:val="20"/>
          </w:rPr>
          <m:t>4</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r</m:t>
        </m:r>
        <m:r>
          <w:rPr>
            <w:rFonts w:ascii="Cambria Math" w:hAnsi="Book Antiqua"/>
            <w:sz w:val="20"/>
          </w:rPr>
          <m:t xml:space="preserve">   ~  1/ </m:t>
        </m:r>
        <m:r>
          <w:rPr>
            <w:rFonts w:ascii="Cambria Math" w:hAnsi="Cambria Math"/>
            <w:sz w:val="20"/>
          </w:rPr>
          <m:t>c</m:t>
        </m:r>
        <m:r>
          <w:rPr>
            <w:rFonts w:ascii="Cambria Math" w:hAnsi="Book Antiqua"/>
            <w:sz w:val="20"/>
          </w:rPr>
          <m:t xml:space="preserve">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w:t>
      </w:r>
      <w:r w:rsidRPr="00370948">
        <w:rPr>
          <w:rFonts w:ascii="Book Antiqua" w:hAnsi="Book Antiqua"/>
          <w:i/>
          <w:sz w:val="20"/>
          <w:lang w:val="en-CA"/>
        </w:rPr>
        <w:t>(17)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Since forces are constant in this scenario (see above), then (5) can be written</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 xml:space="preserve">)  =  </m:t>
        </m:r>
        <m:r>
          <w:rPr>
            <w:rFonts w:ascii="Cambria Math" w:hAnsi="Cambria Math"/>
            <w:sz w:val="20"/>
          </w:rPr>
          <m:t>constant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(18)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This means that </w:t>
      </w: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μ</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w:rPr>
            <w:rFonts w:ascii="Cambria Math" w:hAnsi="Book Antiqua"/>
            <w:sz w:val="20"/>
          </w:rPr>
          <m:t>=</m:t>
        </m:r>
        <m:r>
          <w:rPr>
            <w:rFonts w:ascii="Cambria Math" w:hAnsi="Cambria Math"/>
            <w:sz w:val="20"/>
          </w:rPr>
          <m:t>constant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(19)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If the currents are of equal magnitude, and in line with Chapter 2, we have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Cambria Math" w:hAnsi="Cambria Math"/>
            <w:sz w:val="20"/>
          </w:rPr>
          <m:t>μ</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t>(20)</w:t>
      </w:r>
      <w:r w:rsidRPr="00370948">
        <w:rPr>
          <w:rFonts w:ascii="Book Antiqua" w:hAnsi="Book Antiqua"/>
          <w:i/>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Then, applying (20) to (19) requires </w:t>
      </w:r>
      <m:oMath>
        <m:r>
          <w:rPr>
            <w:rFonts w:ascii="Cambria Math" w:hAnsi="Cambria Math"/>
            <w:sz w:val="20"/>
          </w:rPr>
          <m:t>I</m:t>
        </m:r>
      </m:oMath>
      <w:r w:rsidRPr="00370948">
        <w:rPr>
          <w:rFonts w:ascii="Book Antiqua" w:hAnsi="Book Antiqua"/>
          <w:sz w:val="20"/>
        </w:rPr>
        <w:t xml:space="preserve"> to behave as follows:</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I</m:t>
        </m:r>
        <m:r>
          <w:rPr>
            <w:rFonts w:ascii="Cambria Math" w:hAnsi="Book Antiqua"/>
            <w:sz w:val="20"/>
            <w:lang w:val="en-CA"/>
          </w:rPr>
          <m:t xml:space="preserve">  </m:t>
        </m:r>
        <m:r>
          <w:rPr>
            <w:rFonts w:ascii="Cambria Math" w:hAnsi="Book Antiqua"/>
            <w:sz w:val="20"/>
          </w:rPr>
          <m:t xml:space="preserve">~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(21)</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 above equation indicates electric currents generally will be proportional to </w:t>
      </w:r>
      <m:oMath>
        <m:r>
          <w:rPr>
            <w:rFonts w:ascii="Cambria Math" w:hAnsi="Cambria Math"/>
            <w:sz w:val="20"/>
          </w:rPr>
          <m:t>√c</m:t>
        </m:r>
      </m:oMath>
      <w:r w:rsidRPr="00370948">
        <w:rPr>
          <w:rFonts w:ascii="Book Antiqua" w:hAnsi="Book Antiqua"/>
          <w:sz w:val="20"/>
        </w:rPr>
        <w:t xml:space="preserve">. Equations in Chapter 2 support this. Further, as power, </w:t>
      </w:r>
      <m:oMath>
        <m:r>
          <w:rPr>
            <w:rFonts w:ascii="Cambria Math" w:hAnsi="Cambria Math"/>
            <w:sz w:val="20"/>
          </w:rPr>
          <m:t>P</m:t>
        </m:r>
      </m:oMath>
      <w:r w:rsidRPr="00370948">
        <w:rPr>
          <w:rFonts w:ascii="Book Antiqua" w:hAnsi="Book Antiqua"/>
          <w:sz w:val="20"/>
        </w:rPr>
        <w:t xml:space="preserve">, equals current, </w:t>
      </w:r>
      <m:oMath>
        <m:r>
          <w:rPr>
            <w:rFonts w:ascii="Cambria Math" w:hAnsi="Cambria Math"/>
            <w:sz w:val="20"/>
          </w:rPr>
          <m:t>I</m:t>
        </m:r>
      </m:oMath>
      <w:r w:rsidRPr="00370948">
        <w:rPr>
          <w:rFonts w:ascii="Book Antiqua" w:hAnsi="Book Antiqua"/>
          <w:sz w:val="20"/>
        </w:rPr>
        <w:t xml:space="preserve">, multiplied by voltage, </w:t>
      </w:r>
      <m:oMath>
        <m:r>
          <w:rPr>
            <w:rFonts w:ascii="Cambria Math" w:hAnsi="Cambria Math"/>
            <w:sz w:val="20"/>
          </w:rPr>
          <m:t>V</m:t>
        </m:r>
      </m:oMath>
      <w:r w:rsidRPr="00370948">
        <w:rPr>
          <w:rFonts w:ascii="Book Antiqua" w:hAnsi="Book Antiqua"/>
          <w:sz w:val="20"/>
        </w:rPr>
        <w:t>, then from (15), (16) and (21) we have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Cambria Math" w:hAnsi="Cambria Math"/>
            <w:sz w:val="20"/>
          </w:rPr>
          <m:t>V</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This means that power in watts is inversely proportional to ZPE strength. Continuing, the resistance,</w:t>
      </w:r>
      <m:oMath>
        <m:r>
          <w:rPr>
            <w:rFonts w:ascii="Cambria Math" w:hAnsi="Book Antiqua"/>
            <w:sz w:val="20"/>
          </w:rPr>
          <m:t xml:space="preserve"> </m:t>
        </m:r>
        <m:r>
          <w:rPr>
            <w:rFonts w:ascii="Cambria Math" w:hAnsi="Cambria Math"/>
            <w:sz w:val="20"/>
          </w:rPr>
          <m:t>R</m:t>
        </m:r>
      </m:oMath>
      <w:r w:rsidRPr="00370948">
        <w:rPr>
          <w:rFonts w:ascii="Book Antiqua" w:hAnsi="Book Antiqua"/>
          <w:sz w:val="20"/>
        </w:rPr>
        <w:t>, in ohms, is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R</m:t>
        </m:r>
        <m:r>
          <w:rPr>
            <w:rFonts w:ascii="Cambria Math" w:hAnsi="Book Antiqua"/>
            <w:sz w:val="20"/>
            <w:lang w:val="en-CA"/>
          </w:rPr>
          <m:t xml:space="preserve">  =  </m:t>
        </m:r>
        <m:r>
          <w:rPr>
            <w:rFonts w:ascii="Cambria Math" w:hAnsi="Cambria Math"/>
            <w:sz w:val="20"/>
            <w:lang w:val="en-CA"/>
          </w:rPr>
          <m:t>V</m:t>
        </m:r>
        <m:r>
          <w:rPr>
            <w:rFonts w:ascii="Cambria Math" w:hAnsi="Book Antiqua"/>
            <w:sz w:val="20"/>
            <w:lang w:val="en-CA"/>
          </w:rPr>
          <m:t xml:space="preserve"> / </m:t>
        </m:r>
        <m:r>
          <w:rPr>
            <w:rFonts w:ascii="Cambria Math" w:hAnsi="Cambria Math"/>
            <w:sz w:val="20"/>
            <w:lang w:val="en-CA"/>
          </w:rPr>
          <m:t>I</m:t>
        </m:r>
        <m:r>
          <w:rPr>
            <w:rFonts w:ascii="Cambria Math" w:hAnsi="Book Antiqua"/>
            <w:sz w:val="20"/>
            <w:lang w:val="en-CA"/>
          </w:rPr>
          <m:t xml:space="preserve">  =  </m:t>
        </m:r>
        <m:r>
          <w:rPr>
            <w:rFonts w:ascii="Cambria Math" w:hAnsi="Cambria Math"/>
            <w:sz w:val="20"/>
            <w:lang w:val="en-CA"/>
          </w:rPr>
          <m:t>constant</m:t>
        </m:r>
      </m:oMath>
      <w:r w:rsidRPr="00370948">
        <w:rPr>
          <w:rFonts w:ascii="Book Antiqua" w:hAnsi="Book Antiqua"/>
          <w:i/>
          <w:sz w:val="20"/>
          <w:lang w:val="en-CA"/>
        </w:rPr>
        <w:t xml:space="preserve">  .</w:t>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i/>
          <w:sz w:val="20"/>
          <w:lang w:val="en-CA"/>
        </w:rPr>
        <w:t xml:space="preserve"> (23)</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Resistances thus remain fixed as the ZPE varies. This is experimentally supported by Hall resistance values given by the Von Klitzing constant. Therefore, both resistivity and conductivity are also constant. Note that magnetic field strengths have magnitudes defined as (</w:t>
      </w:r>
      <m:oMath>
        <m:r>
          <w:rPr>
            <w:rFonts w:ascii="Cambria Math" w:hAnsi="Cambria Math"/>
            <w:sz w:val="20"/>
          </w:rPr>
          <m:t>H</m:t>
        </m:r>
        <m:r>
          <w:rPr>
            <w:rFonts w:ascii="Cambria Math" w:hAnsi="Book Antiqua"/>
            <w:sz w:val="20"/>
          </w:rPr>
          <m:t xml:space="preserve">  =  </m:t>
        </m:r>
        <m:r>
          <w:rPr>
            <w:rFonts w:ascii="Cambria Math" w:hAnsi="Cambria Math"/>
            <w:sz w:val="20"/>
          </w:rPr>
          <m:t>I</m:t>
        </m:r>
        <m:r>
          <w:rPr>
            <w:rFonts w:ascii="Cambria Math" w:hAnsi="Book Antiqua"/>
            <w:sz w:val="20"/>
          </w:rPr>
          <m:t xml:space="preserve"> / </m:t>
        </m:r>
        <m:r>
          <w:rPr>
            <w:rFonts w:ascii="Cambria Math" w:hAnsi="Cambria Math"/>
            <w:sz w:val="20"/>
          </w:rPr>
          <m:t>r</m:t>
        </m:r>
      </m:oMath>
      <w:r w:rsidRPr="00370948">
        <w:rPr>
          <w:rFonts w:ascii="Book Antiqua" w:hAnsi="Book Antiqua"/>
          <w:sz w:val="20"/>
        </w:rPr>
        <w:t xml:space="preserve">) in units of amperes/meter, while magnetic moments,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370948">
        <w:rPr>
          <w:rFonts w:ascii="Book Antiqua" w:hAnsi="Book Antiqua"/>
          <w:sz w:val="20"/>
        </w:rPr>
        <w:t xml:space="preserve">, are proportional to current </w:t>
      </w:r>
      <w:r w:rsidRPr="00370948">
        <w:rPr>
          <w:rFonts w:ascii="Book Antiqua" w:hAnsi="Book Antiqua"/>
          <w:i/>
          <w:sz w:val="20"/>
        </w:rPr>
        <w:t>I</w:t>
      </w:r>
      <w:r w:rsidRPr="00370948">
        <w:rPr>
          <w:rFonts w:ascii="Book Antiqua" w:hAnsi="Book Antiqua"/>
          <w:sz w:val="20"/>
        </w:rPr>
        <w:t xml:space="preserve"> times area or amps meter</w:t>
      </w:r>
      <w:r w:rsidRPr="00370948">
        <w:rPr>
          <w:rFonts w:ascii="Book Antiqua" w:hAnsi="Book Antiqua"/>
          <w:sz w:val="20"/>
          <w:vertAlign w:val="superscript"/>
        </w:rPr>
        <w:t>2</w:t>
      </w:r>
      <w:r w:rsidRPr="00370948">
        <w:rPr>
          <w:rFonts w:ascii="Book Antiqua" w:hAnsi="Book Antiqua"/>
          <w:sz w:val="20"/>
        </w:rPr>
        <w:t xml:space="preserve">. Since </w:t>
      </w:r>
      <m:oMath>
        <m:r>
          <w:rPr>
            <w:rFonts w:ascii="Cambria Math" w:hAnsi="Cambria Math"/>
            <w:sz w:val="20"/>
          </w:rPr>
          <m:t>r</m:t>
        </m:r>
      </m:oMath>
      <w:r w:rsidRPr="00370948">
        <w:rPr>
          <w:rFonts w:ascii="Book Antiqua" w:hAnsi="Book Antiqua"/>
          <w:sz w:val="20"/>
        </w:rPr>
        <w:t xml:space="preserve"> is unchanged, then from (21) it follows that</w:t>
      </w:r>
      <m:oMath>
        <m:r>
          <w:rPr>
            <w:rFonts w:ascii="Cambria Math" w:hAnsi="Book Antiqua"/>
            <w:sz w:val="20"/>
          </w:rPr>
          <m:t xml:space="preserve"> </m:t>
        </m:r>
        <m:r>
          <w:rPr>
            <w:rFonts w:ascii="Cambria Math" w:hAnsi="Cambria Math"/>
            <w:sz w:val="20"/>
          </w:rPr>
          <m:t>H</m:t>
        </m:r>
      </m:oMath>
      <w:r w:rsidRPr="00370948">
        <w:rPr>
          <w:rFonts w:ascii="Book Antiqua" w:hAnsi="Book Antiqua"/>
          <w:sz w:val="20"/>
        </w:rPr>
        <w:t xml:space="preserve"> &amp;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370948">
        <w:rPr>
          <w:rFonts w:ascii="Book Antiqua" w:hAnsi="Book Antiqua"/>
          <w:sz w:val="20"/>
        </w:rPr>
        <w:t xml:space="preserve">are proportional to </w:t>
      </w:r>
      <m:oMath>
        <m:r>
          <w:rPr>
            <w:rFonts w:ascii="Cambria Math" w:hAnsi="Cambria Math"/>
            <w:sz w:val="20"/>
          </w:rPr>
          <m:t>I</m:t>
        </m:r>
      </m:oMath>
      <w:r w:rsidRPr="00370948">
        <w:rPr>
          <w:rFonts w:ascii="Book Antiqua" w:hAnsi="Book Antiqua"/>
          <w:sz w:val="20"/>
        </w:rPr>
        <w:t>. So we have:</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m:t>
        </m:r>
        <m:rad>
          <m:radPr>
            <m:degHide m:val="on"/>
            <m:ctrlPr>
              <w:rPr>
                <w:rFonts w:ascii="Cambria Math" w:hAnsi="Book Antiqua"/>
                <w:i/>
                <w:sz w:val="20"/>
              </w:rPr>
            </m:ctrlPr>
          </m:radPr>
          <m:deg/>
          <m:e>
            <m:r>
              <w:rPr>
                <w:rFonts w:ascii="Cambria Math" w:hAnsi="Cambria Math"/>
                <w:sz w:val="20"/>
              </w:rPr>
              <m:t>c</m:t>
            </m:r>
          </m:e>
        </m:rad>
        <m:r>
          <w:rPr>
            <w:rFonts w:ascii="Cambria Math" w:hAnsi="Book Antiqua"/>
            <w:sz w:val="20"/>
          </w:rPr>
          <m:t xml:space="preserve"> ~ 1/</m:t>
        </m:r>
        <m:d>
          <m:dPr>
            <m:ctrlPr>
              <w:rPr>
                <w:rFonts w:ascii="Cambria Math" w:hAnsi="Book Antiqua"/>
                <w:i/>
                <w:sz w:val="20"/>
              </w:rPr>
            </m:ctrlPr>
          </m:dPr>
          <m:e>
            <m:rad>
              <m:radPr>
                <m:degHide m:val="on"/>
                <m:ctrlPr>
                  <w:rPr>
                    <w:rFonts w:ascii="Cambria Math" w:hAnsi="Book Antiqua"/>
                    <w:i/>
                    <w:sz w:val="20"/>
                  </w:rPr>
                </m:ctrlPr>
              </m:radPr>
              <m:deg/>
              <m:e>
                <m:r>
                  <w:rPr>
                    <w:rFonts w:ascii="Cambria Math" w:hAnsi="Cambria Math"/>
                    <w:sz w:val="20"/>
                  </w:rPr>
                  <m:t>U</m:t>
                </m:r>
              </m:e>
            </m:rad>
          </m:e>
        </m:d>
        <m:r>
          <w:rPr>
            <w:rFonts w:ascii="Cambria Math" w:hAnsi="Book Antiqua"/>
            <w:sz w:val="20"/>
          </w:rPr>
          <m:t xml:space="preserve"> ~ </m:t>
        </m:r>
        <m:r>
          <w:rPr>
            <w:rFonts w:ascii="Cambria Math" w:hAnsi="Cambria Math"/>
            <w:sz w:val="20"/>
          </w:rPr>
          <m:t>M*</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This result for </w:t>
      </w:r>
      <m:oMath>
        <m:r>
          <w:rPr>
            <w:rFonts w:ascii="Cambria Math" w:hAnsi="Cambria Math"/>
            <w:sz w:val="20"/>
          </w:rPr>
          <m:t>H</m:t>
        </m:r>
      </m:oMath>
      <w:r w:rsidRPr="00370948">
        <w:rPr>
          <w:rFonts w:ascii="Book Antiqua" w:hAnsi="Book Antiqua"/>
          <w:sz w:val="20"/>
        </w:rPr>
        <w:t xml:space="preserve"> gives uniformity with the magnitude of the electric field strength, </w:t>
      </w:r>
      <m:oMath>
        <m:r>
          <w:rPr>
            <w:rFonts w:ascii="Cambria Math" w:hAnsi="Cambria Math"/>
            <w:sz w:val="20"/>
          </w:rPr>
          <m:t>E</m:t>
        </m:r>
      </m:oMath>
      <w:r w:rsidRPr="00370948">
        <w:rPr>
          <w:rFonts w:ascii="Book Antiqua" w:hAnsi="Book Antiqua"/>
          <w:sz w:val="20"/>
        </w:rPr>
        <w:t xml:space="preserve">. They both bear the same proportionality with </w:t>
      </w:r>
      <m:oMath>
        <m:r>
          <w:rPr>
            <w:rFonts w:ascii="Cambria Math" w:hAnsi="Cambria Math"/>
            <w:sz w:val="20"/>
          </w:rPr>
          <m:t>c</m:t>
        </m:r>
      </m:oMath>
      <w:r w:rsidRPr="00370948">
        <w:rPr>
          <w:rFonts w:ascii="Book Antiqua" w:hAnsi="Book Antiqua"/>
          <w:sz w:val="20"/>
        </w:rPr>
        <w:t xml:space="preserve"> and </w:t>
      </w:r>
      <m:oMath>
        <m:r>
          <w:rPr>
            <w:rFonts w:ascii="Cambria Math" w:hAnsi="Cambria Math"/>
            <w:sz w:val="20"/>
          </w:rPr>
          <m:t>U</m:t>
        </m:r>
      </m:oMath>
      <w:r w:rsidRPr="00370948">
        <w:rPr>
          <w:rFonts w:ascii="Book Antiqua" w:hAnsi="Book Antiqua"/>
          <w:i/>
          <w:sz w:val="20"/>
        </w:rPr>
        <w:t>,</w:t>
      </w:r>
      <w:r w:rsidRPr="00370948">
        <w:rPr>
          <w:rFonts w:ascii="Book Antiqua" w:hAnsi="Book Antiqua"/>
          <w:sz w:val="20"/>
        </w:rPr>
        <w:t xml:space="preserve"> thereby maintaining symmetry between electric and magnetic phenomena. From these results, the magnetic flux density or magnetic induction, </w:t>
      </w:r>
      <m:oMath>
        <m:r>
          <w:rPr>
            <w:rFonts w:ascii="Cambria Math" w:hAnsi="Cambria Math"/>
            <w:sz w:val="20"/>
          </w:rPr>
          <m:t>B</m:t>
        </m:r>
      </m:oMath>
      <w:r w:rsidRPr="00370948">
        <w:rPr>
          <w:rFonts w:ascii="Book Antiqua" w:hAnsi="Book Antiqua"/>
          <w:sz w:val="20"/>
        </w:rPr>
        <w:t>, is given by [56]:</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B</m:t>
        </m:r>
        <m:r>
          <w:rPr>
            <w:rFonts w:ascii="Cambria Math" w:hAnsi="Book Antiqua"/>
            <w:sz w:val="20"/>
            <w:lang w:val="en-CA"/>
          </w:rPr>
          <m:t xml:space="preserve">  =  </m:t>
        </m:r>
        <m:r>
          <w:rPr>
            <w:rFonts w:ascii="Cambria Math" w:hAnsi="Cambria Math"/>
            <w:sz w:val="20"/>
          </w:rPr>
          <m:t>μ</m:t>
        </m:r>
        <m:r>
          <w:rPr>
            <w:rFonts w:ascii="Cambria Math" w:hAnsi="Book Antiqua"/>
            <w:sz w:val="20"/>
          </w:rPr>
          <m:t xml:space="preserve"> </m:t>
        </m:r>
        <m:r>
          <w:rPr>
            <w:rFonts w:ascii="Cambria Math" w:hAnsi="Cambria Math"/>
            <w:sz w:val="20"/>
            <w:lang w:val="en-CA"/>
          </w:rPr>
          <m:t>H</m:t>
        </m:r>
        <m:r>
          <w:rPr>
            <w:rFonts w:ascii="Cambria Math" w:hAnsi="Book Antiqua"/>
            <w:sz w:val="20"/>
            <w:lang w:val="en-CA"/>
          </w:rPr>
          <m:t xml:space="preserve">  </m:t>
        </m:r>
        <m:r>
          <w:rPr>
            <w:rFonts w:ascii="Cambria Math" w:hAnsi="Book Antiqua"/>
            <w:sz w:val="20"/>
          </w:rPr>
          <m:t>~  1/(</m:t>
        </m:r>
        <m:r>
          <w:rPr>
            <w:rFonts w:ascii="Cambria Math" w:hAnsi="Cambria Math"/>
            <w:sz w:val="20"/>
          </w:rPr>
          <m:t>√c</m:t>
        </m:r>
        <m:r>
          <w:rPr>
            <w:rFonts w:ascii="Cambria Math" w:hAnsi="Book Antiqua"/>
            <w:sz w:val="20"/>
          </w:rPr>
          <m:t xml:space="preserve">)  ~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(25)</w:t>
      </w:r>
    </w:p>
    <w:p w:rsidR="005359B2" w:rsidRPr="00370948" w:rsidRDefault="005359B2" w:rsidP="005359B2">
      <w:pPr>
        <w:pStyle w:val="NoSpacing"/>
        <w:jc w:val="both"/>
        <w:rPr>
          <w:rFonts w:ascii="Book Antiqua" w:hAnsi="Book Antiqua"/>
          <w:sz w:val="20"/>
          <w:lang w:val="en-CA"/>
        </w:rPr>
      </w:pPr>
    </w:p>
    <w:p w:rsidR="005359B2" w:rsidRDefault="005359B2" w:rsidP="005359B2">
      <w:pPr>
        <w:pStyle w:val="NoSpacing"/>
        <w:jc w:val="both"/>
        <w:rPr>
          <w:rFonts w:ascii="Book Antiqua" w:hAnsi="Book Antiqua"/>
          <w:sz w:val="20"/>
          <w:lang w:val="en-CA"/>
        </w:rPr>
      </w:pPr>
      <w:r>
        <w:rPr>
          <w:rFonts w:ascii="Book Antiqua" w:hAnsi="Book Antiqua"/>
          <w:sz w:val="20"/>
          <w:lang w:val="en-CA"/>
        </w:rPr>
        <w:t xml:space="preserve">In plasma cosmology, </w:t>
      </w:r>
      <w:r w:rsidRPr="00370948">
        <w:rPr>
          <w:rFonts w:ascii="Book Antiqua" w:hAnsi="Book Antiqua"/>
          <w:sz w:val="20"/>
          <w:lang w:val="en-CA"/>
        </w:rPr>
        <w:t xml:space="preserve">the attractive force is the long range force between two current filaments. This is proportional to </w:t>
      </w:r>
      <m:oMath>
        <m:r>
          <w:rPr>
            <w:rFonts w:ascii="Cambria Math" w:hAnsi="Book Antiqua"/>
            <w:sz w:val="20"/>
            <w:lang w:val="en-CA"/>
          </w:rPr>
          <m:t>1/</m:t>
        </m:r>
        <m:r>
          <w:rPr>
            <w:rFonts w:ascii="Cambria Math" w:hAnsi="Cambria Math"/>
            <w:sz w:val="20"/>
            <w:lang w:val="en-CA"/>
          </w:rPr>
          <m:t>r</m:t>
        </m:r>
      </m:oMath>
      <w:r w:rsidRPr="00370948">
        <w:rPr>
          <w:rFonts w:ascii="Book Antiqua" w:hAnsi="Book Antiqua"/>
          <w:i/>
          <w:sz w:val="20"/>
          <w:lang w:val="en-CA"/>
        </w:rPr>
        <w:t>,</w:t>
      </w:r>
      <w:r w:rsidRPr="00370948">
        <w:rPr>
          <w:rFonts w:ascii="Book Antiqua" w:hAnsi="Book Antiqua"/>
          <w:sz w:val="20"/>
          <w:lang w:val="en-CA"/>
        </w:rPr>
        <w:t xml:space="preserve"> while the short-range repulsive force between them is proportional to </w:t>
      </w:r>
      <m:oMath>
        <m:r>
          <w:rPr>
            <w:rFonts w:ascii="Cambria Math" w:hAnsi="Book Antiqua"/>
            <w:sz w:val="20"/>
            <w:lang w:val="en-CA"/>
          </w:rPr>
          <m:t>1/</m:t>
        </m:r>
        <m:sSup>
          <m:sSupPr>
            <m:ctrlPr>
              <w:rPr>
                <w:rFonts w:ascii="Cambria Math" w:hAnsi="Book Antiqua"/>
                <w:i/>
                <w:sz w:val="20"/>
                <w:lang w:val="en-CA"/>
              </w:rPr>
            </m:ctrlPr>
          </m:sSupPr>
          <m:e>
            <m:r>
              <w:rPr>
                <w:rFonts w:ascii="Cambria Math" w:hAnsi="Cambria Math"/>
                <w:sz w:val="20"/>
                <w:lang w:val="en-CA"/>
              </w:rPr>
              <m:t>r</m:t>
            </m:r>
          </m:e>
          <m:sup>
            <m:r>
              <w:rPr>
                <w:rFonts w:ascii="Cambria Math" w:hAnsi="Book Antiqua"/>
                <w:sz w:val="20"/>
                <w:lang w:val="en-CA"/>
              </w:rPr>
              <m:t>4</m:t>
            </m:r>
          </m:sup>
        </m:sSup>
        <m:r>
          <w:rPr>
            <w:rFonts w:ascii="Cambria Math" w:hAnsi="Book Antiqua"/>
            <w:sz w:val="20"/>
            <w:lang w:val="en-CA"/>
          </w:rPr>
          <m:t xml:space="preserve"> </m:t>
        </m:r>
      </m:oMath>
      <w:r w:rsidRPr="00370948">
        <w:rPr>
          <w:rFonts w:ascii="Book Antiqua" w:hAnsi="Book Antiqua"/>
          <w:sz w:val="20"/>
          <w:lang w:val="en-CA"/>
        </w:rPr>
        <w:t xml:space="preserve">. The forces remain unchanged with ZPE variation, but other behavior does not. </w:t>
      </w:r>
    </w:p>
    <w:p w:rsidR="00050FFF" w:rsidRDefault="00050FFF" w:rsidP="005359B2">
      <w:pPr>
        <w:pStyle w:val="NoSpacing"/>
        <w:jc w:val="both"/>
        <w:rPr>
          <w:rFonts w:ascii="Book Antiqua" w:hAnsi="Book Antiqua"/>
          <w:sz w:val="20"/>
          <w:lang w:val="en-CA"/>
        </w:rPr>
      </w:pPr>
    </w:p>
    <w:p w:rsidR="00050FFF" w:rsidRPr="00370948" w:rsidRDefault="00050FFF" w:rsidP="005359B2">
      <w:pPr>
        <w:pStyle w:val="NoSpacing"/>
        <w:jc w:val="both"/>
        <w:rPr>
          <w:rFonts w:ascii="Book Antiqua" w:hAnsi="Book Antiqua"/>
          <w:sz w:val="20"/>
          <w:lang w:val="en-CA"/>
        </w:rPr>
      </w:pPr>
    </w:p>
    <w:p w:rsidR="005359B2" w:rsidRPr="00370948" w:rsidRDefault="005359B2" w:rsidP="005359B2">
      <w:pPr>
        <w:pStyle w:val="NoSpacing"/>
        <w:jc w:val="both"/>
        <w:rPr>
          <w:rFonts w:ascii="Book Antiqua" w:hAnsi="Book Antiqua"/>
          <w:i/>
          <w:sz w:val="20"/>
          <w:lang w:val="en-CA"/>
        </w:rPr>
      </w:pPr>
    </w:p>
    <w:p w:rsidR="005359B2" w:rsidRDefault="005359B2" w:rsidP="005359B2">
      <w:pPr>
        <w:pStyle w:val="NoSpacing"/>
        <w:jc w:val="both"/>
        <w:rPr>
          <w:rFonts w:ascii="Book Antiqua" w:hAnsi="Book Antiqua"/>
          <w:b/>
          <w:sz w:val="20"/>
        </w:rPr>
      </w:pPr>
      <w:r>
        <w:rPr>
          <w:rFonts w:ascii="Book Antiqua" w:hAnsi="Book Antiqua"/>
          <w:b/>
          <w:sz w:val="20"/>
        </w:rPr>
        <w:lastRenderedPageBreak/>
        <w:t>3.</w:t>
      </w:r>
      <w:r w:rsidRPr="004159A5">
        <w:rPr>
          <w:rFonts w:ascii="Book Antiqua" w:hAnsi="Book Antiqua"/>
          <w:b/>
          <w:sz w:val="20"/>
        </w:rPr>
        <w:t xml:space="preserve"> Earth and Planetary Magnetic fields</w:t>
      </w:r>
    </w:p>
    <w:p w:rsidR="005359B2" w:rsidRPr="004159A5" w:rsidRDefault="005359B2" w:rsidP="005359B2">
      <w:pPr>
        <w:pStyle w:val="NoSpacing"/>
        <w:jc w:val="both"/>
        <w:rPr>
          <w:rFonts w:ascii="Book Antiqua" w:hAnsi="Book Antiqua"/>
          <w:b/>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As has</w:t>
      </w:r>
      <w:r w:rsidRPr="00370948">
        <w:rPr>
          <w:rFonts w:ascii="Book Antiqua" w:hAnsi="Book Antiqua"/>
          <w:color w:val="000000"/>
          <w:sz w:val="20"/>
        </w:rPr>
        <w:t xml:space="preserve"> been pointed out, when the ZPE was lower, currents were stronger and voltages greater. </w:t>
      </w:r>
      <w:r>
        <w:rPr>
          <w:rFonts w:ascii="Book Antiqua" w:hAnsi="Book Antiqua"/>
          <w:color w:val="000000"/>
          <w:sz w:val="20"/>
        </w:rPr>
        <w:t>This also</w:t>
      </w:r>
      <w:r w:rsidRPr="00370948">
        <w:rPr>
          <w:rFonts w:ascii="Book Antiqua" w:hAnsi="Book Antiqua"/>
          <w:color w:val="000000"/>
          <w:sz w:val="20"/>
        </w:rPr>
        <w:t xml:space="preserve"> means from equation (24) </w:t>
      </w:r>
      <w:r>
        <w:rPr>
          <w:rFonts w:ascii="Book Antiqua" w:hAnsi="Book Antiqua"/>
          <w:color w:val="000000"/>
          <w:sz w:val="20"/>
        </w:rPr>
        <w:t xml:space="preserve">that </w:t>
      </w:r>
      <w:r w:rsidRPr="00370948">
        <w:rPr>
          <w:rFonts w:ascii="Book Antiqua" w:hAnsi="Book Antiqua"/>
          <w:color w:val="000000"/>
          <w:sz w:val="20"/>
        </w:rPr>
        <w:t xml:space="preserve">all magnetic moments,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xml:space="preserve">, will be greater </w:t>
      </w:r>
      <w:r>
        <w:rPr>
          <w:rFonts w:ascii="Book Antiqua" w:hAnsi="Book Antiqua"/>
          <w:color w:val="000000"/>
          <w:sz w:val="20"/>
        </w:rPr>
        <w:t xml:space="preserve">(with a lower ZPE) </w:t>
      </w:r>
      <w:r w:rsidRPr="00370948">
        <w:rPr>
          <w:rFonts w:ascii="Book Antiqua" w:hAnsi="Book Antiqua"/>
          <w:color w:val="000000"/>
          <w:sz w:val="20"/>
        </w:rPr>
        <w:t>as both their derivation and their units of amps-meters</w:t>
      </w:r>
      <w:r w:rsidRPr="00370948">
        <w:rPr>
          <w:rFonts w:ascii="Book Antiqua" w:hAnsi="Book Antiqua"/>
          <w:color w:val="000000"/>
          <w:sz w:val="20"/>
          <w:vertAlign w:val="superscript"/>
        </w:rPr>
        <w:t>2</w:t>
      </w:r>
      <w:r w:rsidRPr="00370948">
        <w:rPr>
          <w:rFonts w:ascii="Book Antiqua" w:hAnsi="Book Antiqua"/>
          <w:color w:val="000000"/>
          <w:sz w:val="20"/>
        </w:rPr>
        <w:t xml:space="preserve"> shows. The meters </w:t>
      </w:r>
      <w:r>
        <w:rPr>
          <w:rFonts w:ascii="Book Antiqua" w:hAnsi="Book Antiqua"/>
          <w:color w:val="000000"/>
          <w:sz w:val="20"/>
        </w:rPr>
        <w:t>remain</w:t>
      </w:r>
      <w:r w:rsidRPr="00370948">
        <w:rPr>
          <w:rFonts w:ascii="Book Antiqua" w:hAnsi="Book Antiqua"/>
          <w:color w:val="000000"/>
          <w:sz w:val="20"/>
        </w:rPr>
        <w:t xml:space="preserve"> constant, but the amps </w:t>
      </w:r>
      <w:r>
        <w:rPr>
          <w:rFonts w:ascii="Book Antiqua" w:hAnsi="Book Antiqua"/>
          <w:color w:val="000000"/>
          <w:sz w:val="20"/>
        </w:rPr>
        <w:t>are</w:t>
      </w:r>
      <w:r w:rsidRPr="00370948">
        <w:rPr>
          <w:rFonts w:ascii="Book Antiqua" w:hAnsi="Book Antiqua"/>
          <w:color w:val="000000"/>
          <w:sz w:val="20"/>
        </w:rPr>
        <w:t xml:space="preserve"> proportional to the inverse square root of the ZPE strength. </w:t>
      </w:r>
      <w:r>
        <w:rPr>
          <w:rFonts w:ascii="Book Antiqua" w:hAnsi="Book Antiqua"/>
          <w:color w:val="000000"/>
          <w:sz w:val="20"/>
        </w:rPr>
        <w:t>Thus, the amps are</w:t>
      </w:r>
      <w:r w:rsidRPr="00370948">
        <w:rPr>
          <w:rFonts w:ascii="Book Antiqua" w:hAnsi="Book Antiqua"/>
          <w:color w:val="000000"/>
          <w:sz w:val="20"/>
        </w:rPr>
        <w:t xml:space="preserve"> directly proportional to the square root of light-speed, </w:t>
      </w:r>
      <m:oMath>
        <m:r>
          <w:rPr>
            <w:rFonts w:ascii="Cambria Math" w:hAnsi="Cambria Math"/>
            <w:color w:val="000000"/>
            <w:sz w:val="20"/>
          </w:rPr>
          <m:t>c</m:t>
        </m:r>
      </m:oMath>
      <w:r w:rsidRPr="00370948">
        <w:rPr>
          <w:rFonts w:ascii="Book Antiqua" w:hAnsi="Book Antiqua"/>
          <w:color w:val="000000"/>
          <w:sz w:val="20"/>
        </w:rPr>
        <w:t xml:space="preserve">. </w:t>
      </w:r>
    </w:p>
    <w:p w:rsidR="005359B2"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These are</w:t>
      </w:r>
      <w:r w:rsidRPr="00370948">
        <w:rPr>
          <w:rFonts w:ascii="Book Antiqua" w:hAnsi="Book Antiqua"/>
          <w:color w:val="000000"/>
          <w:sz w:val="20"/>
        </w:rPr>
        <w:t xml:space="preserve"> the same relationship</w:t>
      </w:r>
      <w:r>
        <w:rPr>
          <w:rFonts w:ascii="Book Antiqua" w:hAnsi="Book Antiqua"/>
          <w:color w:val="000000"/>
          <w:sz w:val="20"/>
        </w:rPr>
        <w:t>s</w:t>
      </w:r>
      <w:r w:rsidRPr="00370948">
        <w:rPr>
          <w:rFonts w:ascii="Book Antiqua" w:hAnsi="Book Antiqua"/>
          <w:color w:val="000000"/>
          <w:sz w:val="20"/>
        </w:rPr>
        <w:t xml:space="preserve"> that the magnetic field strength, </w:t>
      </w:r>
      <m:oMath>
        <m:r>
          <w:rPr>
            <w:rFonts w:ascii="Cambria Math" w:hAnsi="Cambria Math"/>
            <w:color w:val="000000"/>
            <w:sz w:val="20"/>
          </w:rPr>
          <m:t>H</m:t>
        </m:r>
      </m:oMath>
      <w:r w:rsidRPr="00370948">
        <w:rPr>
          <w:rFonts w:ascii="Book Antiqua" w:hAnsi="Book Antiqua"/>
          <w:color w:val="000000"/>
          <w:sz w:val="20"/>
        </w:rPr>
        <w:t>, has with</w:t>
      </w:r>
      <w:r>
        <w:rPr>
          <w:rFonts w:ascii="Book Antiqua" w:hAnsi="Book Antiqua"/>
          <w:color w:val="000000"/>
          <w:sz w:val="20"/>
        </w:rPr>
        <w:t xml:space="preserve"> </w:t>
      </w:r>
      <m:oMath>
        <m:r>
          <w:rPr>
            <w:rFonts w:ascii="Cambria Math" w:hAnsi="Cambria Math"/>
            <w:color w:val="000000"/>
            <w:sz w:val="20"/>
          </w:rPr>
          <m:t>c</m:t>
        </m:r>
      </m:oMath>
      <w:r w:rsidRPr="00370948">
        <w:rPr>
          <w:rFonts w:ascii="Book Antiqua" w:hAnsi="Book Antiqua"/>
          <w:color w:val="000000"/>
          <w:sz w:val="20"/>
        </w:rPr>
        <w:t xml:space="preserve"> and the ZPE</w:t>
      </w:r>
      <w:r>
        <w:rPr>
          <w:rFonts w:ascii="Book Antiqua" w:hAnsi="Book Antiqua"/>
          <w:color w:val="000000"/>
          <w:sz w:val="20"/>
        </w:rPr>
        <w:t xml:space="preserve">. </w:t>
      </w:r>
      <w:r w:rsidRPr="00370948">
        <w:rPr>
          <w:rFonts w:ascii="Book Antiqua" w:hAnsi="Book Antiqua"/>
          <w:color w:val="000000"/>
          <w:sz w:val="20"/>
        </w:rPr>
        <w:t xml:space="preserve"> </w:t>
      </w:r>
      <w:r>
        <w:rPr>
          <w:rFonts w:ascii="Book Antiqua" w:hAnsi="Book Antiqua"/>
          <w:color w:val="000000"/>
          <w:sz w:val="20"/>
        </w:rPr>
        <w:t>There are natural instabilities in the dynamo driving the earth’s magnetic field. With or without these instabilities</w:t>
      </w:r>
      <w:r w:rsidRPr="00370948">
        <w:rPr>
          <w:rFonts w:ascii="Book Antiqua" w:hAnsi="Book Antiqua"/>
          <w:color w:val="000000"/>
          <w:sz w:val="20"/>
        </w:rPr>
        <w:t xml:space="preserve">, the earth's magnetic field strength will decay in the same way as the square-root of </w:t>
      </w:r>
      <m:oMath>
        <m:r>
          <w:rPr>
            <w:rFonts w:ascii="Cambria Math" w:hAnsi="Cambria Math"/>
            <w:color w:val="000000"/>
            <w:sz w:val="20"/>
          </w:rPr>
          <m:t>c</m:t>
        </m:r>
      </m:oMath>
      <w:r w:rsidRPr="00370948">
        <w:rPr>
          <w:rFonts w:ascii="Book Antiqua" w:hAnsi="Book Antiqua"/>
          <w:color w:val="000000"/>
          <w:sz w:val="20"/>
        </w:rPr>
        <w:t xml:space="preserve">, or the inverse square root of the ZPE strength, </w:t>
      </w:r>
      <m:oMath>
        <m:r>
          <w:rPr>
            <w:rFonts w:ascii="Cambria Math" w:hAnsi="Cambria Math"/>
            <w:color w:val="000000"/>
            <w:sz w:val="20"/>
          </w:rPr>
          <m:t>U</m:t>
        </m:r>
      </m:oMath>
      <w:r w:rsidRPr="00370948">
        <w:rPr>
          <w:rFonts w:ascii="Book Antiqua" w:hAnsi="Book Antiqua"/>
          <w:color w:val="000000"/>
          <w:sz w:val="20"/>
        </w:rPr>
        <w:t xml:space="preserve">. </w:t>
      </w:r>
      <w:r>
        <w:rPr>
          <w:rFonts w:ascii="Book Antiqua" w:hAnsi="Book Antiqua"/>
          <w:color w:val="000000"/>
          <w:sz w:val="20"/>
        </w:rPr>
        <w:t>This</w:t>
      </w:r>
      <w:r w:rsidRPr="00370948">
        <w:rPr>
          <w:rFonts w:ascii="Book Antiqua" w:hAnsi="Book Antiqua"/>
          <w:color w:val="000000"/>
          <w:sz w:val="20"/>
        </w:rPr>
        <w:t xml:space="preserve"> has been verified by measurements of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xml:space="preserve"> since the time of Gauss in 1835. </w:t>
      </w:r>
    </w:p>
    <w:p w:rsidR="005359B2"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However, data back to 1550 was published by</w:t>
      </w:r>
      <w:r w:rsidRPr="00370948">
        <w:rPr>
          <w:rFonts w:ascii="Book Antiqua" w:hAnsi="Book Antiqua"/>
          <w:color w:val="000000"/>
          <w:sz w:val="20"/>
        </w:rPr>
        <w:t xml:space="preserve"> David Gubbins of Leeds University, UK, </w:t>
      </w:r>
      <w:r>
        <w:rPr>
          <w:rFonts w:ascii="Book Antiqua" w:hAnsi="Book Antiqua"/>
          <w:color w:val="000000"/>
          <w:sz w:val="20"/>
        </w:rPr>
        <w:t xml:space="preserve">in 2006 in </w:t>
      </w:r>
      <w:r w:rsidRPr="00370948">
        <w:rPr>
          <w:rFonts w:ascii="Book Antiqua" w:hAnsi="Book Antiqua"/>
          <w:i/>
          <w:color w:val="000000"/>
          <w:sz w:val="20"/>
        </w:rPr>
        <w:t>Science</w:t>
      </w:r>
      <w:r w:rsidRPr="00370948">
        <w:rPr>
          <w:rFonts w:ascii="Book Antiqua" w:hAnsi="Book Antiqua"/>
          <w:color w:val="000000"/>
          <w:sz w:val="20"/>
        </w:rPr>
        <w:t xml:space="preserve"> (vol. </w:t>
      </w:r>
      <w:r w:rsidRPr="00370948">
        <w:rPr>
          <w:rFonts w:ascii="Book Antiqua" w:hAnsi="Book Antiqua"/>
          <w:b/>
          <w:color w:val="000000"/>
          <w:sz w:val="20"/>
        </w:rPr>
        <w:t>312</w:t>
      </w:r>
      <w:r>
        <w:rPr>
          <w:rFonts w:ascii="Book Antiqua" w:hAnsi="Book Antiqua"/>
          <w:color w:val="000000"/>
          <w:sz w:val="20"/>
        </w:rPr>
        <w:t>, p.900). His article involved an examination of</w:t>
      </w:r>
      <w:r w:rsidRPr="00370948">
        <w:rPr>
          <w:rFonts w:ascii="Book Antiqua" w:hAnsi="Book Antiqua"/>
          <w:color w:val="000000"/>
          <w:sz w:val="20"/>
        </w:rPr>
        <w:t xml:space="preserve"> the log-books of ancient ships which recorded the direction of the Earth’s magnetic field. </w:t>
      </w:r>
      <w:r>
        <w:rPr>
          <w:rFonts w:ascii="Book Antiqua" w:hAnsi="Book Antiqua"/>
          <w:color w:val="000000"/>
          <w:sz w:val="20"/>
        </w:rPr>
        <w:t xml:space="preserve"> I</w:t>
      </w:r>
      <w:r w:rsidRPr="00370948">
        <w:rPr>
          <w:rFonts w:ascii="Book Antiqua" w:hAnsi="Book Antiqua"/>
          <w:color w:val="000000"/>
          <w:sz w:val="20"/>
        </w:rPr>
        <w:t xml:space="preserve">t was standard to calibrate ships compasses relative to true north, and sometimes, in addition, to measure the angle at which the magnetic field lines entered the Earth’s surface. </w:t>
      </w:r>
      <w:r>
        <w:rPr>
          <w:rFonts w:ascii="Book Antiqua" w:hAnsi="Book Antiqua"/>
          <w:color w:val="000000"/>
          <w:sz w:val="20"/>
        </w:rPr>
        <w:t xml:space="preserve"> His results are listed as the first six entries in Table 1, below.  </w:t>
      </w:r>
    </w:p>
    <w:p w:rsidR="005359B2" w:rsidRDefault="005359B2" w:rsidP="005359B2">
      <w:pPr>
        <w:pStyle w:val="NoSpacing"/>
        <w:ind w:firstLine="360"/>
        <w:jc w:val="both"/>
        <w:rPr>
          <w:rFonts w:ascii="Book Antiqua" w:hAnsi="Book Antiqua"/>
          <w:color w:val="000000"/>
          <w:sz w:val="20"/>
        </w:rPr>
      </w:pPr>
    </w:p>
    <w:p w:rsidR="005359B2" w:rsidRPr="00370948" w:rsidRDefault="005359B2" w:rsidP="005359B2">
      <w:pPr>
        <w:pStyle w:val="NoSpacing"/>
        <w:ind w:firstLine="720"/>
        <w:jc w:val="both"/>
        <w:rPr>
          <w:rFonts w:ascii="Book Antiqua" w:hAnsi="Book Antiqua"/>
          <w:color w:val="000000"/>
          <w:sz w:val="20"/>
        </w:rPr>
      </w:pPr>
      <w:r>
        <w:rPr>
          <w:rFonts w:ascii="Book Antiqua" w:hAnsi="Book Antiqua"/>
          <w:color w:val="000000"/>
          <w:sz w:val="20"/>
        </w:rPr>
        <w:t>T</w:t>
      </w:r>
      <w:r w:rsidRPr="00370948">
        <w:rPr>
          <w:rFonts w:ascii="Book Antiqua" w:hAnsi="Book Antiqua"/>
          <w:color w:val="000000"/>
          <w:sz w:val="20"/>
        </w:rPr>
        <w:t xml:space="preserve">hese measurements had to be accurate to within half a degree or the ship would be so far off course that lives would be endangered. So, using the locations of the ships at the time these measurements were taken, plus indirect magnetic measurements from volcanic rocks and bricks, </w:t>
      </w:r>
      <w:r>
        <w:rPr>
          <w:rFonts w:ascii="Book Antiqua" w:hAnsi="Book Antiqua"/>
          <w:color w:val="000000"/>
          <w:sz w:val="20"/>
        </w:rPr>
        <w:t>we have been able</w:t>
      </w:r>
      <w:r w:rsidRPr="00370948">
        <w:rPr>
          <w:rFonts w:ascii="Book Antiqua" w:hAnsi="Book Antiqua"/>
          <w:color w:val="000000"/>
          <w:sz w:val="20"/>
        </w:rPr>
        <w:t xml:space="preserve"> to get good measurements of the magnetic moment of the earth’s field from 1550 to 1850. The results of these studies appear in Table 1 and are graphed in Figure </w:t>
      </w:r>
      <w:r>
        <w:rPr>
          <w:rFonts w:ascii="Book Antiqua" w:hAnsi="Book Antiqua"/>
          <w:color w:val="000000"/>
          <w:sz w:val="20"/>
        </w:rPr>
        <w:t>13</w:t>
      </w:r>
      <w:r w:rsidRPr="00370948">
        <w:rPr>
          <w:rFonts w:ascii="Book Antiqua" w:hAnsi="Book Antiqua"/>
          <w:color w:val="000000"/>
          <w:sz w:val="20"/>
        </w:rPr>
        <w:t>.</w:t>
      </w:r>
    </w:p>
    <w:p w:rsidR="005359B2" w:rsidRDefault="005359B2" w:rsidP="005359B2">
      <w:pPr>
        <w:pStyle w:val="NoSpacing"/>
        <w:jc w:val="center"/>
        <w:rPr>
          <w:rFonts w:ascii="Book Antiqua" w:hAnsi="Book Antiqua"/>
          <w:b/>
          <w:color w:val="000000"/>
          <w:sz w:val="18"/>
          <w:szCs w:val="18"/>
        </w:rPr>
      </w:pPr>
    </w:p>
    <w:p w:rsidR="005359B2" w:rsidRPr="00B77EF0" w:rsidRDefault="005359B2" w:rsidP="005359B2">
      <w:pPr>
        <w:pStyle w:val="NoSpacing"/>
        <w:jc w:val="center"/>
        <w:rPr>
          <w:rFonts w:ascii="Book Antiqua" w:hAnsi="Book Antiqua"/>
          <w:b/>
          <w:i/>
          <w:color w:val="000000"/>
          <w:sz w:val="18"/>
          <w:szCs w:val="18"/>
        </w:rPr>
      </w:pPr>
      <w:r w:rsidRPr="00B77EF0">
        <w:rPr>
          <w:rFonts w:ascii="Book Antiqua" w:hAnsi="Book Antiqua"/>
          <w:b/>
          <w:color w:val="000000"/>
          <w:sz w:val="18"/>
          <w:szCs w:val="18"/>
        </w:rPr>
        <w:t>Table 1:</w:t>
      </w:r>
      <w:r w:rsidRPr="00B77EF0">
        <w:rPr>
          <w:rFonts w:ascii="Book Antiqua" w:hAnsi="Book Antiqua"/>
          <w:b/>
          <w:i/>
          <w:color w:val="000000"/>
          <w:sz w:val="18"/>
          <w:szCs w:val="18"/>
        </w:rPr>
        <w:t xml:space="preserve"> The Earth’s dipole magnetic moment, M*, in amp-</w:t>
      </w:r>
      <w:r w:rsidRPr="00B77EF0">
        <w:rPr>
          <w:rFonts w:ascii="Book Antiqua" w:hAnsi="Book Antiqua"/>
          <w:b/>
          <w:i/>
          <w:sz w:val="18"/>
          <w:szCs w:val="18"/>
        </w:rPr>
        <w:t>meters</w:t>
      </w:r>
      <w:r w:rsidRPr="00B77EF0">
        <w:rPr>
          <w:rFonts w:ascii="Book Antiqua" w:hAnsi="Book Antiqua"/>
          <w:b/>
          <w:i/>
          <w:sz w:val="18"/>
          <w:szCs w:val="18"/>
          <w:vertAlign w:val="superscript"/>
        </w:rPr>
        <w:t>2</w:t>
      </w:r>
      <w:r w:rsidRPr="00B77EF0">
        <w:rPr>
          <w:rFonts w:ascii="Book Antiqua" w:hAnsi="Book Antiqua"/>
          <w:b/>
          <w:i/>
          <w:sz w:val="18"/>
          <w:szCs w:val="18"/>
        </w:rPr>
        <w:t>. [97]</w:t>
      </w:r>
    </w:p>
    <w:p w:rsidR="005359B2" w:rsidRPr="00370948" w:rsidRDefault="005359B2" w:rsidP="005359B2">
      <w:pPr>
        <w:pStyle w:val="NoSpacing"/>
        <w:jc w:val="both"/>
        <w:rPr>
          <w:rFonts w:ascii="Book Antiqua" w:hAnsi="Book Antiqua"/>
          <w:color w:val="000000"/>
          <w:sz w:val="20"/>
        </w:rPr>
      </w:pPr>
    </w:p>
    <w:tbl>
      <w:tblPr>
        <w:tblStyle w:val="TableGrid"/>
        <w:tblW w:w="0" w:type="auto"/>
        <w:jc w:val="center"/>
        <w:tblLayout w:type="fixed"/>
        <w:tblLook w:val="04A0"/>
      </w:tblPr>
      <w:tblGrid>
        <w:gridCol w:w="3183"/>
        <w:gridCol w:w="873"/>
        <w:gridCol w:w="1167"/>
      </w:tblGrid>
      <w:tr w:rsidR="005359B2" w:rsidRPr="00370948" w:rsidTr="003442EA">
        <w:trPr>
          <w:trHeight w:val="250"/>
          <w:jc w:val="center"/>
        </w:trPr>
        <w:tc>
          <w:tcPr>
            <w:tcW w:w="3183"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Observer</w:t>
            </w:r>
          </w:p>
        </w:tc>
        <w:tc>
          <w:tcPr>
            <w:tcW w:w="873"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Year</w:t>
            </w:r>
          </w:p>
        </w:tc>
        <w:tc>
          <w:tcPr>
            <w:tcW w:w="1167"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M</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1550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9.54</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1600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9.36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1650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9.18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1700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9.00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1750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8.84</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8.61</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Erman &amp; Petersen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1829</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Gauss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1835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8.558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8.488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8.363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Neumayer</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8.336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Fritsche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8.347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Schmidt</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8.375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1905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8.291</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1915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8.225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Dyson-Furner</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1922</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8.165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1925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8.149</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1935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8.088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Jones-Melotte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1942.5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8.009</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Afanasieva</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U.S.C. &amp; G.S.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lastRenderedPageBreak/>
              <w:t>Fanselau-Kautzleben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8.090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U.S.C &amp; G.S.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Finch-Leaton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Nagata-Oguti</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Cain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1959</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8.086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Fougere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8.053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8.02</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Jensen-Cain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8.025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Leaton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Hurwitz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1970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7.97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7.91</w:t>
            </w:r>
          </w:p>
        </w:tc>
      </w:tr>
      <w:tr w:rsidR="005359B2" w:rsidRPr="00370948" w:rsidTr="003442EA">
        <w:trPr>
          <w:trHeight w:val="7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Wang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1990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7.84</w:t>
            </w:r>
          </w:p>
        </w:tc>
      </w:tr>
    </w:tbl>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center"/>
        <w:rPr>
          <w:rFonts w:ascii="Book Antiqua" w:hAnsi="Book Antiqua"/>
          <w:b/>
          <w:sz w:val="20"/>
        </w:rPr>
      </w:pPr>
      <w:r w:rsidRPr="00370948">
        <w:rPr>
          <w:rFonts w:ascii="Book Antiqua" w:hAnsi="Book Antiqua"/>
          <w:b/>
          <w:noProof/>
          <w:sz w:val="20"/>
        </w:rPr>
        <w:drawing>
          <wp:inline distT="0" distB="0" distL="0" distR="0">
            <wp:extent cx="4619625" cy="3686175"/>
            <wp:effectExtent l="19050" t="0" r="9525" b="0"/>
            <wp:docPr id="5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5359B2" w:rsidRPr="00370948" w:rsidRDefault="005359B2" w:rsidP="005359B2">
      <w:pPr>
        <w:pStyle w:val="NoSpacing"/>
        <w:rPr>
          <w:rFonts w:ascii="Book Antiqua" w:hAnsi="Book Antiqua"/>
          <w:b/>
          <w:sz w:val="18"/>
          <w:szCs w:val="18"/>
        </w:rPr>
      </w:pPr>
    </w:p>
    <w:p w:rsidR="005359B2" w:rsidRPr="00841C44" w:rsidRDefault="005359B2" w:rsidP="005359B2">
      <w:pPr>
        <w:pStyle w:val="NoSpacing"/>
        <w:jc w:val="center"/>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13</w:t>
      </w:r>
      <w:r w:rsidRPr="00841C44">
        <w:rPr>
          <w:rFonts w:ascii="Book Antiqua" w:hAnsi="Book Antiqua"/>
          <w:b/>
          <w:i/>
          <w:sz w:val="18"/>
          <w:szCs w:val="18"/>
        </w:rPr>
        <w:t>:</w:t>
      </w:r>
      <w:r w:rsidRPr="00841C44">
        <w:rPr>
          <w:rFonts w:ascii="Book Antiqua" w:hAnsi="Book Antiqua"/>
          <w:i/>
          <w:sz w:val="18"/>
          <w:szCs w:val="18"/>
        </w:rPr>
        <w:t xml:space="preserve"> Behavior of Earth’s dipole magnetic moment, M*, in amp-meters</w:t>
      </w:r>
      <w:r w:rsidRPr="00841C44">
        <w:rPr>
          <w:rFonts w:ascii="Book Antiqua" w:hAnsi="Book Antiqua"/>
          <w:i/>
          <w:sz w:val="18"/>
          <w:szCs w:val="18"/>
          <w:vertAlign w:val="superscript"/>
        </w:rPr>
        <w:t>2</w:t>
      </w:r>
      <w:r w:rsidRPr="00841C44">
        <w:rPr>
          <w:rFonts w:ascii="Book Antiqua" w:hAnsi="Book Antiqua"/>
          <w:i/>
          <w:sz w:val="18"/>
          <w:szCs w:val="18"/>
        </w:rPr>
        <w:t>.</w:t>
      </w:r>
    </w:p>
    <w:p w:rsidR="005359B2" w:rsidRDefault="005359B2" w:rsidP="005359B2">
      <w:pPr>
        <w:pStyle w:val="NoSpacing"/>
        <w:jc w:val="both"/>
        <w:rPr>
          <w:rFonts w:ascii="Book Antiqua" w:hAnsi="Book Antiqua"/>
          <w:color w:val="000000"/>
          <w:sz w:val="20"/>
        </w:rPr>
      </w:pPr>
    </w:p>
    <w:p w:rsidR="00050FFF" w:rsidRDefault="00050FFF" w:rsidP="00050FFF">
      <w:pPr>
        <w:pStyle w:val="NoSpacing"/>
        <w:ind w:firstLine="360"/>
        <w:jc w:val="both"/>
        <w:rPr>
          <w:rFonts w:ascii="Book Antiqua" w:hAnsi="Book Antiqua"/>
          <w:color w:val="000000"/>
          <w:sz w:val="20"/>
        </w:rPr>
      </w:pPr>
    </w:p>
    <w:p w:rsidR="00050FFF" w:rsidRPr="00370948" w:rsidRDefault="00050FFF" w:rsidP="00050FFF">
      <w:pPr>
        <w:pStyle w:val="NoSpacing"/>
        <w:ind w:firstLine="720"/>
        <w:jc w:val="both"/>
        <w:rPr>
          <w:rFonts w:ascii="Book Antiqua" w:hAnsi="Book Antiqua"/>
          <w:color w:val="000000"/>
          <w:sz w:val="20"/>
        </w:rPr>
      </w:pPr>
      <w:r w:rsidRPr="00370948">
        <w:rPr>
          <w:rFonts w:ascii="Book Antiqua" w:hAnsi="Book Antiqua"/>
          <w:color w:val="000000"/>
          <w:sz w:val="20"/>
        </w:rPr>
        <w:t xml:space="preserve">Figure </w:t>
      </w:r>
      <w:r>
        <w:rPr>
          <w:rFonts w:ascii="Book Antiqua" w:hAnsi="Book Antiqua"/>
          <w:color w:val="000000"/>
          <w:sz w:val="20"/>
        </w:rPr>
        <w:t>13</w:t>
      </w:r>
      <w:r w:rsidRPr="00370948">
        <w:rPr>
          <w:rFonts w:ascii="Book Antiqua" w:hAnsi="Book Antiqua"/>
          <w:color w:val="000000"/>
          <w:sz w:val="20"/>
        </w:rPr>
        <w:t xml:space="preserve"> shows the overall behavior of the Earth’s dipole magnetic moment. This means that the effects of the change in the ZPE on the magnetic moment and any additional effects from the intrinsic behavior of the Earth’s geo-magnetic dynamo have been lumped together. Despite this, the trend towards a lower geomagnetic moment is plainly in evidence</w:t>
      </w:r>
      <w:r>
        <w:rPr>
          <w:rFonts w:ascii="Book Antiqua" w:hAnsi="Book Antiqua"/>
          <w:color w:val="000000"/>
          <w:sz w:val="20"/>
        </w:rPr>
        <w:t>.</w:t>
      </w:r>
      <w:r w:rsidRPr="00370948">
        <w:rPr>
          <w:rFonts w:ascii="Book Antiqua" w:hAnsi="Book Antiqua"/>
          <w:color w:val="000000"/>
          <w:sz w:val="20"/>
        </w:rPr>
        <w:t xml:space="preserve"> </w:t>
      </w:r>
      <w:r>
        <w:rPr>
          <w:rFonts w:ascii="Book Antiqua" w:hAnsi="Book Antiqua"/>
          <w:color w:val="000000"/>
          <w:sz w:val="20"/>
        </w:rPr>
        <w:t>A</w:t>
      </w:r>
      <w:r w:rsidRPr="00370948">
        <w:rPr>
          <w:rFonts w:ascii="Book Antiqua" w:hAnsi="Book Antiqua"/>
          <w:color w:val="000000"/>
          <w:sz w:val="20"/>
        </w:rPr>
        <w:t xml:space="preserve"> significant proportion of this will be due to the increasing ZPE strength. To emphasize this, the period around 1955-1975 contains the evidence of a flattening, or slight reversal in the ZPE strength, </w:t>
      </w:r>
      <w:r>
        <w:rPr>
          <w:rFonts w:ascii="Book Antiqua" w:hAnsi="Book Antiqua"/>
          <w:color w:val="000000"/>
          <w:sz w:val="20"/>
        </w:rPr>
        <w:t>which</w:t>
      </w:r>
      <w:r w:rsidRPr="00370948">
        <w:rPr>
          <w:rFonts w:ascii="Book Antiqua" w:hAnsi="Book Antiqua"/>
          <w:color w:val="000000"/>
          <w:sz w:val="20"/>
        </w:rPr>
        <w:t xml:space="preserve"> has definitely been picked up by other measurements</w:t>
      </w:r>
      <w:r>
        <w:rPr>
          <w:rFonts w:ascii="Book Antiqua" w:hAnsi="Book Antiqua"/>
          <w:color w:val="000000"/>
          <w:sz w:val="20"/>
        </w:rPr>
        <w:t>, as shown previously</w:t>
      </w:r>
      <w:r w:rsidRPr="00370948">
        <w:rPr>
          <w:rFonts w:ascii="Book Antiqua" w:hAnsi="Book Antiqua"/>
          <w:color w:val="000000"/>
          <w:sz w:val="20"/>
        </w:rPr>
        <w:t>.</w:t>
      </w:r>
    </w:p>
    <w:p w:rsidR="00050FFF" w:rsidRPr="00370948" w:rsidRDefault="00050FFF" w:rsidP="00050FFF">
      <w:pPr>
        <w:pStyle w:val="NoSpacing"/>
        <w:ind w:firstLine="720"/>
        <w:jc w:val="both"/>
        <w:rPr>
          <w:rFonts w:ascii="Book Antiqua" w:hAnsi="Book Antiqua"/>
          <w:color w:val="000000"/>
          <w:sz w:val="20"/>
        </w:rPr>
      </w:pPr>
    </w:p>
    <w:p w:rsidR="00050FFF" w:rsidRDefault="00050FFF" w:rsidP="00050FFF">
      <w:pPr>
        <w:pStyle w:val="NoSpacing"/>
        <w:ind w:firstLine="720"/>
        <w:jc w:val="both"/>
        <w:rPr>
          <w:rFonts w:ascii="Book Antiqua" w:hAnsi="Book Antiqua"/>
          <w:sz w:val="20"/>
        </w:rPr>
      </w:pPr>
      <w:r w:rsidRPr="00370948">
        <w:rPr>
          <w:rFonts w:ascii="Book Antiqua" w:hAnsi="Book Antiqua"/>
          <w:sz w:val="20"/>
        </w:rPr>
        <w:lastRenderedPageBreak/>
        <w:t>We conclude, then, that measurement of the Earth’s dipole moment is consistent with a decrease in the ZPE strength over the last 450 years, even though other factors may be involved in the trend with this data set. This also has implications for the measurements of carbon 14 dates, which are discussed in Chapter 8.</w:t>
      </w:r>
    </w:p>
    <w:p w:rsidR="00050FFF" w:rsidRDefault="00050FFF" w:rsidP="00050FFF">
      <w:pPr>
        <w:pStyle w:val="NoSpacing"/>
        <w:ind w:firstLine="720"/>
        <w:jc w:val="both"/>
        <w:rPr>
          <w:rFonts w:ascii="Book Antiqua" w:hAnsi="Book Antiqua"/>
          <w:sz w:val="20"/>
        </w:rPr>
      </w:pPr>
    </w:p>
    <w:p w:rsidR="00050FFF" w:rsidRDefault="00050FFF" w:rsidP="00050FFF">
      <w:pPr>
        <w:pStyle w:val="NoSpacing"/>
        <w:ind w:firstLine="720"/>
        <w:jc w:val="both"/>
        <w:rPr>
          <w:rFonts w:ascii="Book Antiqua" w:hAnsi="Book Antiqua"/>
          <w:sz w:val="20"/>
        </w:rPr>
      </w:pPr>
      <w:r w:rsidRPr="00370948">
        <w:rPr>
          <w:rFonts w:ascii="Book Antiqua" w:hAnsi="Book Antiqua"/>
          <w:sz w:val="20"/>
        </w:rPr>
        <w:t xml:space="preserve">If this is true for the Earth, it will also be true for the behavior of the magnetic fields of the other planets with changing ZPE. This may be why the planet Mars shows evidence of the action of a magnetic field in the past, but does not seem to possess one at the moment. </w:t>
      </w:r>
      <w:r>
        <w:rPr>
          <w:rFonts w:ascii="Book Antiqua" w:hAnsi="Book Antiqua"/>
          <w:sz w:val="20"/>
        </w:rPr>
        <w:t>Further research needs to be done here</w:t>
      </w:r>
      <w:r w:rsidRPr="00370948">
        <w:rPr>
          <w:rFonts w:ascii="Book Antiqua" w:hAnsi="Book Antiqua"/>
          <w:sz w:val="20"/>
        </w:rPr>
        <w:t xml:space="preserve">. </w:t>
      </w:r>
      <w:r>
        <w:rPr>
          <w:rFonts w:ascii="Book Antiqua" w:hAnsi="Book Antiqua"/>
          <w:sz w:val="20"/>
        </w:rPr>
        <w:t>Nevertheless, there seems to be no way of avoiding the fact that the data indicate the ZPE strength has increased since 1550 AD.</w:t>
      </w:r>
    </w:p>
    <w:p w:rsidR="00050FFF" w:rsidRPr="00370948" w:rsidRDefault="00050FFF" w:rsidP="00050FFF">
      <w:pPr>
        <w:pStyle w:val="NoSpacing"/>
        <w:ind w:left="720"/>
        <w:rPr>
          <w:rFonts w:ascii="Book Antiqua" w:hAnsi="Book Antiqua"/>
          <w:b/>
          <w:bCs/>
          <w:iCs/>
          <w:color w:val="000000"/>
          <w:sz w:val="20"/>
        </w:rPr>
      </w:pPr>
    </w:p>
    <w:p w:rsidR="005359B2" w:rsidRPr="004159A5" w:rsidRDefault="005359B2" w:rsidP="005359B2">
      <w:pPr>
        <w:pStyle w:val="NoSpacing"/>
        <w:rPr>
          <w:rFonts w:ascii="Book Antiqua" w:hAnsi="Book Antiqua"/>
          <w:b/>
          <w:sz w:val="20"/>
        </w:rPr>
      </w:pPr>
      <w:r w:rsidRPr="00C57949">
        <w:rPr>
          <w:rFonts w:ascii="Book Antiqua" w:hAnsi="Book Antiqua"/>
          <w:b/>
          <w:bCs/>
          <w:iCs/>
          <w:color w:val="000000"/>
          <w:sz w:val="20"/>
        </w:rPr>
        <w:t>4.  Examining Plasma Equations.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From the foregoing discussion and equations, the following results emerge. The Bennett pinch in equation (1), due to the gradient of magnetic pressure, behaves as follows:</w:t>
      </w:r>
    </w:p>
    <w:p w:rsidR="005359B2" w:rsidRPr="00370948" w:rsidRDefault="005359B2" w:rsidP="005359B2">
      <w:pPr>
        <w:pStyle w:val="NoSpacing"/>
        <w:jc w:val="both"/>
        <w:rPr>
          <w:rFonts w:ascii="Book Antiqua" w:hAnsi="Book Antiqua"/>
          <w:sz w:val="20"/>
        </w:rPr>
      </w:pPr>
    </w:p>
    <w:p w:rsidR="005359B2" w:rsidRPr="00370948" w:rsidRDefault="00241D2F" w:rsidP="005359B2">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5359B2" w:rsidRPr="00370948">
        <w:rPr>
          <w:rFonts w:ascii="Book Antiqua" w:hAnsi="Book Antiqua"/>
          <w:sz w:val="20"/>
        </w:rPr>
        <w:t xml:space="preserve"> . </w:t>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i/>
          <w:sz w:val="20"/>
        </w:rPr>
        <w:t xml:space="preserve">    (26)</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Equation (3), the drift velocity of ions linked with Marklund convection, is given by the relationship</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 proportionality follows from (14) and (25). Thus, in the early universe, drift velocities were higher when ZPE strengths were lower.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9604E8">
        <w:rPr>
          <w:rFonts w:ascii="Book Antiqua" w:hAnsi="Book Antiqua"/>
          <w:sz w:val="20"/>
        </w:rPr>
        <w:t>One of the effects</w:t>
      </w:r>
      <w:r w:rsidRPr="00370948">
        <w:rPr>
          <w:rFonts w:ascii="Book Antiqua" w:hAnsi="Book Antiqua"/>
          <w:sz w:val="20"/>
        </w:rPr>
        <w:t xml:space="preserve"> of a higher drift velocity is the accumulation of matter.  In the ‘sausage’ mode of instability, as well as in the Z, or Bennett, pinches, matter is accumulated and concentrated. Consequently, matter could accumulate in plasma filaments much more readily than it does now.  </w:t>
      </w:r>
      <w:r>
        <w:rPr>
          <w:rFonts w:ascii="Book Antiqua" w:hAnsi="Book Antiqua"/>
          <w:sz w:val="20"/>
        </w:rPr>
        <w:t>This</w:t>
      </w:r>
      <w:r w:rsidRPr="00370948">
        <w:rPr>
          <w:rFonts w:ascii="Book Antiqua" w:hAnsi="Book Antiqua"/>
          <w:sz w:val="20"/>
        </w:rPr>
        <w:t xml:space="preserve"> mechanism, even now, is much more efficient than gravity. Equation (4) reinforces that contention as the rate of accumulation of material in filaments becomes: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(28)</w:t>
      </w:r>
    </w:p>
    <w:p w:rsidR="005359B2" w:rsidRPr="00370948" w:rsidRDefault="005359B2" w:rsidP="005359B2">
      <w:pPr>
        <w:pStyle w:val="NoSpacing"/>
        <w:jc w:val="both"/>
        <w:rPr>
          <w:rFonts w:ascii="Book Antiqua" w:hAnsi="Book Antiqua"/>
          <w:color w:val="FF0000"/>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This result comes from (20), (14), (21) and confirms that such processes were more efficient in the early days of our cosmos. The voltage build-up by dust collecting electrons in plasma is given by: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V</m:t>
        </m:r>
        <m:r>
          <w:rPr>
            <w:rFonts w:ascii="Cambria Math" w:hAnsi="Book Antiqua"/>
            <w:sz w:val="20"/>
          </w:rPr>
          <m:t xml:space="preserve">  =  </m:t>
        </m:r>
        <m:r>
          <w:rPr>
            <w:rFonts w:ascii="Cambria Math" w:hAnsi="Cambria Math"/>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r>
          <w:rPr>
            <w:rFonts w:ascii="Cambria Math" w:hAnsi="Book Antiqua"/>
            <w:sz w:val="20"/>
          </w:rPr>
          <m:t xml:space="preserve"> ~  </m:t>
        </m:r>
        <m:r>
          <w:rPr>
            <w:rFonts w:ascii="Cambria Math" w:hAnsi="Cambria Math"/>
            <w:sz w:val="20"/>
          </w:rPr>
          <m:t>√c</m:t>
        </m:r>
        <m:r>
          <w:rPr>
            <w:rFonts w:ascii="Cambria Math" w:hAnsi="Book Antiqua"/>
            <w:sz w:val="20"/>
          </w:rPr>
          <m:t xml:space="preserve">  ~  1 / (</m:t>
        </m:r>
        <m:r>
          <w:rPr>
            <w:rFonts w:ascii="Cambria Math" w:hAnsi="Cambria Math"/>
            <w:sz w:val="20"/>
          </w:rPr>
          <m:t>√U</m:t>
        </m:r>
        <m:r>
          <w:rPr>
            <w:rFonts w:ascii="Cambria Math" w:hAnsi="Book Antiqua"/>
            <w:sz w:val="20"/>
          </w:rPr>
          <m:t xml:space="preserve">)  </m:t>
        </m:r>
      </m:oMath>
      <w:r w:rsidRPr="00370948">
        <w:rPr>
          <w:rFonts w:ascii="Book Antiqua" w:hAnsi="Book Antiqua"/>
          <w:sz w:val="20"/>
        </w:rPr>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the last step is from (20). Voltages were greater when the ZPE strength was lower. Equation (8) is the axial component of the vorticity, </w:t>
      </w:r>
      <m:oMath>
        <m:r>
          <w:rPr>
            <w:rFonts w:ascii="Cambria Math" w:hAnsi="Cambria Math"/>
            <w:sz w:val="20"/>
          </w:rPr>
          <m:t>W</m:t>
        </m:r>
      </m:oMath>
      <w:r w:rsidRPr="00370948">
        <w:rPr>
          <w:rFonts w:ascii="Book Antiqua" w:hAnsi="Book Antiqua"/>
          <w:sz w:val="20"/>
        </w:rPr>
        <w:t>, that forms current bundles or filaments when an instability occurs. This has the following proportionality: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Cambria Math" w:hAnsi="Cambria Math"/>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Cambria Math" w:hAnsi="Cambria Math"/>
            <w:sz w:val="20"/>
          </w:rPr>
          <m:t>√c</m:t>
        </m:r>
        <m:r>
          <w:rPr>
            <w:rFonts w:ascii="Cambria Math" w:hAnsi="Book Antiqua"/>
            <w:sz w:val="20"/>
          </w:rPr>
          <m:t xml:space="preserve">  ~  1 / (</m:t>
        </m:r>
        <m:r>
          <w:rPr>
            <w:rFonts w:ascii="Cambria Math" w:hAnsi="Cambria Math"/>
            <w:sz w:val="20"/>
          </w:rPr>
          <m:t>√U</m:t>
        </m:r>
        <m:r>
          <w:rPr>
            <w:rFonts w:ascii="Cambria Math" w:hAnsi="Book Antiqua"/>
            <w:sz w:val="20"/>
          </w:rPr>
          <m: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t xml:space="preserve"> </w:t>
      </w:r>
      <w:r w:rsidRPr="00370948">
        <w:rPr>
          <w:rFonts w:ascii="Book Antiqua" w:hAnsi="Book Antiqua"/>
          <w:i/>
          <w:sz w:val="20"/>
        </w:rPr>
        <w:t>(30)</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This component was more effective in forming filaments when the ZPE was lower and</w:t>
      </w:r>
      <m:oMath>
        <m:r>
          <w:rPr>
            <w:rFonts w:ascii="Cambria Math" w:hAnsi="Book Antiqua"/>
            <w:sz w:val="20"/>
          </w:rPr>
          <m:t xml:space="preserve"> </m:t>
        </m:r>
        <m:r>
          <w:rPr>
            <w:rFonts w:ascii="Cambria Math" w:hAnsi="Cambria Math"/>
            <w:sz w:val="20"/>
          </w:rPr>
          <m:t>c</m:t>
        </m:r>
      </m:oMath>
      <w:r w:rsidRPr="00370948">
        <w:rPr>
          <w:rFonts w:ascii="Book Antiqua" w:hAnsi="Book Antiqua"/>
          <w:sz w:val="20"/>
        </w:rPr>
        <w:t xml:space="preserve"> was higher.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Equations (14) and (24) indicate that electric and magnetic field strengths were greater when the ZPE was lower. As Peratt indicated [16], when two filaments interact, long-range attractive forces result in an approach velocity given by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v</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Cambria Math" w:hAnsi="Cambria Math"/>
            <w:sz w:val="20"/>
          </w:rPr>
          <m:t>√</m:t>
        </m:r>
        <m:r>
          <w:rPr>
            <w:rFonts w:ascii="Cambria Math" w:hAnsi="Book Antiqua"/>
            <w:sz w:val="20"/>
          </w:rPr>
          <m:t xml:space="preserve"> [</m:t>
        </m:r>
        <m:r>
          <w:rPr>
            <w:rFonts w:ascii="Cambria Math" w:hAnsi="Cambria Math"/>
            <w:sz w:val="20"/>
          </w:rPr>
          <m:t>μ</m:t>
        </m:r>
        <m:r>
          <w:rPr>
            <w:rFonts w:ascii="Cambria Math" w:hAnsi="Book Antiqua"/>
            <w:sz w:val="20"/>
          </w:rPr>
          <m:t xml:space="preserve"> </m:t>
        </m:r>
        <m:r>
          <w:rPr>
            <w:rFonts w:ascii="Cambria Math" w:hAnsi="Cambria Math"/>
            <w:sz w:val="20"/>
          </w:rPr>
          <m:t>L</m:t>
        </m:r>
        <m:r>
          <w:rPr>
            <w:rFonts w:ascii="Cambria Math" w:hAnsi="Book Antiqua"/>
            <w:sz w:val="20"/>
          </w:rPr>
          <m:t xml:space="preserve"> / (2 </m:t>
        </m:r>
        <m:r>
          <w:rPr>
            <w:rFonts w:ascii="Cambria Math" w:hAnsi="Cambria Math"/>
            <w:sz w:val="20"/>
          </w:rPr>
          <m:t>π</m:t>
        </m:r>
        <m:r>
          <w:rPr>
            <w:rFonts w:ascii="Cambria Math" w:hAnsi="Book Antiqua"/>
            <w:sz w:val="20"/>
          </w:rPr>
          <m:t xml:space="preserve"> </m:t>
        </m:r>
        <m:r>
          <w:rPr>
            <w:rFonts w:ascii="Cambria Math" w:hAnsi="Cambria Math"/>
            <w:sz w:val="20"/>
          </w:rPr>
          <m:t>M</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(31)</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the current is </w:t>
      </w:r>
      <m:oMath>
        <m:r>
          <w:rPr>
            <w:rFonts w:ascii="Cambria Math" w:hAnsi="Cambria Math"/>
            <w:sz w:val="20"/>
          </w:rPr>
          <m:t>I</m:t>
        </m:r>
      </m:oMath>
      <w:r w:rsidRPr="00370948">
        <w:rPr>
          <w:rFonts w:ascii="Book Antiqua" w:hAnsi="Book Antiqua"/>
          <w:sz w:val="20"/>
        </w:rPr>
        <w:t xml:space="preserve">, while </w:t>
      </w:r>
      <m:oMath>
        <m:r>
          <w:rPr>
            <w:rFonts w:ascii="Cambria Math" w:hAnsi="Cambria Math"/>
            <w:sz w:val="20"/>
          </w:rPr>
          <m:t>L</m:t>
        </m:r>
      </m:oMath>
      <w:r w:rsidRPr="00370948">
        <w:rPr>
          <w:rFonts w:ascii="Book Antiqua" w:hAnsi="Book Antiqua"/>
          <w:sz w:val="20"/>
        </w:rPr>
        <w:t xml:space="preserve"> is the length of the filamental region involved in the attraction and </w:t>
      </w:r>
      <m:oMath>
        <m:r>
          <w:rPr>
            <w:rFonts w:ascii="Cambria Math" w:hAnsi="Cambria Math"/>
            <w:sz w:val="20"/>
          </w:rPr>
          <m:t>M</m:t>
        </m:r>
      </m:oMath>
      <w:r w:rsidRPr="00370948">
        <w:rPr>
          <w:rFonts w:ascii="Book Antiqua" w:hAnsi="Book Antiqua"/>
          <w:sz w:val="20"/>
        </w:rPr>
        <w:t xml:space="preserve"> is the mass of electrons and ions in length </w:t>
      </w:r>
      <m:oMath>
        <m:r>
          <w:rPr>
            <w:rFonts w:ascii="Cambria Math" w:hAnsi="Cambria Math"/>
            <w:sz w:val="20"/>
          </w:rPr>
          <m:t>L</m:t>
        </m:r>
      </m:oMath>
      <w:r w:rsidRPr="00370948">
        <w:rPr>
          <w:rFonts w:ascii="Book Antiqua" w:hAnsi="Book Antiqua"/>
          <w:sz w:val="20"/>
        </w:rPr>
        <w:t xml:space="preserve">. Peratt showed galaxy sized filaments approach each other today at 1000 km/s [38].  Since the </w:t>
      </w:r>
      <w:r w:rsidRPr="00370948">
        <w:rPr>
          <w:rFonts w:ascii="Book Antiqua" w:hAnsi="Book Antiqua"/>
          <w:sz w:val="20"/>
        </w:rPr>
        <w:lastRenderedPageBreak/>
        <w:t>velocity is proportional to the speed of light and the speed of light is inversely dependent upon the Zero Point energy, this interaction would have been more rapid when the ZPE strength was less.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C57949">
        <w:rPr>
          <w:rFonts w:ascii="Book Antiqua" w:hAnsi="Book Antiqua"/>
          <w:sz w:val="20"/>
        </w:rPr>
        <w:t>Pressure waves</w:t>
      </w:r>
      <w:r>
        <w:rPr>
          <w:rFonts w:ascii="Book Antiqua" w:hAnsi="Book Antiqua"/>
          <w:sz w:val="20"/>
        </w:rPr>
        <w:t xml:space="preserve"> and</w:t>
      </w:r>
      <w:r w:rsidRPr="00C57949">
        <w:rPr>
          <w:rFonts w:ascii="Book Antiqua" w:hAnsi="Book Antiqua"/>
          <w:sz w:val="20"/>
        </w:rPr>
        <w:t xml:space="preserve"> acoustic </w:t>
      </w:r>
      <w:r>
        <w:rPr>
          <w:rFonts w:ascii="Book Antiqua" w:hAnsi="Book Antiqua"/>
          <w:sz w:val="20"/>
        </w:rPr>
        <w:t xml:space="preserve">(sound) </w:t>
      </w:r>
      <w:r w:rsidRPr="00C57949">
        <w:rPr>
          <w:rFonts w:ascii="Book Antiqua" w:hAnsi="Book Antiqua"/>
          <w:sz w:val="20"/>
        </w:rPr>
        <w:t>waves</w:t>
      </w:r>
      <w:r w:rsidRPr="00370948">
        <w:rPr>
          <w:rFonts w:ascii="Book Antiqua" w:hAnsi="Book Antiqua"/>
          <w:sz w:val="20"/>
        </w:rPr>
        <w:t xml:space="preserve"> would also have travelled much more quickly in plasma when the ZPE strength was lower and the speed of light higher.   Sound moves slowly in low pressure, dense gas, while it moves quickly in high pressure, light-weight plasma. At the inception of the cosmos, the initial plasma was intrinsically linked with light photons which have low density but high pressure. This resulted in plasma that had a sound speed 57% of </w:t>
      </w:r>
      <m:oMath>
        <m:r>
          <w:rPr>
            <w:rFonts w:ascii="Cambria Math" w:hAnsi="Cambria Math"/>
            <w:sz w:val="20"/>
          </w:rPr>
          <m:t>c</m:t>
        </m:r>
      </m:oMath>
      <w:r w:rsidRPr="00370948">
        <w:rPr>
          <w:rFonts w:ascii="Book Antiqua" w:hAnsi="Book Antiqua"/>
          <w:sz w:val="20"/>
        </w:rPr>
        <w:t xml:space="preserve"> [57, 58] whatever that speed was.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Many astronomers agree that the universe started off as hot plasma. The gravitational model then must wait for the universe to cool, then for neutral atoms to form (a process called decoupling).  </w:t>
      </w:r>
      <w:r>
        <w:rPr>
          <w:rFonts w:ascii="Book Antiqua" w:hAnsi="Book Antiqua"/>
          <w:sz w:val="20"/>
        </w:rPr>
        <w:t>Then they</w:t>
      </w:r>
      <w:r w:rsidRPr="00370948">
        <w:rPr>
          <w:rFonts w:ascii="Book Antiqua" w:hAnsi="Book Antiqua"/>
          <w:sz w:val="20"/>
        </w:rPr>
        <w:t xml:space="preserve"> must attract each other gravitationally before galaxies and stars and planets can even begin </w:t>
      </w:r>
      <w:r w:rsidRPr="00C57949">
        <w:rPr>
          <w:rFonts w:ascii="Book Antiqua" w:hAnsi="Book Antiqua"/>
          <w:sz w:val="20"/>
        </w:rPr>
        <w:t xml:space="preserve">to form. </w:t>
      </w:r>
      <w:r>
        <w:rPr>
          <w:rFonts w:ascii="Book Antiqua" w:hAnsi="Book Antiqua"/>
          <w:sz w:val="20"/>
        </w:rPr>
        <w:t xml:space="preserve"> Although the estimation of how much time this took keeps changing, the least that can be said is that it was a very long time.  </w:t>
      </w:r>
      <w:r w:rsidRPr="00C57949">
        <w:rPr>
          <w:rFonts w:ascii="Book Antiqua" w:hAnsi="Book Antiqua"/>
          <w:sz w:val="20"/>
        </w:rPr>
        <w:t>The</w:t>
      </w:r>
      <w:r w:rsidRPr="00370948">
        <w:rPr>
          <w:rFonts w:ascii="Book Antiqua" w:hAnsi="Book Antiqua"/>
          <w:sz w:val="20"/>
        </w:rPr>
        <w:t xml:space="preserve"> plasma model does not require this wait time; the processes can start immediately. The most distant galaxies that we can see already show a degree of maturity </w:t>
      </w:r>
      <w:r>
        <w:rPr>
          <w:rFonts w:ascii="Book Antiqua" w:hAnsi="Book Antiqua"/>
          <w:sz w:val="20"/>
        </w:rPr>
        <w:t>inconsistent</w:t>
      </w:r>
      <w:r w:rsidRPr="00370948">
        <w:rPr>
          <w:rFonts w:ascii="Book Antiqua" w:hAnsi="Book Antiqua"/>
          <w:sz w:val="20"/>
        </w:rPr>
        <w:t xml:space="preserve"> with the gravitational model, as they are exceptionally close to the Big Bang event itself.  Their presence and form, however, are exactly in line with the plasma model.</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James Trefil explained the problem with the gravitational model this way: </w:t>
      </w:r>
      <w:r w:rsidRPr="00370948">
        <w:rPr>
          <w:rFonts w:ascii="Book Antiqua" w:hAnsi="Book Antiqua"/>
          <w:i/>
          <w:sz w:val="20"/>
        </w:rPr>
        <w:t xml:space="preserve">"Galaxies cannot begin to form until after radiation and matter decouple.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[gravitationally based] galaxy-formation mechanism we can accept has to work quickly enough to fit into this window." </w:t>
      </w:r>
      <w:r w:rsidRPr="00370948">
        <w:rPr>
          <w:rFonts w:ascii="Book Antiqua" w:hAnsi="Book Antiqua"/>
          <w:sz w:val="20"/>
        </w:rPr>
        <w:t xml:space="preserve">[59] But the data show galaxies and mature galaxy clusters in existence very soon after the Big Bang. The galaxy we have seen which is the closest to the beginning is UDFy-38135539, and the image of this galaxy, at a redshift of 8.55, </w:t>
      </w:r>
      <w:r w:rsidRPr="00370948">
        <w:rPr>
          <w:rFonts w:ascii="Book Antiqua" w:hAnsi="Book Antiqua"/>
          <w:i/>
          <w:sz w:val="20"/>
        </w:rPr>
        <w:t xml:space="preserve">"shows the galaxy as it was when it was 100 million years old ... just 600 million years after the Big Bang..." </w:t>
      </w:r>
      <w:r w:rsidRPr="00370948">
        <w:rPr>
          <w:rFonts w:ascii="Book Antiqua" w:hAnsi="Book Antiqua"/>
          <w:sz w:val="20"/>
        </w:rPr>
        <w:t>[60]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There are two major problems with this.  First this galaxy is well-developed; second, it has iron.  Iron is found in the spectra of many of the most distant objects. </w:t>
      </w:r>
      <w:r>
        <w:rPr>
          <w:rFonts w:ascii="Book Antiqua" w:hAnsi="Book Antiqua"/>
          <w:sz w:val="20"/>
        </w:rPr>
        <w:t>This</w:t>
      </w:r>
      <w:r w:rsidRPr="00370948">
        <w:rPr>
          <w:rFonts w:ascii="Book Antiqua" w:hAnsi="Book Antiqua"/>
          <w:sz w:val="20"/>
        </w:rPr>
        <w:t xml:space="preserve"> disagrees with the gravitational model, which says the heavier elements did not exist until much </w:t>
      </w:r>
      <w:r w:rsidRPr="00C57949">
        <w:rPr>
          <w:rFonts w:ascii="Book Antiqua" w:hAnsi="Book Antiqua"/>
          <w:sz w:val="20"/>
        </w:rPr>
        <w:t>later.  In the plasma model, however, there is no problem with iron or any heavy element being present that early in the universe.  Plasma</w:t>
      </w:r>
      <w:r w:rsidRPr="00370948">
        <w:rPr>
          <w:rFonts w:ascii="Book Antiqua" w:hAnsi="Book Antiqua"/>
          <w:sz w:val="20"/>
        </w:rPr>
        <w:t xml:space="preserve"> fusion readily occurs in arc-mode plasma and has the capacity to build up any element from atoms lower on the Periodic Table.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plasma model indicates that</w:t>
      </w:r>
      <w:r>
        <w:rPr>
          <w:rFonts w:ascii="Book Antiqua" w:hAnsi="Book Antiqua"/>
          <w:sz w:val="20"/>
        </w:rPr>
        <w:t>,</w:t>
      </w:r>
      <w:r w:rsidRPr="00370948">
        <w:rPr>
          <w:rFonts w:ascii="Book Antiqua" w:hAnsi="Book Antiqua"/>
          <w:sz w:val="20"/>
        </w:rPr>
        <w:t xml:space="preserve"> when the cosmos was younger, plasma processes formed filaments, accumulated material, pinched and formed astronomical objects more readily than is now possible because ZPE strengths were lower. In contrast, gravitational processes not only took more time, but may have been a self-defeating process, as Trefil pointed out.</w:t>
      </w:r>
    </w:p>
    <w:p w:rsidR="005359B2" w:rsidRPr="00370948" w:rsidRDefault="005359B2" w:rsidP="005359B2">
      <w:pPr>
        <w:pStyle w:val="NoSpacing"/>
        <w:ind w:firstLine="720"/>
        <w:jc w:val="both"/>
        <w:rPr>
          <w:rFonts w:ascii="Book Antiqua" w:hAnsi="Book Antiqua" w:cs="Arial"/>
          <w:sz w:val="18"/>
          <w:szCs w:val="18"/>
        </w:rPr>
      </w:pPr>
    </w:p>
    <w:p w:rsidR="005359B2" w:rsidRPr="00370948" w:rsidRDefault="005359B2" w:rsidP="005359B2">
      <w:pPr>
        <w:pStyle w:val="NoSpacing"/>
        <w:rPr>
          <w:rFonts w:ascii="Book Antiqua" w:hAnsi="Book Antiqua"/>
          <w:b/>
          <w:bCs/>
          <w:iCs/>
          <w:color w:val="000000"/>
          <w:sz w:val="20"/>
        </w:rPr>
      </w:pPr>
      <w:r>
        <w:rPr>
          <w:rFonts w:ascii="Book Antiqua" w:hAnsi="Book Antiqua"/>
          <w:b/>
          <w:bCs/>
          <w:iCs/>
          <w:color w:val="000000"/>
          <w:sz w:val="20"/>
        </w:rPr>
        <w:t>5</w:t>
      </w:r>
      <w:r w:rsidRPr="00370948">
        <w:rPr>
          <w:rFonts w:ascii="Book Antiqua" w:hAnsi="Book Antiqua"/>
          <w:b/>
          <w:bCs/>
          <w:iCs/>
          <w:color w:val="000000"/>
          <w:sz w:val="20"/>
        </w:rPr>
        <w:t xml:space="preserve">.   Forming A Plasma Universe. </w:t>
      </w:r>
    </w:p>
    <w:p w:rsidR="005359B2" w:rsidRPr="00370948" w:rsidRDefault="005359B2" w:rsidP="005359B2">
      <w:pPr>
        <w:pStyle w:val="NoSpacing"/>
        <w:rPr>
          <w:rFonts w:ascii="Book Antiqua" w:hAnsi="Book Antiqua"/>
          <w:bCs/>
          <w:iCs/>
          <w:color w:val="000000"/>
          <w:sz w:val="20"/>
        </w:rPr>
      </w:pPr>
    </w:p>
    <w:p w:rsidR="005359B2" w:rsidRPr="00370948" w:rsidRDefault="005359B2" w:rsidP="005359B2">
      <w:pPr>
        <w:pStyle w:val="NoSpacing"/>
        <w:rPr>
          <w:rFonts w:ascii="Book Antiqua" w:hAnsi="Book Antiqua"/>
          <w:bCs/>
          <w:i/>
          <w:iCs/>
          <w:color w:val="000000"/>
          <w:sz w:val="20"/>
        </w:rPr>
      </w:pPr>
      <w:r>
        <w:rPr>
          <w:rFonts w:ascii="Book Antiqua" w:hAnsi="Book Antiqua"/>
          <w:bCs/>
          <w:i/>
          <w:iCs/>
          <w:color w:val="000000"/>
          <w:sz w:val="20"/>
        </w:rPr>
        <w:t>5</w:t>
      </w:r>
      <w:r w:rsidRPr="00370948">
        <w:rPr>
          <w:rFonts w:ascii="Book Antiqua" w:hAnsi="Book Antiqua"/>
          <w:bCs/>
          <w:i/>
          <w:iCs/>
          <w:color w:val="000000"/>
          <w:sz w:val="20"/>
        </w:rPr>
        <w:t>.1. The Original Plasma And Its Composition.</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On the model presented here, there was an initial rapid expansion of the cosmos out to its stable size after which there were minor oscillations about this final position. That expansion was the cause of the Zero Point Energy, which built up over time. Initially the ZPE strength was virtually negligible. However, since the ZPE is what maintains atomic structures, its near absence indicates that no atomic structures existed initially. This means all initial matter was in the form of ions and electrons, that is plasma. Furthermore, as the universe expanded out, its temperature would have dropped, due to the adiabatic nature of the expansion. Data suggest the initial temperature was of the order of 10 billion to 20 billion</w:t>
      </w:r>
      <w:r>
        <w:rPr>
          <w:rFonts w:ascii="Book Antiqua" w:hAnsi="Book Antiqua"/>
          <w:sz w:val="20"/>
        </w:rPr>
        <w:t xml:space="preserve"> degrees</w:t>
      </w:r>
      <w:r w:rsidRPr="00370948">
        <w:rPr>
          <w:rFonts w:ascii="Book Antiqua" w:hAnsi="Book Antiqua"/>
          <w:sz w:val="20"/>
        </w:rPr>
        <w:t xml:space="preserve"> K</w:t>
      </w:r>
      <w:r>
        <w:rPr>
          <w:rFonts w:ascii="Book Antiqua" w:hAnsi="Book Antiqua"/>
          <w:sz w:val="20"/>
        </w:rPr>
        <w:t>elvin</w:t>
      </w:r>
      <w:r w:rsidRPr="00370948">
        <w:rPr>
          <w:rFonts w:ascii="Book Antiqua" w:hAnsi="Book Antiqua"/>
          <w:sz w:val="20"/>
        </w:rPr>
        <w:t xml:space="preserve">.  That temperature also is evidence that the material making up the universe was plasma.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On the Big Bang modeling the universe was initially filled with a sea of protons, neutrons and electrons in a composition that resulted in about 77% hydrogen and 23% helium being formed. This stops at a nucleus of mass 4 </w:t>
      </w:r>
      <w:r w:rsidRPr="00370948">
        <w:rPr>
          <w:rFonts w:ascii="Book Antiqua" w:hAnsi="Book Antiqua"/>
          <w:sz w:val="20"/>
        </w:rPr>
        <w:lastRenderedPageBreak/>
        <w:t xml:space="preserve">because the nuclear forces do not allow either a single proton or a single neutron to be attached to a helium nucleus. This means that a nucleus of mass 5 does not exist; the next stable nucleus is that of mass 6, the lighter isotope of lithium. However, since a nucleus of mass 5 is needed for the nuclear ‘cookery’ to continue, the Big Bang process stops there.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of this fact, the Big Bang model sees the remaining elements as forming inside stars which explode these elements into space when they become supernovae. These elements then become incorporated into later generations of stars and planets. But there is a problem. Quasars from the earliest epochs with redshifts greater than </w:t>
      </w:r>
      <m:oMath>
        <m:r>
          <w:rPr>
            <w:rFonts w:ascii="Cambria Math" w:hAnsi="Cambria Math"/>
            <w:sz w:val="20"/>
          </w:rPr>
          <m:t>z</m:t>
        </m:r>
        <m:r>
          <w:rPr>
            <w:rFonts w:ascii="Cambria Math" w:hAnsi="Book Antiqua"/>
            <w:sz w:val="20"/>
          </w:rPr>
          <m:t xml:space="preserve"> = 6.5</m:t>
        </m:r>
      </m:oMath>
      <w:r w:rsidRPr="00370948">
        <w:rPr>
          <w:rFonts w:ascii="Book Antiqua" w:hAnsi="Book Antiqua"/>
          <w:sz w:val="20"/>
        </w:rPr>
        <w:t xml:space="preserve"> show the same iron abundance as we find at present [61, 62]. Neither the equivalent spectral line width nor the Fe II/Mg II line ratio increase from then unto now. Furthermore, Population I and II stars from these distant objects all show the same metal enrichment as is currently the case in our own galaxy.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In addition, v</w:t>
      </w:r>
      <w:r w:rsidRPr="00370948">
        <w:rPr>
          <w:rFonts w:ascii="Book Antiqua" w:hAnsi="Book Antiqua"/>
          <w:sz w:val="20"/>
        </w:rPr>
        <w:t xml:space="preserve">ast quantities of water vapor already exist in quasars like APM 08279+5255 of redshift </w:t>
      </w:r>
      <m:oMath>
        <m:r>
          <w:rPr>
            <w:rFonts w:ascii="Cambria Math" w:hAnsi="Cambria Math"/>
            <w:sz w:val="20"/>
          </w:rPr>
          <m:t>z</m:t>
        </m:r>
        <m:r>
          <w:rPr>
            <w:rFonts w:ascii="Cambria Math" w:hAnsi="Book Antiqua"/>
            <w:sz w:val="20"/>
          </w:rPr>
          <m:t xml:space="preserve"> = 3.91</m:t>
        </m:r>
      </m:oMath>
      <w:r w:rsidRPr="00370948">
        <w:rPr>
          <w:rFonts w:ascii="Book Antiqua" w:hAnsi="Book Antiqua"/>
          <w:sz w:val="20"/>
        </w:rPr>
        <w:t xml:space="preserve"> and an expected distance of 12 billion light years. [See abstract at </w:t>
      </w:r>
      <w:hyperlink r:id="rId294" w:history="1">
        <w:r w:rsidRPr="00841C44">
          <w:rPr>
            <w:rStyle w:val="Hyperlink"/>
            <w:rFonts w:ascii="Book Antiqua" w:hAnsi="Book Antiqua"/>
            <w:i/>
            <w:sz w:val="20"/>
          </w:rPr>
          <w:t>http://arxiv.org/abs/1106.4784</w:t>
        </w:r>
      </w:hyperlink>
      <w:r w:rsidRPr="00370948">
        <w:rPr>
          <w:rFonts w:ascii="Book Antiqua" w:hAnsi="Book Antiqua"/>
          <w:sz w:val="20"/>
        </w:rPr>
        <w:t xml:space="preserve"> with a full summary at: </w:t>
      </w:r>
      <w:hyperlink r:id="rId295" w:history="1">
        <w:r w:rsidRPr="00841C44">
          <w:rPr>
            <w:rStyle w:val="Hyperlink"/>
            <w:rFonts w:ascii="Book Antiqua" w:hAnsi="Book Antiqua"/>
            <w:i/>
            <w:sz w:val="20"/>
          </w:rPr>
          <w:t>http://www.theregister.co.uk/2011/07/25/cloud/</w:t>
        </w:r>
      </w:hyperlink>
      <w:r w:rsidRPr="00370948">
        <w:rPr>
          <w:rFonts w:ascii="Book Antiqua" w:hAnsi="Book Antiqua"/>
          <w:sz w:val="20"/>
        </w:rPr>
        <w:t xml:space="preserve">]. Since a number of observations have noted similar facts, the indications are that all the elements up to iron (and perhaps the rest of the Periodic Table) were already in existence in their present abundances when the quasars and early stars were formed.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Plasma physics presents an option in broad agreement with these data.  Scott has pointed out that fusion occurs easily in z-pinched double layers, and also particularly strongly in the current filaments of arc-mode plasmas [63]. Normally, fusion is considered to occur only at ignition temperatures of millions of degrees Kelvin. However, the acceleration energy of a charged particle is given by the particle’s charge number </w:t>
      </w:r>
      <w:r w:rsidRPr="00A60CF4">
        <w:rPr>
          <w:rFonts w:ascii="Book Antiqua" w:hAnsi="Book Antiqua"/>
          <w:sz w:val="20"/>
        </w:rPr>
        <w:t xml:space="preserve">(one for </w:t>
      </w:r>
      <w:r>
        <w:rPr>
          <w:rFonts w:ascii="Book Antiqua" w:hAnsi="Book Antiqua"/>
          <w:sz w:val="20"/>
        </w:rPr>
        <w:t>each</w:t>
      </w:r>
      <w:r w:rsidRPr="00A60CF4">
        <w:rPr>
          <w:rFonts w:ascii="Book Antiqua" w:hAnsi="Book Antiqua"/>
          <w:sz w:val="20"/>
        </w:rPr>
        <w:t xml:space="preserve"> electron or proton) multiplied by the voltage it is accelerated through.</w:t>
      </w:r>
      <w:r w:rsidRPr="00370948">
        <w:rPr>
          <w:rFonts w:ascii="Book Antiqua" w:hAnsi="Book Antiqua"/>
          <w:sz w:val="20"/>
        </w:rPr>
        <w:t xml:space="preserve"> (This unit of energy is called the “electron-volt,” written as eV.) To </w:t>
      </w:r>
      <w:r>
        <w:rPr>
          <w:rFonts w:ascii="Book Antiqua" w:hAnsi="Book Antiqua"/>
          <w:sz w:val="20"/>
        </w:rPr>
        <w:t>convert</w:t>
      </w:r>
      <w:r w:rsidRPr="00370948">
        <w:rPr>
          <w:rFonts w:ascii="Book Antiqua" w:hAnsi="Book Antiqua"/>
          <w:sz w:val="20"/>
        </w:rPr>
        <w:t xml:space="preserve"> electron-volts to degrees Kelvin, </w:t>
      </w:r>
      <w:r>
        <w:rPr>
          <w:rFonts w:ascii="Book Antiqua" w:hAnsi="Book Antiqua"/>
          <w:sz w:val="20"/>
        </w:rPr>
        <w:t>electron-volts must be multiplied</w:t>
      </w:r>
      <w:r w:rsidRPr="00A60CF4">
        <w:rPr>
          <w:rFonts w:ascii="Book Antiqua" w:hAnsi="Book Antiqua"/>
          <w:sz w:val="20"/>
        </w:rPr>
        <w:t xml:space="preserve"> by 11,604.45</w:t>
      </w:r>
      <w:r w:rsidRPr="00370948">
        <w:rPr>
          <w:rFonts w:ascii="Book Antiqua" w:hAnsi="Book Antiqua"/>
          <w:sz w:val="20"/>
        </w:rPr>
        <w:t xml:space="preserve"> [64].  The result is that a 50-million-degree ignition temperature is easily achieved with a mere 4308.7 eV.  There is, additionally, no restriction on which elements may be formed. In this manner elements could be formed rapidly enough via plasma processes to be in the first quasars and stars.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i/>
          <w:sz w:val="20"/>
        </w:rPr>
      </w:pPr>
      <w:r>
        <w:rPr>
          <w:rFonts w:ascii="Book Antiqua" w:hAnsi="Book Antiqua"/>
          <w:bCs/>
          <w:i/>
          <w:iCs/>
          <w:color w:val="000000"/>
          <w:sz w:val="20"/>
        </w:rPr>
        <w:t>5</w:t>
      </w:r>
      <w:r w:rsidRPr="00370948">
        <w:rPr>
          <w:rFonts w:ascii="Book Antiqua" w:hAnsi="Book Antiqua"/>
          <w:bCs/>
          <w:i/>
          <w:iCs/>
          <w:color w:val="000000"/>
          <w:sz w:val="20"/>
        </w:rPr>
        <w:t xml:space="preserve">.2. </w:t>
      </w:r>
      <w:r>
        <w:rPr>
          <w:rFonts w:ascii="Book Antiqua" w:hAnsi="Book Antiqua"/>
          <w:bCs/>
          <w:i/>
          <w:iCs/>
          <w:color w:val="000000"/>
          <w:sz w:val="20"/>
        </w:rPr>
        <w:t xml:space="preserve">Expansion and the </w:t>
      </w:r>
      <w:r w:rsidRPr="00370948">
        <w:rPr>
          <w:rFonts w:ascii="Book Antiqua" w:hAnsi="Book Antiqua"/>
          <w:bCs/>
          <w:i/>
          <w:iCs/>
          <w:color w:val="000000"/>
          <w:sz w:val="20"/>
        </w:rPr>
        <w:t xml:space="preserve">Cosmic Microwave Background Radiation.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146E23">
        <w:rPr>
          <w:rFonts w:ascii="Book Antiqua" w:hAnsi="Book Antiqua"/>
          <w:sz w:val="20"/>
        </w:rPr>
        <w:t>At the inception of the cosmos, all matter existed as plasma</w:t>
      </w:r>
      <w:r>
        <w:rPr>
          <w:rFonts w:ascii="Book Antiqua" w:hAnsi="Book Antiqua"/>
          <w:sz w:val="20"/>
        </w:rPr>
        <w:t>, so plasma physics was in operation</w:t>
      </w:r>
      <w:r w:rsidRPr="00146E23">
        <w:rPr>
          <w:rFonts w:ascii="Book Antiqua" w:hAnsi="Book Antiqua"/>
          <w:sz w:val="20"/>
        </w:rPr>
        <w:t xml:space="preserve">. </w:t>
      </w:r>
      <w:r>
        <w:rPr>
          <w:rFonts w:ascii="Book Antiqua" w:hAnsi="Book Antiqua"/>
          <w:sz w:val="20"/>
        </w:rPr>
        <w:t>As a result of the expansion process, t</w:t>
      </w:r>
      <w:r w:rsidRPr="00146E23">
        <w:rPr>
          <w:rFonts w:ascii="Book Antiqua" w:hAnsi="Book Antiqua"/>
          <w:sz w:val="20"/>
        </w:rPr>
        <w:t>here was turbulence</w:t>
      </w:r>
      <w:r>
        <w:rPr>
          <w:rFonts w:ascii="Book Antiqua" w:hAnsi="Book Antiqua"/>
          <w:sz w:val="20"/>
        </w:rPr>
        <w:t xml:space="preserve"> in the plasma so</w:t>
      </w:r>
      <w:r w:rsidRPr="00146E23">
        <w:rPr>
          <w:rFonts w:ascii="Book Antiqua" w:hAnsi="Book Antiqua"/>
          <w:sz w:val="20"/>
        </w:rPr>
        <w:t xml:space="preserve"> there was strong</w:t>
      </w:r>
      <w:r>
        <w:rPr>
          <w:rFonts w:ascii="Book Antiqua" w:hAnsi="Book Antiqua"/>
          <w:sz w:val="20"/>
        </w:rPr>
        <w:t>,</w:t>
      </w:r>
      <w:r w:rsidRPr="00146E23">
        <w:rPr>
          <w:rFonts w:ascii="Book Antiqua" w:hAnsi="Book Antiqua"/>
          <w:sz w:val="20"/>
        </w:rPr>
        <w:t xml:space="preserve"> </w:t>
      </w:r>
      <w:r>
        <w:rPr>
          <w:rFonts w:ascii="Book Antiqua" w:hAnsi="Book Antiqua"/>
          <w:sz w:val="20"/>
        </w:rPr>
        <w:t xml:space="preserve">if not violent, </w:t>
      </w:r>
      <w:r w:rsidRPr="00146E23">
        <w:rPr>
          <w:rFonts w:ascii="Book Antiqua" w:hAnsi="Book Antiqua"/>
          <w:sz w:val="20"/>
        </w:rPr>
        <w:t xml:space="preserve">motion. Since plasma consists of electric charges, these charges were </w:t>
      </w:r>
      <w:r>
        <w:rPr>
          <w:rFonts w:ascii="Book Antiqua" w:hAnsi="Book Antiqua"/>
          <w:sz w:val="20"/>
        </w:rPr>
        <w:t xml:space="preserve">therefore </w:t>
      </w:r>
      <w:r w:rsidRPr="00146E23">
        <w:rPr>
          <w:rFonts w:ascii="Book Antiqua" w:hAnsi="Book Antiqua"/>
          <w:sz w:val="20"/>
        </w:rPr>
        <w:t>in motion. Charges in motion are e</w:t>
      </w:r>
      <w:r>
        <w:rPr>
          <w:rFonts w:ascii="Book Antiqua" w:hAnsi="Book Antiqua"/>
          <w:sz w:val="20"/>
        </w:rPr>
        <w:t xml:space="preserve">ssentially </w:t>
      </w:r>
      <w:r w:rsidRPr="00146E23">
        <w:rPr>
          <w:rFonts w:ascii="Book Antiqua" w:hAnsi="Book Antiqua"/>
          <w:sz w:val="20"/>
        </w:rPr>
        <w:t xml:space="preserve">what an electric current is. </w:t>
      </w:r>
      <w:r>
        <w:rPr>
          <w:rFonts w:ascii="Book Antiqua" w:hAnsi="Book Antiqua"/>
          <w:sz w:val="20"/>
        </w:rPr>
        <w:t xml:space="preserve">The currents in the plasma </w:t>
      </w:r>
      <w:r w:rsidRPr="00146E23">
        <w:rPr>
          <w:rFonts w:ascii="Book Antiqua" w:hAnsi="Book Antiqua"/>
          <w:sz w:val="20"/>
        </w:rPr>
        <w:t>had circling magnetic fields which constrained them</w:t>
      </w:r>
      <w:r>
        <w:rPr>
          <w:rFonts w:ascii="Book Antiqua" w:hAnsi="Book Antiqua"/>
          <w:sz w:val="20"/>
        </w:rPr>
        <w:t xml:space="preserve"> to filamentary shapes</w:t>
      </w:r>
      <w:r w:rsidRPr="00146E23">
        <w:rPr>
          <w:rFonts w:ascii="Book Antiqua" w:hAnsi="Book Antiqua"/>
          <w:sz w:val="20"/>
        </w:rPr>
        <w:t xml:space="preserve">. For this reason, very early on, the universe was filled with plasma filaments. </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146E23">
        <w:rPr>
          <w:rFonts w:ascii="Book Antiqua" w:hAnsi="Book Antiqua"/>
          <w:sz w:val="20"/>
        </w:rPr>
        <w:t>As the cosmos expanded out, these filaments separated. The filaments themselves did not expand because they were constrained by their circling magnetic fields which kept them in place. Calculations have revealed that this was impossible for gravity to accomplish even early in the history of the universe.</w:t>
      </w:r>
      <w:r>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146E23" w:rsidRDefault="005359B2" w:rsidP="005359B2">
      <w:pPr>
        <w:pStyle w:val="NoSpacing"/>
        <w:ind w:firstLine="720"/>
        <w:jc w:val="both"/>
        <w:rPr>
          <w:rFonts w:ascii="Book Antiqua" w:hAnsi="Book Antiqua"/>
          <w:sz w:val="20"/>
        </w:rPr>
      </w:pPr>
      <w:r>
        <w:rPr>
          <w:rFonts w:ascii="Book Antiqua" w:hAnsi="Book Antiqua"/>
          <w:sz w:val="20"/>
        </w:rPr>
        <w:t>However, the strength of the magnetic fields involved was much greater than gravity.</w:t>
      </w:r>
      <w:r w:rsidRPr="00146E23">
        <w:rPr>
          <w:rFonts w:ascii="Book Antiqua" w:hAnsi="Book Antiqua"/>
          <w:sz w:val="20"/>
        </w:rPr>
        <w:t xml:space="preserve"> Therefore, as the universe expanded, the dense mass of filaments drew further apart,</w:t>
      </w:r>
      <w:r>
        <w:rPr>
          <w:rFonts w:ascii="Book Antiqua" w:hAnsi="Book Antiqua"/>
          <w:sz w:val="20"/>
        </w:rPr>
        <w:t xml:space="preserve"> forming voids between them. They also</w:t>
      </w:r>
      <w:r w:rsidRPr="00146E23">
        <w:rPr>
          <w:rFonts w:ascii="Book Antiqua" w:hAnsi="Book Antiqua"/>
          <w:sz w:val="20"/>
        </w:rPr>
        <w:t xml:space="preserve"> lengthened along their long axes</w:t>
      </w:r>
      <w:r>
        <w:rPr>
          <w:rFonts w:ascii="Book Antiqua" w:hAnsi="Book Antiqua"/>
          <w:sz w:val="20"/>
        </w:rPr>
        <w:t xml:space="preserve"> </w:t>
      </w:r>
      <w:r w:rsidRPr="00A60CF4">
        <w:rPr>
          <w:rFonts w:ascii="Book Antiqua" w:hAnsi="Book Antiqua"/>
          <w:sz w:val="20"/>
        </w:rPr>
        <w:t xml:space="preserve">since </w:t>
      </w:r>
      <w:r>
        <w:rPr>
          <w:rFonts w:ascii="Book Antiqua" w:hAnsi="Book Antiqua"/>
          <w:sz w:val="20"/>
        </w:rPr>
        <w:t xml:space="preserve">the encircling magnetic field only controls the filament diameter, not the length.  </w:t>
      </w:r>
      <w:r w:rsidRPr="00146E23">
        <w:rPr>
          <w:rFonts w:ascii="Book Antiqua" w:hAnsi="Book Antiqua"/>
          <w:sz w:val="20"/>
        </w:rPr>
        <w:t xml:space="preserve">The ultimate outcome </w:t>
      </w:r>
      <w:r>
        <w:rPr>
          <w:rFonts w:ascii="Book Antiqua" w:hAnsi="Book Antiqua"/>
          <w:sz w:val="20"/>
        </w:rPr>
        <w:t>was</w:t>
      </w:r>
      <w:r w:rsidRPr="00146E23">
        <w:rPr>
          <w:rFonts w:ascii="Book Antiqua" w:hAnsi="Book Antiqua"/>
          <w:sz w:val="20"/>
        </w:rPr>
        <w:t xml:space="preserve"> the structure of the universe that we see today</w:t>
      </w:r>
      <w:r>
        <w:rPr>
          <w:rFonts w:ascii="Book Antiqua" w:hAnsi="Book Antiqua"/>
          <w:sz w:val="20"/>
        </w:rPr>
        <w:t>,</w:t>
      </w:r>
      <w:r w:rsidRPr="00146E23">
        <w:rPr>
          <w:rFonts w:ascii="Book Antiqua" w:hAnsi="Book Antiqua"/>
          <w:sz w:val="20"/>
        </w:rPr>
        <w:t xml:space="preserve"> filaments and voids,</w:t>
      </w:r>
      <w:r w:rsidRPr="00146E23">
        <w:rPr>
          <w:rFonts w:ascii="Book Antiqua" w:hAnsi="Book Antiqua"/>
          <w:sz w:val="20"/>
        </w:rPr>
        <w:tab/>
      </w:r>
    </w:p>
    <w:p w:rsidR="005359B2" w:rsidRPr="00146E23"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 xml:space="preserve">Another factor was also at work. </w:t>
      </w:r>
      <w:r w:rsidRPr="00146E23">
        <w:rPr>
          <w:rFonts w:ascii="Book Antiqua" w:hAnsi="Book Antiqua"/>
          <w:sz w:val="20"/>
        </w:rPr>
        <w:t xml:space="preserve">At a critical point in the cosmological expansion process, the cosmic microwave background radiation was produced. Research on the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radiation indicates that sound waves, at strengths approaching 110 decibels, were involved in the process which formed the observed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patterns in the plasma [65]. </w:t>
      </w:r>
    </w:p>
    <w:p w:rsidR="005359B2" w:rsidRDefault="005359B2" w:rsidP="005359B2">
      <w:pPr>
        <w:pStyle w:val="NoSpacing"/>
        <w:ind w:firstLine="720"/>
        <w:jc w:val="both"/>
        <w:rPr>
          <w:rFonts w:ascii="Book Antiqua" w:hAnsi="Book Antiqua"/>
          <w:sz w:val="20"/>
        </w:rPr>
      </w:pPr>
    </w:p>
    <w:p w:rsidR="005359B2" w:rsidRPr="00146E23" w:rsidRDefault="005359B2" w:rsidP="005359B2">
      <w:pPr>
        <w:pStyle w:val="NoSpacing"/>
        <w:ind w:firstLine="720"/>
        <w:jc w:val="both"/>
        <w:rPr>
          <w:rFonts w:ascii="Book Antiqua" w:hAnsi="Book Antiqua"/>
          <w:sz w:val="20"/>
        </w:rPr>
      </w:pPr>
      <w:r w:rsidRPr="00146E23">
        <w:rPr>
          <w:rFonts w:ascii="Book Antiqua" w:hAnsi="Book Antiqua"/>
          <w:sz w:val="20"/>
        </w:rPr>
        <w:t xml:space="preserve"> It has been noted that sound waves form what are referred to as Chladni patterns in dust or sand on a drumhead which is </w:t>
      </w:r>
      <w:r>
        <w:rPr>
          <w:rFonts w:ascii="Book Antiqua" w:hAnsi="Book Antiqua"/>
          <w:sz w:val="20"/>
        </w:rPr>
        <w:t xml:space="preserve">being </w:t>
      </w:r>
      <w:r w:rsidRPr="00146E23">
        <w:rPr>
          <w:rFonts w:ascii="Book Antiqua" w:hAnsi="Book Antiqua"/>
          <w:sz w:val="20"/>
        </w:rPr>
        <w:t xml:space="preserve">vibrated.  The precise pattern formed is dependent upon the configuration of the drum. The CMB patterns </w:t>
      </w:r>
      <w:r w:rsidRPr="00146E23">
        <w:rPr>
          <w:rFonts w:ascii="Book Antiqua" w:hAnsi="Book Antiqua"/>
          <w:sz w:val="20"/>
        </w:rPr>
        <w:lastRenderedPageBreak/>
        <w:t xml:space="preserve">look very similar to Chladni patterns.  Because of this, current analysis of the repetition rate and rotation of the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pattern suggests that the shape of the universe may be dodecahedral, like a soccer ball [66].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It has been suggested that t</w:t>
      </w:r>
      <w:r w:rsidRPr="00370948">
        <w:rPr>
          <w:rFonts w:ascii="Book Antiqua" w:hAnsi="Book Antiqua"/>
          <w:sz w:val="20"/>
        </w:rPr>
        <w:t xml:space="preserve">he overall </w:t>
      </w:r>
      <w:smartTag w:uri="urn:schemas-microsoft-com:office:smarttags" w:element="stockticker">
        <w:r w:rsidRPr="00370948">
          <w:rPr>
            <w:rFonts w:ascii="Book Antiqua" w:hAnsi="Book Antiqua"/>
            <w:sz w:val="20"/>
          </w:rPr>
          <w:t>CMB</w:t>
        </w:r>
      </w:smartTag>
      <w:r w:rsidRPr="00370948">
        <w:rPr>
          <w:rFonts w:ascii="Book Antiqua" w:hAnsi="Book Antiqua"/>
          <w:sz w:val="20"/>
        </w:rPr>
        <w:t xml:space="preserve"> pattern </w:t>
      </w:r>
      <w:r>
        <w:rPr>
          <w:rFonts w:ascii="Book Antiqua" w:hAnsi="Book Antiqua"/>
          <w:sz w:val="20"/>
        </w:rPr>
        <w:t>is related to</w:t>
      </w:r>
      <w:r w:rsidRPr="00370948">
        <w:rPr>
          <w:rFonts w:ascii="Book Antiqua" w:hAnsi="Book Antiqua"/>
          <w:sz w:val="20"/>
        </w:rPr>
        <w:t xml:space="preserve"> the observed pattern of filaments and voids formed by </w:t>
      </w:r>
      <w:r>
        <w:rPr>
          <w:rFonts w:ascii="Book Antiqua" w:hAnsi="Book Antiqua"/>
          <w:sz w:val="20"/>
        </w:rPr>
        <w:t xml:space="preserve">the </w:t>
      </w:r>
      <w:r w:rsidRPr="00370948">
        <w:rPr>
          <w:rFonts w:ascii="Book Antiqua" w:hAnsi="Book Antiqua"/>
          <w:sz w:val="20"/>
        </w:rPr>
        <w:t xml:space="preserve">clusters of galaxies. This same pattern, predicted by Alfven, is typical of those formed by plasma, yet sound waves </w:t>
      </w:r>
      <w:r>
        <w:rPr>
          <w:rFonts w:ascii="Book Antiqua" w:hAnsi="Book Antiqua"/>
          <w:sz w:val="20"/>
        </w:rPr>
        <w:t>seem to be</w:t>
      </w:r>
      <w:r w:rsidRPr="00370948">
        <w:rPr>
          <w:rFonts w:ascii="Book Antiqua" w:hAnsi="Book Antiqua"/>
          <w:sz w:val="20"/>
        </w:rPr>
        <w:t xml:space="preserve"> implicated in the process. In plasma, it is found the </w:t>
      </w:r>
      <w:r w:rsidRPr="00370948">
        <w:rPr>
          <w:rFonts w:ascii="Book Antiqua" w:hAnsi="Book Antiqua"/>
          <w:i/>
          <w:sz w:val="20"/>
        </w:rPr>
        <w:t>“presence of sound wave[s] can cause quite large changes in the ionization balance depending on the magnitude and frequency of the waves as well as the atomic parameters.”</w:t>
      </w:r>
      <w:r w:rsidRPr="00370948">
        <w:rPr>
          <w:rFonts w:ascii="Book Antiqua" w:hAnsi="Book Antiqua"/>
          <w:sz w:val="20"/>
        </w:rPr>
        <w:t xml:space="preserve"> [67] Plasma sound waves (ion-acoustic waves) cause ions to move, creating currents which are then confined by their secondary </w:t>
      </w:r>
      <w:r w:rsidRPr="00A60CF4">
        <w:rPr>
          <w:rFonts w:ascii="Book Antiqua" w:hAnsi="Book Antiqua"/>
          <w:sz w:val="20"/>
        </w:rPr>
        <w:t>magnetic fields, forming</w:t>
      </w:r>
      <w:r w:rsidRPr="00370948">
        <w:rPr>
          <w:rFonts w:ascii="Book Antiqua" w:hAnsi="Book Antiqua"/>
          <w:sz w:val="20"/>
        </w:rPr>
        <w:t xml:space="preserve"> filaments.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360"/>
        <w:jc w:val="both"/>
        <w:rPr>
          <w:rFonts w:ascii="Book Antiqua" w:hAnsi="Book Antiqua"/>
          <w:sz w:val="20"/>
        </w:rPr>
      </w:pPr>
      <w:r w:rsidRPr="00370948">
        <w:rPr>
          <w:rFonts w:ascii="Book Antiqua" w:hAnsi="Book Antiqua"/>
          <w:sz w:val="20"/>
        </w:rPr>
        <w:t xml:space="preserve">Experimental observations show the sound’s volume and wavelength are both important. It can therefore be concluded that the filamentary pattern, resulting from </w:t>
      </w:r>
      <w:r>
        <w:rPr>
          <w:rFonts w:ascii="Book Antiqua" w:hAnsi="Book Antiqua"/>
          <w:sz w:val="20"/>
        </w:rPr>
        <w:t xml:space="preserve">cosmic expansion and </w:t>
      </w:r>
      <w:r w:rsidRPr="00370948">
        <w:rPr>
          <w:rFonts w:ascii="Book Antiqua" w:hAnsi="Book Antiqua"/>
          <w:sz w:val="20"/>
        </w:rPr>
        <w:t xml:space="preserve">sound waves, must have formed rapidly since sound velocity was 57% of </w:t>
      </w:r>
      <w:r w:rsidRPr="00370948">
        <w:rPr>
          <w:rFonts w:ascii="Book Antiqua" w:hAnsi="Book Antiqua"/>
          <w:i/>
          <w:sz w:val="20"/>
        </w:rPr>
        <w:t>c</w:t>
      </w:r>
      <w:r w:rsidRPr="00370948">
        <w:rPr>
          <w:rFonts w:ascii="Book Antiqua" w:hAnsi="Book Antiqua"/>
          <w:sz w:val="20"/>
        </w:rPr>
        <w:t xml:space="preserve">, and </w:t>
      </w:r>
      <w:r w:rsidRPr="00370948">
        <w:rPr>
          <w:rFonts w:ascii="Book Antiqua" w:hAnsi="Book Antiqua"/>
          <w:i/>
          <w:sz w:val="20"/>
        </w:rPr>
        <w:t>c</w:t>
      </w:r>
      <w:r w:rsidRPr="00370948">
        <w:rPr>
          <w:rFonts w:ascii="Book Antiqua" w:hAnsi="Book Antiqua"/>
          <w:sz w:val="20"/>
        </w:rPr>
        <w:t xml:space="preserve"> was significantly higher with the low ZPE strength. </w:t>
      </w:r>
      <w:r>
        <w:rPr>
          <w:rFonts w:ascii="Book Antiqua" w:hAnsi="Book Antiqua"/>
          <w:sz w:val="20"/>
        </w:rPr>
        <w:t>Therefore, there were two physical effects operating on the plasma in the early cosmos -- expansion and sound -- both of which would have formed filaments in plasma.</w:t>
      </w:r>
    </w:p>
    <w:p w:rsidR="005359B2" w:rsidRPr="00370948" w:rsidRDefault="005359B2" w:rsidP="005359B2">
      <w:pPr>
        <w:pStyle w:val="NoSpacing"/>
        <w:rPr>
          <w:rFonts w:ascii="Book Antiqua" w:hAnsi="Book Antiqua"/>
          <w:b/>
          <w:bCs/>
          <w:iCs/>
          <w:color w:val="000000"/>
          <w:sz w:val="20"/>
        </w:rPr>
      </w:pPr>
    </w:p>
    <w:p w:rsidR="005359B2" w:rsidRPr="00370948" w:rsidRDefault="005359B2" w:rsidP="005359B2">
      <w:pPr>
        <w:pStyle w:val="NoSpacing"/>
        <w:numPr>
          <w:ilvl w:val="1"/>
          <w:numId w:val="45"/>
        </w:numPr>
        <w:rPr>
          <w:rFonts w:ascii="Book Antiqua" w:hAnsi="Book Antiqua"/>
          <w:bCs/>
          <w:i/>
          <w:iCs/>
          <w:color w:val="000000"/>
          <w:sz w:val="20"/>
        </w:rPr>
      </w:pPr>
      <w:r w:rsidRPr="00370948">
        <w:rPr>
          <w:rFonts w:ascii="Book Antiqua" w:hAnsi="Book Antiqua"/>
          <w:bCs/>
          <w:i/>
          <w:iCs/>
          <w:color w:val="000000"/>
          <w:sz w:val="20"/>
        </w:rPr>
        <w:t>Galaxy Formation</w:t>
      </w:r>
      <w:r>
        <w:rPr>
          <w:rFonts w:ascii="Book Antiqua" w:hAnsi="Book Antiqua"/>
          <w:bCs/>
          <w:i/>
          <w:iCs/>
          <w:color w:val="000000"/>
          <w:sz w:val="20"/>
        </w:rPr>
        <w:t xml:space="preserve"> and Quasars</w:t>
      </w:r>
      <w:r w:rsidRPr="00370948">
        <w:rPr>
          <w:rFonts w:ascii="Book Antiqua" w:hAnsi="Book Antiqua"/>
          <w:bCs/>
          <w:i/>
          <w:iCs/>
          <w:color w:val="000000"/>
          <w:sz w:val="20"/>
        </w:rPr>
        <w:t>.</w:t>
      </w:r>
    </w:p>
    <w:p w:rsidR="005359B2" w:rsidRPr="00370948" w:rsidRDefault="005359B2" w:rsidP="005359B2">
      <w:pPr>
        <w:pStyle w:val="NoSpacing"/>
        <w:ind w:left="720"/>
        <w:rPr>
          <w:rFonts w:ascii="Book Antiqua" w:hAnsi="Book Antiqua"/>
          <w:b/>
          <w:bCs/>
          <w:iCs/>
          <w:color w:val="000000"/>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The</w:t>
      </w:r>
      <w:r>
        <w:rPr>
          <w:rFonts w:ascii="Book Antiqua" w:hAnsi="Book Antiqua"/>
          <w:sz w:val="20"/>
        </w:rPr>
        <w:t>se</w:t>
      </w:r>
      <w:r w:rsidRPr="00370948">
        <w:rPr>
          <w:rFonts w:ascii="Book Antiqua" w:hAnsi="Book Antiqua"/>
          <w:sz w:val="20"/>
        </w:rPr>
        <w:t xml:space="preserve"> initial </w:t>
      </w:r>
      <w:r w:rsidRPr="00EA2912">
        <w:rPr>
          <w:rFonts w:ascii="Book Antiqua" w:hAnsi="Book Antiqua"/>
          <w:sz w:val="20"/>
        </w:rPr>
        <w:t xml:space="preserve">filaments </w:t>
      </w:r>
      <w:r w:rsidRPr="00370948">
        <w:rPr>
          <w:rFonts w:ascii="Book Antiqua" w:hAnsi="Book Antiqua"/>
          <w:sz w:val="20"/>
        </w:rPr>
        <w:t>then behaved in the manner similar to those in Peratt’s laboratory experiments and computer simulations.</w:t>
      </w:r>
      <w:r>
        <w:rPr>
          <w:rFonts w:ascii="Book Antiqua" w:hAnsi="Book Antiqua"/>
          <w:sz w:val="20"/>
        </w:rPr>
        <w:t xml:space="preserve"> It has been mentioned that the Bennett pinch, which is a magnetic compression of the plasma, occurs when there is a change in current strength or temperature in any filament. As a result of universal expansion elongating the plasma filaments, there would have been a change in the strength of the filamentary currents. In addition, the temperature of the filaments was dropping due to the adiabatic expansion process. Both of these factors would have produced the conditions needed for the Bennett pinch to operate in filaments. Thus the Birkeland current interactions in adjacent filaments would form the sequence of astronomical objects shown in Figure 14.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In Figure 14, t</w:t>
      </w:r>
      <w:r w:rsidRPr="00370948">
        <w:rPr>
          <w:rFonts w:ascii="Book Antiqua" w:hAnsi="Book Antiqua"/>
          <w:sz w:val="20"/>
        </w:rPr>
        <w:t xml:space="preserve">he final object formed depends on (1) where the interaction ceases; (2) at what stage we are viewing the interaction out in space; (3) the strengths of the Birkeland currents; and (4) the number of interacting filaments. In the lab, interactions of up to 12 filaments </w:t>
      </w:r>
      <w:r>
        <w:rPr>
          <w:rFonts w:ascii="Book Antiqua" w:hAnsi="Book Antiqua"/>
          <w:sz w:val="20"/>
        </w:rPr>
        <w:t>were</w:t>
      </w:r>
      <w:r w:rsidRPr="00370948">
        <w:rPr>
          <w:rFonts w:ascii="Book Antiqua" w:hAnsi="Book Antiqua"/>
          <w:sz w:val="20"/>
        </w:rPr>
        <w:t xml:space="preserve"> studied, but most objects form with just two or three filaments [16, 17, 38].</w:t>
      </w:r>
    </w:p>
    <w:p w:rsidR="005359B2" w:rsidRPr="00370948" w:rsidRDefault="005359B2" w:rsidP="005359B2">
      <w:pPr>
        <w:pStyle w:val="NoSpacing"/>
        <w:ind w:firstLine="36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6596902" cy="2620255"/>
            <wp:effectExtent l="19050" t="0" r="0" b="0"/>
            <wp:docPr id="67" name="Picture 48" descr="inte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teractions"/>
                    <pic:cNvPicPr>
                      <a:picLocks noChangeAspect="1" noChangeArrowheads="1"/>
                    </pic:cNvPicPr>
                  </pic:nvPicPr>
                  <pic:blipFill>
                    <a:blip r:embed="rId296" cstate="print"/>
                    <a:srcRect/>
                    <a:stretch>
                      <a:fillRect/>
                    </a:stretch>
                  </pic:blipFill>
                  <pic:spPr bwMode="auto">
                    <a:xfrm>
                      <a:off x="0" y="0"/>
                      <a:ext cx="6597036" cy="2620308"/>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841C44" w:rsidRDefault="005359B2" w:rsidP="003A6CAD">
      <w:pPr>
        <w:pStyle w:val="NoSpacing"/>
        <w:jc w:val="both"/>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14</w:t>
      </w:r>
      <w:r w:rsidRPr="00841C44">
        <w:rPr>
          <w:rFonts w:ascii="Book Antiqua" w:hAnsi="Book Antiqua"/>
          <w:b/>
          <w:i/>
          <w:sz w:val="18"/>
          <w:szCs w:val="18"/>
        </w:rPr>
        <w:t>:</w:t>
      </w:r>
      <w:r w:rsidRPr="00841C44">
        <w:rPr>
          <w:rFonts w:ascii="Book Antiqua" w:hAnsi="Book Antiqua"/>
          <w:i/>
          <w:sz w:val="18"/>
          <w:szCs w:val="18"/>
        </w:rPr>
        <w:t xml:space="preserve"> Typical sequence formed by two interacting plasma filaments. The view is looking down the long axis of the filaments at the point of interaction. The compressed plasma between the two interacting filaments is not shown here, but it plays an important part in the formation of radio-galaxies, quasars and giant elliptical galaxies. Radio galaxies are shown in more detail in Figure 1</w:t>
      </w:r>
      <w:r>
        <w:rPr>
          <w:rFonts w:ascii="Book Antiqua" w:hAnsi="Book Antiqua"/>
          <w:i/>
          <w:sz w:val="18"/>
          <w:szCs w:val="18"/>
        </w:rPr>
        <w:t>5</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rPr>
          <w:rFonts w:ascii="Book Antiqua" w:hAnsi="Book Antiqua"/>
          <w:sz w:val="20"/>
        </w:rPr>
      </w:pPr>
      <w:r w:rsidRPr="00370948">
        <w:rPr>
          <w:rFonts w:ascii="Book Antiqua" w:hAnsi="Book Antiqua"/>
          <w:noProof/>
          <w:sz w:val="20"/>
        </w:rPr>
        <w:drawing>
          <wp:inline distT="0" distB="0" distL="0" distR="0">
            <wp:extent cx="6411796" cy="1809750"/>
            <wp:effectExtent l="19050" t="0" r="8054" b="0"/>
            <wp:docPr id="69" name="Picture 4" descr="http://www.holoscience.com/news/img/Magnetic%20energy%20cont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oloscience.com/news/img/Magnetic%20energy%20contours.jpg"/>
                    <pic:cNvPicPr>
                      <a:picLocks noChangeAspect="1" noChangeArrowheads="1"/>
                    </pic:cNvPicPr>
                  </pic:nvPicPr>
                  <pic:blipFill>
                    <a:blip r:embed="rId297" cstate="print"/>
                    <a:srcRect t="5704" r="617" b="78589"/>
                    <a:stretch>
                      <a:fillRect/>
                    </a:stretch>
                  </pic:blipFill>
                  <pic:spPr bwMode="auto">
                    <a:xfrm>
                      <a:off x="0" y="0"/>
                      <a:ext cx="6411796" cy="1809750"/>
                    </a:xfrm>
                    <a:prstGeom prst="rect">
                      <a:avLst/>
                    </a:prstGeom>
                    <a:noFill/>
                    <a:ln w="9525">
                      <a:noFill/>
                      <a:miter lim="800000"/>
                      <a:headEnd/>
                      <a:tailEnd/>
                    </a:ln>
                  </pic:spPr>
                </pic:pic>
              </a:graphicData>
            </a:graphic>
          </wp:inline>
        </w:drawing>
      </w:r>
    </w:p>
    <w:p w:rsidR="005359B2" w:rsidRDefault="005359B2" w:rsidP="005359B2">
      <w:pPr>
        <w:pStyle w:val="NoSpacing"/>
        <w:rPr>
          <w:rFonts w:ascii="Book Antiqua" w:hAnsi="Book Antiqua"/>
          <w:sz w:val="20"/>
        </w:rPr>
      </w:pPr>
    </w:p>
    <w:p w:rsidR="005359B2" w:rsidRDefault="005359B2" w:rsidP="005359B2">
      <w:pPr>
        <w:pStyle w:val="NoSpacing"/>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1"/>
        <w:gridCol w:w="3456"/>
        <w:gridCol w:w="3336"/>
      </w:tblGrid>
      <w:tr w:rsidR="005359B2" w:rsidRPr="00370948" w:rsidTr="003442EA">
        <w:trPr>
          <w:trHeight w:val="2960"/>
        </w:trPr>
        <w:tc>
          <w:tcPr>
            <w:tcW w:w="3561"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2104669" cy="1914525"/>
                  <wp:effectExtent l="19050" t="0" r="0" b="0"/>
                  <wp:docPr id="80" name="Picture 74" descr="rad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adio 2"/>
                          <pic:cNvPicPr>
                            <a:picLocks noChangeAspect="1" noChangeArrowheads="1"/>
                          </pic:cNvPicPr>
                        </pic:nvPicPr>
                        <pic:blipFill>
                          <a:blip r:embed="rId298" cstate="print"/>
                          <a:srcRect/>
                          <a:stretch>
                            <a:fillRect/>
                          </a:stretch>
                        </pic:blipFill>
                        <pic:spPr bwMode="auto">
                          <a:xfrm>
                            <a:off x="0" y="0"/>
                            <a:ext cx="2104669" cy="1914525"/>
                          </a:xfrm>
                          <a:prstGeom prst="rect">
                            <a:avLst/>
                          </a:prstGeom>
                          <a:noFill/>
                          <a:ln w="9525">
                            <a:noFill/>
                            <a:miter lim="800000"/>
                            <a:headEnd/>
                            <a:tailEnd/>
                          </a:ln>
                        </pic:spPr>
                      </pic:pic>
                    </a:graphicData>
                  </a:graphic>
                </wp:inline>
              </w:drawing>
            </w:r>
          </w:p>
        </w:tc>
        <w:tc>
          <w:tcPr>
            <w:tcW w:w="3456"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2028825" cy="1914525"/>
                  <wp:effectExtent l="19050" t="0" r="9525" b="0"/>
                  <wp:docPr id="85" name="Picture 71" descr="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dio 1"/>
                          <pic:cNvPicPr>
                            <a:picLocks noChangeAspect="1" noChangeArrowheads="1"/>
                          </pic:cNvPicPr>
                        </pic:nvPicPr>
                        <pic:blipFill>
                          <a:blip r:embed="rId299" cstate="print"/>
                          <a:srcRect/>
                          <a:stretch>
                            <a:fillRect/>
                          </a:stretch>
                        </pic:blipFill>
                        <pic:spPr bwMode="auto">
                          <a:xfrm>
                            <a:off x="0" y="0"/>
                            <a:ext cx="2028825" cy="1914525"/>
                          </a:xfrm>
                          <a:prstGeom prst="rect">
                            <a:avLst/>
                          </a:prstGeom>
                          <a:noFill/>
                          <a:ln w="9525">
                            <a:noFill/>
                            <a:miter lim="800000"/>
                            <a:headEnd/>
                            <a:tailEnd/>
                          </a:ln>
                        </pic:spPr>
                      </pic:pic>
                    </a:graphicData>
                  </a:graphic>
                </wp:inline>
              </w:drawing>
            </w:r>
          </w:p>
        </w:tc>
        <w:tc>
          <w:tcPr>
            <w:tcW w:w="3336"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1952979" cy="1914525"/>
                  <wp:effectExtent l="19050" t="0" r="9171" b="0"/>
                  <wp:docPr id="87" name="Picture 1" descr="http://setterfield.org/ZPE-Plasma_model_clip_image00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tterfield.org/ZPE-Plasma_model_clip_image002_0002.jpg"/>
                          <pic:cNvPicPr>
                            <a:picLocks noChangeAspect="1" noChangeArrowheads="1"/>
                          </pic:cNvPicPr>
                        </pic:nvPicPr>
                        <pic:blipFill>
                          <a:blip r:embed="rId300" cstate="print">
                            <a:lum contrast="20000"/>
                          </a:blip>
                          <a:srcRect l="7285" t="5986" r="26154" b="6860"/>
                          <a:stretch>
                            <a:fillRect/>
                          </a:stretch>
                        </pic:blipFill>
                        <pic:spPr bwMode="auto">
                          <a:xfrm>
                            <a:off x="0" y="0"/>
                            <a:ext cx="1955269" cy="1916770"/>
                          </a:xfrm>
                          <a:prstGeom prst="rect">
                            <a:avLst/>
                          </a:prstGeom>
                          <a:noFill/>
                          <a:ln w="9525">
                            <a:noFill/>
                            <a:miter lim="800000"/>
                            <a:headEnd/>
                            <a:tailEnd/>
                          </a:ln>
                        </pic:spPr>
                      </pic:pic>
                    </a:graphicData>
                  </a:graphic>
                </wp:inline>
              </w:drawing>
            </w:r>
          </w:p>
        </w:tc>
      </w:tr>
      <w:tr w:rsidR="005359B2" w:rsidRPr="00370948" w:rsidTr="003442EA">
        <w:tc>
          <w:tcPr>
            <w:tcW w:w="3561" w:type="dxa"/>
          </w:tcPr>
          <w:p w:rsidR="005359B2" w:rsidRPr="00370948" w:rsidRDefault="005359B2" w:rsidP="003442EA">
            <w:pPr>
              <w:pStyle w:val="NoSpacing"/>
              <w:rPr>
                <w:rFonts w:ascii="Book Antiqua" w:hAnsi="Book Antiqua"/>
                <w:i/>
                <w:sz w:val="20"/>
              </w:rPr>
            </w:pPr>
            <w:r w:rsidRPr="00370948">
              <w:rPr>
                <w:rFonts w:ascii="Book Antiqua" w:hAnsi="Book Antiqua"/>
                <w:i/>
                <w:sz w:val="20"/>
              </w:rPr>
              <w:t>Radio galaxy 3C296</w:t>
            </w:r>
          </w:p>
        </w:tc>
        <w:tc>
          <w:tcPr>
            <w:tcW w:w="3456" w:type="dxa"/>
          </w:tcPr>
          <w:p w:rsidR="005359B2" w:rsidRPr="00370948" w:rsidRDefault="005359B2" w:rsidP="003442EA">
            <w:pPr>
              <w:pStyle w:val="NoSpacing"/>
              <w:rPr>
                <w:rFonts w:ascii="Book Antiqua" w:hAnsi="Book Antiqua"/>
                <w:i/>
                <w:sz w:val="20"/>
              </w:rPr>
            </w:pPr>
            <w:r w:rsidRPr="00370948">
              <w:rPr>
                <w:rFonts w:ascii="Book Antiqua" w:hAnsi="Book Antiqua"/>
                <w:i/>
                <w:sz w:val="20"/>
              </w:rPr>
              <w:t>Radio galaxy Fornax A</w:t>
            </w:r>
          </w:p>
        </w:tc>
        <w:tc>
          <w:tcPr>
            <w:tcW w:w="3336" w:type="dxa"/>
          </w:tcPr>
          <w:p w:rsidR="005359B2" w:rsidRPr="00370948" w:rsidRDefault="005359B2" w:rsidP="003442EA">
            <w:pPr>
              <w:rPr>
                <w:rFonts w:ascii="Book Antiqua" w:hAnsi="Book Antiqua"/>
                <w:i/>
              </w:rPr>
            </w:pPr>
            <w:r w:rsidRPr="00370948">
              <w:rPr>
                <w:rFonts w:ascii="Book Antiqua" w:hAnsi="Book Antiqua"/>
                <w:bCs/>
                <w:i/>
              </w:rPr>
              <w:t>Centaurus A</w:t>
            </w:r>
          </w:p>
          <w:p w:rsidR="005359B2" w:rsidRPr="00370948" w:rsidRDefault="005359B2" w:rsidP="003442EA">
            <w:pPr>
              <w:pStyle w:val="NoSpacing"/>
              <w:rPr>
                <w:rFonts w:ascii="Book Antiqua" w:hAnsi="Book Antiqua"/>
                <w:sz w:val="20"/>
              </w:rPr>
            </w:pPr>
          </w:p>
        </w:tc>
      </w:tr>
    </w:tbl>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jc w:val="both"/>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5</w:t>
      </w:r>
      <w:r w:rsidRPr="00841C44">
        <w:rPr>
          <w:rFonts w:ascii="Book Antiqua" w:hAnsi="Book Antiqua"/>
          <w:b/>
          <w:i/>
          <w:sz w:val="18"/>
          <w:szCs w:val="18"/>
        </w:rPr>
        <w:t>: Top –</w:t>
      </w:r>
      <w:r w:rsidRPr="00841C44">
        <w:rPr>
          <w:rFonts w:ascii="Book Antiqua" w:hAnsi="Book Antiqua"/>
          <w:i/>
          <w:sz w:val="18"/>
          <w:szCs w:val="18"/>
        </w:rPr>
        <w:t xml:space="preserve"> Lab results as two interacting filaments approach (frames 1-3 in Figure 5). </w:t>
      </w:r>
      <w:r w:rsidRPr="00841C44">
        <w:rPr>
          <w:rFonts w:ascii="Book Antiqua" w:hAnsi="Book Antiqua"/>
          <w:b/>
          <w:i/>
          <w:sz w:val="18"/>
          <w:szCs w:val="18"/>
        </w:rPr>
        <w:t>Bottom -</w:t>
      </w:r>
      <w:r w:rsidRPr="00841C44">
        <w:rPr>
          <w:rFonts w:ascii="Book Antiqua" w:hAnsi="Book Antiqua"/>
          <w:i/>
          <w:sz w:val="18"/>
          <w:szCs w:val="18"/>
        </w:rPr>
        <w:t>Three double radio galaxies. The two radio-emitting lobes in each photograph show where the two interacting plasma filaments are. Note the jet in Centaurus A, which is the part of the next stage in the process.</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01612F" w:rsidRDefault="005359B2" w:rsidP="005359B2">
      <w:pPr>
        <w:pStyle w:val="NoSpacing"/>
        <w:ind w:firstLine="720"/>
        <w:jc w:val="both"/>
        <w:rPr>
          <w:rFonts w:ascii="Book Antiqua" w:hAnsi="Book Antiqua"/>
          <w:sz w:val="20"/>
        </w:rPr>
      </w:pPr>
      <w:r w:rsidRPr="00370948">
        <w:rPr>
          <w:rFonts w:ascii="Book Antiqua" w:hAnsi="Book Antiqua"/>
          <w:sz w:val="20"/>
        </w:rPr>
        <w:t>As the interaction continues, and filaments approach more closely, active galactic nuclei</w:t>
      </w:r>
      <w:r>
        <w:rPr>
          <w:rFonts w:ascii="Book Antiqua" w:hAnsi="Book Antiqua"/>
          <w:sz w:val="20"/>
        </w:rPr>
        <w:t xml:space="preserve"> and quasars</w:t>
      </w:r>
      <w:r w:rsidRPr="00370948">
        <w:rPr>
          <w:rFonts w:ascii="Book Antiqua" w:hAnsi="Book Antiqua"/>
          <w:sz w:val="20"/>
        </w:rPr>
        <w:t xml:space="preserve"> form in the compressed plasma which has begun acting as a united entity with the two lobes. The quasars with their spinning disks and jets are formed in the lab example in the third frame of </w:t>
      </w:r>
      <w:r w:rsidRPr="007B5F55">
        <w:rPr>
          <w:rFonts w:ascii="Book Antiqua" w:hAnsi="Book Antiqua"/>
          <w:sz w:val="20"/>
        </w:rPr>
        <w:t>Figure 14</w:t>
      </w:r>
      <w:r w:rsidRPr="00370948">
        <w:rPr>
          <w:rFonts w:ascii="Book Antiqua" w:hAnsi="Book Antiqua"/>
          <w:sz w:val="20"/>
        </w:rPr>
        <w:t xml:space="preserve"> and illustrated astronomically by an enlargement of the center of the galaxy in </w:t>
      </w:r>
      <w:r w:rsidRPr="007B5F55">
        <w:rPr>
          <w:rFonts w:ascii="Book Antiqua" w:hAnsi="Book Antiqua"/>
          <w:sz w:val="20"/>
        </w:rPr>
        <w:t xml:space="preserve">Figure 16 (Top). </w:t>
      </w:r>
    </w:p>
    <w:p w:rsidR="0001612F" w:rsidRDefault="0001612F"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7B5F55">
        <w:rPr>
          <w:rFonts w:ascii="Book Antiqua" w:hAnsi="Book Antiqua"/>
          <w:sz w:val="20"/>
        </w:rPr>
        <w:t>Figure 16 (Bottom)</w:t>
      </w:r>
      <w:r w:rsidRPr="00370948">
        <w:rPr>
          <w:rFonts w:ascii="Book Antiqua" w:hAnsi="Book Antiqua"/>
          <w:sz w:val="20"/>
        </w:rPr>
        <w:t xml:space="preserve"> </w:t>
      </w:r>
      <w:r>
        <w:rPr>
          <w:rFonts w:ascii="Book Antiqua" w:hAnsi="Book Antiqua"/>
          <w:sz w:val="20"/>
        </w:rPr>
        <w:t>shows how the viewing angle of a quasar results in a variety of objects which had been assigned different names before th</w:t>
      </w:r>
      <w:r w:rsidR="003A6CAD">
        <w:rPr>
          <w:rFonts w:ascii="Book Antiqua" w:hAnsi="Book Antiqua"/>
          <w:sz w:val="20"/>
        </w:rPr>
        <w:t>is</w:t>
      </w:r>
      <w:r>
        <w:rPr>
          <w:rFonts w:ascii="Book Antiqua" w:hAnsi="Book Antiqua"/>
          <w:sz w:val="20"/>
        </w:rPr>
        <w:t xml:space="preserve"> connection</w:t>
      </w:r>
      <w:r w:rsidR="0001612F">
        <w:rPr>
          <w:rFonts w:ascii="Book Antiqua" w:hAnsi="Book Antiqua"/>
          <w:sz w:val="20"/>
        </w:rPr>
        <w:t xml:space="preserve"> between them</w:t>
      </w:r>
      <w:r>
        <w:rPr>
          <w:rFonts w:ascii="Book Antiqua" w:hAnsi="Book Antiqua"/>
          <w:sz w:val="20"/>
        </w:rPr>
        <w:t xml:space="preserve"> had been established. </w:t>
      </w:r>
      <w:r w:rsidRPr="00370948">
        <w:rPr>
          <w:rFonts w:ascii="Book Antiqua" w:hAnsi="Book Antiqua"/>
          <w:sz w:val="20"/>
        </w:rPr>
        <w:t>With a lower ZPE, and higher electric currents, the power output from these quasars is expected to be</w:t>
      </w:r>
      <w:r w:rsidR="0001612F">
        <w:rPr>
          <w:rFonts w:ascii="Book Antiqua" w:hAnsi="Book Antiqua"/>
          <w:sz w:val="20"/>
        </w:rPr>
        <w:t xml:space="preserve"> more</w:t>
      </w:r>
      <w:r w:rsidRPr="00370948">
        <w:rPr>
          <w:rFonts w:ascii="Book Antiqua" w:hAnsi="Book Antiqua"/>
          <w:sz w:val="20"/>
        </w:rPr>
        <w:t xml:space="preserve"> intense</w:t>
      </w:r>
      <w:r w:rsidR="0001612F">
        <w:rPr>
          <w:rFonts w:ascii="Book Antiqua" w:hAnsi="Book Antiqua"/>
          <w:sz w:val="20"/>
        </w:rPr>
        <w:t>,</w:t>
      </w:r>
      <w:r w:rsidRPr="00370948">
        <w:rPr>
          <w:rFonts w:ascii="Book Antiqua" w:hAnsi="Book Antiqua"/>
          <w:sz w:val="20"/>
        </w:rPr>
        <w:t xml:space="preserve"> </w:t>
      </w:r>
      <w:r w:rsidR="0001612F">
        <w:rPr>
          <w:rFonts w:ascii="Book Antiqua" w:hAnsi="Book Antiqua"/>
          <w:sz w:val="20"/>
        </w:rPr>
        <w:t xml:space="preserve">closer to the frontiers of the cosmos, </w:t>
      </w:r>
      <w:r w:rsidRPr="00370948">
        <w:rPr>
          <w:rFonts w:ascii="Book Antiqua" w:hAnsi="Book Antiqua"/>
          <w:sz w:val="20"/>
        </w:rPr>
        <w:t>in line with equation (22)</w:t>
      </w:r>
      <w:r w:rsidR="003A6CAD">
        <w:rPr>
          <w:rFonts w:ascii="Book Antiqua" w:hAnsi="Book Antiqua"/>
          <w:sz w:val="20"/>
        </w:rPr>
        <w:t>.</w:t>
      </w:r>
    </w:p>
    <w:p w:rsidR="003A6CAD" w:rsidRDefault="003A6CAD" w:rsidP="005359B2">
      <w:pPr>
        <w:pStyle w:val="NoSpacing"/>
        <w:ind w:firstLine="720"/>
        <w:jc w:val="both"/>
        <w:rPr>
          <w:rFonts w:ascii="Book Antiqua" w:hAnsi="Book Antiqua"/>
          <w:sz w:val="20"/>
        </w:rPr>
      </w:pPr>
    </w:p>
    <w:p w:rsidR="003A6CAD" w:rsidRPr="00370948" w:rsidRDefault="003A6CAD" w:rsidP="003A6CAD">
      <w:pPr>
        <w:pStyle w:val="NoSpacing"/>
        <w:ind w:firstLine="720"/>
        <w:jc w:val="both"/>
        <w:rPr>
          <w:rFonts w:ascii="Book Antiqua" w:hAnsi="Book Antiqua"/>
          <w:sz w:val="20"/>
        </w:rPr>
      </w:pPr>
      <w:r>
        <w:rPr>
          <w:rFonts w:ascii="Book Antiqua" w:hAnsi="Book Antiqua"/>
          <w:sz w:val="20"/>
        </w:rPr>
        <w:t xml:space="preserve">In the sequence in </w:t>
      </w:r>
      <w:r w:rsidRPr="00370948">
        <w:rPr>
          <w:rFonts w:ascii="Book Antiqua" w:hAnsi="Book Antiqua"/>
          <w:sz w:val="20"/>
        </w:rPr>
        <w:t xml:space="preserve">Fig. </w:t>
      </w:r>
      <w:r>
        <w:rPr>
          <w:rFonts w:ascii="Book Antiqua" w:hAnsi="Book Antiqua"/>
          <w:sz w:val="20"/>
        </w:rPr>
        <w:t>14, these objects are followed</w:t>
      </w:r>
      <w:r w:rsidRPr="00370948">
        <w:rPr>
          <w:rFonts w:ascii="Book Antiqua" w:hAnsi="Book Antiqua"/>
          <w:sz w:val="20"/>
        </w:rPr>
        <w:t xml:space="preserve"> by the </w:t>
      </w:r>
      <w:r>
        <w:rPr>
          <w:rFonts w:ascii="Book Antiqua" w:hAnsi="Book Antiqua"/>
          <w:sz w:val="20"/>
        </w:rPr>
        <w:t xml:space="preserve">formation of </w:t>
      </w:r>
      <w:r w:rsidRPr="00370948">
        <w:rPr>
          <w:rFonts w:ascii="Book Antiqua" w:hAnsi="Book Antiqua"/>
          <w:sz w:val="20"/>
        </w:rPr>
        <w:t>various types of elliptical galaxies shown in the fourth and fifth frames. In the fourth frame, the compressed plasma and the interacting lobes form a large ball. This is typical of some of the giant elliptical galaxies, such as M 87 which reveals a huge jet from its nucleus in Fig. 1</w:t>
      </w:r>
      <w:r>
        <w:rPr>
          <w:rFonts w:ascii="Book Antiqua" w:hAnsi="Book Antiqua"/>
          <w:sz w:val="20"/>
        </w:rPr>
        <w:t>7</w:t>
      </w:r>
      <w:r w:rsidRPr="00370948">
        <w:rPr>
          <w:rFonts w:ascii="Book Antiqua" w:hAnsi="Book Antiqua"/>
          <w:sz w:val="20"/>
        </w:rPr>
        <w:t>.</w:t>
      </w:r>
    </w:p>
    <w:p w:rsidR="003A6CAD" w:rsidRDefault="003A6CAD"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5424066" cy="2551099"/>
            <wp:effectExtent l="19050" t="0" r="5184" b="0"/>
            <wp:docPr id="88" name="Picture 80" descr="quas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quasar 2"/>
                    <pic:cNvPicPr>
                      <a:picLocks noChangeAspect="1" noChangeArrowheads="1"/>
                    </pic:cNvPicPr>
                  </pic:nvPicPr>
                  <pic:blipFill>
                    <a:blip r:embed="rId301" cstate="print"/>
                    <a:srcRect/>
                    <a:stretch>
                      <a:fillRect/>
                    </a:stretch>
                  </pic:blipFill>
                  <pic:spPr bwMode="auto">
                    <a:xfrm>
                      <a:off x="0" y="0"/>
                      <a:ext cx="5437201" cy="2557277"/>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6</w:t>
      </w:r>
      <w:r w:rsidRPr="00841C44">
        <w:rPr>
          <w:rFonts w:ascii="Book Antiqua" w:hAnsi="Book Antiqua"/>
          <w:b/>
          <w:i/>
          <w:sz w:val="18"/>
          <w:szCs w:val="18"/>
        </w:rPr>
        <w:t>: (Top)</w:t>
      </w:r>
      <w:r w:rsidRPr="00841C44">
        <w:rPr>
          <w:rFonts w:ascii="Book Antiqua" w:hAnsi="Book Antiqua"/>
          <w:i/>
          <w:sz w:val="18"/>
          <w:szCs w:val="18"/>
        </w:rPr>
        <w:t xml:space="preserve"> Enlargement of the center of this radio-galaxy NGC 4261 reveals the spinning disk and polar jets of a quasar-like galactic nucleus. </w:t>
      </w:r>
      <w:r w:rsidRPr="00841C44">
        <w:rPr>
          <w:rFonts w:ascii="Book Antiqua" w:hAnsi="Book Antiqua"/>
          <w:b/>
          <w:i/>
          <w:sz w:val="18"/>
          <w:szCs w:val="18"/>
        </w:rPr>
        <w:t>(Bottom)</w:t>
      </w:r>
      <w:r w:rsidRPr="00841C44">
        <w:rPr>
          <w:rFonts w:ascii="Book Antiqua" w:hAnsi="Book Antiqua"/>
          <w:i/>
          <w:sz w:val="18"/>
          <w:szCs w:val="18"/>
        </w:rPr>
        <w:t xml:space="preserve"> Sketch shows objects previously given different names are, in fact, all quasars </w:t>
      </w:r>
      <w:r>
        <w:rPr>
          <w:rFonts w:ascii="Book Antiqua" w:hAnsi="Book Antiqua"/>
          <w:i/>
          <w:sz w:val="18"/>
          <w:szCs w:val="18"/>
        </w:rPr>
        <w:t>viewed</w:t>
      </w:r>
      <w:r w:rsidRPr="00841C44">
        <w:rPr>
          <w:rFonts w:ascii="Book Antiqua" w:hAnsi="Book Antiqua"/>
          <w:i/>
          <w:sz w:val="18"/>
          <w:szCs w:val="18"/>
        </w:rPr>
        <w:t xml:space="preserve"> from different angles. </w:t>
      </w:r>
    </w:p>
    <w:p w:rsidR="005359B2" w:rsidRDefault="005359B2" w:rsidP="005359B2">
      <w:pPr>
        <w:pStyle w:val="NoSpacing"/>
        <w:rPr>
          <w:rFonts w:ascii="Book Antiqua" w:hAnsi="Book Antiqua"/>
          <w:sz w:val="18"/>
          <w:szCs w:val="18"/>
        </w:rPr>
      </w:pPr>
    </w:p>
    <w:p w:rsidR="005359B2" w:rsidRDefault="005359B2" w:rsidP="005359B2">
      <w:pPr>
        <w:pStyle w:val="NoSpacing"/>
        <w:jc w:val="center"/>
        <w:rPr>
          <w:rFonts w:ascii="Book Antiqua" w:hAnsi="Book Antiqua"/>
          <w:sz w:val="18"/>
          <w:szCs w:val="18"/>
        </w:rPr>
      </w:pPr>
      <w:r w:rsidRPr="002705D7">
        <w:rPr>
          <w:rFonts w:ascii="Book Antiqua" w:hAnsi="Book Antiqua"/>
          <w:noProof/>
          <w:sz w:val="18"/>
          <w:szCs w:val="18"/>
        </w:rPr>
        <w:drawing>
          <wp:inline distT="0" distB="0" distL="0" distR="0">
            <wp:extent cx="4706630" cy="4379899"/>
            <wp:effectExtent l="19050" t="0" r="0" b="0"/>
            <wp:docPr id="91" name="Picture 2" descr="http://www.auger.org/news/PRagn/images/agn4_prouza.png"/>
            <wp:cNvGraphicFramePr/>
            <a:graphic xmlns:a="http://schemas.openxmlformats.org/drawingml/2006/main">
              <a:graphicData uri="http://schemas.openxmlformats.org/drawingml/2006/picture">
                <pic:pic xmlns:pic="http://schemas.openxmlformats.org/drawingml/2006/picture">
                  <pic:nvPicPr>
                    <pic:cNvPr id="4" name="irc_mi" descr="http://www.auger.org/news/PRagn/images/agn4_prouza.png"/>
                    <pic:cNvPicPr/>
                  </pic:nvPicPr>
                  <pic:blipFill>
                    <a:blip r:embed="rId302" cstate="print"/>
                    <a:srcRect/>
                    <a:stretch>
                      <a:fillRect/>
                    </a:stretch>
                  </pic:blipFill>
                  <pic:spPr bwMode="auto">
                    <a:xfrm>
                      <a:off x="0" y="0"/>
                      <a:ext cx="4704269" cy="4377702"/>
                    </a:xfrm>
                    <a:prstGeom prst="rect">
                      <a:avLst/>
                    </a:prstGeom>
                    <a:noFill/>
                    <a:ln w="9525">
                      <a:noFill/>
                      <a:miter lim="800000"/>
                      <a:headEnd/>
                      <a:tailEnd/>
                    </a:ln>
                  </pic:spPr>
                </pic:pic>
              </a:graphicData>
            </a:graphic>
          </wp:inline>
        </w:drawing>
      </w:r>
    </w:p>
    <w:p w:rsidR="00AC692E" w:rsidRPr="00370948" w:rsidRDefault="00AC692E" w:rsidP="005359B2">
      <w:pPr>
        <w:pStyle w:val="NoSpacing"/>
        <w:jc w:val="center"/>
        <w:rPr>
          <w:rFonts w:ascii="Book Antiqua" w:hAnsi="Book Antiqua"/>
          <w:sz w:val="18"/>
          <w:szCs w:val="18"/>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96"/>
        <w:gridCol w:w="4596"/>
      </w:tblGrid>
      <w:tr w:rsidR="005359B2" w:rsidRPr="00370948" w:rsidTr="003442EA">
        <w:trPr>
          <w:jc w:val="center"/>
        </w:trPr>
        <w:tc>
          <w:tcPr>
            <w:tcW w:w="2718"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lastRenderedPageBreak/>
              <w:drawing>
                <wp:inline distT="0" distB="0" distL="0" distR="0">
                  <wp:extent cx="2185926" cy="2333625"/>
                  <wp:effectExtent l="19050" t="0" r="4824" b="0"/>
                  <wp:docPr id="92" name="il_fi" descr="http://csep10.phys.utk.edu/astr162/lect/galaxies/m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sep10.phys.utk.edu/astr162/lect/galaxies/m87.gif"/>
                          <pic:cNvPicPr>
                            <a:picLocks noChangeAspect="1" noChangeArrowheads="1"/>
                          </pic:cNvPicPr>
                        </pic:nvPicPr>
                        <pic:blipFill>
                          <a:blip r:embed="rId303" cstate="print"/>
                          <a:srcRect/>
                          <a:stretch>
                            <a:fillRect/>
                          </a:stretch>
                        </pic:blipFill>
                        <pic:spPr bwMode="auto">
                          <a:xfrm>
                            <a:off x="0" y="0"/>
                            <a:ext cx="2188979" cy="2336884"/>
                          </a:xfrm>
                          <a:prstGeom prst="rect">
                            <a:avLst/>
                          </a:prstGeom>
                          <a:noFill/>
                          <a:ln w="9525">
                            <a:noFill/>
                            <a:miter lim="800000"/>
                            <a:headEnd/>
                            <a:tailEnd/>
                          </a:ln>
                        </pic:spPr>
                      </pic:pic>
                    </a:graphicData>
                  </a:graphic>
                </wp:inline>
              </w:drawing>
            </w:r>
          </w:p>
        </w:tc>
        <w:tc>
          <w:tcPr>
            <w:tcW w:w="2718"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2752725" cy="2338336"/>
                  <wp:effectExtent l="19050" t="0" r="9525" b="0"/>
                  <wp:docPr id="94" name="il_fi" descr="http://www.bibliotecapleyades.net/imagenes_universo/electricuniverse2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bliotecapleyades.net/imagenes_universo/electricuniverse28_13.jpg"/>
                          <pic:cNvPicPr>
                            <a:picLocks noChangeAspect="1" noChangeArrowheads="1"/>
                          </pic:cNvPicPr>
                        </pic:nvPicPr>
                        <pic:blipFill>
                          <a:blip r:embed="rId304" cstate="print"/>
                          <a:srcRect/>
                          <a:stretch>
                            <a:fillRect/>
                          </a:stretch>
                        </pic:blipFill>
                        <pic:spPr bwMode="auto">
                          <a:xfrm>
                            <a:off x="0" y="0"/>
                            <a:ext cx="2752725" cy="2338336"/>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18"/>
          <w:szCs w:val="18"/>
        </w:rPr>
      </w:pPr>
    </w:p>
    <w:p w:rsidR="005359B2" w:rsidRPr="00841C44" w:rsidRDefault="005359B2" w:rsidP="005359B2">
      <w:pPr>
        <w:pStyle w:val="NoSpacing"/>
        <w:jc w:val="center"/>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7</w:t>
      </w:r>
      <w:r w:rsidRPr="00841C44">
        <w:rPr>
          <w:rFonts w:ascii="Book Antiqua" w:hAnsi="Book Antiqua"/>
          <w:b/>
          <w:i/>
          <w:sz w:val="18"/>
          <w:szCs w:val="18"/>
        </w:rPr>
        <w:t>:</w:t>
      </w:r>
      <w:r w:rsidRPr="00841C44">
        <w:rPr>
          <w:rFonts w:ascii="Book Antiqua" w:hAnsi="Book Antiqua"/>
          <w:i/>
          <w:sz w:val="18"/>
          <w:szCs w:val="18"/>
        </w:rPr>
        <w:t xml:space="preserve"> </w:t>
      </w:r>
      <w:r w:rsidRPr="00841C44">
        <w:rPr>
          <w:rFonts w:ascii="Book Antiqua" w:hAnsi="Book Antiqua"/>
          <w:b/>
          <w:i/>
          <w:sz w:val="18"/>
          <w:szCs w:val="18"/>
        </w:rPr>
        <w:t xml:space="preserve">Left </w:t>
      </w:r>
      <w:r w:rsidRPr="00841C44">
        <w:rPr>
          <w:rFonts w:ascii="Book Antiqua" w:hAnsi="Book Antiqua"/>
          <w:i/>
          <w:sz w:val="18"/>
          <w:szCs w:val="18"/>
        </w:rPr>
        <w:t xml:space="preserve">-Giant elliptical galaxy M 87. </w:t>
      </w:r>
      <w:r w:rsidRPr="00841C44">
        <w:rPr>
          <w:rFonts w:ascii="Book Antiqua" w:hAnsi="Book Antiqua"/>
          <w:b/>
          <w:i/>
          <w:sz w:val="18"/>
          <w:szCs w:val="18"/>
        </w:rPr>
        <w:t xml:space="preserve">Right </w:t>
      </w:r>
      <w:r w:rsidRPr="00841C44">
        <w:rPr>
          <w:rFonts w:ascii="Book Antiqua" w:hAnsi="Book Antiqua"/>
          <w:i/>
          <w:sz w:val="18"/>
          <w:szCs w:val="18"/>
        </w:rPr>
        <w:t>- The jet from its nucleus.</w:t>
      </w:r>
    </w:p>
    <w:p w:rsidR="005359B2" w:rsidRPr="00370948" w:rsidRDefault="005359B2" w:rsidP="005359B2">
      <w:pPr>
        <w:pStyle w:val="NoSpacing"/>
        <w:jc w:val="both"/>
        <w:rPr>
          <w:rFonts w:ascii="Book Antiqua" w:hAnsi="Book Antiqua"/>
          <w:sz w:val="20"/>
        </w:rPr>
      </w:pPr>
    </w:p>
    <w:p w:rsidR="005359B2" w:rsidRPr="00F70CCF" w:rsidRDefault="005359B2" w:rsidP="005359B2">
      <w:pPr>
        <w:pStyle w:val="NoSpacing"/>
        <w:ind w:firstLine="720"/>
        <w:rPr>
          <w:rFonts w:ascii="Book Antiqua" w:hAnsi="Book Antiqua"/>
          <w:sz w:val="20"/>
        </w:rPr>
      </w:pPr>
      <w:r w:rsidRPr="00F70CCF">
        <w:rPr>
          <w:rFonts w:ascii="Book Antiqua" w:hAnsi="Book Antiqua"/>
          <w:sz w:val="20"/>
        </w:rPr>
        <w:t>It can therefore be seen that quasars and their jets, powered by the focussed electric and magnetic fields of the plasmoid which makes up the central area referred to as a ‘black hole’, are an integral part of the galaxy forming process. For this reason, quasars are prominent early in the universe when such formation was taking place. But since we are dealing with plasma physics in quasar formation, the ZPE also plays a part. As the ZPE strength increased the electric and magnetic fields, which come to a focus in the plasmoid in galaxy centers, gradually lost their strength. This means that the central activity died down and the quasars became less active. Nevertheless the plasmoid is still there. So, as we come forward in time from the frontiers of the universe, the quasar activity reduces until, as we see with our own galaxy, the central object only sends off X-rays occasionally. That this central plasmoid or ‘black hole’ had jets originally is still apparent in Gamma and X-rays. Figure 1</w:t>
      </w:r>
      <w:r>
        <w:rPr>
          <w:rFonts w:ascii="Book Antiqua" w:hAnsi="Book Antiqua"/>
          <w:sz w:val="20"/>
        </w:rPr>
        <w:t>8</w:t>
      </w:r>
      <w:r w:rsidRPr="00F70CCF">
        <w:rPr>
          <w:rFonts w:ascii="Book Antiqua" w:hAnsi="Book Antiqua"/>
          <w:sz w:val="20"/>
        </w:rPr>
        <w:t xml:space="preserve"> illustrates the results of a NASA study of our Galaxy using the Fermi telescope.</w:t>
      </w:r>
    </w:p>
    <w:p w:rsidR="005359B2" w:rsidRPr="00B05B9A" w:rsidRDefault="005359B2" w:rsidP="005359B2">
      <w:pPr>
        <w:ind w:firstLine="720"/>
        <w:jc w:val="both"/>
        <w:rPr>
          <w:rFonts w:ascii="Book Antiqua" w:hAnsi="Book Antiqua"/>
        </w:rPr>
      </w:pPr>
    </w:p>
    <w:tbl>
      <w:tblPr>
        <w:tblStyle w:val="TableGrid"/>
        <w:tblW w:w="0" w:type="auto"/>
        <w:tblLook w:val="04A0"/>
      </w:tblPr>
      <w:tblGrid>
        <w:gridCol w:w="6590"/>
        <w:gridCol w:w="4426"/>
      </w:tblGrid>
      <w:tr w:rsidR="005359B2" w:rsidTr="003442EA">
        <w:tc>
          <w:tcPr>
            <w:tcW w:w="5508" w:type="dxa"/>
          </w:tcPr>
          <w:p w:rsidR="005359B2" w:rsidRDefault="005359B2" w:rsidP="003442EA">
            <w:pPr>
              <w:pStyle w:val="NoSpacing"/>
              <w:jc w:val="both"/>
              <w:rPr>
                <w:rFonts w:ascii="Book Antiqua" w:hAnsi="Book Antiqua"/>
                <w:sz w:val="20"/>
              </w:rPr>
            </w:pPr>
            <w:r w:rsidRPr="009E05E6">
              <w:rPr>
                <w:rFonts w:ascii="Book Antiqua" w:hAnsi="Book Antiqua"/>
                <w:noProof/>
                <w:sz w:val="20"/>
              </w:rPr>
              <w:drawing>
                <wp:inline distT="0" distB="0" distL="0" distR="0">
                  <wp:extent cx="4133850" cy="2257425"/>
                  <wp:effectExtent l="19050" t="0" r="0" b="0"/>
                  <wp:docPr id="97" name="Picture 6" descr="http://www.nasa.gov/images/content/498884main_DF3_Fermi_bubble_art_labels.jpg"/>
                  <wp:cNvGraphicFramePr/>
                  <a:graphic xmlns:a="http://schemas.openxmlformats.org/drawingml/2006/main">
                    <a:graphicData uri="http://schemas.openxmlformats.org/drawingml/2006/picture">
                      <pic:pic xmlns:pic="http://schemas.openxmlformats.org/drawingml/2006/picture">
                        <pic:nvPicPr>
                          <pic:cNvPr id="4" name="irc_mi" descr="http://www.nasa.gov/images/content/498884main_DF3_Fermi_bubble_art_labels.jpg"/>
                          <pic:cNvPicPr/>
                        </pic:nvPicPr>
                        <pic:blipFill>
                          <a:blip r:embed="rId305" cstate="print"/>
                          <a:srcRect/>
                          <a:stretch>
                            <a:fillRect/>
                          </a:stretch>
                        </pic:blipFill>
                        <pic:spPr bwMode="auto">
                          <a:xfrm>
                            <a:off x="0" y="0"/>
                            <a:ext cx="4133850" cy="2257425"/>
                          </a:xfrm>
                          <a:prstGeom prst="rect">
                            <a:avLst/>
                          </a:prstGeom>
                          <a:noFill/>
                          <a:ln w="9525">
                            <a:noFill/>
                            <a:miter lim="800000"/>
                            <a:headEnd/>
                            <a:tailEnd/>
                          </a:ln>
                        </pic:spPr>
                      </pic:pic>
                    </a:graphicData>
                  </a:graphic>
                </wp:inline>
              </w:drawing>
            </w:r>
          </w:p>
        </w:tc>
        <w:tc>
          <w:tcPr>
            <w:tcW w:w="5508" w:type="dxa"/>
          </w:tcPr>
          <w:p w:rsidR="005359B2" w:rsidRDefault="005359B2" w:rsidP="003442EA">
            <w:pPr>
              <w:pStyle w:val="NoSpacing"/>
              <w:jc w:val="both"/>
              <w:rPr>
                <w:rFonts w:ascii="Book Antiqua" w:hAnsi="Book Antiqua"/>
                <w:sz w:val="20"/>
              </w:rPr>
            </w:pPr>
            <w:r w:rsidRPr="009E05E6">
              <w:rPr>
                <w:rFonts w:ascii="Book Antiqua" w:hAnsi="Book Antiqua"/>
                <w:noProof/>
                <w:sz w:val="20"/>
              </w:rPr>
              <w:drawing>
                <wp:inline distT="0" distB="0" distL="0" distR="0">
                  <wp:extent cx="2724150" cy="2257425"/>
                  <wp:effectExtent l="19050" t="0" r="0" b="0"/>
                  <wp:docPr id="102" name="Picture 7" descr="http://www.nature.com/polopoly_fs/7.4724.1338483652!/image/1.10749.jpg_gen/derivatives/landscape_300/1.10749.jpg"/>
                  <wp:cNvGraphicFramePr/>
                  <a:graphic xmlns:a="http://schemas.openxmlformats.org/drawingml/2006/main">
                    <a:graphicData uri="http://schemas.openxmlformats.org/drawingml/2006/picture">
                      <pic:pic xmlns:pic="http://schemas.openxmlformats.org/drawingml/2006/picture">
                        <pic:nvPicPr>
                          <pic:cNvPr id="4" name="irc_mi" descr="http://www.nature.com/polopoly_fs/7.4724.1338483652!/image/1.10749.jpg_gen/derivatives/landscape_300/1.10749.jpg"/>
                          <pic:cNvPicPr/>
                        </pic:nvPicPr>
                        <pic:blipFill>
                          <a:blip r:embed="rId306" cstate="print"/>
                          <a:srcRect/>
                          <a:stretch>
                            <a:fillRect/>
                          </a:stretch>
                        </pic:blipFill>
                        <pic:spPr bwMode="auto">
                          <a:xfrm>
                            <a:off x="0" y="0"/>
                            <a:ext cx="2724150" cy="2257425"/>
                          </a:xfrm>
                          <a:prstGeom prst="rect">
                            <a:avLst/>
                          </a:prstGeom>
                          <a:noFill/>
                          <a:ln w="9525">
                            <a:noFill/>
                            <a:miter lim="800000"/>
                            <a:headEnd/>
                            <a:tailEnd/>
                          </a:ln>
                        </pic:spPr>
                      </pic:pic>
                    </a:graphicData>
                  </a:graphic>
                </wp:inline>
              </w:drawing>
            </w:r>
          </w:p>
        </w:tc>
      </w:tr>
    </w:tbl>
    <w:p w:rsidR="005359B2" w:rsidRDefault="005359B2" w:rsidP="005359B2">
      <w:pPr>
        <w:pStyle w:val="NoSpacing"/>
        <w:ind w:firstLine="720"/>
        <w:jc w:val="both"/>
        <w:rPr>
          <w:rFonts w:ascii="Book Antiqua" w:hAnsi="Book Antiqua"/>
          <w:sz w:val="20"/>
        </w:rPr>
      </w:pPr>
    </w:p>
    <w:p w:rsidR="005359B2" w:rsidRPr="00841C44" w:rsidRDefault="005359B2" w:rsidP="005359B2">
      <w:pPr>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8</w:t>
      </w:r>
      <w:r w:rsidRPr="00841C44">
        <w:rPr>
          <w:rFonts w:ascii="Book Antiqua" w:hAnsi="Book Antiqua"/>
          <w:b/>
          <w:i/>
          <w:sz w:val="18"/>
          <w:szCs w:val="18"/>
        </w:rPr>
        <w:t>:</w:t>
      </w:r>
      <w:r w:rsidRPr="00841C44">
        <w:rPr>
          <w:rFonts w:ascii="Book Antiqua" w:hAnsi="Book Antiqua"/>
          <w:i/>
          <w:sz w:val="18"/>
          <w:szCs w:val="18"/>
        </w:rPr>
        <w:t xml:space="preserve"> These emission lobes visible from our Galaxy’s core today (Left), were formed by the jets from the original quasar in a manner similar to the sketch on the right (Right).</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Fig</w:t>
      </w:r>
      <w:r>
        <w:rPr>
          <w:rFonts w:ascii="Book Antiqua" w:hAnsi="Book Antiqua"/>
          <w:sz w:val="20"/>
        </w:rPr>
        <w:t>ure</w:t>
      </w:r>
      <w:r w:rsidRPr="00370948">
        <w:rPr>
          <w:rFonts w:ascii="Book Antiqua" w:hAnsi="Book Antiqua"/>
          <w:sz w:val="20"/>
        </w:rPr>
        <w:t xml:space="preserve"> </w:t>
      </w:r>
      <w:r>
        <w:rPr>
          <w:rFonts w:ascii="Book Antiqua" w:hAnsi="Book Antiqua"/>
          <w:sz w:val="20"/>
        </w:rPr>
        <w:t>14</w:t>
      </w:r>
      <w:r w:rsidRPr="00370948">
        <w:rPr>
          <w:rFonts w:ascii="Book Antiqua" w:hAnsi="Book Antiqua"/>
          <w:sz w:val="20"/>
        </w:rPr>
        <w:t xml:space="preserve"> frame 5, shows a highly elliptical galaxy with hints of arms developing. The astronomical equivalents compared with the lab are shown in Fig</w:t>
      </w:r>
      <w:r>
        <w:rPr>
          <w:rFonts w:ascii="Book Antiqua" w:hAnsi="Book Antiqua"/>
          <w:sz w:val="20"/>
        </w:rPr>
        <w:t>ure</w:t>
      </w:r>
      <w:r w:rsidRPr="00370948">
        <w:rPr>
          <w:rFonts w:ascii="Book Antiqua" w:hAnsi="Book Antiqua"/>
          <w:sz w:val="20"/>
        </w:rPr>
        <w:t xml:space="preserve"> 1</w:t>
      </w:r>
      <w:r>
        <w:rPr>
          <w:rFonts w:ascii="Book Antiqua" w:hAnsi="Book Antiqua"/>
          <w:sz w:val="20"/>
        </w:rPr>
        <w:t>9</w:t>
      </w:r>
      <w:r w:rsidRPr="00370948">
        <w:rPr>
          <w:rFonts w:ascii="Book Antiqua" w:hAnsi="Book Antiqua"/>
          <w:sz w:val="20"/>
        </w:rPr>
        <w:t xml:space="preserve"> going </w:t>
      </w:r>
      <w:r>
        <w:rPr>
          <w:rFonts w:ascii="Book Antiqua" w:hAnsi="Book Antiqua"/>
          <w:sz w:val="20"/>
        </w:rPr>
        <w:t xml:space="preserve">from </w:t>
      </w:r>
      <w:r w:rsidRPr="00370948">
        <w:rPr>
          <w:rFonts w:ascii="Book Antiqua" w:hAnsi="Book Antiqua"/>
          <w:sz w:val="20"/>
        </w:rPr>
        <w:t>top to bottom,</w:t>
      </w:r>
      <w:r>
        <w:rPr>
          <w:rFonts w:ascii="Book Antiqua" w:hAnsi="Book Antiqua"/>
          <w:sz w:val="20"/>
        </w:rPr>
        <w:t xml:space="preserve"> comparing</w:t>
      </w:r>
      <w:r w:rsidRPr="00370948">
        <w:rPr>
          <w:rFonts w:ascii="Book Antiqua" w:hAnsi="Book Antiqua"/>
          <w:sz w:val="20"/>
        </w:rPr>
        <w:t xml:space="preserve"> two</w:t>
      </w:r>
      <w:r>
        <w:rPr>
          <w:rFonts w:ascii="Book Antiqua" w:hAnsi="Book Antiqua"/>
          <w:sz w:val="20"/>
        </w:rPr>
        <w:t xml:space="preserve"> vertical</w:t>
      </w:r>
      <w:r w:rsidRPr="00370948">
        <w:rPr>
          <w:rFonts w:ascii="Book Antiqua" w:hAnsi="Book Antiqua"/>
          <w:sz w:val="20"/>
        </w:rPr>
        <w:t xml:space="preserve"> panels at a time.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bottom row of the sequence in Fig. </w:t>
      </w:r>
      <w:r>
        <w:rPr>
          <w:rFonts w:ascii="Book Antiqua" w:hAnsi="Book Antiqua"/>
          <w:sz w:val="20"/>
        </w:rPr>
        <w:t>14</w:t>
      </w:r>
      <w:r w:rsidRPr="00370948">
        <w:rPr>
          <w:rFonts w:ascii="Book Antiqua" w:hAnsi="Book Antiqua"/>
          <w:sz w:val="20"/>
        </w:rPr>
        <w:t xml:space="preserve"> shows the development of various types of spiral galaxy. Here, the barred spirals are the first to form, following which the arms develop and lengthen (Fig</w:t>
      </w:r>
      <w:r>
        <w:rPr>
          <w:rFonts w:ascii="Book Antiqua" w:hAnsi="Book Antiqua"/>
          <w:sz w:val="20"/>
        </w:rPr>
        <w:t>ure</w:t>
      </w:r>
      <w:r w:rsidRPr="00370948">
        <w:rPr>
          <w:rFonts w:ascii="Book Antiqua" w:hAnsi="Book Antiqua"/>
          <w:sz w:val="20"/>
        </w:rPr>
        <w:t xml:space="preserve"> </w:t>
      </w:r>
      <w:r>
        <w:rPr>
          <w:rFonts w:ascii="Book Antiqua" w:hAnsi="Book Antiqua"/>
          <w:sz w:val="20"/>
        </w:rPr>
        <w:t>20</w:t>
      </w:r>
      <w:r w:rsidRPr="00370948">
        <w:rPr>
          <w:rFonts w:ascii="Book Antiqua" w:hAnsi="Book Antiqua"/>
          <w:sz w:val="20"/>
        </w:rPr>
        <w:t xml:space="preserve"> left).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Finally, the arms thin out as they wind more tightly around the somewhat elliptical core, and then form a “string of beads” appearance as the Z-pinch becomes active (Fig</w:t>
      </w:r>
      <w:r>
        <w:rPr>
          <w:rFonts w:ascii="Book Antiqua" w:hAnsi="Book Antiqua"/>
          <w:sz w:val="20"/>
        </w:rPr>
        <w:t>ure</w:t>
      </w:r>
      <w:r w:rsidRPr="00370948">
        <w:rPr>
          <w:rFonts w:ascii="Book Antiqua" w:hAnsi="Book Antiqua"/>
          <w:sz w:val="20"/>
        </w:rPr>
        <w:t xml:space="preserve"> </w:t>
      </w:r>
      <w:r>
        <w:rPr>
          <w:rFonts w:ascii="Book Antiqua" w:hAnsi="Book Antiqua"/>
          <w:sz w:val="20"/>
        </w:rPr>
        <w:t>20</w:t>
      </w:r>
      <w:r w:rsidRPr="00370948">
        <w:rPr>
          <w:rFonts w:ascii="Book Antiqua" w:hAnsi="Book Antiqua"/>
          <w:sz w:val="20"/>
        </w:rPr>
        <w:t xml:space="preserve"> right).</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191000" cy="2886075"/>
            <wp:effectExtent l="38100" t="57150" r="114300" b="104775"/>
            <wp:docPr id="108"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7" cstate="print"/>
                    <a:srcRect t="22195" r="916"/>
                    <a:stretch>
                      <a:fillRect/>
                    </a:stretch>
                  </pic:blipFill>
                  <pic:spPr bwMode="auto">
                    <a:xfrm>
                      <a:off x="0" y="0"/>
                      <a:ext cx="4190953" cy="28860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359B2" w:rsidRPr="00370948" w:rsidRDefault="005359B2" w:rsidP="005359B2">
      <w:pPr>
        <w:pStyle w:val="NoSpacing"/>
        <w:jc w:val="both"/>
        <w:rPr>
          <w:rFonts w:ascii="Book Antiqua" w:hAnsi="Book Antiqua"/>
          <w:sz w:val="18"/>
          <w:szCs w:val="18"/>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9</w:t>
      </w:r>
      <w:r w:rsidRPr="00841C44">
        <w:rPr>
          <w:rFonts w:ascii="Book Antiqua" w:hAnsi="Book Antiqua"/>
          <w:b/>
          <w:i/>
          <w:sz w:val="18"/>
          <w:szCs w:val="18"/>
        </w:rPr>
        <w:t>:</w:t>
      </w:r>
      <w:r w:rsidRPr="00841C44">
        <w:rPr>
          <w:rFonts w:ascii="Book Antiqua" w:hAnsi="Book Antiqua"/>
          <w:i/>
          <w:sz w:val="18"/>
          <w:szCs w:val="18"/>
        </w:rPr>
        <w:t xml:space="preserve"> Galaxy development in lab compared with actual examples. Lab results panels one and three; actual examples panels 2 and 4 Read from the top to the bottom frames.</w:t>
      </w:r>
    </w:p>
    <w:p w:rsidR="005359B2" w:rsidRPr="00370948" w:rsidRDefault="005359B2" w:rsidP="005359B2">
      <w:pPr>
        <w:pStyle w:val="NoSpacing"/>
        <w:jc w:val="both"/>
        <w:rPr>
          <w:rFonts w:ascii="Book Antiqua" w:hAnsi="Book Antiqua"/>
          <w:sz w:val="18"/>
          <w:szCs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496"/>
      </w:tblGrid>
      <w:tr w:rsidR="005359B2" w:rsidRPr="00370948" w:rsidTr="003442EA">
        <w:trPr>
          <w:trHeight w:val="2233"/>
        </w:trPr>
        <w:tc>
          <w:tcPr>
            <w:tcW w:w="3752"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3209925" cy="2219325"/>
                  <wp:effectExtent l="19050" t="0" r="9525" b="0"/>
                  <wp:docPr id="109" name="Picture 8" descr="A Beautiful Barred Spiral Galaxy. Credit: NASA, ESA, and The Hubble Heritage Team STScI/AURA)"/>
                  <wp:cNvGraphicFramePr/>
                  <a:graphic xmlns:a="http://schemas.openxmlformats.org/drawingml/2006/main">
                    <a:graphicData uri="http://schemas.openxmlformats.org/drawingml/2006/picture">
                      <pic:pic xmlns:pic="http://schemas.openxmlformats.org/drawingml/2006/picture">
                        <pic:nvPicPr>
                          <pic:cNvPr id="4" name="Picture 3" descr="A Beautiful Barred Spiral Galaxy. Credit: NASA, ESA, and The Hubble Heritage Team STScI/AURA)"/>
                          <pic:cNvPicPr/>
                        </pic:nvPicPr>
                        <pic:blipFill>
                          <a:blip r:embed="rId308" cstate="print"/>
                          <a:srcRect/>
                          <a:stretch>
                            <a:fillRect/>
                          </a:stretch>
                        </pic:blipFill>
                        <pic:spPr bwMode="auto">
                          <a:xfrm>
                            <a:off x="0" y="0"/>
                            <a:ext cx="3209925" cy="2219325"/>
                          </a:xfrm>
                          <a:prstGeom prst="rect">
                            <a:avLst/>
                          </a:prstGeom>
                          <a:noFill/>
                          <a:ln w="9525">
                            <a:noFill/>
                            <a:miter lim="800000"/>
                            <a:headEnd/>
                            <a:tailEnd/>
                          </a:ln>
                        </pic:spPr>
                      </pic:pic>
                    </a:graphicData>
                  </a:graphic>
                </wp:inline>
              </w:drawing>
            </w:r>
          </w:p>
        </w:tc>
        <w:tc>
          <w:tcPr>
            <w:tcW w:w="3363"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3328989" cy="2219325"/>
                  <wp:effectExtent l="19050" t="0" r="4761" b="0"/>
                  <wp:docPr id="110" name="il_fi" descr="http://www.nasa.gov/images/content/178491main_sig07-00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178491main_sig07-009-516.jpg"/>
                          <pic:cNvPicPr>
                            <a:picLocks noChangeAspect="1" noChangeArrowheads="1"/>
                          </pic:cNvPicPr>
                        </pic:nvPicPr>
                        <pic:blipFill>
                          <a:blip r:embed="rId309" cstate="print">
                            <a:lum contrast="20000"/>
                          </a:blip>
                          <a:srcRect/>
                          <a:stretch>
                            <a:fillRect/>
                          </a:stretch>
                        </pic:blipFill>
                        <pic:spPr bwMode="auto">
                          <a:xfrm>
                            <a:off x="0" y="0"/>
                            <a:ext cx="3328989" cy="221932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20"/>
        </w:rPr>
      </w:pPr>
    </w:p>
    <w:p w:rsidR="005359B2" w:rsidRDefault="005359B2" w:rsidP="0001612F">
      <w:pPr>
        <w:pStyle w:val="NoSpacing"/>
        <w:jc w:val="center"/>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20</w:t>
      </w:r>
      <w:r w:rsidRPr="00841C44">
        <w:rPr>
          <w:rFonts w:ascii="Book Antiqua" w:hAnsi="Book Antiqua"/>
          <w:b/>
          <w:i/>
          <w:sz w:val="18"/>
          <w:szCs w:val="18"/>
        </w:rPr>
        <w:t>: Left</w:t>
      </w:r>
      <w:r w:rsidRPr="00841C44">
        <w:rPr>
          <w:rFonts w:ascii="Book Antiqua" w:hAnsi="Book Antiqua"/>
          <w:i/>
          <w:sz w:val="18"/>
          <w:szCs w:val="18"/>
        </w:rPr>
        <w:t xml:space="preserve"> – barred spiral galaxy NGC 1300; </w:t>
      </w:r>
      <w:r w:rsidRPr="00841C44">
        <w:rPr>
          <w:rFonts w:ascii="Book Antiqua" w:hAnsi="Book Antiqua"/>
          <w:b/>
          <w:i/>
          <w:sz w:val="18"/>
          <w:szCs w:val="18"/>
        </w:rPr>
        <w:t>Right –</w:t>
      </w:r>
      <w:r w:rsidRPr="00841C44">
        <w:rPr>
          <w:rFonts w:ascii="Book Antiqua" w:hAnsi="Book Antiqua"/>
          <w:i/>
          <w:sz w:val="18"/>
          <w:szCs w:val="18"/>
        </w:rPr>
        <w:t xml:space="preserve"> M81 (composite).</w:t>
      </w:r>
    </w:p>
    <w:p w:rsidR="005359B2" w:rsidRPr="00841C44" w:rsidRDefault="005359B2" w:rsidP="005359B2">
      <w:pPr>
        <w:pStyle w:val="NoSpacing"/>
        <w:rPr>
          <w:rFonts w:ascii="Book Antiqua" w:hAnsi="Book Antiqua"/>
          <w:i/>
          <w:sz w:val="18"/>
          <w:szCs w:val="18"/>
        </w:rPr>
      </w:pPr>
    </w:p>
    <w:p w:rsidR="005359B2" w:rsidRPr="00370948" w:rsidRDefault="005359B2" w:rsidP="005359B2">
      <w:pPr>
        <w:pStyle w:val="NoSpacing"/>
        <w:ind w:left="720"/>
        <w:jc w:val="both"/>
        <w:rPr>
          <w:rFonts w:ascii="Book Antiqua" w:hAnsi="Book Antiqua"/>
          <w:b/>
          <w:sz w:val="20"/>
        </w:rPr>
      </w:pPr>
    </w:p>
    <w:p w:rsidR="005359B2" w:rsidRPr="000F4A13" w:rsidRDefault="005359B2" w:rsidP="005359B2">
      <w:pPr>
        <w:pStyle w:val="NoSpacing"/>
        <w:jc w:val="both"/>
        <w:rPr>
          <w:rFonts w:ascii="Book Antiqua" w:hAnsi="Book Antiqua"/>
          <w:b/>
          <w:sz w:val="20"/>
        </w:rPr>
      </w:pPr>
      <w:r>
        <w:rPr>
          <w:rFonts w:ascii="Book Antiqua" w:hAnsi="Book Antiqua"/>
          <w:b/>
          <w:sz w:val="20"/>
        </w:rPr>
        <w:t xml:space="preserve">6.   </w:t>
      </w:r>
      <w:r w:rsidRPr="000F4A13">
        <w:rPr>
          <w:rFonts w:ascii="Book Antiqua" w:hAnsi="Book Antiqua"/>
          <w:b/>
          <w:sz w:val="20"/>
        </w:rPr>
        <w:t>Galaxy Rotation And “Missing Mass.”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 xml:space="preserve">Plasma physics also solves a problem regarding galaxy behavior. </w:t>
      </w:r>
      <w:r w:rsidRPr="00370948">
        <w:rPr>
          <w:rFonts w:ascii="Book Antiqua" w:hAnsi="Book Antiqua"/>
          <w:sz w:val="20"/>
        </w:rPr>
        <w:t xml:space="preserve">For decades, astronomers have puzzled about the fact that the speed of rotation of the outer arms of the galaxies was the same as the speed of rotation nearer the center.  This produced, on graphs, a flat rotation curve, as shown in Figure </w:t>
      </w:r>
      <w:r>
        <w:rPr>
          <w:rFonts w:ascii="Book Antiqua" w:hAnsi="Book Antiqua"/>
          <w:sz w:val="20"/>
        </w:rPr>
        <w:t>2</w:t>
      </w:r>
      <w:r w:rsidRPr="00370948">
        <w:rPr>
          <w:rFonts w:ascii="Book Antiqua" w:hAnsi="Book Antiqua"/>
          <w:sz w:val="20"/>
        </w:rPr>
        <w:t xml:space="preserve">1. Work with plasma filaments answers this problem, showing exactly how these speeds are formed and maintained.  The flat rotation curves were first noticed in the mid </w:t>
      </w:r>
      <w:r w:rsidRPr="00370948">
        <w:rPr>
          <w:rFonts w:ascii="Book Antiqua" w:hAnsi="Book Antiqua"/>
          <w:sz w:val="20"/>
        </w:rPr>
        <w:lastRenderedPageBreak/>
        <w:t xml:space="preserve">1970’s, and, in 1983, Vera Rubin noted that the rotational velocity of many galaxies is constant out to the edges of those galaxies [68]. The rotational velocity of stars appeared the same at all distances from the galactic centers, except for the galactic nuclei themselves. The gravitational force seen in the galaxies </w:t>
      </w:r>
      <w:r>
        <w:rPr>
          <w:rFonts w:ascii="Book Antiqua" w:hAnsi="Book Antiqua"/>
          <w:sz w:val="20"/>
        </w:rPr>
        <w:t>is</w:t>
      </w:r>
      <w:r w:rsidRPr="00370948">
        <w:rPr>
          <w:rFonts w:ascii="Book Antiqua" w:hAnsi="Book Antiqua"/>
          <w:sz w:val="20"/>
        </w:rPr>
        <w:t xml:space="preserve"> not nearly enough to </w:t>
      </w:r>
      <w:r>
        <w:rPr>
          <w:rFonts w:ascii="Book Antiqua" w:hAnsi="Book Antiqua"/>
          <w:sz w:val="20"/>
        </w:rPr>
        <w:t>cause</w:t>
      </w:r>
      <w:r w:rsidRPr="00370948">
        <w:rPr>
          <w:rFonts w:ascii="Book Antiqua" w:hAnsi="Book Antiqua"/>
          <w:sz w:val="20"/>
        </w:rPr>
        <w:t xml:space="preserve"> these outer speeds, and so, to preserve the gravitational model, “missing mass” was </w:t>
      </w:r>
      <w:r>
        <w:rPr>
          <w:rFonts w:ascii="Book Antiqua" w:hAnsi="Book Antiqua"/>
          <w:sz w:val="20"/>
        </w:rPr>
        <w:t>postulated</w:t>
      </w:r>
      <w:r w:rsidRPr="002B78BA">
        <w:rPr>
          <w:rFonts w:ascii="Book Antiqua" w:hAnsi="Book Antiqua"/>
          <w:sz w:val="20"/>
        </w:rPr>
        <w:t>.</w:t>
      </w:r>
      <w:r w:rsidRPr="00370948">
        <w:rPr>
          <w:rFonts w:ascii="Book Antiqua" w:hAnsi="Book Antiqua"/>
          <w:sz w:val="20"/>
        </w:rPr>
        <w:t xml:space="preserve">  A typical</w:t>
      </w:r>
      <w:r>
        <w:rPr>
          <w:rFonts w:ascii="Book Antiqua" w:hAnsi="Book Antiqua"/>
          <w:sz w:val="20"/>
        </w:rPr>
        <w:t>ly</w:t>
      </w:r>
      <w:r w:rsidRPr="00370948">
        <w:rPr>
          <w:rFonts w:ascii="Book Antiqua" w:hAnsi="Book Antiqua"/>
          <w:sz w:val="20"/>
        </w:rPr>
        <w:t xml:space="preserve"> </w:t>
      </w:r>
      <w:r>
        <w:rPr>
          <w:rFonts w:ascii="Book Antiqua" w:hAnsi="Book Antiqua"/>
          <w:sz w:val="20"/>
        </w:rPr>
        <w:t xml:space="preserve">observed </w:t>
      </w:r>
      <w:r w:rsidRPr="00370948">
        <w:rPr>
          <w:rFonts w:ascii="Book Antiqua" w:hAnsi="Book Antiqua"/>
          <w:sz w:val="20"/>
        </w:rPr>
        <w:t xml:space="preserve">curve is </w:t>
      </w:r>
      <w:r>
        <w:rPr>
          <w:rFonts w:ascii="Book Antiqua" w:hAnsi="Book Antiqua"/>
          <w:sz w:val="20"/>
        </w:rPr>
        <w:t>in</w:t>
      </w:r>
      <w:r w:rsidRPr="00370948">
        <w:rPr>
          <w:rFonts w:ascii="Book Antiqua" w:hAnsi="Book Antiqua"/>
          <w:sz w:val="20"/>
        </w:rPr>
        <w:t xml:space="preserve"> Figure </w:t>
      </w:r>
      <w:r>
        <w:rPr>
          <w:rFonts w:ascii="Book Antiqua" w:hAnsi="Book Antiqua"/>
          <w:sz w:val="20"/>
        </w:rPr>
        <w:t>2</w:t>
      </w:r>
      <w:r w:rsidRPr="00370948">
        <w:rPr>
          <w:rFonts w:ascii="Book Antiqua" w:hAnsi="Book Antiqua"/>
          <w:sz w:val="20"/>
        </w:rPr>
        <w:t>1.</w:t>
      </w:r>
    </w:p>
    <w:p w:rsidR="005359B2" w:rsidRPr="00370948" w:rsidRDefault="005359B2" w:rsidP="005359B2">
      <w:pPr>
        <w:pStyle w:val="NormalWeb"/>
        <w:jc w:val="center"/>
        <w:rPr>
          <w:rFonts w:ascii="Book Antiqua" w:hAnsi="Book Antiqua"/>
          <w:sz w:val="20"/>
          <w:szCs w:val="20"/>
        </w:rPr>
      </w:pPr>
      <w:r w:rsidRPr="00370948">
        <w:rPr>
          <w:rFonts w:ascii="Book Antiqua" w:hAnsi="Book Antiqua"/>
          <w:noProof/>
          <w:sz w:val="20"/>
          <w:szCs w:val="20"/>
        </w:rPr>
        <w:drawing>
          <wp:inline distT="0" distB="0" distL="0" distR="0">
            <wp:extent cx="4909401" cy="2512679"/>
            <wp:effectExtent l="19050" t="0" r="5499" b="0"/>
            <wp:docPr id="122" name="il_fi" descr="http://large.stanford.edu/courses/2007/ph210/sugarbaker2/images/f1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rge.stanford.edu/courses/2007/ph210/sugarbaker2/images/f1big.gif"/>
                    <pic:cNvPicPr>
                      <a:picLocks noChangeAspect="1" noChangeArrowheads="1"/>
                    </pic:cNvPicPr>
                  </pic:nvPicPr>
                  <pic:blipFill>
                    <a:blip r:embed="rId310" cstate="print"/>
                    <a:srcRect/>
                    <a:stretch>
                      <a:fillRect/>
                    </a:stretch>
                  </pic:blipFill>
                  <pic:spPr bwMode="auto">
                    <a:xfrm>
                      <a:off x="0" y="0"/>
                      <a:ext cx="4915944" cy="2516028"/>
                    </a:xfrm>
                    <a:prstGeom prst="rect">
                      <a:avLst/>
                    </a:prstGeom>
                    <a:noFill/>
                    <a:ln w="9525">
                      <a:noFill/>
                      <a:miter lim="800000"/>
                      <a:headEnd/>
                      <a:tailEnd/>
                    </a:ln>
                  </pic:spPr>
                </pic:pic>
              </a:graphicData>
            </a:graphic>
          </wp:inline>
        </w:drawing>
      </w: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2</w:t>
      </w:r>
      <w:r w:rsidRPr="00841C44">
        <w:rPr>
          <w:rFonts w:ascii="Book Antiqua" w:hAnsi="Book Antiqua"/>
          <w:b/>
          <w:i/>
          <w:sz w:val="18"/>
          <w:szCs w:val="18"/>
        </w:rPr>
        <w:t>1:</w:t>
      </w:r>
      <w:r w:rsidRPr="00841C44">
        <w:rPr>
          <w:rFonts w:ascii="Book Antiqua" w:hAnsi="Book Antiqua"/>
          <w:i/>
          <w:sz w:val="18"/>
          <w:szCs w:val="18"/>
        </w:rPr>
        <w:t xml:space="preserve"> Rotation curves of a typical galaxy. Actual rotational velocities of the stars (observed) are the black line. Velocities that would be expected from the estimated mass of the visible matter in the galaxy and gravitational theory are the blue-gray (Keplerian) line.</w:t>
      </w:r>
    </w:p>
    <w:p w:rsidR="005359B2" w:rsidRDefault="005359B2" w:rsidP="005359B2">
      <w:pPr>
        <w:pStyle w:val="NoSpacing"/>
        <w:rPr>
          <w:rFonts w:ascii="Book Antiqua" w:hAnsi="Book Antiqua"/>
          <w:sz w:val="18"/>
          <w:szCs w:val="18"/>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Milgrom suggested our theories of gravity were incomplete and advanced a Modified Newtonian Dynamics (MOND) approach.  He added an extra term to the mathematical equations involved.  It produced good agreement with data since its introduction in 1983 [69]. However, the lack of a physical mechanism for this theory has been a major drawback to its general acceptance.  As a result, an alternative approach was pursued. </w:t>
      </w:r>
    </w:p>
    <w:p w:rsidR="005359B2" w:rsidRPr="00370948"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This alternative approach claimed that rotation curves could be accounted for only if masses in the galaxies increased linearly with distance from their centers. But this is not what we see -- the mass distribution indicated by </w:t>
      </w:r>
      <w:r w:rsidRPr="002B78BA">
        <w:rPr>
          <w:rFonts w:ascii="Book Antiqua" w:hAnsi="Book Antiqua"/>
          <w:sz w:val="20"/>
          <w:szCs w:val="20"/>
        </w:rPr>
        <w:t>luminous matter does</w:t>
      </w:r>
      <w:r w:rsidRPr="00370948">
        <w:rPr>
          <w:rFonts w:ascii="Book Antiqua" w:hAnsi="Book Antiqua"/>
          <w:sz w:val="20"/>
          <w:szCs w:val="20"/>
        </w:rPr>
        <w:t xml:space="preserve"> not do this. In order to achieve the required increase in mass with distance from galaxy centers, astronomers had to postulate that there must be an immense amount of “missing mass” or “dark matter” in a halo around each galaxy. This was the only way standard gravitational physics could produce the observed result.   The missing mass, however, has never been found, even though its necessity in gravitational physics demands it be there.</w:t>
      </w:r>
    </w:p>
    <w:p w:rsidR="005359B2"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Peratt’s experiments with plasma dismiss the necessity of dark matter altogether by showing that the rotation rates of spiral arms in galaxies are indeed “flat.” Figure </w:t>
      </w:r>
      <w:r>
        <w:rPr>
          <w:rFonts w:ascii="Book Antiqua" w:hAnsi="Book Antiqua"/>
          <w:sz w:val="20"/>
          <w:szCs w:val="20"/>
        </w:rPr>
        <w:t>22</w:t>
      </w:r>
      <w:r w:rsidRPr="00370948">
        <w:rPr>
          <w:rFonts w:ascii="Book Antiqua" w:hAnsi="Book Antiqua"/>
          <w:sz w:val="20"/>
          <w:szCs w:val="20"/>
        </w:rPr>
        <w:t xml:space="preserve"> illustrates the observed curve for the galaxy NGC 2998 and compares it with a typical curve from the experiments and simulations.  </w:t>
      </w:r>
    </w:p>
    <w:p w:rsidR="005359B2"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The flat rotation curves occur because of the strength of the Birkeland currents in the filaments control the speed, and gravity has nothing to do with it </w:t>
      </w:r>
      <w:hyperlink r:id="rId311" w:anchor="6a221" w:history="1">
        <w:r w:rsidRPr="00370948">
          <w:rPr>
            <w:rStyle w:val="Hyperlink"/>
            <w:rFonts w:ascii="Book Antiqua" w:hAnsi="Book Antiqua"/>
            <w:sz w:val="20"/>
            <w:szCs w:val="20"/>
          </w:rPr>
          <w:t>[38]</w:t>
        </w:r>
      </w:hyperlink>
      <w:r w:rsidRPr="00370948">
        <w:rPr>
          <w:rFonts w:ascii="Book Antiqua" w:hAnsi="Book Antiqua"/>
          <w:sz w:val="20"/>
          <w:szCs w:val="20"/>
        </w:rPr>
        <w:t>. The animated versions of the experimental photographs reveal this clearly. If the current strength drops off, so, too, does the rotation rate of the spiral arms about the galaxy center. There is no dependence of gravity. Rather, it has everything to do with plasma physics, electric currents and the way they cause interacting plasma filaments to form galaxies. Thus when the Birkeland current strength is greater, the whole galaxy rotation rate is faster. This is in accord with the Doppler data when an increasing ZPE strength is considered as is fully discussed in Appendix C. A related matter concerns Pulsar periods, discussed in Appendix D in a plasma context.</w:t>
      </w:r>
    </w:p>
    <w:p w:rsidR="005359B2" w:rsidRPr="00370948" w:rsidRDefault="005359B2" w:rsidP="005359B2">
      <w:pPr>
        <w:pStyle w:val="NormalWeb"/>
        <w:ind w:firstLine="720"/>
        <w:jc w:val="both"/>
        <w:rPr>
          <w:rFonts w:ascii="Book Antiqua" w:hAnsi="Book Antiqua"/>
          <w:sz w:val="20"/>
          <w:szCs w:val="20"/>
        </w:rPr>
      </w:pPr>
    </w:p>
    <w:p w:rsidR="005359B2" w:rsidRPr="00370948" w:rsidRDefault="005359B2" w:rsidP="005359B2">
      <w:pPr>
        <w:pStyle w:val="NormalWeb"/>
        <w:jc w:val="center"/>
        <w:rPr>
          <w:rFonts w:ascii="Book Antiqua" w:hAnsi="Book Antiqua"/>
          <w:sz w:val="20"/>
          <w:szCs w:val="20"/>
        </w:rPr>
      </w:pPr>
      <w:r w:rsidRPr="00370948">
        <w:rPr>
          <w:rFonts w:ascii="Book Antiqua" w:hAnsi="Book Antiqua"/>
          <w:noProof/>
          <w:sz w:val="20"/>
          <w:szCs w:val="20"/>
        </w:rPr>
        <w:lastRenderedPageBreak/>
        <w:drawing>
          <wp:inline distT="0" distB="0" distL="0" distR="0">
            <wp:extent cx="3646603" cy="3362325"/>
            <wp:effectExtent l="19050" t="0" r="0" b="0"/>
            <wp:docPr id="130" name="il_fi" descr="http://www.holoscience.com/news/img/Galactic%20ro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loscience.com/news/img/Galactic%20rotation.jpg"/>
                    <pic:cNvPicPr>
                      <a:picLocks noChangeAspect="1" noChangeArrowheads="1"/>
                    </pic:cNvPicPr>
                  </pic:nvPicPr>
                  <pic:blipFill>
                    <a:blip r:embed="rId312" cstate="print">
                      <a:lum contrast="40000"/>
                    </a:blip>
                    <a:srcRect/>
                    <a:stretch>
                      <a:fillRect/>
                    </a:stretch>
                  </pic:blipFill>
                  <pic:spPr bwMode="auto">
                    <a:xfrm>
                      <a:off x="0" y="0"/>
                      <a:ext cx="3652685" cy="3367932"/>
                    </a:xfrm>
                    <a:prstGeom prst="rect">
                      <a:avLst/>
                    </a:prstGeom>
                    <a:noFill/>
                    <a:ln w="9525">
                      <a:noFill/>
                      <a:miter lim="800000"/>
                      <a:headEnd/>
                      <a:tailEnd/>
                    </a:ln>
                  </pic:spPr>
                </pic:pic>
              </a:graphicData>
            </a:graphic>
          </wp:inline>
        </w:drawing>
      </w:r>
    </w:p>
    <w:p w:rsidR="005359B2" w:rsidRPr="00841C44" w:rsidRDefault="005359B2" w:rsidP="005359B2">
      <w:pPr>
        <w:pStyle w:val="NoSpacing"/>
        <w:rPr>
          <w:rFonts w:ascii="Book Antiqua" w:hAnsi="Book Antiqua"/>
          <w:i/>
          <w:sz w:val="18"/>
          <w:szCs w:val="18"/>
        </w:rPr>
      </w:pPr>
      <w:r w:rsidRPr="008255D7">
        <w:rPr>
          <w:rFonts w:ascii="Book Antiqua" w:hAnsi="Book Antiqua"/>
          <w:b/>
          <w:i/>
          <w:sz w:val="18"/>
          <w:szCs w:val="18"/>
        </w:rPr>
        <w:t xml:space="preserve">Figure </w:t>
      </w:r>
      <w:r>
        <w:rPr>
          <w:rFonts w:ascii="Book Antiqua" w:hAnsi="Book Antiqua"/>
          <w:b/>
          <w:i/>
          <w:sz w:val="18"/>
          <w:szCs w:val="18"/>
        </w:rPr>
        <w:t>22</w:t>
      </w:r>
      <w:r w:rsidRPr="008255D7">
        <w:rPr>
          <w:rFonts w:ascii="Book Antiqua" w:hAnsi="Book Antiqua"/>
          <w:b/>
          <w:i/>
          <w:sz w:val="18"/>
          <w:szCs w:val="18"/>
        </w:rPr>
        <w:t>:</w:t>
      </w:r>
      <w:r w:rsidRPr="00841C44">
        <w:rPr>
          <w:rFonts w:ascii="Book Antiqua" w:hAnsi="Book Antiqua"/>
          <w:i/>
          <w:sz w:val="18"/>
          <w:szCs w:val="18"/>
        </w:rPr>
        <w:t xml:space="preserve"> Rotation curve of galaxy NGC2998 compared with typical experimental simulation. The graphs differ from Figure </w:t>
      </w:r>
      <w:r>
        <w:rPr>
          <w:rFonts w:ascii="Book Antiqua" w:hAnsi="Book Antiqua"/>
          <w:i/>
          <w:sz w:val="18"/>
          <w:szCs w:val="18"/>
        </w:rPr>
        <w:t>2</w:t>
      </w:r>
      <w:r w:rsidRPr="00841C44">
        <w:rPr>
          <w:rFonts w:ascii="Book Antiqua" w:hAnsi="Book Antiqua"/>
          <w:i/>
          <w:sz w:val="18"/>
          <w:szCs w:val="18"/>
        </w:rPr>
        <w:t>1 only in that a diameter line is taken through the center of the galaxy (given by the intersection of the vertical and horizontal lines through zero), instead of a radius as in Fig</w:t>
      </w:r>
      <w:r>
        <w:rPr>
          <w:rFonts w:ascii="Book Antiqua" w:hAnsi="Book Antiqua"/>
          <w:i/>
          <w:sz w:val="18"/>
          <w:szCs w:val="18"/>
        </w:rPr>
        <w:t>ure</w:t>
      </w:r>
      <w:r w:rsidRPr="00841C44">
        <w:rPr>
          <w:rFonts w:ascii="Book Antiqua" w:hAnsi="Book Antiqua"/>
          <w:i/>
          <w:sz w:val="18"/>
          <w:szCs w:val="18"/>
        </w:rPr>
        <w:t xml:space="preserve"> </w:t>
      </w:r>
      <w:r>
        <w:rPr>
          <w:rFonts w:ascii="Book Antiqua" w:hAnsi="Book Antiqua"/>
          <w:i/>
          <w:sz w:val="18"/>
          <w:szCs w:val="18"/>
        </w:rPr>
        <w:t>2</w:t>
      </w:r>
      <w:r w:rsidRPr="00841C44">
        <w:rPr>
          <w:rFonts w:ascii="Book Antiqua" w:hAnsi="Book Antiqua"/>
          <w:i/>
          <w:sz w:val="18"/>
          <w:szCs w:val="18"/>
        </w:rPr>
        <w:t>1</w:t>
      </w:r>
      <w:r>
        <w:rPr>
          <w:rFonts w:ascii="Book Antiqua" w:hAnsi="Book Antiqua"/>
          <w:i/>
          <w:sz w:val="18"/>
          <w:szCs w:val="18"/>
        </w:rPr>
        <w:t>.</w:t>
      </w:r>
      <w:r w:rsidRPr="00841C44">
        <w:rPr>
          <w:rFonts w:ascii="Book Antiqua" w:hAnsi="Book Antiqua"/>
          <w:i/>
          <w:sz w:val="18"/>
          <w:szCs w:val="18"/>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plasma filaments behave the same way regardless of size, all these processes can be timed in the laboratory and up-scaled to observed galactic dimensions. </w:t>
      </w:r>
      <w:r>
        <w:rPr>
          <w:rFonts w:ascii="Book Antiqua" w:hAnsi="Book Antiqua"/>
          <w:sz w:val="20"/>
        </w:rPr>
        <w:t>With</w:t>
      </w:r>
      <w:r w:rsidRPr="00370948">
        <w:rPr>
          <w:rFonts w:ascii="Book Antiqua" w:hAnsi="Book Antiqua"/>
          <w:sz w:val="20"/>
        </w:rPr>
        <w:t xml:space="preserve"> lower ZPE values and stronger electric currents, galaxy rotation rates would have been systematically higher in the past, or the further out into space we look. This is also in accord with Doppler shift data, as discussed in Appendix C. Put together, this gives strong evidence that in the early days of our universe, galaxy formation rates would have been much faster, </w:t>
      </w:r>
      <w:r>
        <w:rPr>
          <w:rFonts w:ascii="Book Antiqua" w:hAnsi="Book Antiqua"/>
          <w:sz w:val="20"/>
        </w:rPr>
        <w:t>since</w:t>
      </w:r>
      <w:r w:rsidRPr="00370948">
        <w:rPr>
          <w:rFonts w:ascii="Book Antiqua" w:hAnsi="Book Antiqua"/>
          <w:sz w:val="20"/>
        </w:rPr>
        <w:t xml:space="preserve"> the velocity of the approach and interaction of the filaments would have been correspondingly more rapid. </w:t>
      </w:r>
    </w:p>
    <w:p w:rsidR="005359B2" w:rsidRPr="00370948" w:rsidRDefault="005359B2" w:rsidP="005359B2">
      <w:pPr>
        <w:pStyle w:val="NoSpacing"/>
        <w:jc w:val="both"/>
        <w:rPr>
          <w:rFonts w:ascii="Book Antiqua" w:hAnsi="Book Antiqua"/>
          <w:i/>
          <w:sz w:val="20"/>
        </w:rPr>
      </w:pPr>
    </w:p>
    <w:p w:rsidR="005359B2" w:rsidRPr="000F4A13" w:rsidRDefault="005359B2" w:rsidP="005359B2">
      <w:pPr>
        <w:pStyle w:val="NoSpacing"/>
        <w:rPr>
          <w:rFonts w:ascii="Book Antiqua" w:hAnsi="Book Antiqua"/>
          <w:b/>
          <w:bCs/>
          <w:iCs/>
          <w:color w:val="000000"/>
          <w:sz w:val="20"/>
        </w:rPr>
      </w:pPr>
      <w:r w:rsidRPr="000F4A13">
        <w:rPr>
          <w:rFonts w:ascii="Book Antiqua" w:hAnsi="Book Antiqua"/>
          <w:b/>
          <w:bCs/>
          <w:iCs/>
          <w:color w:val="000000"/>
          <w:sz w:val="20"/>
        </w:rPr>
        <w:t>7. The Formation Of Stars.</w:t>
      </w:r>
    </w:p>
    <w:p w:rsidR="005359B2" w:rsidRPr="00370948" w:rsidRDefault="005359B2" w:rsidP="005359B2">
      <w:pPr>
        <w:pStyle w:val="NoSpacing"/>
        <w:rPr>
          <w:rFonts w:ascii="Book Antiqua" w:hAnsi="Book Antiqua"/>
          <w:b/>
          <w:bCs/>
          <w:iCs/>
          <w:color w:val="000000"/>
          <w:sz w:val="20"/>
        </w:rPr>
      </w:pPr>
    </w:p>
    <w:p w:rsidR="005359B2" w:rsidRDefault="005359B2" w:rsidP="005359B2">
      <w:pPr>
        <w:pStyle w:val="NoSpacing"/>
        <w:jc w:val="both"/>
        <w:rPr>
          <w:rFonts w:ascii="Book Antiqua" w:hAnsi="Book Antiqua"/>
          <w:bCs/>
          <w:iCs/>
          <w:color w:val="000000"/>
          <w:sz w:val="20"/>
        </w:rPr>
      </w:pPr>
      <w:r w:rsidRPr="00370948">
        <w:rPr>
          <w:rFonts w:ascii="Book Antiqua" w:hAnsi="Book Antiqua"/>
          <w:b/>
          <w:bCs/>
          <w:iCs/>
          <w:color w:val="000000"/>
          <w:sz w:val="20"/>
        </w:rPr>
        <w:tab/>
      </w:r>
      <w:r w:rsidRPr="00370948">
        <w:rPr>
          <w:rFonts w:ascii="Book Antiqua" w:hAnsi="Book Antiqua"/>
          <w:bCs/>
          <w:iCs/>
          <w:color w:val="000000"/>
          <w:sz w:val="20"/>
        </w:rPr>
        <w:t xml:space="preserve">Star formation in the gravitational model and the plasma model </w:t>
      </w:r>
      <w:r>
        <w:rPr>
          <w:rFonts w:ascii="Book Antiqua" w:hAnsi="Book Antiqua"/>
          <w:bCs/>
          <w:iCs/>
          <w:color w:val="000000"/>
          <w:sz w:val="20"/>
        </w:rPr>
        <w:t>are very different</w:t>
      </w:r>
      <w:r w:rsidRPr="00370948">
        <w:rPr>
          <w:rFonts w:ascii="Book Antiqua" w:hAnsi="Book Antiqua"/>
          <w:bCs/>
          <w:iCs/>
          <w:color w:val="000000"/>
          <w:sz w:val="20"/>
        </w:rPr>
        <w:t>.  The gravitational model sees the universe starting with only hydrogen and helium and perhaps a trace amount of lithium and beryllium.  Hydrogen clouds are later seen to collapse under their own gravitational pull, eventually condensing to form showers of stars.  These original stars had to be massive so that the nuclear burning in their interiors would form other elements, as Hoyle and others proposed.  These stars would then explode, scattering the elements into the surrounding space, followed by a second generation of stars which had higher concentrations of these elements.</w:t>
      </w:r>
      <w:r>
        <w:rPr>
          <w:rFonts w:ascii="Book Antiqua" w:hAnsi="Book Antiqua"/>
          <w:bCs/>
          <w:iCs/>
          <w:color w:val="000000"/>
          <w:sz w:val="20"/>
        </w:rPr>
        <w:t xml:space="preserve"> </w:t>
      </w:r>
      <w:r w:rsidRPr="00370948">
        <w:rPr>
          <w:rFonts w:ascii="Book Antiqua" w:hAnsi="Book Antiqua"/>
          <w:bCs/>
          <w:iCs/>
          <w:color w:val="000000"/>
          <w:sz w:val="20"/>
        </w:rPr>
        <w:t>There are some problems with the gravitational model which have yet to be resolved.</w:t>
      </w:r>
    </w:p>
    <w:p w:rsidR="005359B2" w:rsidRPr="00370948" w:rsidRDefault="005359B2" w:rsidP="005359B2">
      <w:pPr>
        <w:pStyle w:val="NoSpacing"/>
        <w:jc w:val="both"/>
        <w:rPr>
          <w:rFonts w:ascii="Book Antiqua" w:hAnsi="Book Antiqua"/>
          <w:bCs/>
          <w:iCs/>
          <w:color w:val="000000"/>
          <w:sz w:val="20"/>
        </w:rPr>
      </w:pPr>
    </w:p>
    <w:p w:rsidR="005359B2" w:rsidRPr="00370948" w:rsidRDefault="005359B2" w:rsidP="005359B2">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As a gas cloud contracts, it heats up.  This heating re-expands the cloud.</w:t>
      </w:r>
    </w:p>
    <w:p w:rsidR="005359B2" w:rsidRPr="00370948" w:rsidRDefault="005359B2" w:rsidP="005359B2">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The proposed method whereby this is overcome is to have molecules of other elements</w:t>
      </w:r>
      <w:r>
        <w:rPr>
          <w:rFonts w:ascii="Book Antiqua" w:hAnsi="Book Antiqua"/>
          <w:bCs/>
          <w:iCs/>
          <w:color w:val="000000"/>
          <w:sz w:val="20"/>
        </w:rPr>
        <w:t xml:space="preserve">, mainly carbon monoxide, CO, </w:t>
      </w:r>
      <w:r w:rsidRPr="00370948">
        <w:rPr>
          <w:rFonts w:ascii="Book Antiqua" w:hAnsi="Book Antiqua"/>
          <w:bCs/>
          <w:iCs/>
          <w:color w:val="000000"/>
          <w:sz w:val="20"/>
        </w:rPr>
        <w:t>radiating in the infrared, so that the heat is removed from the hydrogen clouds and they can collapse.  However, these other elements cannot be formed until after the first generation of stars has produced them.</w:t>
      </w:r>
      <w:r>
        <w:rPr>
          <w:rFonts w:ascii="Book Antiqua" w:hAnsi="Book Antiqua"/>
          <w:bCs/>
          <w:iCs/>
          <w:color w:val="000000"/>
          <w:sz w:val="20"/>
        </w:rPr>
        <w:t xml:space="preserve"> The problem is to form the first generation stars to get the process started, as we need stars before we can form a star.</w:t>
      </w:r>
    </w:p>
    <w:p w:rsidR="005359B2" w:rsidRPr="00370948" w:rsidRDefault="005359B2" w:rsidP="005359B2">
      <w:pPr>
        <w:pStyle w:val="NoSpacing"/>
        <w:numPr>
          <w:ilvl w:val="0"/>
          <w:numId w:val="32"/>
        </w:numPr>
        <w:jc w:val="both"/>
        <w:rPr>
          <w:rFonts w:ascii="Book Antiqua" w:hAnsi="Book Antiqua"/>
          <w:bCs/>
          <w:iCs/>
          <w:sz w:val="20"/>
        </w:rPr>
      </w:pPr>
      <w:r w:rsidRPr="00370948">
        <w:rPr>
          <w:rFonts w:ascii="Book Antiqua" w:hAnsi="Book Antiqua"/>
          <w:bCs/>
          <w:iCs/>
          <w:color w:val="000000"/>
          <w:sz w:val="20"/>
        </w:rPr>
        <w:t xml:space="preserve">The angular momentum of the hydrogen cloud </w:t>
      </w:r>
      <w:r w:rsidRPr="00370948">
        <w:rPr>
          <w:rFonts w:ascii="Book Antiqua" w:hAnsi="Book Antiqua"/>
          <w:bCs/>
          <w:iCs/>
          <w:sz w:val="20"/>
        </w:rPr>
        <w:t>tends to spin the cloud so much faster as it contracts that the result would be disruption, not condensation.</w:t>
      </w:r>
    </w:p>
    <w:p w:rsidR="005359B2" w:rsidRPr="00370948" w:rsidRDefault="005359B2" w:rsidP="005359B2">
      <w:pPr>
        <w:pStyle w:val="NoSpacing"/>
        <w:numPr>
          <w:ilvl w:val="0"/>
          <w:numId w:val="32"/>
        </w:numPr>
        <w:jc w:val="both"/>
        <w:rPr>
          <w:rFonts w:ascii="Book Antiqua" w:hAnsi="Book Antiqua"/>
          <w:bCs/>
          <w:iCs/>
          <w:sz w:val="20"/>
        </w:rPr>
      </w:pPr>
      <w:r w:rsidRPr="00370948">
        <w:rPr>
          <w:rFonts w:ascii="Book Antiqua" w:hAnsi="Book Antiqua"/>
          <w:bCs/>
          <w:iCs/>
          <w:sz w:val="20"/>
        </w:rPr>
        <w:lastRenderedPageBreak/>
        <w:t xml:space="preserve">As James Trefil points out in </w:t>
      </w:r>
      <w:r w:rsidRPr="00370948">
        <w:rPr>
          <w:rFonts w:ascii="Book Antiqua" w:hAnsi="Book Antiqua"/>
          <w:b/>
          <w:bCs/>
          <w:iCs/>
          <w:sz w:val="20"/>
        </w:rPr>
        <w:t>The Dark Side of the Universe</w:t>
      </w:r>
      <w:r w:rsidRPr="00370948">
        <w:rPr>
          <w:rFonts w:ascii="Book Antiqua" w:hAnsi="Book Antiqua"/>
          <w:bCs/>
          <w:iCs/>
          <w:sz w:val="20"/>
        </w:rPr>
        <w:t xml:space="preserve">, [59]:  </w:t>
      </w:r>
      <w:r w:rsidRPr="00370948">
        <w:rPr>
          <w:rFonts w:ascii="Book Antiqua" w:hAnsi="Book Antiqua"/>
          <w:bCs/>
          <w:i/>
          <w:iCs/>
          <w:sz w:val="20"/>
        </w:rPr>
        <w:t>“So the problem of galaxy formation can be stated as follows:  galaxies cannot begin to form until after radiation and matter decouple [in other words neutral atoms have been formed].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galaxy-formation mechanism we can accept has to work quickly enough to fit into this window.”</w:t>
      </w:r>
      <w:r w:rsidRPr="00370948">
        <w:rPr>
          <w:rFonts w:ascii="Book Antiqua" w:hAnsi="Book Antiqua"/>
          <w:bCs/>
          <w:iCs/>
          <w:sz w:val="20"/>
        </w:rPr>
        <w:t xml:space="preserve"> [59]</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Default="005359B2" w:rsidP="005359B2">
      <w:pPr>
        <w:pStyle w:val="NoSpacing"/>
        <w:ind w:firstLine="360"/>
        <w:jc w:val="both"/>
        <w:rPr>
          <w:rFonts w:ascii="Book Antiqua" w:hAnsi="Book Antiqua"/>
          <w:sz w:val="20"/>
        </w:rPr>
      </w:pPr>
      <w:r w:rsidRPr="00370948">
        <w:rPr>
          <w:rFonts w:ascii="Book Antiqua" w:hAnsi="Book Antiqua"/>
          <w:sz w:val="20"/>
        </w:rPr>
        <w:t xml:space="preserve">By way of contrast, plasma filaments in the early universe were quite capable of interacting </w:t>
      </w:r>
      <w:r>
        <w:rPr>
          <w:rFonts w:ascii="Book Antiqua" w:hAnsi="Book Antiqua"/>
          <w:sz w:val="20"/>
        </w:rPr>
        <w:t>very</w:t>
      </w:r>
      <w:r w:rsidRPr="00370948">
        <w:rPr>
          <w:rFonts w:ascii="Book Antiqua" w:hAnsi="Book Antiqua"/>
          <w:sz w:val="20"/>
        </w:rPr>
        <w:t xml:space="preserve"> quickly, even before atoms formed.  Plasma filaments with parallel currents interact by drawing the filaments together and then compressing them</w:t>
      </w:r>
      <w:r>
        <w:rPr>
          <w:rFonts w:ascii="Book Antiqua" w:hAnsi="Book Antiqua"/>
          <w:sz w:val="20"/>
        </w:rPr>
        <w:t xml:space="preserve"> via Bennett pinches</w:t>
      </w:r>
      <w:r w:rsidRPr="00370948">
        <w:rPr>
          <w:rFonts w:ascii="Book Antiqua" w:hAnsi="Book Antiqua"/>
          <w:sz w:val="20"/>
        </w:rPr>
        <w:t>.  The electric currents involved ha</w:t>
      </w:r>
      <w:r>
        <w:rPr>
          <w:rFonts w:ascii="Book Antiqua" w:hAnsi="Book Antiqua"/>
          <w:sz w:val="20"/>
        </w:rPr>
        <w:t>d</w:t>
      </w:r>
      <w:r w:rsidRPr="00370948">
        <w:rPr>
          <w:rFonts w:ascii="Book Antiqua" w:hAnsi="Book Antiqua"/>
          <w:sz w:val="20"/>
        </w:rPr>
        <w:t xml:space="preserve"> high voltages which mean</w:t>
      </w:r>
      <w:r>
        <w:rPr>
          <w:rFonts w:ascii="Book Antiqua" w:hAnsi="Book Antiqua"/>
          <w:sz w:val="20"/>
        </w:rPr>
        <w:t>t</w:t>
      </w:r>
      <w:r w:rsidRPr="00370948">
        <w:rPr>
          <w:rFonts w:ascii="Book Antiqua" w:hAnsi="Book Antiqua"/>
          <w:sz w:val="20"/>
        </w:rPr>
        <w:t xml:space="preserve"> that plasma fusion readily occurred, forming all the elements quickly.  Closely linked with the formation of the compressed plasma cores of galaxies are the oldest group of stellar objects, the Population II stars. The Alfvén-Carlqvist Model for the formation of stars in pinched filaments is well-known to plasma physicists </w:t>
      </w:r>
      <w:r w:rsidRPr="004D3961">
        <w:rPr>
          <w:rFonts w:ascii="Book Antiqua" w:hAnsi="Book Antiqua"/>
          <w:sz w:val="20"/>
        </w:rPr>
        <w:t>[70].</w:t>
      </w:r>
      <w:r w:rsidRPr="00370948">
        <w:rPr>
          <w:rFonts w:ascii="Book Antiqua" w:hAnsi="Book Antiqua"/>
          <w:sz w:val="20"/>
        </w:rPr>
        <w:t xml:space="preserve"> They point out that all magnetic configurations with the Bennett pinch would certainly give rise to contractive forces. Peratt has also given some helpful specifics [38]. He states: </w:t>
      </w:r>
      <w:r w:rsidRPr="00370948">
        <w:rPr>
          <w:rFonts w:ascii="Book Antiqua" w:hAnsi="Book Antiqua"/>
          <w:i/>
          <w:sz w:val="20"/>
        </w:rPr>
        <w:t>“Star formation in the elliptical [nucleus] is expected to start earlier [than otherwise expected] because of the compressive forces on the dense plasma contained there.”</w:t>
      </w:r>
      <w:r w:rsidRPr="00370948">
        <w:rPr>
          <w:rFonts w:ascii="Book Antiqua" w:hAnsi="Book Antiqua"/>
          <w:sz w:val="20"/>
        </w:rPr>
        <w:t xml:space="preserve"> [38] Furthermore, although the forces causing the compression and collapse in very dense cores are unchanged, the velocity of that compression and collapse is proportional to the speed of light or inversely proportional to ZPE strength. Star formation in plasma pinches (Figure </w:t>
      </w:r>
      <w:r>
        <w:rPr>
          <w:rFonts w:ascii="Book Antiqua" w:hAnsi="Book Antiqua"/>
          <w:sz w:val="20"/>
        </w:rPr>
        <w:t>23</w:t>
      </w:r>
      <w:r w:rsidRPr="00370948">
        <w:rPr>
          <w:rFonts w:ascii="Book Antiqua" w:hAnsi="Book Antiqua"/>
          <w:sz w:val="20"/>
        </w:rPr>
        <w:t>) would thus be expected to occur more rapidly than usually anticipated even on plasma models because of a lower ZPE in the past.</w:t>
      </w:r>
    </w:p>
    <w:p w:rsidR="005359B2" w:rsidRPr="00370948" w:rsidRDefault="005359B2" w:rsidP="005359B2">
      <w:pPr>
        <w:pStyle w:val="NoSpacing"/>
        <w:ind w:firstLine="360"/>
        <w:jc w:val="both"/>
        <w:rPr>
          <w:rFonts w:ascii="Book Antiqua" w:hAnsi="Book Antiqua"/>
          <w:sz w:val="20"/>
        </w:rPr>
      </w:pPr>
    </w:p>
    <w:p w:rsidR="005359B2" w:rsidRPr="00370948" w:rsidRDefault="005359B2" w:rsidP="005359B2">
      <w:pPr>
        <w:pStyle w:val="NoSpacing"/>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136"/>
      </w:tblGrid>
      <w:tr w:rsidR="005359B2" w:rsidRPr="00370948" w:rsidTr="003442EA">
        <w:trPr>
          <w:trHeight w:val="2314"/>
        </w:trPr>
        <w:tc>
          <w:tcPr>
            <w:tcW w:w="3798"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210847" cy="1704975"/>
                  <wp:effectExtent l="19050" t="0" r="8603" b="0"/>
                  <wp:docPr id="148"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210847" cy="1704975"/>
                          </a:xfrm>
                          <a:prstGeom prst="rect">
                            <a:avLst/>
                          </a:prstGeom>
                          <a:noFill/>
                          <a:ln w="9525">
                            <a:noFill/>
                            <a:miter lim="800000"/>
                            <a:headEnd/>
                            <a:tailEnd/>
                          </a:ln>
                        </pic:spPr>
                      </pic:pic>
                    </a:graphicData>
                  </a:graphic>
                </wp:inline>
              </w:drawing>
            </w:r>
          </w:p>
        </w:tc>
        <w:tc>
          <w:tcPr>
            <w:tcW w:w="3420"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105150" cy="1704975"/>
                  <wp:effectExtent l="19050" t="0" r="0" b="0"/>
                  <wp:docPr id="151"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105150" cy="1704975"/>
                          </a:xfrm>
                          <a:prstGeom prst="rect">
                            <a:avLst/>
                          </a:prstGeom>
                          <a:noFill/>
                          <a:ln w="9525">
                            <a:noFill/>
                            <a:miter lim="800000"/>
                            <a:headEnd/>
                            <a:tailEnd/>
                          </a:ln>
                        </pic:spPr>
                      </pic:pic>
                    </a:graphicData>
                  </a:graphic>
                </wp:inline>
              </w:drawing>
            </w:r>
          </w:p>
        </w:tc>
      </w:tr>
      <w:tr w:rsidR="005359B2" w:rsidRPr="00370948" w:rsidTr="003442EA">
        <w:trPr>
          <w:trHeight w:val="2789"/>
        </w:trPr>
        <w:tc>
          <w:tcPr>
            <w:tcW w:w="3798"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214044" cy="1924050"/>
                  <wp:effectExtent l="19050" t="0" r="5406" b="0"/>
                  <wp:docPr id="157"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217176" cy="1925925"/>
                          </a:xfrm>
                          <a:prstGeom prst="rect">
                            <a:avLst/>
                          </a:prstGeom>
                          <a:noFill/>
                          <a:ln w="9525">
                            <a:noFill/>
                            <a:miter lim="800000"/>
                            <a:headEnd/>
                            <a:tailEnd/>
                          </a:ln>
                        </pic:spPr>
                      </pic:pic>
                    </a:graphicData>
                  </a:graphic>
                </wp:inline>
              </w:drawing>
            </w:r>
          </w:p>
        </w:tc>
        <w:tc>
          <w:tcPr>
            <w:tcW w:w="3420"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105149" cy="1924050"/>
                  <wp:effectExtent l="19050" t="0" r="1" b="0"/>
                  <wp:docPr id="160"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110169" cy="1927160"/>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color w:val="FF0000"/>
          <w:sz w:val="20"/>
        </w:rPr>
      </w:pPr>
    </w:p>
    <w:p w:rsidR="005359B2" w:rsidRPr="008255D7" w:rsidRDefault="005359B2" w:rsidP="005359B2">
      <w:pPr>
        <w:pStyle w:val="NoSpacing"/>
        <w:rPr>
          <w:rFonts w:ascii="Book Antiqua" w:hAnsi="Book Antiqua"/>
          <w:i/>
          <w:sz w:val="18"/>
          <w:szCs w:val="18"/>
        </w:rPr>
      </w:pPr>
      <w:r w:rsidRPr="008255D7">
        <w:rPr>
          <w:rFonts w:ascii="Book Antiqua" w:hAnsi="Book Antiqua"/>
          <w:b/>
          <w:i/>
          <w:sz w:val="18"/>
          <w:szCs w:val="18"/>
        </w:rPr>
        <w:t xml:space="preserve">Figure </w:t>
      </w:r>
      <w:r>
        <w:rPr>
          <w:rFonts w:ascii="Book Antiqua" w:hAnsi="Book Antiqua"/>
          <w:b/>
          <w:i/>
          <w:sz w:val="18"/>
          <w:szCs w:val="18"/>
        </w:rPr>
        <w:t>23</w:t>
      </w:r>
      <w:r w:rsidRPr="008255D7">
        <w:rPr>
          <w:rFonts w:ascii="Book Antiqua" w:hAnsi="Book Antiqua"/>
          <w:b/>
          <w:i/>
          <w:sz w:val="18"/>
          <w:szCs w:val="18"/>
        </w:rPr>
        <w:t>:</w:t>
      </w:r>
      <w:r w:rsidRPr="008255D7">
        <w:rPr>
          <w:rFonts w:ascii="Book Antiqua" w:hAnsi="Book Antiqua"/>
          <w:i/>
          <w:sz w:val="18"/>
          <w:szCs w:val="18"/>
        </w:rPr>
        <w:t xml:space="preserve"> Examples of plasma filaments undergoing a pinch with stars formed at the focus of the pinch. Top Left: Ant Nebula Mz3 in Norma. Top Right: Bug nebula NGC 6302 in Scorpius. Bottom Left: Double Balloon nebula in Sagittarius. Bottom Right: The Butterfly Wing nebula M2-9 in Ophiuchus.</w:t>
      </w:r>
    </w:p>
    <w:p w:rsidR="005359B2" w:rsidRPr="008255D7" w:rsidRDefault="005359B2" w:rsidP="005359B2">
      <w:pPr>
        <w:pStyle w:val="NoSpacing"/>
        <w:rPr>
          <w:rFonts w:ascii="Book Antiqua" w:hAnsi="Book Antiqua"/>
          <w:i/>
          <w:sz w:val="20"/>
        </w:rPr>
      </w:pPr>
      <w:r w:rsidRPr="008255D7">
        <w:rPr>
          <w:rFonts w:ascii="Book Antiqua" w:hAnsi="Book Antiqua"/>
          <w:i/>
          <w:sz w:val="20"/>
        </w:rPr>
        <w:t xml:space="preserve">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ab/>
        <w:t xml:space="preserve">Experiments and simulations show that the formation of Population I stars in the spiral arms is also easily explained: </w:t>
      </w:r>
      <w:r w:rsidRPr="00370948">
        <w:rPr>
          <w:rFonts w:ascii="Book Antiqua" w:hAnsi="Book Antiqua"/>
          <w:i/>
          <w:sz w:val="20"/>
        </w:rPr>
        <w:t xml:space="preserve">“Star formation follows closely the morphology of the plasma in the spiral arms that are usually fragmented because of the </w:t>
      </w:r>
      <w:r w:rsidRPr="00370948">
        <w:rPr>
          <w:rFonts w:ascii="Book Antiqua" w:hAnsi="Book Antiqua"/>
          <w:i/>
          <w:sz w:val="20"/>
        </w:rPr>
        <w:lastRenderedPageBreak/>
        <w:t xml:space="preserve">diocotron instability. The well-known Baade description that stars in spiral arms appear ‘like beads on a string’ is also an equally apropos description for the simulated galaxies. … The vortex motion of the beads of stars in the arms provides the characteristic cot(ψ) motion on the rotational velocity curves of spiral galaxies.” </w:t>
      </w:r>
      <w:r w:rsidRPr="00370948">
        <w:rPr>
          <w:rFonts w:ascii="Book Antiqua" w:hAnsi="Book Antiqua"/>
          <w:sz w:val="20"/>
        </w:rPr>
        <w:t>[38] In other words, the flat rotation curves for stars in spiral galaxies is a natural consequence of plasma physics.  Again, there is no need for dark matter or new gravitational physics to resolve that problem.</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color w:val="FF0000"/>
          <w:sz w:val="20"/>
        </w:rPr>
      </w:pPr>
      <w:r w:rsidRPr="00370948">
        <w:rPr>
          <w:rFonts w:ascii="Book Antiqua" w:hAnsi="Book Antiqua"/>
          <w:sz w:val="20"/>
        </w:rPr>
        <w:t>In summary, Peratt states that the experiments and simulations</w:t>
      </w:r>
      <w:r w:rsidRPr="00370948">
        <w:rPr>
          <w:rFonts w:ascii="Book Antiqua" w:hAnsi="Book Antiqua"/>
          <w:i/>
          <w:sz w:val="20"/>
        </w:rPr>
        <w:t xml:space="preserve"> “show first the formation of elliptical galaxies. Then, as the synchrotron-radiating Birkeland current-conducting outer plasma components move inward on the elliptical core, peculiar galaxies form and in sequence the spiral types Sd, Sc, Sb, and Sa (or their barred equivalents SBd, SBc, SBb, SBa). Stars form first in the densely compressed elliptical core (Population II stars) and then in the pinched plasma that make up the spiral arms (Population I stars).”</w:t>
      </w:r>
      <w:r w:rsidRPr="00370948">
        <w:rPr>
          <w:rFonts w:ascii="Book Antiqua" w:hAnsi="Book Antiqua"/>
          <w:sz w:val="20"/>
        </w:rPr>
        <w:t xml:space="preserve"> [38]</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of the sorting of elements by Marklund convection in filaments, the Population I stars in the spiral arm filaments have a higher metal content than the Population II stars in the galaxy core. The Population II stars formed rapidly, before the spiral arm filaments developed. Consequently, the plasma was more homogeneous and unsorted than that from which the outer Population I stars formed.  In the spiral arms of galaxies, the plasma pinch rapidly forms the Population I stars like strings of beads along the many lesser filaments there. The plasma spheres formed by the pinch would then undergo rapid collapse gravitationally to their final size ensuring both Population II and Population I stars lit up very quickly. The distribution of Population I and II stars is shown in Figure </w:t>
      </w:r>
      <w:r>
        <w:rPr>
          <w:rFonts w:ascii="Book Antiqua" w:hAnsi="Book Antiqua"/>
          <w:sz w:val="20"/>
        </w:rPr>
        <w:t>24</w:t>
      </w:r>
      <w:r w:rsidRPr="00370948">
        <w:rPr>
          <w:rFonts w:ascii="Book Antiqua" w:hAnsi="Book Antiqua"/>
          <w:sz w:val="20"/>
        </w:rPr>
        <w:t xml:space="preserve"> with reference to the Andromeda spiral and the predominant colors in the visible spectrum.</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noProof/>
          <w:color w:val="0000FF"/>
          <w:sz w:val="20"/>
        </w:rPr>
      </w:pPr>
    </w:p>
    <w:p w:rsidR="005359B2" w:rsidRPr="00370948" w:rsidRDefault="005359B2" w:rsidP="005359B2">
      <w:pPr>
        <w:pStyle w:val="NoSpacing"/>
        <w:jc w:val="center"/>
        <w:rPr>
          <w:rFonts w:ascii="Book Antiqua" w:hAnsi="Book Antiqua"/>
          <w:noProof/>
          <w:color w:val="0000FF"/>
          <w:sz w:val="20"/>
        </w:rPr>
      </w:pPr>
      <w:r w:rsidRPr="00CC3497">
        <w:rPr>
          <w:rFonts w:ascii="Book Antiqua" w:hAnsi="Book Antiqua"/>
          <w:noProof/>
          <w:color w:val="0000FF"/>
          <w:sz w:val="20"/>
        </w:rPr>
        <w:drawing>
          <wp:inline distT="0" distB="0" distL="0" distR="0">
            <wp:extent cx="4705350" cy="3552825"/>
            <wp:effectExtent l="19050" t="0" r="0" b="0"/>
            <wp:docPr id="166" name="Picture 4" descr="http://i.dailymail.co.uk/i/pix/2009/01/06/article-1106383-0059541C00000258-807_468x354.jpg"/>
            <wp:cNvGraphicFramePr/>
            <a:graphic xmlns:a="http://schemas.openxmlformats.org/drawingml/2006/main">
              <a:graphicData uri="http://schemas.openxmlformats.org/drawingml/2006/picture">
                <pic:pic xmlns:pic="http://schemas.openxmlformats.org/drawingml/2006/picture">
                  <pic:nvPicPr>
                    <pic:cNvPr id="4" name="irc_mi" descr="http://i.dailymail.co.uk/i/pix/2009/01/06/article-1106383-0059541C00000258-807_468x354.jpg"/>
                    <pic:cNvPicPr/>
                  </pic:nvPicPr>
                  <pic:blipFill>
                    <a:blip r:embed="rId313" cstate="print"/>
                    <a:srcRect/>
                    <a:stretch>
                      <a:fillRect/>
                    </a:stretch>
                  </pic:blipFill>
                  <pic:spPr bwMode="auto">
                    <a:xfrm>
                      <a:off x="0" y="0"/>
                      <a:ext cx="4705350" cy="355282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noProof/>
          <w:sz w:val="18"/>
          <w:szCs w:val="18"/>
        </w:rPr>
      </w:pPr>
    </w:p>
    <w:p w:rsidR="005359B2" w:rsidRPr="008255D7" w:rsidRDefault="005359B2" w:rsidP="005359B2">
      <w:pPr>
        <w:pStyle w:val="NoSpacing"/>
        <w:jc w:val="both"/>
        <w:rPr>
          <w:rFonts w:ascii="Book Antiqua" w:hAnsi="Book Antiqua"/>
          <w:i/>
          <w:noProof/>
          <w:sz w:val="18"/>
          <w:szCs w:val="18"/>
        </w:rPr>
      </w:pPr>
      <w:r w:rsidRPr="008255D7">
        <w:rPr>
          <w:rFonts w:ascii="Book Antiqua" w:hAnsi="Book Antiqua"/>
          <w:b/>
          <w:i/>
          <w:noProof/>
          <w:sz w:val="18"/>
          <w:szCs w:val="18"/>
        </w:rPr>
        <w:t xml:space="preserve">Figure </w:t>
      </w:r>
      <w:r>
        <w:rPr>
          <w:rFonts w:ascii="Book Antiqua" w:hAnsi="Book Antiqua"/>
          <w:b/>
          <w:i/>
          <w:noProof/>
          <w:sz w:val="18"/>
          <w:szCs w:val="18"/>
        </w:rPr>
        <w:t>24</w:t>
      </w:r>
      <w:r w:rsidRPr="008255D7">
        <w:rPr>
          <w:rFonts w:ascii="Book Antiqua" w:hAnsi="Book Antiqua"/>
          <w:b/>
          <w:i/>
          <w:noProof/>
          <w:sz w:val="18"/>
          <w:szCs w:val="18"/>
        </w:rPr>
        <w:t>:</w:t>
      </w:r>
      <w:r w:rsidRPr="008255D7">
        <w:rPr>
          <w:rFonts w:ascii="Book Antiqua" w:hAnsi="Book Antiqua"/>
          <w:i/>
          <w:noProof/>
          <w:sz w:val="18"/>
          <w:szCs w:val="18"/>
        </w:rPr>
        <w:t xml:space="preserve"> The nearby spiral galaxy in Andromeda. The old Population II stars are dominated by red giants which give their color to the core of the galaxy. The young Population I stars are dominated by blue giants which give their color to the spiral arms.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plasma model is supported by data collected from the IRAM array of millimeter wave receivers in the French Alps, and reported on 2 April, 2012 in a News Release via Physorg.com. The facility found enormous amounts of carbon-rich gas in a galaxy hosting a quasar in its core. This object, designated as J 1120+064, is currently one of the most distant </w:t>
      </w:r>
      <w:r w:rsidRPr="00370948">
        <w:rPr>
          <w:rFonts w:ascii="Book Antiqua" w:hAnsi="Book Antiqua"/>
          <w:sz w:val="20"/>
        </w:rPr>
        <w:lastRenderedPageBreak/>
        <w:t xml:space="preserve">discovered, having a redshift of </w:t>
      </w:r>
      <m:oMath>
        <m:r>
          <w:rPr>
            <w:rFonts w:ascii="Cambria Math" w:hAnsi="Cambria Math"/>
            <w:sz w:val="20"/>
          </w:rPr>
          <m:t>z</m:t>
        </m:r>
        <m:r>
          <w:rPr>
            <w:rFonts w:ascii="Cambria Math" w:hAnsi="Book Antiqua"/>
            <w:sz w:val="20"/>
          </w:rPr>
          <m:t xml:space="preserve"> = 7.0842</m:t>
        </m:r>
      </m:oMath>
      <w:r w:rsidRPr="00370948">
        <w:rPr>
          <w:rFonts w:ascii="Book Antiqua" w:hAnsi="Book Antiqua"/>
          <w:sz w:val="20"/>
        </w:rPr>
        <w:t xml:space="preserve">. This means it was in existence only 740 million atomic years after the inception of the cosmos, which </w:t>
      </w:r>
      <w:r>
        <w:rPr>
          <w:rFonts w:ascii="Book Antiqua" w:hAnsi="Book Antiqua"/>
          <w:sz w:val="20"/>
        </w:rPr>
        <w:t>was</w:t>
      </w:r>
      <w:r w:rsidRPr="00370948">
        <w:rPr>
          <w:rFonts w:ascii="Book Antiqua" w:hAnsi="Book Antiqua"/>
          <w:sz w:val="20"/>
        </w:rPr>
        <w:t xml:space="preserve"> very soon in astronomical time. This poses a problem for Big Bang astronomy. The lead researcher, Dr. Venemans, comments: </w:t>
      </w:r>
      <w:r w:rsidRPr="00370948">
        <w:rPr>
          <w:rFonts w:ascii="Book Antiqua" w:hAnsi="Book Antiqua"/>
          <w:i/>
          <w:sz w:val="20"/>
        </w:rPr>
        <w:t xml:space="preserve">"It’s really puzzling that such an enormous amount of carbon-enriched gas could have formed at these early times in the universe.” </w:t>
      </w:r>
      <w:r w:rsidRPr="00370948">
        <w:rPr>
          <w:rFonts w:ascii="Book Antiqua" w:hAnsi="Book Antiqua"/>
          <w:sz w:val="20"/>
        </w:rPr>
        <w:t>[71] However, on the approach adopted here, both plasma fusion and Marklund convection have played an important role. From the emission of carbon dust, Venemans and his team are able to show that the galaxy is still forming stars at a rate 100 times higher than in our Milky Way Galaxy [72]. This accelerated rate of star formation is predicted on the plasma model with a low ZPE.</w:t>
      </w:r>
    </w:p>
    <w:p w:rsidR="005359B2" w:rsidRDefault="005359B2" w:rsidP="005359B2">
      <w:pPr>
        <w:pStyle w:val="NoSpacing"/>
        <w:rPr>
          <w:rFonts w:ascii="Book Antiqua" w:hAnsi="Book Antiqua"/>
          <w:bCs/>
          <w:i/>
          <w:iCs/>
          <w:color w:val="000000"/>
          <w:sz w:val="20"/>
        </w:rPr>
      </w:pPr>
    </w:p>
    <w:p w:rsidR="005359B2" w:rsidRPr="000F4A13" w:rsidRDefault="005359B2" w:rsidP="005359B2">
      <w:pPr>
        <w:pStyle w:val="NoSpacing"/>
        <w:rPr>
          <w:rFonts w:ascii="Book Antiqua" w:hAnsi="Book Antiqua"/>
          <w:b/>
          <w:bCs/>
          <w:iCs/>
          <w:color w:val="000000"/>
          <w:sz w:val="20"/>
        </w:rPr>
      </w:pPr>
      <w:r w:rsidRPr="000F4A13">
        <w:rPr>
          <w:rFonts w:ascii="Book Antiqua" w:hAnsi="Book Antiqua"/>
          <w:b/>
          <w:bCs/>
          <w:iCs/>
          <w:color w:val="000000"/>
          <w:sz w:val="20"/>
        </w:rPr>
        <w:t xml:space="preserve">8.  The Sun And Its Output.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There are two possible options regarding the sun.  Is it shining as a result of nuclear fusion or is it shining because it is a plasma in arc mode?  The standard explanation is that the sun is a giant nuclear furnace.  Interestingly, the equations for nuclear burning have exactly the same </w:t>
      </w:r>
      <w:r>
        <w:rPr>
          <w:rFonts w:ascii="Book Antiqua" w:hAnsi="Book Antiqua"/>
          <w:sz w:val="20"/>
        </w:rPr>
        <w:t>outcome</w:t>
      </w:r>
      <w:r w:rsidRPr="00370948">
        <w:rPr>
          <w:rFonts w:ascii="Book Antiqua" w:hAnsi="Book Antiqua"/>
          <w:sz w:val="20"/>
        </w:rPr>
        <w:t xml:space="preserve"> as the equations describing the behavior of the sun as an arc-mode plasma.  Considering the plasma model, the power output increases in inverse proportion to the strength of the Zero Point Energy (as demonstrated earlier in equation 22).  The same result is obtained from more elaborate reasoning in the nuclear model (see Appendix B).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With both models there is an argument about the effects of a lower Zero Point Energy on the sun’s output. The argument is that with a lower ZPE, the sun would burn up everything as more photons were being emitted at any given time. However, regardless of which model is preferred, the lower the ZPE, the lower the energy density, or amplitudes, of the light waves.  This means that when more photons are being emitted per second, because the energy density is less, the actual intensity of light remains the same.  This is detailed in Chapter 2 and Appendix B.</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The first point to note is that</w:t>
      </w:r>
      <w:r w:rsidRPr="00370948">
        <w:rPr>
          <w:rFonts w:ascii="Book Antiqua" w:hAnsi="Book Antiqua"/>
          <w:sz w:val="20"/>
        </w:rPr>
        <w:t xml:space="preserve"> the energy, </w:t>
      </w:r>
      <m:oMath>
        <m:r>
          <w:rPr>
            <w:rFonts w:ascii="Cambria Math" w:hAnsi="Cambria Math"/>
            <w:sz w:val="20"/>
          </w:rPr>
          <m:t>E</m:t>
        </m:r>
      </m:oMath>
      <w:r w:rsidRPr="00370948">
        <w:rPr>
          <w:rFonts w:ascii="Book Antiqua" w:hAnsi="Book Antiqua"/>
          <w:sz w:val="20"/>
        </w:rPr>
        <w:t xml:space="preserve">, with which each photon or wave is emitted from the Sun remains basically unchanged. With the emitted photon energy remaining constant, it can be shown that, as the ZPE increases, the wavelengths, </w:t>
      </w:r>
      <m:oMath>
        <m:r>
          <w:rPr>
            <w:rFonts w:ascii="Cambria Math" w:hAnsi="Cambria Math"/>
            <w:sz w:val="20"/>
          </w:rPr>
          <m:t>λ</m:t>
        </m:r>
      </m:oMath>
      <w:r w:rsidRPr="00370948">
        <w:rPr>
          <w:rFonts w:ascii="Book Antiqua" w:hAnsi="Book Antiqua"/>
          <w:sz w:val="20"/>
        </w:rPr>
        <w:t>, of light (and therefore the color) also remain fixed. So we can write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Cambria Math" w:hAnsi="Cambria Math"/>
            <w:sz w:val="20"/>
          </w:rPr>
          <m:t>hc</m:t>
        </m:r>
        <m:r>
          <w:rPr>
            <w:rFonts w:ascii="Cambria Math" w:hAnsi="Book Antiqua"/>
            <w:sz w:val="20"/>
          </w:rPr>
          <m:t>/</m:t>
        </m:r>
        <m:r>
          <w:rPr>
            <w:rFonts w:ascii="Cambria Math" w:hAnsi="Cambria Math"/>
            <w:sz w:val="20"/>
          </w:rPr>
          <m:t>λ</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(32)</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since </w:t>
      </w:r>
      <m:oMath>
        <m:r>
          <w:rPr>
            <w:rFonts w:ascii="Cambria Math" w:hAnsi="Cambria Math"/>
            <w:sz w:val="20"/>
          </w:rPr>
          <m:t>hc</m:t>
        </m:r>
      </m:oMath>
      <w:r w:rsidRPr="00370948">
        <w:rPr>
          <w:rFonts w:ascii="Book Antiqua" w:hAnsi="Book Antiqua"/>
          <w:sz w:val="20"/>
        </w:rPr>
        <w:t xml:space="preserve"> is invariant as shown in equation (9).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second point is crucial. The energy density of a wave or photon determines its amplitude squared (Chapter 2 and Appendix B). It can be shown that these energy densities are proportional to </w:t>
      </w:r>
      <m:oMath>
        <m:r>
          <w:rPr>
            <w:rFonts w:ascii="Cambria Math" w:hAnsi="Cambria Math"/>
            <w:sz w:val="20"/>
          </w:rPr>
          <m:t>h</m:t>
        </m:r>
      </m:oMath>
      <w:r w:rsidRPr="00370948">
        <w:rPr>
          <w:rFonts w:ascii="Book Antiqua" w:hAnsi="Book Antiqua"/>
          <w:sz w:val="20"/>
        </w:rPr>
        <w:t xml:space="preserve"> or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and are lower when the ZPE strength is lower. This is because energy density (and hence the square of the amplitude) is affected by the vacuum permittivity and permeability, which are proportional to </w:t>
      </w:r>
      <m:oMath>
        <m:r>
          <w:rPr>
            <w:rFonts w:ascii="Cambria Math" w:hAnsi="Cambria Math"/>
            <w:sz w:val="20"/>
          </w:rPr>
          <m:t>h</m:t>
        </m:r>
        <m:r>
          <w:rPr>
            <w:rFonts w:ascii="Cambria Math" w:hAnsi="Book Antiqua"/>
            <w:sz w:val="20"/>
          </w:rPr>
          <m:t xml:space="preserve"> </m:t>
        </m:r>
      </m:oMath>
      <w:r w:rsidRPr="00370948">
        <w:rPr>
          <w:rFonts w:ascii="Book Antiqua" w:hAnsi="Book Antiqua"/>
          <w:sz w:val="20"/>
        </w:rPr>
        <w:t xml:space="preserve">or </w:t>
      </w:r>
      <m:oMath>
        <m:r>
          <w:rPr>
            <w:rFonts w:ascii="Cambria Math" w:hAnsi="Book Antiqua"/>
            <w:sz w:val="20"/>
          </w:rPr>
          <m:t>1/</m:t>
        </m:r>
        <m:r>
          <w:rPr>
            <w:rFonts w:ascii="Cambria Math" w:hAnsi="Cambria Math"/>
            <w:sz w:val="20"/>
          </w:rPr>
          <m:t>c</m:t>
        </m:r>
      </m:oMath>
      <w:r w:rsidRPr="00370948">
        <w:rPr>
          <w:rFonts w:ascii="Book Antiqua" w:hAnsi="Book Antiqua"/>
          <w:sz w:val="20"/>
        </w:rPr>
        <w:t>. So the amplitudes of all radiation will be lower with lower ZPE. This leads on to point three.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intensity, or brightness, of light is determined by two factors multiplied together: the square of the amplitude (or the energy density), and the velocity, </w:t>
      </w:r>
      <m:oMath>
        <m:r>
          <w:rPr>
            <w:rFonts w:ascii="Cambria Math" w:hAnsi="Cambria Math"/>
            <w:sz w:val="20"/>
          </w:rPr>
          <m:t>c</m:t>
        </m:r>
        <m:r>
          <w:rPr>
            <w:rFonts w:ascii="Cambria Math" w:hAnsi="Book Antiqua"/>
            <w:sz w:val="20"/>
          </w:rPr>
          <m:t>.</m:t>
        </m:r>
      </m:oMath>
      <w:r w:rsidRPr="00370948">
        <w:rPr>
          <w:rFonts w:ascii="Book Antiqua" w:hAnsi="Book Antiqua"/>
          <w:sz w:val="20"/>
        </w:rPr>
        <w:t xml:space="preserve"> Thus a wave train whose energy density is proportional to</w:t>
      </w:r>
      <w:r w:rsidRPr="00370948">
        <w:rPr>
          <w:rFonts w:ascii="Book Antiqua" w:hAnsi="Book Antiqua"/>
          <w:i/>
          <w:sz w:val="20"/>
        </w:rPr>
        <w:t xml:space="preserve">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has </w:t>
      </w:r>
      <m:oMath>
        <m:r>
          <w:rPr>
            <w:rFonts w:ascii="Cambria Math" w:hAnsi="Cambria Math"/>
            <w:sz w:val="20"/>
          </w:rPr>
          <m:t>c</m:t>
        </m:r>
      </m:oMath>
      <w:r w:rsidRPr="00370948">
        <w:rPr>
          <w:rFonts w:ascii="Book Antiqua" w:hAnsi="Book Antiqua"/>
          <w:i/>
          <w:sz w:val="20"/>
        </w:rPr>
        <w:t xml:space="preserve"> </w:t>
      </w:r>
      <w:r w:rsidRPr="00370948">
        <w:rPr>
          <w:rFonts w:ascii="Book Antiqua" w:hAnsi="Book Antiqua"/>
          <w:sz w:val="20"/>
        </w:rPr>
        <w:t xml:space="preserve">times as many waves (or photons) passing a given point in </w:t>
      </w:r>
      <w:r>
        <w:rPr>
          <w:rFonts w:ascii="Book Antiqua" w:hAnsi="Book Antiqua"/>
          <w:sz w:val="20"/>
        </w:rPr>
        <w:t xml:space="preserve">any set </w:t>
      </w:r>
      <w:r w:rsidRPr="00370948">
        <w:rPr>
          <w:rFonts w:ascii="Book Antiqua" w:hAnsi="Book Antiqua"/>
          <w:sz w:val="20"/>
        </w:rPr>
        <w:t xml:space="preserve">time interval. As a result, the radiation intensity, or brightness, of the sun and stars remains unchanged as the ZPE varies.  So whether the sun is considered a nuclear furnace or an electrically stimulated plasma, a lower ZPE in the past will not affect the overall brightness.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Other data, however, </w:t>
      </w:r>
      <w:r>
        <w:rPr>
          <w:rFonts w:ascii="Book Antiqua" w:hAnsi="Book Antiqua"/>
          <w:sz w:val="20"/>
        </w:rPr>
        <w:t xml:space="preserve">may </w:t>
      </w:r>
      <w:r w:rsidRPr="00370948">
        <w:rPr>
          <w:rFonts w:ascii="Book Antiqua" w:hAnsi="Book Antiqua"/>
          <w:sz w:val="20"/>
        </w:rPr>
        <w:t xml:space="preserve">indicate the sun is not a nuclear furnace but </w:t>
      </w:r>
      <w:r>
        <w:rPr>
          <w:rFonts w:ascii="Book Antiqua" w:hAnsi="Book Antiqua"/>
          <w:sz w:val="20"/>
        </w:rPr>
        <w:t>instead may</w:t>
      </w:r>
      <w:r w:rsidRPr="00370948">
        <w:rPr>
          <w:rFonts w:ascii="Book Antiqua" w:hAnsi="Book Antiqua"/>
          <w:sz w:val="20"/>
        </w:rPr>
        <w:t xml:space="preserve"> radiate as the result of plasma’s electromagnetic forces.  </w:t>
      </w:r>
      <w:r>
        <w:rPr>
          <w:rFonts w:ascii="Book Antiqua" w:hAnsi="Book Antiqua"/>
          <w:sz w:val="20"/>
        </w:rPr>
        <w:t>First, t</w:t>
      </w:r>
      <w:r w:rsidRPr="00370948">
        <w:rPr>
          <w:rFonts w:ascii="Book Antiqua" w:hAnsi="Book Antiqua"/>
          <w:sz w:val="20"/>
        </w:rPr>
        <w:t xml:space="preserve">he emission of the solar wind, comprised of only positive nuclei, is not something we would expect from nuclear furnace.  </w:t>
      </w:r>
      <w:r>
        <w:rPr>
          <w:rFonts w:ascii="Book Antiqua" w:hAnsi="Book Antiqua"/>
          <w:sz w:val="20"/>
        </w:rPr>
        <w:t>Second, i</w:t>
      </w:r>
      <w:r w:rsidRPr="00370948">
        <w:rPr>
          <w:rFonts w:ascii="Book Antiqua" w:hAnsi="Book Antiqua"/>
          <w:sz w:val="20"/>
        </w:rPr>
        <w:t xml:space="preserve">f the sun were a nuclear furnace, then the closer to the core the hotter it should be.  But sunspots, which reveal lower layers of the sun, are cooler than the surface.  </w:t>
      </w:r>
      <w:r>
        <w:rPr>
          <w:rFonts w:ascii="Book Antiqua" w:hAnsi="Book Antiqua"/>
          <w:sz w:val="20"/>
        </w:rPr>
        <w:t xml:space="preserve">The plasma model predicts this.  Third, the </w:t>
      </w:r>
      <w:r w:rsidRPr="00370948">
        <w:rPr>
          <w:rFonts w:ascii="Book Antiqua" w:hAnsi="Book Antiqua"/>
          <w:sz w:val="20"/>
        </w:rPr>
        <w:t>fact</w:t>
      </w:r>
      <w:r>
        <w:rPr>
          <w:rFonts w:ascii="Book Antiqua" w:hAnsi="Book Antiqua"/>
          <w:sz w:val="20"/>
        </w:rPr>
        <w:t xml:space="preserve"> that</w:t>
      </w:r>
      <w:r w:rsidRPr="00370948">
        <w:rPr>
          <w:rFonts w:ascii="Book Antiqua" w:hAnsi="Book Antiqua"/>
          <w:sz w:val="20"/>
        </w:rPr>
        <w:t xml:space="preserve"> the corona, above the surface of the sun, is hotter than the sun’s surface</w:t>
      </w:r>
      <w:r>
        <w:rPr>
          <w:rFonts w:ascii="Book Antiqua" w:hAnsi="Book Antiqua"/>
          <w:sz w:val="20"/>
        </w:rPr>
        <w:t xml:space="preserve"> is difficult to</w:t>
      </w:r>
      <w:r w:rsidRPr="00370948">
        <w:rPr>
          <w:rFonts w:ascii="Book Antiqua" w:hAnsi="Book Antiqua"/>
          <w:sz w:val="20"/>
        </w:rPr>
        <w:t xml:space="preserve"> explain by </w:t>
      </w:r>
      <w:r>
        <w:rPr>
          <w:rFonts w:ascii="Book Antiqua" w:hAnsi="Book Antiqua"/>
          <w:sz w:val="20"/>
        </w:rPr>
        <w:t xml:space="preserve">the </w:t>
      </w:r>
      <w:r w:rsidRPr="00370948">
        <w:rPr>
          <w:rFonts w:ascii="Book Antiqua" w:hAnsi="Book Antiqua"/>
          <w:sz w:val="20"/>
        </w:rPr>
        <w:t xml:space="preserve">nuclear </w:t>
      </w:r>
      <w:r>
        <w:rPr>
          <w:rFonts w:ascii="Book Antiqua" w:hAnsi="Book Antiqua"/>
          <w:sz w:val="20"/>
        </w:rPr>
        <w:t xml:space="preserve">model </w:t>
      </w:r>
      <w:r w:rsidRPr="00370948">
        <w:rPr>
          <w:rFonts w:ascii="Book Antiqua" w:hAnsi="Book Antiqua"/>
          <w:sz w:val="20"/>
        </w:rPr>
        <w:t>but is to be expected if the sun is a shining by electro-magnetically induced processes</w:t>
      </w:r>
      <w:r>
        <w:rPr>
          <w:rFonts w:ascii="Book Antiqua" w:hAnsi="Book Antiqua"/>
          <w:sz w:val="20"/>
        </w:rPr>
        <w:t>, such as an arc mode plasma.</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0F4A13" w:rsidRDefault="005359B2" w:rsidP="005359B2">
      <w:pPr>
        <w:pStyle w:val="NoSpacing"/>
        <w:rPr>
          <w:rFonts w:ascii="Book Antiqua" w:hAnsi="Book Antiqua"/>
          <w:b/>
          <w:sz w:val="20"/>
        </w:rPr>
      </w:pPr>
      <w:r w:rsidRPr="000F4A13">
        <w:rPr>
          <w:rFonts w:ascii="Book Antiqua" w:hAnsi="Book Antiqua"/>
          <w:b/>
          <w:bCs/>
          <w:iCs/>
          <w:color w:val="000000"/>
          <w:sz w:val="20"/>
        </w:rPr>
        <w:t>9. Planet Formation In General.</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79588C">
        <w:rPr>
          <w:rFonts w:ascii="Book Antiqua" w:hAnsi="Book Antiqua"/>
          <w:sz w:val="20"/>
        </w:rPr>
        <w:t>The gravitational model</w:t>
      </w:r>
      <w:r w:rsidRPr="00370948">
        <w:rPr>
          <w:rFonts w:ascii="Book Antiqua" w:hAnsi="Book Antiqua"/>
          <w:sz w:val="20"/>
        </w:rPr>
        <w:t xml:space="preserve"> of planet formation states that clouds of gas and dust collapsed to form the planets and their moons. The proposal is that this accretion resulted in a flat spinning disc of dust whose larger particles gravitationally attracted smaller particles, and so mass was built up.  </w:t>
      </w:r>
      <w:r w:rsidRPr="00CF4CE0">
        <w:rPr>
          <w:rFonts w:ascii="Book Antiqua" w:hAnsi="Book Antiqua"/>
          <w:sz w:val="20"/>
        </w:rPr>
        <w:t>As stated before, however, the process of collapsing would result in heat that would drive the component material apart, not draw them together.</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We</w:t>
      </w:r>
      <w:r w:rsidRPr="00370948">
        <w:rPr>
          <w:rFonts w:ascii="Book Antiqua" w:hAnsi="Book Antiqua"/>
          <w:sz w:val="20"/>
        </w:rPr>
        <w:t xml:space="preserve"> can see what happens to a spinning disc of dust by looking at Saturn’s rings.  The forces in operation there actually prevent the particles from accreting together.  Instead, the motion of nearby dust particles is alternately accelerated and retarded as they come near </w:t>
      </w:r>
      <w:r>
        <w:rPr>
          <w:rFonts w:ascii="Book Antiqua" w:hAnsi="Book Antiqua"/>
          <w:sz w:val="20"/>
        </w:rPr>
        <w:t>slightly larger</w:t>
      </w:r>
      <w:r w:rsidRPr="00370948">
        <w:rPr>
          <w:rFonts w:ascii="Book Antiqua" w:hAnsi="Book Antiqua"/>
          <w:sz w:val="20"/>
        </w:rPr>
        <w:t xml:space="preserve"> particles and this enforces separation.  Because of this process, agglomeration cannot occur.</w:t>
      </w:r>
      <w:r>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CF4CE0">
        <w:rPr>
          <w:rFonts w:ascii="Book Antiqua" w:hAnsi="Book Antiqua"/>
          <w:sz w:val="20"/>
        </w:rPr>
        <w:t>Plasma theory</w:t>
      </w:r>
      <w:r w:rsidRPr="00370948">
        <w:rPr>
          <w:rFonts w:ascii="Book Antiqua" w:hAnsi="Book Antiqua"/>
          <w:sz w:val="20"/>
        </w:rPr>
        <w:t xml:space="preserve"> presents </w:t>
      </w:r>
      <w:r>
        <w:rPr>
          <w:rFonts w:ascii="Book Antiqua" w:hAnsi="Book Antiqua"/>
          <w:sz w:val="20"/>
        </w:rPr>
        <w:t>two</w:t>
      </w:r>
      <w:r w:rsidRPr="00370948">
        <w:rPr>
          <w:rFonts w:ascii="Book Antiqua" w:hAnsi="Book Antiqua"/>
          <w:sz w:val="20"/>
        </w:rPr>
        <w:t xml:space="preserve"> possible modes of planet formation. The first is the one which our own solar system illustrates. Here, the eight planets lay in basically the same plane. This is the effect of a Bennett pinch on a plasma filament which has fragmented internally into a number of filaments. The major filament, in the middle, is the largest, with a number of minor filaments surrounding it. As the pinch occurs, the outer filaments will pinch first, forming the outer planets.  The pinch progresses, forming the inner planets and, finally, the major filament in the central position, responding to the pinch, lights up, forming the sun.  It is because of the position of the pinch that the planets are all in the same approximate plane.  This is also the approximate plane of the sun’s rotation.</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The second is an</w:t>
      </w:r>
      <w:r w:rsidRPr="00370948">
        <w:rPr>
          <w:rFonts w:ascii="Book Antiqua" w:hAnsi="Book Antiqua"/>
          <w:sz w:val="20"/>
        </w:rPr>
        <w:t xml:space="preserve"> entirely different, but possible, method of planet </w:t>
      </w:r>
      <w:r w:rsidRPr="0079588C">
        <w:rPr>
          <w:rFonts w:ascii="Book Antiqua" w:hAnsi="Book Antiqua"/>
          <w:sz w:val="20"/>
        </w:rPr>
        <w:t>formation. Extreme</w:t>
      </w:r>
      <w:r w:rsidRPr="00370948">
        <w:rPr>
          <w:rFonts w:ascii="Book Antiqua" w:hAnsi="Book Antiqua"/>
          <w:sz w:val="20"/>
        </w:rPr>
        <w:t xml:space="preserve"> electrical stress on certain parts of stellar surfaces results in the explosive expulsion of material.  The planets formed by this process will nearly all be gas giants, and they can orbit in any plane and in any direction, depending on where they were ejected.  Since so many of these have been found to exist, it is reasonable to assume that explosive expulsion of stellar material is a fairly common event.   </w:t>
      </w:r>
      <w:r>
        <w:rPr>
          <w:rFonts w:ascii="Book Antiqua" w:hAnsi="Book Antiqua"/>
          <w:sz w:val="20"/>
        </w:rPr>
        <w:t>W</w:t>
      </w:r>
      <w:r w:rsidRPr="00370948">
        <w:rPr>
          <w:rFonts w:ascii="Book Antiqua" w:hAnsi="Book Antiqua"/>
          <w:sz w:val="20"/>
        </w:rPr>
        <w:t>e seem to see far more of the type of system where the planet material was ejected from the parent star than we see of examples of our own type of solar system.  This may simply be because it is easier to spot the former type using the techniques we currently have.</w:t>
      </w:r>
      <w:r>
        <w:rPr>
          <w:rFonts w:ascii="Book Antiqua" w:hAnsi="Book Antiqua"/>
          <w:sz w:val="20"/>
        </w:rPr>
        <w:t xml:space="preserve"> Further data are needed before the most common planet formation method is discerned.</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br/>
      </w:r>
      <w:r w:rsidRPr="00370948">
        <w:rPr>
          <w:rFonts w:ascii="Book Antiqua" w:hAnsi="Book Antiqua"/>
          <w:sz w:val="20"/>
        </w:rPr>
        <w:tab/>
        <w:t xml:space="preserve">There is a third possible method of solar </w:t>
      </w:r>
      <w:r w:rsidRPr="00CF4CE0">
        <w:rPr>
          <w:rFonts w:ascii="Book Antiqua" w:hAnsi="Book Antiqua"/>
          <w:sz w:val="20"/>
        </w:rPr>
        <w:t>system formation</w:t>
      </w:r>
      <w:r>
        <w:rPr>
          <w:rFonts w:ascii="Book Antiqua" w:hAnsi="Book Antiqua"/>
          <w:sz w:val="20"/>
        </w:rPr>
        <w:t xml:space="preserve"> common to both the gravitational and plasma models</w:t>
      </w:r>
      <w:r w:rsidRPr="00370948">
        <w:rPr>
          <w:rFonts w:ascii="Book Antiqua" w:hAnsi="Book Antiqua"/>
          <w:sz w:val="20"/>
        </w:rPr>
        <w:t>:  the capture of "rogue planets."  These are bodies which had been wandering through space on their own and may have been previously unattached. There is increasing evidence that such "rogue planets" may exist. Indeed, the calculation has been made that some 400 billion Jupiter-sized rogue planets may inhabit our galaxy [73, 74]. Some suggest that capture of some of these may have helped form our own solar system, but the orbital mechanics of the situation seems to mitigate against this.  All our planets are orbiting in the same plane and direction and have nearly circular orbits.  A captured planet would be expected to have a highly elliptical orbit inclined at an angle to the plane in which the other planets are orbiting as many comets do.</w:t>
      </w:r>
    </w:p>
    <w:p w:rsidR="005359B2" w:rsidRPr="00370948" w:rsidRDefault="005359B2" w:rsidP="005359B2">
      <w:pPr>
        <w:pStyle w:val="NoSpacing"/>
        <w:jc w:val="both"/>
        <w:rPr>
          <w:rFonts w:ascii="Book Antiqua" w:hAnsi="Book Antiqua"/>
          <w:sz w:val="20"/>
        </w:rPr>
      </w:pPr>
    </w:p>
    <w:p w:rsidR="005359B2" w:rsidRPr="000F4A13" w:rsidRDefault="005359B2" w:rsidP="005359B2">
      <w:pPr>
        <w:pStyle w:val="NoSpacing"/>
        <w:jc w:val="both"/>
        <w:rPr>
          <w:rFonts w:ascii="Book Antiqua" w:hAnsi="Book Antiqua"/>
          <w:b/>
          <w:bCs/>
          <w:iCs/>
          <w:color w:val="000000"/>
          <w:sz w:val="20"/>
        </w:rPr>
      </w:pPr>
      <w:r>
        <w:rPr>
          <w:rFonts w:ascii="Book Antiqua" w:hAnsi="Book Antiqua"/>
          <w:b/>
          <w:bCs/>
          <w:iCs/>
          <w:color w:val="000000"/>
          <w:sz w:val="20"/>
        </w:rPr>
        <w:t>10</w:t>
      </w:r>
      <w:r w:rsidRPr="000F4A13">
        <w:rPr>
          <w:rFonts w:ascii="Book Antiqua" w:hAnsi="Book Antiqua"/>
          <w:b/>
          <w:bCs/>
          <w:iCs/>
          <w:color w:val="000000"/>
          <w:sz w:val="20"/>
        </w:rPr>
        <w:t>. Our Solar System.</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Evidence from plasma physics, coupled with planetary composition, seems to indicate that our solar system formed as a unit. To understand why, first consider the filament from which our solar system may have formed. Let us envisage this filament undergoing a filamentation-mode instability plus a Bennett pinch. There is then a major central filament, which will eventually produce the sun, and some more minor filaments from near the center out to the edge that will form the planets as a result of the pinch and compression. This process forms spherical plamoids.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The Marklund convection, or sorting of elements by ionization potential, will be occurring simultaneously for both the major and minor filaments.  As the pinch and compression continue, layering will also occur within the spherical plasmoids of the forming planets. The types of ions which are available for this sorting and planetary layering will be mainly determined by the processes operating in the major filament. The final result for any planet will be a combination </w:t>
      </w:r>
      <w:r w:rsidRPr="00370948">
        <w:rPr>
          <w:rFonts w:ascii="Book Antiqua" w:hAnsi="Book Antiqua"/>
          <w:sz w:val="20"/>
        </w:rPr>
        <w:lastRenderedPageBreak/>
        <w:t xml:space="preserve">of sorting in the main filament as well as the sorting in the lesser one from which the planet formed. The sequence of element layering was given </w:t>
      </w:r>
      <w:r w:rsidRPr="0079588C">
        <w:rPr>
          <w:rFonts w:ascii="Book Antiqua" w:hAnsi="Book Antiqua"/>
          <w:sz w:val="20"/>
        </w:rPr>
        <w:t>previously with this diagram:</w:t>
      </w:r>
    </w:p>
    <w:p w:rsidR="005359B2" w:rsidRPr="00370948" w:rsidRDefault="005359B2" w:rsidP="005359B2">
      <w:pPr>
        <w:pStyle w:val="NoSpacing"/>
        <w:jc w:val="center"/>
        <w:rPr>
          <w:rFonts w:ascii="Book Antiqua" w:hAnsi="Book Antiqua"/>
          <w:sz w:val="20"/>
        </w:rPr>
      </w:pPr>
      <w:r w:rsidRPr="00370948">
        <w:rPr>
          <w:rFonts w:ascii="Book Antiqua" w:hAnsi="Book Antiqua"/>
          <w:sz w:val="20"/>
        </w:rPr>
        <w:object w:dxaOrig="7191" w:dyaOrig="5390">
          <v:shape id="_x0000_i1051" type="#_x0000_t75" style="width:450.15pt;height:311.6pt" o:ole="">
            <v:imagedata r:id="rId289" o:title=""/>
          </v:shape>
          <o:OLEObject Type="Embed" ProgID="PowerPoint.Slide.12" ShapeID="_x0000_i1051" DrawAspect="Content" ObjectID="_1438188863" r:id="rId314"/>
        </w:object>
      </w:r>
    </w:p>
    <w:p w:rsidR="005359B2" w:rsidRPr="00370948" w:rsidRDefault="005359B2" w:rsidP="005359B2">
      <w:pPr>
        <w:pStyle w:val="NoSpacing"/>
        <w:rPr>
          <w:rFonts w:ascii="Book Antiqua" w:hAnsi="Book Antiqua"/>
          <w:b/>
          <w:i/>
          <w:sz w:val="20"/>
        </w:rPr>
      </w:pPr>
    </w:p>
    <w:p w:rsidR="005359B2" w:rsidRPr="0020742E" w:rsidRDefault="005359B2" w:rsidP="005359B2">
      <w:pPr>
        <w:pStyle w:val="NoSpacing"/>
        <w:rPr>
          <w:rFonts w:ascii="Book Antiqua" w:hAnsi="Book Antiqua"/>
          <w:i/>
          <w:sz w:val="18"/>
          <w:szCs w:val="18"/>
        </w:rPr>
      </w:pPr>
      <w:r w:rsidRPr="0020742E">
        <w:rPr>
          <w:rFonts w:ascii="Book Antiqua" w:hAnsi="Book Antiqua"/>
          <w:b/>
          <w:i/>
          <w:sz w:val="18"/>
          <w:szCs w:val="18"/>
        </w:rPr>
        <w:t xml:space="preserve">Figure </w:t>
      </w:r>
      <w:r>
        <w:rPr>
          <w:rFonts w:ascii="Book Antiqua" w:hAnsi="Book Antiqua"/>
          <w:b/>
          <w:i/>
          <w:sz w:val="18"/>
          <w:szCs w:val="18"/>
        </w:rPr>
        <w:t>25</w:t>
      </w:r>
      <w:r w:rsidRPr="0020742E">
        <w:rPr>
          <w:rFonts w:ascii="Book Antiqua" w:hAnsi="Book Antiqua"/>
          <w:b/>
          <w:i/>
          <w:sz w:val="18"/>
          <w:szCs w:val="18"/>
        </w:rPr>
        <w:t>:</w:t>
      </w:r>
      <w:r w:rsidRPr="0020742E">
        <w:rPr>
          <w:rFonts w:ascii="Book Antiqua" w:hAnsi="Book Antiqua"/>
          <w:i/>
          <w:sz w:val="18"/>
          <w:szCs w:val="18"/>
        </w:rPr>
        <w:t xml:space="preserve"> Element sorting sequence by Marklund Convection</w:t>
      </w:r>
      <w:r>
        <w:rPr>
          <w:rFonts w:ascii="Book Antiqua" w:hAnsi="Book Antiqua"/>
          <w:i/>
          <w:sz w:val="18"/>
          <w:szCs w:val="18"/>
        </w:rPr>
        <w:t xml:space="preserve"> is based on ionization potential. The most easily ionized element (iron) is at the center while the most difficult to ionize (helium) is concentrated in the outer parts of the filament.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This sorting of elements within a plasma pinch is evident in our solar system. The in</w:t>
      </w:r>
      <w:r>
        <w:rPr>
          <w:rFonts w:ascii="Book Antiqua" w:hAnsi="Book Antiqua"/>
          <w:sz w:val="20"/>
        </w:rPr>
        <w:t>ner</w:t>
      </w:r>
      <w:r w:rsidRPr="00370948">
        <w:rPr>
          <w:rFonts w:ascii="Book Antiqua" w:hAnsi="Book Antiqua"/>
          <w:sz w:val="20"/>
        </w:rPr>
        <w:t xml:space="preserve"> planets -- those near the center of the major filament – are composed of large quantities of nickel-iron and silicates. This would be expected.  Mercury is predominantly a huge iron core, which occupies some 85% of the</w:t>
      </w:r>
      <w:r>
        <w:rPr>
          <w:rFonts w:ascii="Book Antiqua" w:hAnsi="Book Antiqua"/>
          <w:sz w:val="20"/>
        </w:rPr>
        <w:t xml:space="preserve"> </w:t>
      </w:r>
      <w:r w:rsidRPr="00370948">
        <w:rPr>
          <w:rFonts w:ascii="Book Antiqua" w:hAnsi="Book Antiqua"/>
          <w:sz w:val="20"/>
        </w:rPr>
        <w:t xml:space="preserve">planet’s diameter, overlaid by a shell of iron sulphide and silicates [75]. Venus is harder to discuss as we are still trying to find out more about this planet.  The iron core of Earth is less in proportion to that of Mercury, occupying only 55% of the diameter, while that of Mars is lower again at 50% of the planet’s diameter. At the same time, the silicate mantles increase in size as we go out from Mercury to Mars.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Between Mars and Jupiter is the asteroid belt.  This appears to be the shattered remnants of an old planet and its moon.  If this is true, then what we should find in these asteroid fragments are small amounts of nickel-iron and larger amounts of silicates as well as a good percentage of water.  This is borne out by the compositions of the various meteorites and asteroids that have been studied. Water content ranges up to 20% in some cases.</w:t>
      </w:r>
      <w:r>
        <w:rPr>
          <w:rFonts w:ascii="Book Antiqua" w:hAnsi="Book Antiqua"/>
          <w:sz w:val="20"/>
        </w:rPr>
        <w:t xml:space="preserve"> Asteroids are discussed in Chapter 9.</w:t>
      </w:r>
    </w:p>
    <w:p w:rsidR="005359B2" w:rsidRDefault="005359B2" w:rsidP="005359B2">
      <w:pPr>
        <w:pStyle w:val="NoSpacing"/>
        <w:jc w:val="both"/>
        <w:rPr>
          <w:rFonts w:ascii="Book Antiqua" w:hAnsi="Book Antiqua"/>
          <w:sz w:val="20"/>
        </w:rPr>
      </w:pPr>
      <w:r w:rsidRPr="00370948">
        <w:rPr>
          <w:rFonts w:ascii="Book Antiqua" w:hAnsi="Book Antiqua"/>
          <w:sz w:val="20"/>
        </w:rPr>
        <w:t xml:space="preserve"> </w:t>
      </w: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Farther out in our solar system, Jupiter and Saturn only have small quantities of nickel-iron in their cores.  The cores themselves are largely composed of silicates surrounded by water ice. Their mantles are mainly liquid metallic hydrogen with atmospheres of hydrogen, some helium, and small quantities of nitrogen compounds. Continuing out past Jupiter and Saturn are Uranus and Neptune, whose basic structures are similar to Jupiter and Saturn.  A significant difference is that each has an extensive layer of highly compressed water in which is dissolved a large quantity of nitrogen in the form of ammonia. The main trend is </w:t>
      </w:r>
      <w:r>
        <w:rPr>
          <w:rFonts w:ascii="Book Antiqua" w:hAnsi="Book Antiqua"/>
          <w:sz w:val="20"/>
        </w:rPr>
        <w:t xml:space="preserve">thus </w:t>
      </w:r>
      <w:r w:rsidRPr="00370948">
        <w:rPr>
          <w:rFonts w:ascii="Book Antiqua" w:hAnsi="Book Antiqua"/>
          <w:sz w:val="20"/>
        </w:rPr>
        <w:t xml:space="preserve">very clear: each planet is not only layered in and of itself, but the planets are layered in their order out from the sun.  </w:t>
      </w:r>
      <w:r w:rsidRPr="00CF4CE0">
        <w:rPr>
          <w:rFonts w:ascii="Book Antiqua" w:hAnsi="Book Antiqua"/>
          <w:sz w:val="20"/>
        </w:rPr>
        <w:t xml:space="preserve">In </w:t>
      </w:r>
      <w:r>
        <w:rPr>
          <w:rFonts w:ascii="Book Antiqua" w:hAnsi="Book Antiqua"/>
          <w:sz w:val="20"/>
        </w:rPr>
        <w:t>every case</w:t>
      </w:r>
      <w:r w:rsidRPr="00370948">
        <w:rPr>
          <w:rFonts w:ascii="Book Antiqua" w:hAnsi="Book Antiqua"/>
          <w:sz w:val="20"/>
        </w:rPr>
        <w:t>, the ionization potential is followed.</w:t>
      </w:r>
    </w:p>
    <w:p w:rsidR="005359B2" w:rsidRDefault="005359B2" w:rsidP="005359B2">
      <w:pPr>
        <w:pStyle w:val="NoSpacing"/>
        <w:jc w:val="both"/>
        <w:rPr>
          <w:rFonts w:ascii="Book Antiqua" w:hAnsi="Book Antiqua"/>
          <w:sz w:val="20"/>
        </w:rPr>
      </w:pPr>
      <w:r w:rsidRPr="00370948">
        <w:rPr>
          <w:rFonts w:ascii="Book Antiqua" w:hAnsi="Book Antiqua"/>
          <w:sz w:val="20"/>
        </w:rPr>
        <w:lastRenderedPageBreak/>
        <w:tab/>
      </w: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This spherical  layering effect did not result in a molten planets or moons because the final stage of Marklund convection is not ions, but cool, neutral atoms. In contrast, the gravitational model states the earth became completely molten at the time of an ‘iron catastrophe,’ and it was this which resulted in the layering of the earth’s interior.  However, zircons from the Jack Hills area of Western Australia indicate that the earth was cool with an ocean and hydrological cycle operating during the time it was meant to be molten, 4.3 to 3.8 billion atomic years ago [76, 77].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The</w:t>
      </w:r>
      <w:r w:rsidRPr="00370948">
        <w:rPr>
          <w:rFonts w:ascii="Book Antiqua" w:hAnsi="Book Antiqua"/>
          <w:sz w:val="20"/>
        </w:rPr>
        <w:t xml:space="preserve"> second reason why a sphere sorted or layered by Marklund convection would not result in high temperatures either internally or on the surface is that the properties of the vacuum were different in the early universe history, as previously shown. This difference resulted in the energy density of radiation, including heat radiation, being lower when the ZPE strength was lower. The outcome was that planets started off layered with cool interiors and surfaces. They then heated up due to rapid radioactive decay deep in their interiors.  The radioactive decay would have involved both long and short half-life elements, so the heat produced would have built rapidly.  This heating resulted in a predictable series of events in the inner solar system, as discussed in the next section</w:t>
      </w:r>
      <w:r>
        <w:rPr>
          <w:rFonts w:ascii="Book Antiqua" w:hAnsi="Book Antiqua"/>
          <w:sz w:val="20"/>
        </w:rPr>
        <w:t xml:space="preserve"> on planetary geology</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In summary, t</w:t>
      </w:r>
      <w:r w:rsidRPr="00370948">
        <w:rPr>
          <w:rFonts w:ascii="Book Antiqua" w:hAnsi="Book Antiqua"/>
          <w:sz w:val="20"/>
        </w:rPr>
        <w:t xml:space="preserve">he Bennett pinch, coupled with the sorting of elements in plasma filaments, which follows ionization sequences, explains not only the predominant composition of the members of the solar system as we go out from the sun, but it also gives us the answer to a problem the standard model has with the earth’s geology.  </w:t>
      </w:r>
      <w:r w:rsidRPr="00CF4CE0">
        <w:rPr>
          <w:rFonts w:ascii="Book Antiqua" w:hAnsi="Book Antiqua"/>
          <w:sz w:val="20"/>
        </w:rPr>
        <w:t>The electromagnetic properties of the early cosmos indicate that the original planets were not molten, but began as relatively cool bodies with heating originating internally due to radioactive decay of the most easily ionized elements which had been layered in their cores.</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electromagnetic processes operating in plasma filaments are exponentially stronger than gravity and so will operate on a much faster scale.  This must be combined with the lower ZPE strength at the inception of the cosmos. When this is done, it may be safely assumed that </w:t>
      </w:r>
      <w:r>
        <w:rPr>
          <w:rFonts w:ascii="Book Antiqua" w:hAnsi="Book Antiqua"/>
          <w:sz w:val="20"/>
        </w:rPr>
        <w:t xml:space="preserve">the </w:t>
      </w:r>
      <w:r w:rsidRPr="00370948">
        <w:rPr>
          <w:rFonts w:ascii="Book Antiqua" w:hAnsi="Book Antiqua"/>
          <w:sz w:val="20"/>
        </w:rPr>
        <w:t xml:space="preserve">processes </w:t>
      </w:r>
      <w:r>
        <w:rPr>
          <w:rFonts w:ascii="Book Antiqua" w:hAnsi="Book Antiqua"/>
          <w:sz w:val="20"/>
        </w:rPr>
        <w:t xml:space="preserve">which </w:t>
      </w:r>
      <w:r w:rsidRPr="00370948">
        <w:rPr>
          <w:rFonts w:ascii="Book Antiqua" w:hAnsi="Book Antiqua"/>
          <w:sz w:val="20"/>
        </w:rPr>
        <w:t xml:space="preserve">were in operation were rapid enough to overcome the astronomical problems outlined by James Trefil </w:t>
      </w:r>
      <w:r w:rsidRPr="00CF4CE0">
        <w:rPr>
          <w:rFonts w:ascii="Book Antiqua" w:hAnsi="Book Antiqua"/>
          <w:sz w:val="20"/>
        </w:rPr>
        <w:t xml:space="preserve">in </w:t>
      </w:r>
      <w:r w:rsidRPr="00CF4CE0">
        <w:rPr>
          <w:rFonts w:ascii="Book Antiqua" w:hAnsi="Book Antiqua"/>
          <w:i/>
          <w:sz w:val="20"/>
        </w:rPr>
        <w:t>The Dark Side of the Universe</w:t>
      </w:r>
      <w:r>
        <w:rPr>
          <w:rFonts w:ascii="Book Antiqua" w:hAnsi="Book Antiqua"/>
          <w:sz w:val="20"/>
        </w:rPr>
        <w:t xml:space="preserve"> </w:t>
      </w:r>
      <w:r w:rsidRPr="00CF4CE0">
        <w:rPr>
          <w:rFonts w:ascii="Book Antiqua" w:hAnsi="Book Antiqua"/>
          <w:sz w:val="20"/>
        </w:rPr>
        <w:t>[59]</w:t>
      </w:r>
      <w:r w:rsidRPr="00370948">
        <w:rPr>
          <w:rFonts w:ascii="Book Antiqua" w:hAnsi="Book Antiqua"/>
          <w:sz w:val="20"/>
        </w:rPr>
        <w:t xml:space="preserve"> </w:t>
      </w:r>
      <w:r>
        <w:rPr>
          <w:rFonts w:ascii="Book Antiqua" w:hAnsi="Book Antiqua"/>
          <w:sz w:val="20"/>
        </w:rPr>
        <w:t>as well as</w:t>
      </w:r>
      <w:r w:rsidRPr="00370948">
        <w:rPr>
          <w:rFonts w:ascii="Book Antiqua" w:hAnsi="Book Antiqua"/>
          <w:sz w:val="20"/>
        </w:rPr>
        <w:t xml:space="preserve"> the problems </w:t>
      </w:r>
      <w:r w:rsidRPr="00CF4CE0">
        <w:rPr>
          <w:rFonts w:ascii="Book Antiqua" w:hAnsi="Book Antiqua"/>
          <w:sz w:val="20"/>
        </w:rPr>
        <w:t>that geology has encountered</w:t>
      </w:r>
      <w:r>
        <w:rPr>
          <w:rFonts w:ascii="Book Antiqua" w:hAnsi="Book Antiqua"/>
          <w:sz w:val="20"/>
        </w:rPr>
        <w:t>.</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36263">
        <w:rPr>
          <w:rFonts w:ascii="Book Antiqua" w:hAnsi="Book Antiqua"/>
          <w:b/>
          <w:bCs/>
          <w:iCs/>
          <w:color w:val="000000"/>
          <w:sz w:val="20"/>
        </w:rPr>
        <w:t>11.  A ZPE Model for Planetary Geology</w:t>
      </w:r>
    </w:p>
    <w:p w:rsidR="005359B2" w:rsidRPr="00370948" w:rsidRDefault="005359B2" w:rsidP="005359B2">
      <w:pPr>
        <w:pStyle w:val="NoSpacing"/>
        <w:ind w:left="720"/>
        <w:rPr>
          <w:rFonts w:ascii="Book Antiqua" w:hAnsi="Book Antiqua"/>
          <w:b/>
          <w:bCs/>
          <w:iCs/>
          <w:color w:val="000000"/>
          <w:sz w:val="20"/>
        </w:rPr>
      </w:pPr>
    </w:p>
    <w:p w:rsidR="005359B2" w:rsidRPr="00370948" w:rsidRDefault="005359B2" w:rsidP="005359B2">
      <w:pPr>
        <w:pStyle w:val="NoSpacing"/>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.1. Planetary Magnetic Fields and Reversals.</w:t>
      </w: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T</w:t>
      </w:r>
      <w:r w:rsidRPr="00F23192">
        <w:rPr>
          <w:rFonts w:ascii="Book Antiqua" w:hAnsi="Book Antiqua"/>
          <w:sz w:val="20"/>
        </w:rPr>
        <w:t>he foregoing discussion on Marklund convection</w:t>
      </w:r>
      <w:r>
        <w:rPr>
          <w:rFonts w:ascii="Book Antiqua" w:hAnsi="Book Antiqua"/>
          <w:sz w:val="20"/>
        </w:rPr>
        <w:t xml:space="preserve"> indicates</w:t>
      </w:r>
      <w:r w:rsidRPr="00F23192">
        <w:rPr>
          <w:rFonts w:ascii="Book Antiqua" w:hAnsi="Book Antiqua"/>
          <w:sz w:val="20"/>
        </w:rPr>
        <w:t xml:space="preserve"> that </w:t>
      </w:r>
      <w:r>
        <w:rPr>
          <w:rFonts w:ascii="Book Antiqua" w:hAnsi="Book Antiqua"/>
          <w:sz w:val="20"/>
        </w:rPr>
        <w:t xml:space="preserve">in the </w:t>
      </w:r>
      <w:r w:rsidRPr="00F23192">
        <w:rPr>
          <w:rFonts w:ascii="Book Antiqua" w:hAnsi="Book Antiqua"/>
          <w:sz w:val="20"/>
        </w:rPr>
        <w:t xml:space="preserve">plasma model planets will </w:t>
      </w:r>
      <w:r>
        <w:rPr>
          <w:rFonts w:ascii="Book Antiqua" w:hAnsi="Book Antiqua"/>
          <w:sz w:val="20"/>
        </w:rPr>
        <w:t>begin</w:t>
      </w:r>
      <w:r w:rsidRPr="00F23192">
        <w:rPr>
          <w:rFonts w:ascii="Book Antiqua" w:hAnsi="Book Antiqua"/>
          <w:sz w:val="20"/>
        </w:rPr>
        <w:t xml:space="preserve"> layered and </w:t>
      </w:r>
      <w:r>
        <w:rPr>
          <w:rFonts w:ascii="Book Antiqua" w:hAnsi="Book Antiqua"/>
          <w:sz w:val="20"/>
        </w:rPr>
        <w:t xml:space="preserve">relatively </w:t>
      </w:r>
      <w:r w:rsidRPr="00F23192">
        <w:rPr>
          <w:rFonts w:ascii="Book Antiqua" w:hAnsi="Book Antiqua"/>
          <w:sz w:val="20"/>
        </w:rPr>
        <w:t>cool, with solid iron cores</w:t>
      </w:r>
      <w:r>
        <w:rPr>
          <w:rFonts w:ascii="Book Antiqua" w:hAnsi="Book Antiqua"/>
          <w:sz w:val="20"/>
        </w:rPr>
        <w:t>.</w:t>
      </w:r>
      <w:r w:rsidRPr="00F23192">
        <w:rPr>
          <w:rFonts w:ascii="Book Antiqua" w:hAnsi="Book Antiqua"/>
          <w:sz w:val="20"/>
        </w:rPr>
        <w:t xml:space="preserve"> </w:t>
      </w:r>
      <w:r>
        <w:rPr>
          <w:rFonts w:ascii="Book Antiqua" w:hAnsi="Book Antiqua"/>
          <w:sz w:val="20"/>
        </w:rPr>
        <w:t>R</w:t>
      </w:r>
      <w:r w:rsidRPr="00F23192">
        <w:rPr>
          <w:rFonts w:ascii="Book Antiqua" w:hAnsi="Book Antiqua"/>
          <w:sz w:val="20"/>
        </w:rPr>
        <w:t xml:space="preserve">adioactive elements </w:t>
      </w:r>
      <w:r>
        <w:rPr>
          <w:rFonts w:ascii="Book Antiqua" w:hAnsi="Book Antiqua"/>
          <w:sz w:val="20"/>
        </w:rPr>
        <w:t xml:space="preserve">were </w:t>
      </w:r>
      <w:r w:rsidRPr="00F23192">
        <w:rPr>
          <w:rFonts w:ascii="Book Antiqua" w:hAnsi="Book Antiqua"/>
          <w:sz w:val="20"/>
        </w:rPr>
        <w:t xml:space="preserve">concentrated in the core and mantle regions. </w:t>
      </w:r>
      <w:r>
        <w:rPr>
          <w:rFonts w:ascii="Book Antiqua" w:hAnsi="Book Antiqua"/>
          <w:sz w:val="20"/>
        </w:rPr>
        <w:t xml:space="preserve"> The subsequent decay of the radioactive elements heated the cores of the planets.  This heating gradually spread outward from the core. </w:t>
      </w:r>
    </w:p>
    <w:p w:rsidR="005359B2" w:rsidRPr="00F23192"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The planets’ original</w:t>
      </w:r>
      <w:r w:rsidRPr="00F23192">
        <w:rPr>
          <w:rFonts w:ascii="Book Antiqua" w:hAnsi="Book Antiqua"/>
          <w:sz w:val="20"/>
        </w:rPr>
        <w:t xml:space="preserve"> magnetic fields were </w:t>
      </w:r>
      <w:r>
        <w:rPr>
          <w:rFonts w:ascii="Book Antiqua" w:hAnsi="Book Antiqua"/>
          <w:sz w:val="20"/>
        </w:rPr>
        <w:t>locked in by</w:t>
      </w:r>
      <w:r w:rsidRPr="00F23192">
        <w:rPr>
          <w:rFonts w:ascii="Book Antiqua" w:hAnsi="Book Antiqua"/>
          <w:sz w:val="20"/>
        </w:rPr>
        <w:t xml:space="preserve"> the Bennett pinch of the plasma filament from which </w:t>
      </w:r>
      <w:r>
        <w:rPr>
          <w:rFonts w:ascii="Book Antiqua" w:hAnsi="Book Antiqua"/>
          <w:sz w:val="20"/>
        </w:rPr>
        <w:t>they</w:t>
      </w:r>
      <w:r w:rsidRPr="00F23192">
        <w:rPr>
          <w:rFonts w:ascii="Book Antiqua" w:hAnsi="Book Antiqua"/>
          <w:sz w:val="20"/>
        </w:rPr>
        <w:t xml:space="preserve"> formed. On Earth, th</w:t>
      </w:r>
      <w:r>
        <w:rPr>
          <w:rFonts w:ascii="Book Antiqua" w:hAnsi="Book Antiqua"/>
          <w:sz w:val="20"/>
        </w:rPr>
        <w:t>e</w:t>
      </w:r>
      <w:r w:rsidRPr="00F23192">
        <w:rPr>
          <w:rFonts w:ascii="Book Antiqua" w:hAnsi="Book Antiqua"/>
          <w:sz w:val="20"/>
        </w:rPr>
        <w:t xml:space="preserve"> primordial field </w:t>
      </w:r>
      <w:r>
        <w:rPr>
          <w:rFonts w:ascii="Book Antiqua" w:hAnsi="Book Antiqua"/>
          <w:sz w:val="20"/>
        </w:rPr>
        <w:t>was</w:t>
      </w:r>
      <w:r w:rsidRPr="00F23192">
        <w:rPr>
          <w:rFonts w:ascii="Book Antiqua" w:hAnsi="Book Antiqua"/>
          <w:sz w:val="20"/>
        </w:rPr>
        <w:t xml:space="preserve"> different from </w:t>
      </w:r>
      <w:r>
        <w:rPr>
          <w:rFonts w:ascii="Book Antiqua" w:hAnsi="Book Antiqua"/>
          <w:sz w:val="20"/>
        </w:rPr>
        <w:t>the present magnetic field</w:t>
      </w:r>
      <w:r w:rsidRPr="00F23192">
        <w:rPr>
          <w:rFonts w:ascii="Book Antiqua" w:hAnsi="Book Antiqua"/>
          <w:sz w:val="20"/>
        </w:rPr>
        <w:t xml:space="preserve">. As the ZPE strength built up, the electric currents in the core declined in strength and the primordial magnetic field decayed. </w:t>
      </w:r>
      <w:r>
        <w:rPr>
          <w:rFonts w:ascii="Book Antiqua" w:hAnsi="Book Antiqua"/>
          <w:sz w:val="20"/>
        </w:rPr>
        <w:t>Concurrently, as radioactive heating increased the Earth’s core temperature, the increasing heat caused the outer core to become liquid.  The building heat caused the ionization of some atoms in the outer core. The differential rotation between the outer and inner cores caused turbulence in the outer core. These combined factors created electric currents from the turbulent motion of ions and electrons.  This, combined with a small residual from the primordial magnetic field, allowed the dynamo currents we have now to begin.</w:t>
      </w:r>
    </w:p>
    <w:p w:rsidR="005359B2" w:rsidRPr="00F23192" w:rsidRDefault="005359B2" w:rsidP="005359B2">
      <w:pPr>
        <w:pStyle w:val="NoSpacing"/>
        <w:jc w:val="both"/>
        <w:rPr>
          <w:rFonts w:ascii="Book Antiqua" w:hAnsi="Book Antiqua"/>
          <w:sz w:val="20"/>
        </w:rPr>
      </w:pPr>
    </w:p>
    <w:p w:rsidR="005359B2" w:rsidRPr="00F23192" w:rsidRDefault="005359B2" w:rsidP="005359B2">
      <w:pPr>
        <w:pStyle w:val="NoSpacing"/>
        <w:ind w:firstLine="720"/>
        <w:jc w:val="both"/>
        <w:rPr>
          <w:rFonts w:ascii="Book Antiqua" w:hAnsi="Book Antiqua"/>
          <w:sz w:val="20"/>
        </w:rPr>
      </w:pPr>
      <w:r w:rsidRPr="00F23192">
        <w:rPr>
          <w:rFonts w:ascii="Book Antiqua" w:hAnsi="Book Antiqua"/>
          <w:sz w:val="20"/>
        </w:rPr>
        <w:t xml:space="preserve">Experiments have shown that it is through </w:t>
      </w:r>
      <w:r>
        <w:rPr>
          <w:rFonts w:ascii="Book Antiqua" w:hAnsi="Book Antiqua"/>
          <w:sz w:val="20"/>
        </w:rPr>
        <w:t xml:space="preserve">such turbulent </w:t>
      </w:r>
      <w:r w:rsidRPr="00F23192">
        <w:rPr>
          <w:rFonts w:ascii="Book Antiqua" w:hAnsi="Book Antiqua"/>
          <w:sz w:val="20"/>
        </w:rPr>
        <w:t xml:space="preserve">currents that magnetic fields are produced. Generally speaking, the more turbulent the flow, the </w:t>
      </w:r>
      <w:r>
        <w:rPr>
          <w:rFonts w:ascii="Book Antiqua" w:hAnsi="Book Antiqua"/>
          <w:sz w:val="20"/>
        </w:rPr>
        <w:t>stronger the current</w:t>
      </w:r>
      <w:r w:rsidRPr="00F23192">
        <w:rPr>
          <w:rFonts w:ascii="Book Antiqua" w:hAnsi="Book Antiqua"/>
          <w:sz w:val="20"/>
        </w:rPr>
        <w:t xml:space="preserve">. </w:t>
      </w:r>
      <w:r>
        <w:rPr>
          <w:rFonts w:ascii="Book Antiqua" w:hAnsi="Book Antiqua"/>
          <w:sz w:val="20"/>
        </w:rPr>
        <w:t xml:space="preserve"> However</w:t>
      </w:r>
      <w:r w:rsidRPr="00F23192">
        <w:rPr>
          <w:rFonts w:ascii="Book Antiqua" w:hAnsi="Book Antiqua"/>
          <w:sz w:val="20"/>
        </w:rPr>
        <w:t xml:space="preserve">, because of </w:t>
      </w:r>
      <w:r>
        <w:rPr>
          <w:rFonts w:ascii="Book Antiqua" w:hAnsi="Book Antiqua"/>
          <w:sz w:val="20"/>
        </w:rPr>
        <w:t>the initially l</w:t>
      </w:r>
      <w:r w:rsidRPr="00F23192">
        <w:rPr>
          <w:rFonts w:ascii="Book Antiqua" w:hAnsi="Book Antiqua"/>
          <w:sz w:val="20"/>
        </w:rPr>
        <w:t xml:space="preserve">ow ZPE, </w:t>
      </w:r>
      <w:r>
        <w:rPr>
          <w:rFonts w:ascii="Book Antiqua" w:hAnsi="Book Antiqua"/>
          <w:sz w:val="20"/>
        </w:rPr>
        <w:t xml:space="preserve">it only took small amounts of turbulence in the emerging outer core to produce </w:t>
      </w:r>
      <w:r w:rsidRPr="00F23192">
        <w:rPr>
          <w:rFonts w:ascii="Book Antiqua" w:hAnsi="Book Antiqua"/>
          <w:sz w:val="20"/>
        </w:rPr>
        <w:t xml:space="preserve">high </w:t>
      </w:r>
      <w:r>
        <w:rPr>
          <w:rFonts w:ascii="Book Antiqua" w:hAnsi="Book Antiqua"/>
          <w:sz w:val="20"/>
        </w:rPr>
        <w:t xml:space="preserve">electric </w:t>
      </w:r>
      <w:r w:rsidRPr="00F23192">
        <w:rPr>
          <w:rFonts w:ascii="Book Antiqua" w:hAnsi="Book Antiqua"/>
          <w:sz w:val="20"/>
        </w:rPr>
        <w:t>currents</w:t>
      </w:r>
      <w:r>
        <w:rPr>
          <w:rFonts w:ascii="Book Antiqua" w:hAnsi="Book Antiqua"/>
          <w:sz w:val="20"/>
        </w:rPr>
        <w:t>.</w:t>
      </w:r>
      <w:r w:rsidRPr="00F23192">
        <w:rPr>
          <w:rFonts w:ascii="Book Antiqua" w:hAnsi="Book Antiqua"/>
          <w:sz w:val="20"/>
        </w:rPr>
        <w:t xml:space="preserve"> </w:t>
      </w:r>
      <w:r>
        <w:rPr>
          <w:rFonts w:ascii="Book Antiqua" w:hAnsi="Book Antiqua"/>
          <w:sz w:val="20"/>
        </w:rPr>
        <w:t xml:space="preserve"> As a result</w:t>
      </w:r>
      <w:r w:rsidRPr="00F23192">
        <w:rPr>
          <w:rFonts w:ascii="Book Antiqua" w:hAnsi="Book Antiqua"/>
          <w:sz w:val="20"/>
        </w:rPr>
        <w:t xml:space="preserve">, although the initial </w:t>
      </w:r>
      <w:r>
        <w:rPr>
          <w:rFonts w:ascii="Book Antiqua" w:hAnsi="Book Antiqua"/>
          <w:sz w:val="20"/>
        </w:rPr>
        <w:t xml:space="preserve">magnetic </w:t>
      </w:r>
      <w:r w:rsidRPr="00F23192">
        <w:rPr>
          <w:rFonts w:ascii="Book Antiqua" w:hAnsi="Book Antiqua"/>
          <w:sz w:val="20"/>
        </w:rPr>
        <w:t xml:space="preserve">field was about the same strength as now, the turbulence producing it was </w:t>
      </w:r>
      <w:r>
        <w:rPr>
          <w:rFonts w:ascii="Book Antiqua" w:hAnsi="Book Antiqua"/>
          <w:sz w:val="20"/>
        </w:rPr>
        <w:t>much lower than today’s</w:t>
      </w:r>
      <w:r w:rsidRPr="00F23192">
        <w:rPr>
          <w:rFonts w:ascii="Book Antiqua" w:hAnsi="Book Antiqua"/>
          <w:sz w:val="20"/>
        </w:rPr>
        <w:t xml:space="preserve">. </w:t>
      </w:r>
      <w:r>
        <w:rPr>
          <w:rFonts w:ascii="Book Antiqua" w:hAnsi="Book Antiqua"/>
          <w:sz w:val="20"/>
        </w:rPr>
        <w:t>Then, a</w:t>
      </w:r>
      <w:r w:rsidRPr="00F23192">
        <w:rPr>
          <w:rFonts w:ascii="Book Antiqua" w:hAnsi="Book Antiqua"/>
          <w:sz w:val="20"/>
        </w:rPr>
        <w:t xml:space="preserve">s the ZPE built up, </w:t>
      </w:r>
      <w:r>
        <w:rPr>
          <w:rFonts w:ascii="Book Antiqua" w:hAnsi="Book Antiqua"/>
          <w:sz w:val="20"/>
        </w:rPr>
        <w:t xml:space="preserve">two things happened:  </w:t>
      </w:r>
      <w:r w:rsidRPr="00F23192">
        <w:rPr>
          <w:rFonts w:ascii="Book Antiqua" w:hAnsi="Book Antiqua"/>
          <w:sz w:val="20"/>
        </w:rPr>
        <w:t xml:space="preserve">current strengths dropped, but </w:t>
      </w:r>
      <w:r>
        <w:rPr>
          <w:rFonts w:ascii="Book Antiqua" w:hAnsi="Book Antiqua"/>
          <w:sz w:val="20"/>
        </w:rPr>
        <w:t xml:space="preserve">at the same time </w:t>
      </w:r>
      <w:r w:rsidRPr="00F23192">
        <w:rPr>
          <w:rFonts w:ascii="Book Antiqua" w:hAnsi="Book Antiqua"/>
          <w:sz w:val="20"/>
        </w:rPr>
        <w:t xml:space="preserve">the turbulence became more </w:t>
      </w:r>
      <w:r w:rsidRPr="00F23192">
        <w:rPr>
          <w:rFonts w:ascii="Book Antiqua" w:hAnsi="Book Antiqua"/>
          <w:sz w:val="20"/>
        </w:rPr>
        <w:lastRenderedPageBreak/>
        <w:t xml:space="preserve">pronounced as the molten core grew in size with radioactive heating. </w:t>
      </w:r>
      <w:r>
        <w:rPr>
          <w:rFonts w:ascii="Book Antiqua" w:hAnsi="Book Antiqua"/>
          <w:sz w:val="20"/>
        </w:rPr>
        <w:t>Thus</w:t>
      </w:r>
      <w:r w:rsidRPr="00F23192">
        <w:rPr>
          <w:rFonts w:ascii="Book Antiqua" w:hAnsi="Book Antiqua"/>
          <w:sz w:val="20"/>
        </w:rPr>
        <w:t xml:space="preserve"> the overall intensity has remained about the same. It seems that the two proces</w:t>
      </w:r>
      <w:r>
        <w:rPr>
          <w:rFonts w:ascii="Book Antiqua" w:hAnsi="Book Antiqua"/>
          <w:sz w:val="20"/>
        </w:rPr>
        <w:t>s</w:t>
      </w:r>
      <w:r w:rsidRPr="00F23192">
        <w:rPr>
          <w:rFonts w:ascii="Book Antiqua" w:hAnsi="Book Antiqua"/>
          <w:sz w:val="20"/>
        </w:rPr>
        <w:t>es were running parallel</w:t>
      </w:r>
      <w:r>
        <w:rPr>
          <w:rFonts w:ascii="Book Antiqua" w:hAnsi="Book Antiqua"/>
          <w:sz w:val="20"/>
        </w:rPr>
        <w:t>,</w:t>
      </w:r>
      <w:r w:rsidRPr="00F23192">
        <w:rPr>
          <w:rFonts w:ascii="Book Antiqua" w:hAnsi="Book Antiqua"/>
          <w:sz w:val="20"/>
        </w:rPr>
        <w:t xml:space="preserve"> allow</w:t>
      </w:r>
      <w:r>
        <w:rPr>
          <w:rFonts w:ascii="Book Antiqua" w:hAnsi="Book Antiqua"/>
          <w:sz w:val="20"/>
        </w:rPr>
        <w:t>ing</w:t>
      </w:r>
      <w:r w:rsidRPr="00F23192">
        <w:rPr>
          <w:rFonts w:ascii="Book Antiqua" w:hAnsi="Book Antiqua"/>
          <w:sz w:val="20"/>
        </w:rPr>
        <w:t xml:space="preserve"> the field strength to be maintained at approximately a constant level. </w:t>
      </w:r>
    </w:p>
    <w:p w:rsidR="005359B2" w:rsidRPr="00F23192" w:rsidRDefault="005359B2" w:rsidP="005359B2">
      <w:pPr>
        <w:pStyle w:val="NoSpacing"/>
        <w:jc w:val="both"/>
        <w:rPr>
          <w:rFonts w:ascii="Book Antiqua" w:hAnsi="Book Antiqua"/>
          <w:sz w:val="20"/>
        </w:rPr>
      </w:pPr>
    </w:p>
    <w:p w:rsidR="005359B2" w:rsidRPr="00F23192" w:rsidRDefault="005359B2" w:rsidP="005359B2">
      <w:pPr>
        <w:pStyle w:val="NoSpacing"/>
        <w:ind w:firstLine="720"/>
        <w:jc w:val="both"/>
        <w:rPr>
          <w:rFonts w:ascii="Book Antiqua" w:hAnsi="Book Antiqua"/>
          <w:sz w:val="20"/>
        </w:rPr>
      </w:pPr>
      <w:r w:rsidRPr="00F23192">
        <w:rPr>
          <w:rFonts w:ascii="Book Antiqua" w:hAnsi="Book Antiqua"/>
          <w:sz w:val="20"/>
        </w:rPr>
        <w:t xml:space="preserve">Therefore, in the case of the Earth at least, the magnetic field never attained extremely high values. </w:t>
      </w:r>
      <w:r>
        <w:rPr>
          <w:rFonts w:ascii="Book Antiqua" w:hAnsi="Book Antiqua"/>
          <w:sz w:val="20"/>
        </w:rPr>
        <w:t>(</w:t>
      </w:r>
      <w:r w:rsidRPr="00F23192">
        <w:rPr>
          <w:rFonts w:ascii="Book Antiqua" w:hAnsi="Book Antiqua"/>
          <w:sz w:val="20"/>
        </w:rPr>
        <w:t>The situation may have been different for the outer planets.</w:t>
      </w:r>
      <w:r>
        <w:rPr>
          <w:rFonts w:ascii="Book Antiqua" w:hAnsi="Book Antiqua"/>
          <w:sz w:val="20"/>
        </w:rPr>
        <w:t>)</w:t>
      </w:r>
      <w:r w:rsidRPr="00F23192">
        <w:rPr>
          <w:rFonts w:ascii="Book Antiqua" w:hAnsi="Book Antiqua"/>
          <w:sz w:val="20"/>
        </w:rPr>
        <w:t xml:space="preserve"> The data confirm this for the Earth as in Figure 2</w:t>
      </w:r>
      <w:r>
        <w:rPr>
          <w:rFonts w:ascii="Book Antiqua" w:hAnsi="Book Antiqua"/>
          <w:sz w:val="20"/>
        </w:rPr>
        <w:t>6</w:t>
      </w:r>
      <w:r w:rsidRPr="00F23192">
        <w:rPr>
          <w:rFonts w:ascii="Book Antiqua" w:hAnsi="Book Antiqua"/>
          <w:sz w:val="20"/>
        </w:rPr>
        <w:t>. This Figure is a plot of the relative magnetic moments of the earth’s field from rocks of various ages.</w:t>
      </w:r>
    </w:p>
    <w:p w:rsidR="005359B2" w:rsidRPr="00370948" w:rsidRDefault="005359B2" w:rsidP="005359B2">
      <w:pPr>
        <w:ind w:firstLine="720"/>
        <w:jc w:val="both"/>
        <w:rPr>
          <w:rFonts w:ascii="Book Antiqua" w:hAnsi="Book Antiqua"/>
        </w:rPr>
      </w:pPr>
      <w:r w:rsidRPr="00370948">
        <w:rPr>
          <w:rFonts w:ascii="Book Antiqua" w:hAnsi="Book Antiqua"/>
        </w:rPr>
        <w:t>.</w:t>
      </w:r>
    </w:p>
    <w:p w:rsidR="005359B2" w:rsidRPr="00370948" w:rsidRDefault="005359B2" w:rsidP="005359B2">
      <w:pPr>
        <w:ind w:firstLine="720"/>
        <w:jc w:val="both"/>
        <w:rPr>
          <w:rFonts w:ascii="Book Antiqua" w:hAnsi="Book Antiqua"/>
        </w:rPr>
      </w:pPr>
    </w:p>
    <w:p w:rsidR="005359B2" w:rsidRPr="00370948" w:rsidRDefault="005359B2" w:rsidP="005359B2">
      <w:pPr>
        <w:jc w:val="center"/>
        <w:rPr>
          <w:rFonts w:ascii="Book Antiqua" w:hAnsi="Book Antiqua"/>
        </w:rPr>
      </w:pPr>
      <w:r w:rsidRPr="00370948">
        <w:rPr>
          <w:rFonts w:ascii="Book Antiqua" w:hAnsi="Book Antiqua"/>
          <w:noProof/>
          <w:lang w:val="en-US"/>
        </w:rPr>
        <w:drawing>
          <wp:inline distT="0" distB="0" distL="0" distR="0">
            <wp:extent cx="3305175" cy="3933825"/>
            <wp:effectExtent l="19050" t="0" r="9525" b="0"/>
            <wp:docPr id="169" name="Picture 6" descr="http://ars.els-cdn.com/content/image/1-s2.0-S0264370702000492-gr2.gif"/>
            <wp:cNvGraphicFramePr/>
            <a:graphic xmlns:a="http://schemas.openxmlformats.org/drawingml/2006/main">
              <a:graphicData uri="http://schemas.openxmlformats.org/drawingml/2006/picture">
                <pic:pic xmlns:pic="http://schemas.openxmlformats.org/drawingml/2006/picture">
                  <pic:nvPicPr>
                    <pic:cNvPr id="5" name="irc_mi" descr="http://ars.els-cdn.com/content/image/1-s2.0-S0264370702000492-gr2.gif"/>
                    <pic:cNvPicPr/>
                  </pic:nvPicPr>
                  <pic:blipFill>
                    <a:blip r:embed="rId315" cstate="print"/>
                    <a:srcRect/>
                    <a:stretch>
                      <a:fillRect/>
                    </a:stretch>
                  </pic:blipFill>
                  <pic:spPr bwMode="auto">
                    <a:xfrm>
                      <a:off x="0" y="0"/>
                      <a:ext cx="3305175" cy="3933825"/>
                    </a:xfrm>
                    <a:prstGeom prst="rect">
                      <a:avLst/>
                    </a:prstGeom>
                    <a:noFill/>
                    <a:ln w="9525">
                      <a:noFill/>
                      <a:miter lim="800000"/>
                      <a:headEnd/>
                      <a:tailEnd/>
                    </a:ln>
                  </pic:spPr>
                </pic:pic>
              </a:graphicData>
            </a:graphic>
          </wp:inline>
        </w:drawing>
      </w:r>
    </w:p>
    <w:p w:rsidR="005359B2" w:rsidRPr="00370948" w:rsidRDefault="005359B2" w:rsidP="005359B2">
      <w:pPr>
        <w:rPr>
          <w:rFonts w:ascii="Book Antiqua" w:hAnsi="Book Antiqua"/>
          <w:b/>
          <w:i/>
        </w:rPr>
      </w:pPr>
    </w:p>
    <w:p w:rsidR="005359B2" w:rsidRPr="00230752" w:rsidRDefault="005359B2" w:rsidP="005359B2">
      <w:pPr>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6</w:t>
      </w:r>
      <w:r w:rsidRPr="00230752">
        <w:rPr>
          <w:rFonts w:ascii="Book Antiqua" w:hAnsi="Book Antiqua"/>
          <w:i/>
          <w:sz w:val="18"/>
          <w:szCs w:val="18"/>
        </w:rPr>
        <w:t>: The relative magnetic moment of the Earth’s magnetic field through geological time. The data indicate the field intensity varied within a basic range.</w:t>
      </w:r>
    </w:p>
    <w:p w:rsidR="005359B2" w:rsidRPr="00370948" w:rsidRDefault="005359B2" w:rsidP="005359B2">
      <w:pPr>
        <w:ind w:firstLine="720"/>
        <w:jc w:val="both"/>
        <w:rPr>
          <w:rFonts w:ascii="Book Antiqua" w:hAnsi="Book Antiqua"/>
        </w:rPr>
      </w:pPr>
    </w:p>
    <w:p w:rsidR="005359B2" w:rsidRPr="001A0924" w:rsidRDefault="005359B2" w:rsidP="005359B2">
      <w:pPr>
        <w:pStyle w:val="NoSpacing"/>
        <w:ind w:firstLine="720"/>
        <w:jc w:val="both"/>
        <w:rPr>
          <w:rFonts w:ascii="Book Antiqua" w:hAnsi="Book Antiqua"/>
          <w:sz w:val="20"/>
        </w:rPr>
      </w:pPr>
      <w:r>
        <w:rPr>
          <w:rFonts w:ascii="Book Antiqua" w:hAnsi="Book Antiqua"/>
          <w:sz w:val="20"/>
        </w:rPr>
        <w:t>This</w:t>
      </w:r>
      <w:r w:rsidRPr="001A0924">
        <w:rPr>
          <w:rFonts w:ascii="Book Antiqua" w:hAnsi="Book Antiqua"/>
          <w:sz w:val="20"/>
        </w:rPr>
        <w:t xml:space="preserve"> now raises questions about the reversals of the magnetic poles seen in geology. In addressing this question it should be noted that an important series of experiments was conducted which exhibited magnetic field reversals in a turbulent dynamo generated in a lab. </w:t>
      </w:r>
      <w:r w:rsidRPr="00193170">
        <w:rPr>
          <w:rFonts w:ascii="Book Antiqua" w:hAnsi="Book Antiqua"/>
          <w:sz w:val="20"/>
        </w:rPr>
        <w:t>“Magnetic field reversals in an experimental turbulent dynamo,”</w:t>
      </w:r>
      <w:r w:rsidRPr="001A0924">
        <w:rPr>
          <w:rFonts w:ascii="Book Antiqua" w:hAnsi="Book Antiqua"/>
          <w:sz w:val="20"/>
        </w:rPr>
        <w:t xml:space="preserve"> also confirms some </w:t>
      </w:r>
      <w:r>
        <w:rPr>
          <w:rFonts w:ascii="Book Antiqua" w:hAnsi="Book Antiqua"/>
          <w:sz w:val="20"/>
        </w:rPr>
        <w:t xml:space="preserve">similar </w:t>
      </w:r>
      <w:r w:rsidRPr="001A0924">
        <w:rPr>
          <w:rFonts w:ascii="Book Antiqua" w:hAnsi="Book Antiqua"/>
          <w:sz w:val="20"/>
        </w:rPr>
        <w:t>previous results [78].</w:t>
      </w:r>
    </w:p>
    <w:p w:rsidR="005359B2" w:rsidRPr="001A0924" w:rsidRDefault="005359B2" w:rsidP="005359B2">
      <w:pPr>
        <w:pStyle w:val="NoSpacing"/>
        <w:jc w:val="both"/>
        <w:rPr>
          <w:rFonts w:ascii="Book Antiqua" w:hAnsi="Book Antiqua"/>
          <w:sz w:val="20"/>
        </w:rPr>
      </w:pPr>
    </w:p>
    <w:p w:rsidR="005359B2" w:rsidRPr="001A0924" w:rsidRDefault="005359B2" w:rsidP="005359B2">
      <w:pPr>
        <w:pStyle w:val="NoSpacing"/>
        <w:jc w:val="both"/>
        <w:rPr>
          <w:rFonts w:ascii="Book Antiqua" w:hAnsi="Book Antiqua"/>
          <w:sz w:val="20"/>
        </w:rPr>
      </w:pPr>
      <w:r w:rsidRPr="001A0924">
        <w:rPr>
          <w:rFonts w:ascii="Book Antiqua" w:hAnsi="Book Antiqua"/>
          <w:sz w:val="20"/>
        </w:rPr>
        <w:t xml:space="preserve"> </w:t>
      </w:r>
      <w:r>
        <w:rPr>
          <w:rFonts w:ascii="Book Antiqua" w:hAnsi="Book Antiqua"/>
          <w:sz w:val="20"/>
        </w:rPr>
        <w:tab/>
      </w:r>
      <w:r w:rsidRPr="001A0924">
        <w:rPr>
          <w:rFonts w:ascii="Book Antiqua" w:hAnsi="Book Antiqua"/>
          <w:sz w:val="20"/>
        </w:rPr>
        <w:t xml:space="preserve">In that article, it is stated that </w:t>
      </w:r>
      <w:r w:rsidRPr="001A0924">
        <w:rPr>
          <w:rFonts w:ascii="Book Antiqua" w:hAnsi="Book Antiqua"/>
          <w:i/>
          <w:sz w:val="20"/>
        </w:rPr>
        <w:t>“reversals of magnetic field are correlated with the global energy budget of the flow. [When the] record shows short periods when [total power] P is much smaller than average...they always coincide with large variations in the magnetic field. Either a reversal occurs or the magnetic field decays and grows again with its direction unchanged. ... The variation of power consumption during the weakening of the magnetic field is in agreement with the power required to sustain a steady dynamo in the VKS2 experiment.”</w:t>
      </w:r>
      <w:r w:rsidRPr="001A0924">
        <w:rPr>
          <w:rFonts w:ascii="Book Antiqua" w:hAnsi="Book Antiqua"/>
          <w:sz w:val="20"/>
        </w:rPr>
        <w:t>[78]</w:t>
      </w:r>
    </w:p>
    <w:p w:rsidR="005359B2" w:rsidRPr="001A0924" w:rsidRDefault="005359B2" w:rsidP="005359B2">
      <w:pPr>
        <w:pStyle w:val="NoSpacing"/>
        <w:jc w:val="both"/>
        <w:rPr>
          <w:rFonts w:ascii="Book Antiqua" w:hAnsi="Book Antiqua"/>
          <w:sz w:val="20"/>
        </w:rPr>
      </w:pPr>
    </w:p>
    <w:p w:rsidR="005359B2" w:rsidRPr="001A0924" w:rsidRDefault="005359B2" w:rsidP="005359B2">
      <w:pPr>
        <w:pStyle w:val="NoSpacing"/>
        <w:ind w:firstLine="720"/>
        <w:jc w:val="both"/>
        <w:rPr>
          <w:rFonts w:ascii="Book Antiqua" w:hAnsi="Book Antiqua"/>
          <w:sz w:val="20"/>
        </w:rPr>
      </w:pPr>
      <w:r>
        <w:rPr>
          <w:rFonts w:ascii="Book Antiqua" w:hAnsi="Book Antiqua"/>
          <w:sz w:val="20"/>
        </w:rPr>
        <w:t>This means</w:t>
      </w:r>
      <w:r w:rsidRPr="001A0924">
        <w:rPr>
          <w:rFonts w:ascii="Book Antiqua" w:hAnsi="Book Antiqua"/>
          <w:sz w:val="20"/>
        </w:rPr>
        <w:t xml:space="preserve"> that a drop in the power flowing in the current circuit produces </w:t>
      </w:r>
      <w:r>
        <w:rPr>
          <w:rFonts w:ascii="Book Antiqua" w:hAnsi="Book Antiqua"/>
          <w:sz w:val="20"/>
        </w:rPr>
        <w:t>a</w:t>
      </w:r>
      <w:r w:rsidRPr="001A0924">
        <w:rPr>
          <w:rFonts w:ascii="Book Antiqua" w:hAnsi="Book Antiqua"/>
          <w:sz w:val="20"/>
        </w:rPr>
        <w:t xml:space="preserve"> polar reversal. It does not matter whether that power is dropping because of mechanical driving of the dynamo fluid (as in the experiment), or because the </w:t>
      </w:r>
      <w:r w:rsidRPr="001A0924">
        <w:rPr>
          <w:rFonts w:ascii="Book Antiqua" w:hAnsi="Book Antiqua"/>
          <w:sz w:val="20"/>
        </w:rPr>
        <w:lastRenderedPageBreak/>
        <w:t xml:space="preserve">strength of the electrical currents caused by the motion of those fluids is dropping. The option that concerns us here is that this is directly related to what we are looking at with an increasing ZPE. As the ZPE strength increases, the dynamo electric current drops and the magnetic field looses power and reverses. This is supported by other studies which show that </w:t>
      </w:r>
      <w:r w:rsidRPr="001A0924">
        <w:rPr>
          <w:rFonts w:ascii="Book Antiqua" w:hAnsi="Book Antiqua"/>
          <w:i/>
          <w:sz w:val="20"/>
        </w:rPr>
        <w:t>“A complex dynamo model reversal is compared with paleomagnetic  [data]. Both start with a gradual decrease of the dipole intensity, followed by a precursor reversal and transient polarity recovery, then a rapid dipole collapse and a final reversal that initiates with reverse flux generation in one hemisphere...”</w:t>
      </w:r>
      <w:r w:rsidRPr="001A0924">
        <w:rPr>
          <w:rFonts w:ascii="Book Antiqua" w:hAnsi="Book Antiqua"/>
          <w:sz w:val="20"/>
        </w:rPr>
        <w:t xml:space="preserve"> [79]</w:t>
      </w:r>
    </w:p>
    <w:p w:rsidR="005359B2" w:rsidRPr="001A0924" w:rsidRDefault="005359B2" w:rsidP="005359B2">
      <w:pPr>
        <w:pStyle w:val="NoSpacing"/>
        <w:rPr>
          <w:rFonts w:ascii="Book Antiqua" w:hAnsi="Book Antiqua"/>
          <w:sz w:val="20"/>
        </w:rPr>
      </w:pPr>
    </w:p>
    <w:p w:rsidR="005359B2" w:rsidRDefault="005359B2" w:rsidP="005359B2">
      <w:pPr>
        <w:pStyle w:val="NoSpacing"/>
        <w:ind w:firstLine="720"/>
        <w:jc w:val="both"/>
        <w:rPr>
          <w:rFonts w:ascii="Book Antiqua" w:hAnsi="Book Antiqua"/>
          <w:sz w:val="20"/>
        </w:rPr>
      </w:pPr>
      <w:r w:rsidRPr="001A0924">
        <w:rPr>
          <w:rFonts w:ascii="Book Antiqua" w:hAnsi="Book Antiqua"/>
          <w:sz w:val="20"/>
        </w:rPr>
        <w:t xml:space="preserve">So, once a stable core dynamo </w:t>
      </w:r>
      <w:r>
        <w:rPr>
          <w:rFonts w:ascii="Book Antiqua" w:hAnsi="Book Antiqua"/>
          <w:sz w:val="20"/>
        </w:rPr>
        <w:t>was</w:t>
      </w:r>
      <w:r w:rsidRPr="001A0924">
        <w:rPr>
          <w:rFonts w:ascii="Book Antiqua" w:hAnsi="Book Antiqua"/>
          <w:sz w:val="20"/>
        </w:rPr>
        <w:t xml:space="preserve"> in operation, and the ZPE continue</w:t>
      </w:r>
      <w:r>
        <w:rPr>
          <w:rFonts w:ascii="Book Antiqua" w:hAnsi="Book Antiqua"/>
          <w:sz w:val="20"/>
        </w:rPr>
        <w:t xml:space="preserve">d </w:t>
      </w:r>
      <w:r w:rsidRPr="001A0924">
        <w:rPr>
          <w:rFonts w:ascii="Book Antiqua" w:hAnsi="Book Antiqua"/>
          <w:sz w:val="20"/>
        </w:rPr>
        <w:t xml:space="preserve">to increase, the </w:t>
      </w:r>
      <w:r>
        <w:rPr>
          <w:rFonts w:ascii="Book Antiqua" w:hAnsi="Book Antiqua"/>
          <w:sz w:val="20"/>
        </w:rPr>
        <w:t xml:space="preserve">result was that </w:t>
      </w:r>
      <w:r w:rsidRPr="001A0924">
        <w:rPr>
          <w:rFonts w:ascii="Book Antiqua" w:hAnsi="Book Antiqua"/>
          <w:sz w:val="20"/>
        </w:rPr>
        <w:t>current from the dynamo drop</w:t>
      </w:r>
      <w:r>
        <w:rPr>
          <w:rFonts w:ascii="Book Antiqua" w:hAnsi="Book Antiqua"/>
          <w:sz w:val="20"/>
        </w:rPr>
        <w:t>ped</w:t>
      </w:r>
      <w:r w:rsidRPr="001A0924">
        <w:rPr>
          <w:rFonts w:ascii="Book Antiqua" w:hAnsi="Book Antiqua"/>
          <w:sz w:val="20"/>
        </w:rPr>
        <w:t xml:space="preserve"> and eventually reache</w:t>
      </w:r>
      <w:r>
        <w:rPr>
          <w:rFonts w:ascii="Book Antiqua" w:hAnsi="Book Antiqua"/>
          <w:sz w:val="20"/>
        </w:rPr>
        <w:t>d</w:t>
      </w:r>
      <w:r w:rsidRPr="001A0924">
        <w:rPr>
          <w:rFonts w:ascii="Book Antiqua" w:hAnsi="Book Antiqua"/>
          <w:sz w:val="20"/>
        </w:rPr>
        <w:t xml:space="preserve"> a point where an instability </w:t>
      </w:r>
      <w:r>
        <w:rPr>
          <w:rFonts w:ascii="Book Antiqua" w:hAnsi="Book Antiqua"/>
          <w:sz w:val="20"/>
        </w:rPr>
        <w:t>wa</w:t>
      </w:r>
      <w:r w:rsidRPr="001A0924">
        <w:rPr>
          <w:rFonts w:ascii="Book Antiqua" w:hAnsi="Book Antiqua"/>
          <w:sz w:val="20"/>
        </w:rPr>
        <w:t>s set up which induce</w:t>
      </w:r>
      <w:r>
        <w:rPr>
          <w:rFonts w:ascii="Book Antiqua" w:hAnsi="Book Antiqua"/>
          <w:sz w:val="20"/>
        </w:rPr>
        <w:t>d</w:t>
      </w:r>
      <w:r w:rsidRPr="001A0924">
        <w:rPr>
          <w:rFonts w:ascii="Book Antiqua" w:hAnsi="Book Antiqua"/>
          <w:sz w:val="20"/>
        </w:rPr>
        <w:t xml:space="preserve"> polar reversal. It has been shown that the magnetic field decay</w:t>
      </w:r>
      <w:r>
        <w:rPr>
          <w:rFonts w:ascii="Book Antiqua" w:hAnsi="Book Antiqua"/>
          <w:sz w:val="20"/>
        </w:rPr>
        <w:t>s</w:t>
      </w:r>
      <w:r w:rsidRPr="001A0924">
        <w:rPr>
          <w:rFonts w:ascii="Book Antiqua" w:hAnsi="Book Antiqua"/>
          <w:sz w:val="20"/>
        </w:rPr>
        <w:t xml:space="preserve"> before the reversal or transient occurs. Therefore, the geomagnetic dynamo </w:t>
      </w:r>
      <w:r>
        <w:rPr>
          <w:rFonts w:ascii="Book Antiqua" w:hAnsi="Book Antiqua"/>
          <w:sz w:val="20"/>
        </w:rPr>
        <w:t>was</w:t>
      </w:r>
      <w:r w:rsidRPr="001A0924">
        <w:rPr>
          <w:rFonts w:ascii="Book Antiqua" w:hAnsi="Book Antiqua"/>
          <w:sz w:val="20"/>
        </w:rPr>
        <w:t xml:space="preserve"> forced to decay and reverse because of the increase in the ZPE. It is during the stable times that the decay in the field strength can be noted</w:t>
      </w:r>
      <w:r>
        <w:rPr>
          <w:rFonts w:ascii="Book Antiqua" w:hAnsi="Book Antiqua"/>
          <w:sz w:val="20"/>
        </w:rPr>
        <w:t>,</w:t>
      </w:r>
      <w:r w:rsidRPr="001A0924">
        <w:rPr>
          <w:rFonts w:ascii="Book Antiqua" w:hAnsi="Book Antiqua"/>
          <w:sz w:val="20"/>
        </w:rPr>
        <w:t xml:space="preserve"> as we currently </w:t>
      </w:r>
      <w:r>
        <w:rPr>
          <w:rFonts w:ascii="Book Antiqua" w:hAnsi="Book Antiqua"/>
          <w:sz w:val="20"/>
        </w:rPr>
        <w:t>observe</w:t>
      </w:r>
      <w:r w:rsidRPr="001A0924">
        <w:rPr>
          <w:rFonts w:ascii="Book Antiqua" w:hAnsi="Book Antiqua"/>
          <w:sz w:val="20"/>
        </w:rPr>
        <w:t xml:space="preserve"> today</w:t>
      </w:r>
      <w:r>
        <w:rPr>
          <w:rFonts w:ascii="Book Antiqua" w:hAnsi="Book Antiqua"/>
          <w:sz w:val="20"/>
        </w:rPr>
        <w:t>,</w:t>
      </w:r>
      <w:r w:rsidRPr="001A0924">
        <w:rPr>
          <w:rFonts w:ascii="Book Antiqua" w:hAnsi="Book Antiqua"/>
          <w:sz w:val="20"/>
        </w:rPr>
        <w:t xml:space="preserve"> </w:t>
      </w:r>
      <w:r>
        <w:rPr>
          <w:rFonts w:ascii="Book Antiqua" w:hAnsi="Book Antiqua"/>
          <w:sz w:val="20"/>
        </w:rPr>
        <w:t>and which</w:t>
      </w:r>
      <w:r w:rsidRPr="001A0924">
        <w:rPr>
          <w:rFonts w:ascii="Book Antiqua" w:hAnsi="Book Antiqua"/>
          <w:sz w:val="20"/>
        </w:rPr>
        <w:t xml:space="preserve"> is noted in Figure </w:t>
      </w:r>
      <w:r>
        <w:rPr>
          <w:rFonts w:ascii="Book Antiqua" w:hAnsi="Book Antiqua"/>
          <w:sz w:val="20"/>
        </w:rPr>
        <w:t>13</w:t>
      </w:r>
      <w:r w:rsidRPr="001A0924">
        <w:rPr>
          <w:rFonts w:ascii="Book Antiqua" w:hAnsi="Book Antiqua"/>
          <w:sz w:val="20"/>
        </w:rPr>
        <w:t xml:space="preserve">. The following graph </w:t>
      </w:r>
      <w:r>
        <w:rPr>
          <w:rFonts w:ascii="Book Antiqua" w:hAnsi="Book Antiqua"/>
          <w:sz w:val="20"/>
        </w:rPr>
        <w:t>(</w:t>
      </w:r>
      <w:r w:rsidRPr="001A0924">
        <w:rPr>
          <w:rFonts w:ascii="Book Antiqua" w:hAnsi="Book Antiqua"/>
          <w:sz w:val="20"/>
        </w:rPr>
        <w:t>Figure 2</w:t>
      </w:r>
      <w:r>
        <w:rPr>
          <w:rFonts w:ascii="Book Antiqua" w:hAnsi="Book Antiqua"/>
          <w:sz w:val="20"/>
        </w:rPr>
        <w:t>7)</w:t>
      </w:r>
      <w:r w:rsidRPr="001A0924">
        <w:rPr>
          <w:rFonts w:ascii="Book Antiqua" w:hAnsi="Book Antiqua"/>
          <w:sz w:val="20"/>
        </w:rPr>
        <w:t xml:space="preserve"> shows the periods of polar reversals over geologic time.</w:t>
      </w:r>
    </w:p>
    <w:p w:rsidR="005359B2" w:rsidRDefault="005359B2" w:rsidP="005359B2">
      <w:pPr>
        <w:pStyle w:val="NoSpacing"/>
        <w:ind w:firstLine="720"/>
        <w:jc w:val="both"/>
        <w:rPr>
          <w:rFonts w:ascii="Book Antiqua" w:hAnsi="Book Antiqua"/>
          <w:sz w:val="20"/>
        </w:rPr>
      </w:pPr>
    </w:p>
    <w:p w:rsidR="005359B2" w:rsidRPr="00370948" w:rsidRDefault="005359B2" w:rsidP="005359B2">
      <w:pPr>
        <w:jc w:val="center"/>
        <w:rPr>
          <w:rFonts w:ascii="Book Antiqua" w:hAnsi="Book Antiqua"/>
        </w:rPr>
      </w:pPr>
      <w:r w:rsidRPr="00370948">
        <w:rPr>
          <w:rFonts w:ascii="Book Antiqua" w:hAnsi="Book Antiqua"/>
          <w:noProof/>
          <w:lang w:val="en-US"/>
        </w:rPr>
        <w:drawing>
          <wp:inline distT="0" distB="0" distL="0" distR="0">
            <wp:extent cx="6724650" cy="2543175"/>
            <wp:effectExtent l="19050" t="0" r="0" b="0"/>
            <wp:docPr id="170" name="Picture 16" descr="http://ars.els-cdn.com/content/image/1-s2.0-S0031920112001720-g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rs.els-cdn.com/content/image/1-s2.0-S0031920112001720-gr8.jpg"/>
                    <pic:cNvPicPr>
                      <a:picLocks noChangeAspect="1" noChangeArrowheads="1"/>
                    </pic:cNvPicPr>
                  </pic:nvPicPr>
                  <pic:blipFill>
                    <a:blip r:embed="rId316" cstate="print"/>
                    <a:srcRect t="44257" r="-92"/>
                    <a:stretch>
                      <a:fillRect/>
                    </a:stretch>
                  </pic:blipFill>
                  <pic:spPr bwMode="auto">
                    <a:xfrm>
                      <a:off x="0" y="0"/>
                      <a:ext cx="6748014" cy="2552011"/>
                    </a:xfrm>
                    <a:prstGeom prst="rect">
                      <a:avLst/>
                    </a:prstGeom>
                    <a:noFill/>
                    <a:ln w="9525">
                      <a:noFill/>
                      <a:miter lim="800000"/>
                      <a:headEnd/>
                      <a:tailEnd/>
                    </a:ln>
                  </pic:spPr>
                </pic:pic>
              </a:graphicData>
            </a:graphic>
          </wp:inline>
        </w:drawing>
      </w:r>
    </w:p>
    <w:p w:rsidR="005359B2" w:rsidRPr="00370948" w:rsidRDefault="005359B2" w:rsidP="005359B2">
      <w:pPr>
        <w:rPr>
          <w:rFonts w:ascii="Book Antiqua" w:hAnsi="Book Antiqua"/>
          <w:sz w:val="18"/>
          <w:szCs w:val="18"/>
        </w:rPr>
      </w:pPr>
    </w:p>
    <w:p w:rsidR="005359B2" w:rsidRPr="00230752" w:rsidRDefault="005359B2" w:rsidP="0001612F">
      <w:pPr>
        <w:jc w:val="center"/>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7</w:t>
      </w:r>
      <w:r w:rsidRPr="00230752">
        <w:rPr>
          <w:rFonts w:ascii="Book Antiqua" w:hAnsi="Book Antiqua"/>
          <w:b/>
          <w:i/>
          <w:sz w:val="18"/>
          <w:szCs w:val="18"/>
        </w:rPr>
        <w:t>:</w:t>
      </w:r>
      <w:r w:rsidRPr="00230752">
        <w:rPr>
          <w:rFonts w:ascii="Book Antiqua" w:hAnsi="Book Antiqua"/>
          <w:i/>
          <w:sz w:val="18"/>
          <w:szCs w:val="18"/>
        </w:rPr>
        <w:t xml:space="preserve"> Reversals of the Earth’s magnetic field through geologic time back to 540 million atomic years ago. Black is normal, white is reversed.</w:t>
      </w:r>
    </w:p>
    <w:p w:rsidR="005359B2" w:rsidRDefault="005359B2" w:rsidP="005359B2">
      <w:pPr>
        <w:pStyle w:val="NoSpacing"/>
        <w:ind w:left="720"/>
        <w:jc w:val="both"/>
        <w:rPr>
          <w:rFonts w:ascii="Book Antiqua" w:hAnsi="Book Antiqua"/>
          <w:b/>
          <w:bCs/>
          <w:iCs/>
          <w:color w:val="000000"/>
          <w:sz w:val="20"/>
        </w:rPr>
      </w:pPr>
    </w:p>
    <w:p w:rsidR="005359B2" w:rsidRPr="00370948" w:rsidRDefault="005359B2" w:rsidP="005359B2">
      <w:pPr>
        <w:pStyle w:val="NoSpacing"/>
        <w:ind w:left="720"/>
        <w:jc w:val="both"/>
        <w:rPr>
          <w:rFonts w:ascii="Book Antiqua" w:hAnsi="Book Antiqua"/>
          <w:b/>
          <w:bCs/>
          <w:iCs/>
          <w:color w:val="000000"/>
          <w:sz w:val="20"/>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.2. The Role of Water in Planetary Geology.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As the interior of the earth and the other planets heated up, two things happened. First, the water in the crystal lattices and interstices between the minerals and grains in the planetary interiors was driven off and internal pressure moved it towards the surface. Second, continued heating eventually cause</w:t>
      </w:r>
      <w:r>
        <w:rPr>
          <w:rFonts w:ascii="Book Antiqua" w:hAnsi="Book Antiqua"/>
          <w:sz w:val="20"/>
        </w:rPr>
        <w:t>d</w:t>
      </w:r>
      <w:r w:rsidRPr="00370948">
        <w:rPr>
          <w:rFonts w:ascii="Book Antiqua" w:hAnsi="Book Antiqua"/>
          <w:sz w:val="20"/>
        </w:rPr>
        <w:t xml:space="preserve"> the mantle rock to expand and increase in volume. It has been stated that when rock becomes liquid, its volume increases by 10%. This places pressure on planetary crusts and fracturing occurs.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We can get an idea of how much water was in the original mantle and crust by looking at meteorites.  Those that are considered to be from the earliest bodies in our solar system – the carbonaceous chondrites - contain up to 20% water in their crystal lattices and interstitial locations.  </w:t>
      </w:r>
      <w:r>
        <w:rPr>
          <w:rFonts w:ascii="Book Antiqua" w:hAnsi="Book Antiqua"/>
          <w:sz w:val="20"/>
        </w:rPr>
        <w:t xml:space="preserve">If the chondrites are indicative of what was in the core of the early planets, then we can see what happened.  </w:t>
      </w:r>
      <w:r w:rsidRPr="00370948">
        <w:rPr>
          <w:rFonts w:ascii="Book Antiqua" w:hAnsi="Book Antiqua"/>
          <w:sz w:val="20"/>
        </w:rPr>
        <w:t>Heat dr</w:t>
      </w:r>
      <w:r>
        <w:rPr>
          <w:rFonts w:ascii="Book Antiqua" w:hAnsi="Book Antiqua"/>
          <w:sz w:val="20"/>
        </w:rPr>
        <w:t>ove</w:t>
      </w:r>
      <w:r w:rsidRPr="00370948">
        <w:rPr>
          <w:rFonts w:ascii="Book Antiqua" w:hAnsi="Book Antiqua"/>
          <w:sz w:val="20"/>
        </w:rPr>
        <w:t xml:space="preserve"> this water out and the water would then have move</w:t>
      </w:r>
      <w:r>
        <w:rPr>
          <w:rFonts w:ascii="Book Antiqua" w:hAnsi="Book Antiqua"/>
          <w:sz w:val="20"/>
        </w:rPr>
        <w:t>d</w:t>
      </w:r>
      <w:r w:rsidRPr="00370948">
        <w:rPr>
          <w:rFonts w:ascii="Book Antiqua" w:hAnsi="Book Antiqua"/>
          <w:sz w:val="20"/>
        </w:rPr>
        <w:t xml:space="preserve"> toward the surface, </w:t>
      </w:r>
      <w:r>
        <w:rPr>
          <w:rFonts w:ascii="Book Antiqua" w:hAnsi="Book Antiqua"/>
          <w:sz w:val="20"/>
        </w:rPr>
        <w:t>in response to pressure</w:t>
      </w:r>
      <w:r w:rsidRPr="00370948">
        <w:rPr>
          <w:rFonts w:ascii="Book Antiqua" w:hAnsi="Book Antiqua"/>
          <w:sz w:val="20"/>
        </w:rPr>
        <w:t xml:space="preserve"> from below.  Should enough water and pressure build up, eventually the water would have to escape, bursting out in what appears to be a ca</w:t>
      </w:r>
      <w:r>
        <w:rPr>
          <w:rFonts w:ascii="Book Antiqua" w:hAnsi="Book Antiqua"/>
          <w:sz w:val="20"/>
        </w:rPr>
        <w:t>tastrophic episode on Mars, Earth and Venus.</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If something this catastrophic did happen on earth at any time, it </w:t>
      </w:r>
      <w:r>
        <w:rPr>
          <w:rFonts w:ascii="Book Antiqua" w:hAnsi="Book Antiqua"/>
          <w:sz w:val="20"/>
        </w:rPr>
        <w:t>must</w:t>
      </w:r>
      <w:r w:rsidRPr="00370948">
        <w:rPr>
          <w:rFonts w:ascii="Book Antiqua" w:hAnsi="Book Antiqua"/>
          <w:sz w:val="20"/>
        </w:rPr>
        <w:t xml:space="preserve"> have left evidence in our geologic strata. There is an interesting series below the Cambrian which may be an indication of this event.  In the Neo-Proterozoic there </w:t>
      </w:r>
      <w:r w:rsidRPr="00370948">
        <w:rPr>
          <w:rFonts w:ascii="Book Antiqua" w:hAnsi="Book Antiqua"/>
          <w:sz w:val="20"/>
        </w:rPr>
        <w:lastRenderedPageBreak/>
        <w:t>is something referred to as the “Snowball Earth” strata of the Cryogenian period.  Here we find, shortly above its beginning, a layer of rubble, on average 300 meters (a thousand feet) or more thick, in various places around the world. This layer is usually referred to as a diamictite or tillite.  It is made up of rocks of various sizes, compositions and points of origin, all cemented together in a limestone matrix.  Because glaciers are the only things known today which could move that much rock from diverse locations and cement it together, it is often assumed that this layer indicates the earth was completely covered by ice at this time – thus the ‘snowball earth’ label.  Shown in Figure 2</w:t>
      </w:r>
      <w:r>
        <w:rPr>
          <w:rFonts w:ascii="Book Antiqua" w:hAnsi="Book Antiqua"/>
          <w:sz w:val="20"/>
        </w:rPr>
        <w:t>8</w:t>
      </w:r>
      <w:r w:rsidRPr="00370948">
        <w:rPr>
          <w:rFonts w:ascii="Book Antiqua" w:hAnsi="Book Antiqua"/>
          <w:sz w:val="20"/>
        </w:rPr>
        <w:t xml:space="preserve"> is a sample of the diamictite in South  Australia, which is 300 meters  thick.</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783393" cy="4838700"/>
            <wp:effectExtent l="19050" t="0" r="7807" b="0"/>
            <wp:docPr id="172" name="Picture 2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
                    <pic:cNvPicPr>
                      <a:picLocks noChangeAspect="1" noChangeArrowheads="1"/>
                    </pic:cNvPicPr>
                  </pic:nvPicPr>
                  <pic:blipFill>
                    <a:blip r:embed="rId317" cstate="print">
                      <a:lum contrast="20000"/>
                    </a:blip>
                    <a:srcRect t="20013" r="776" b="4554"/>
                    <a:stretch>
                      <a:fillRect/>
                    </a:stretch>
                  </pic:blipFill>
                  <pic:spPr bwMode="auto">
                    <a:xfrm>
                      <a:off x="0" y="0"/>
                      <a:ext cx="5786384" cy="4841202"/>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8</w:t>
      </w:r>
      <w:r w:rsidRPr="00230752">
        <w:rPr>
          <w:rFonts w:ascii="Book Antiqua" w:hAnsi="Book Antiqua"/>
          <w:b/>
          <w:i/>
          <w:sz w:val="18"/>
          <w:szCs w:val="18"/>
        </w:rPr>
        <w:t>:</w:t>
      </w:r>
      <w:r w:rsidRPr="00230752">
        <w:rPr>
          <w:rFonts w:ascii="Book Antiqua" w:hAnsi="Book Antiqua"/>
          <w:i/>
          <w:sz w:val="18"/>
          <w:szCs w:val="18"/>
        </w:rPr>
        <w:t xml:space="preserve"> A segment of the diamictite sequence known as the Sturt Tillite in the Neoproterozoic (Cryogenian) in South Australia. The greenish-brown rock in the upper middle of the image was transported from a distance of over 300 km to the west of the Sturt Gorge, south of Adelaide, where this sequence is found.</w:t>
      </w:r>
    </w:p>
    <w:p w:rsidR="005359B2" w:rsidRPr="00370948" w:rsidRDefault="005359B2" w:rsidP="005359B2">
      <w:pPr>
        <w:pStyle w:val="NoSpacing"/>
        <w:rPr>
          <w:rFonts w:ascii="Book Antiqua" w:hAnsi="Book Antiqua"/>
          <w:sz w:val="18"/>
          <w:szCs w:val="18"/>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problem with this interpretation is that the type of limestone in which these rocks are cemented can only form in warm to hot water.  This is what would be expected of waters bursting out from under the crust.  The violent force of these hot bursting waters would also be sufficient to carry all manner of rocks, pebbles, and boulders great distances.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bCs/>
          <w:iCs/>
          <w:color w:val="000000"/>
          <w:sz w:val="20"/>
        </w:rPr>
      </w:pPr>
      <w:r w:rsidRPr="00370948">
        <w:rPr>
          <w:rFonts w:ascii="Book Antiqua" w:hAnsi="Book Antiqua"/>
          <w:bCs/>
          <w:iCs/>
          <w:color w:val="000000"/>
          <w:sz w:val="20"/>
        </w:rPr>
        <w:t xml:space="preserve">Such an outpouring of heated water would have been catastrophic to any life on earth at the time.  Some evidence suggests this. Directly above the tillite layer there are 2.5 kilometers (about 2 miles) of finely laminated siltstone, rich in carbon and kerogen.  </w:t>
      </w:r>
      <w:r>
        <w:rPr>
          <w:rFonts w:ascii="Book Antiqua" w:hAnsi="Book Antiqua"/>
          <w:bCs/>
          <w:iCs/>
          <w:color w:val="000000"/>
          <w:sz w:val="20"/>
        </w:rPr>
        <w:t>Today, k</w:t>
      </w:r>
      <w:r w:rsidRPr="00370948">
        <w:rPr>
          <w:rFonts w:ascii="Book Antiqua" w:hAnsi="Book Antiqua"/>
          <w:bCs/>
          <w:iCs/>
          <w:color w:val="000000"/>
          <w:sz w:val="20"/>
        </w:rPr>
        <w:t xml:space="preserve">erogen </w:t>
      </w:r>
      <w:r>
        <w:rPr>
          <w:rFonts w:ascii="Book Antiqua" w:hAnsi="Book Antiqua"/>
          <w:bCs/>
          <w:iCs/>
          <w:color w:val="000000"/>
          <w:sz w:val="20"/>
        </w:rPr>
        <w:t>often</w:t>
      </w:r>
      <w:r w:rsidRPr="00370948">
        <w:rPr>
          <w:rFonts w:ascii="Book Antiqua" w:hAnsi="Book Antiqua"/>
          <w:bCs/>
          <w:iCs/>
          <w:color w:val="000000"/>
          <w:sz w:val="20"/>
        </w:rPr>
        <w:t xml:space="preserve"> comes from the breakdown of flesh and muscle tissue.  This very thick layer is </w:t>
      </w:r>
      <w:r w:rsidRPr="00370948">
        <w:rPr>
          <w:rFonts w:ascii="Book Antiqua" w:hAnsi="Book Antiqua"/>
          <w:bCs/>
          <w:iCs/>
          <w:color w:val="000000"/>
          <w:sz w:val="20"/>
        </w:rPr>
        <w:lastRenderedPageBreak/>
        <w:t>found in a number of places around the world. Figure 2</w:t>
      </w:r>
      <w:r>
        <w:rPr>
          <w:rFonts w:ascii="Book Antiqua" w:hAnsi="Book Antiqua"/>
          <w:bCs/>
          <w:iCs/>
          <w:color w:val="000000"/>
          <w:sz w:val="20"/>
        </w:rPr>
        <w:t>9</w:t>
      </w:r>
      <w:r w:rsidRPr="00370948">
        <w:rPr>
          <w:rFonts w:ascii="Book Antiqua" w:hAnsi="Book Antiqua"/>
          <w:bCs/>
          <w:iCs/>
          <w:color w:val="000000"/>
          <w:sz w:val="20"/>
        </w:rPr>
        <w:t xml:space="preserve"> shows this layer in South Australia known as the Tapley Hill sequence</w:t>
      </w:r>
      <w:r>
        <w:rPr>
          <w:rFonts w:ascii="Book Antiqua" w:hAnsi="Book Antiqua"/>
          <w:bCs/>
          <w:iCs/>
          <w:color w:val="000000"/>
          <w:sz w:val="20"/>
        </w:rPr>
        <w:t xml:space="preserve"> and </w:t>
      </w:r>
      <w:r w:rsidRPr="00370948">
        <w:rPr>
          <w:rFonts w:ascii="Book Antiqua" w:hAnsi="Book Antiqua"/>
          <w:bCs/>
          <w:iCs/>
          <w:color w:val="000000"/>
          <w:sz w:val="20"/>
        </w:rPr>
        <w:t xml:space="preserve">capped with a diagnostic limestone layer. This carbonate capping is found to end the sequence </w:t>
      </w:r>
      <w:r>
        <w:rPr>
          <w:rFonts w:ascii="Book Antiqua" w:hAnsi="Book Antiqua"/>
          <w:bCs/>
          <w:iCs/>
          <w:color w:val="000000"/>
          <w:sz w:val="20"/>
        </w:rPr>
        <w:t xml:space="preserve">world-wide. </w:t>
      </w:r>
    </w:p>
    <w:p w:rsidR="005359B2" w:rsidRPr="00370948" w:rsidRDefault="005359B2" w:rsidP="005359B2">
      <w:pPr>
        <w:pStyle w:val="NoSpacing"/>
        <w:ind w:firstLine="720"/>
        <w:jc w:val="both"/>
        <w:rPr>
          <w:rFonts w:ascii="Book Antiqua" w:hAnsi="Book Antiqua"/>
          <w:bCs/>
          <w:iCs/>
          <w:color w:val="000000"/>
          <w:sz w:val="20"/>
        </w:rPr>
      </w:pPr>
    </w:p>
    <w:p w:rsidR="005359B2" w:rsidRPr="00370948" w:rsidRDefault="005359B2" w:rsidP="005359B2">
      <w:pPr>
        <w:pStyle w:val="NoSpacing"/>
        <w:jc w:val="center"/>
        <w:rPr>
          <w:rFonts w:ascii="Book Antiqua" w:hAnsi="Book Antiqua"/>
          <w:b/>
          <w:bCs/>
          <w:iCs/>
          <w:color w:val="000000"/>
          <w:sz w:val="20"/>
        </w:rPr>
      </w:pPr>
      <w:r w:rsidRPr="00370948">
        <w:rPr>
          <w:rFonts w:ascii="Book Antiqua" w:hAnsi="Book Antiqua"/>
          <w:noProof/>
          <w:sz w:val="20"/>
        </w:rPr>
        <w:drawing>
          <wp:inline distT="0" distB="0" distL="0" distR="0">
            <wp:extent cx="6158913" cy="4339831"/>
            <wp:effectExtent l="19050" t="0" r="0" b="0"/>
            <wp:docPr id="177" name="Picture 56" descr="http://www.setterfield.org/Weekly%20Bible%20Studies/weeklystudies3_clip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setterfield.org/Weekly%20Bible%20Studies/weeklystudies3_clip_image006.jpg"/>
                    <pic:cNvPicPr>
                      <a:picLocks noChangeAspect="1" noChangeArrowheads="1"/>
                    </pic:cNvPicPr>
                  </pic:nvPicPr>
                  <pic:blipFill>
                    <a:blip r:embed="rId318" cstate="print"/>
                    <a:srcRect/>
                    <a:stretch>
                      <a:fillRect/>
                    </a:stretch>
                  </pic:blipFill>
                  <pic:spPr bwMode="auto">
                    <a:xfrm>
                      <a:off x="0" y="0"/>
                      <a:ext cx="6178388" cy="4353554"/>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bCs/>
          <w:iCs/>
          <w:color w:val="000000"/>
          <w:sz w:val="20"/>
        </w:rPr>
      </w:pPr>
    </w:p>
    <w:p w:rsidR="005359B2" w:rsidRDefault="005359B2" w:rsidP="005359B2">
      <w:pPr>
        <w:pStyle w:val="NoSpacing"/>
        <w:rPr>
          <w:rFonts w:ascii="Book Antiqua" w:hAnsi="Book Antiqua"/>
          <w:bCs/>
          <w:i/>
          <w:iCs/>
          <w:color w:val="000000"/>
          <w:sz w:val="18"/>
          <w:szCs w:val="18"/>
        </w:rPr>
      </w:pPr>
      <w:r w:rsidRPr="00230752">
        <w:rPr>
          <w:rFonts w:ascii="Book Antiqua" w:hAnsi="Book Antiqua"/>
          <w:b/>
          <w:bCs/>
          <w:i/>
          <w:iCs/>
          <w:color w:val="000000"/>
          <w:sz w:val="18"/>
          <w:szCs w:val="18"/>
        </w:rPr>
        <w:t>Figure 2</w:t>
      </w:r>
      <w:r>
        <w:rPr>
          <w:rFonts w:ascii="Book Antiqua" w:hAnsi="Book Antiqua"/>
          <w:b/>
          <w:bCs/>
          <w:i/>
          <w:iCs/>
          <w:color w:val="000000"/>
          <w:sz w:val="18"/>
          <w:szCs w:val="18"/>
        </w:rPr>
        <w:t>9</w:t>
      </w:r>
      <w:r w:rsidRPr="00230752">
        <w:rPr>
          <w:rFonts w:ascii="Book Antiqua" w:hAnsi="Book Antiqua"/>
          <w:b/>
          <w:bCs/>
          <w:i/>
          <w:iCs/>
          <w:color w:val="000000"/>
          <w:sz w:val="18"/>
          <w:szCs w:val="18"/>
        </w:rPr>
        <w:t>:</w:t>
      </w:r>
      <w:r w:rsidRPr="00230752">
        <w:rPr>
          <w:rFonts w:ascii="Book Antiqua" w:hAnsi="Book Antiqua"/>
          <w:bCs/>
          <w:i/>
          <w:iCs/>
          <w:color w:val="000000"/>
          <w:sz w:val="18"/>
          <w:szCs w:val="18"/>
        </w:rPr>
        <w:t xml:space="preserve"> Finely layered carbon-rich strata of the 2.5 km thick Tapley Hill sequence which overlays the Sturt tillite. Both ripple marks at the top of the sequence (upper left) and turbulent flow structures at the bottom suggest the earth was not covered by ice at this time as the “snowball earth” advocates claim. When taken in conjunction with the tillite in Figure </w:t>
      </w:r>
      <w:r>
        <w:rPr>
          <w:rFonts w:ascii="Book Antiqua" w:hAnsi="Book Antiqua"/>
          <w:bCs/>
          <w:i/>
          <w:iCs/>
          <w:color w:val="000000"/>
          <w:sz w:val="18"/>
          <w:szCs w:val="18"/>
        </w:rPr>
        <w:t>22</w:t>
      </w:r>
      <w:r w:rsidRPr="00230752">
        <w:rPr>
          <w:rFonts w:ascii="Book Antiqua" w:hAnsi="Book Antiqua"/>
          <w:bCs/>
          <w:i/>
          <w:iCs/>
          <w:color w:val="000000"/>
          <w:sz w:val="18"/>
          <w:szCs w:val="18"/>
        </w:rPr>
        <w:t>, the evidence is consistent with a massive outgassing of water from earth’s interior which later gave rise to calmer, deep water, sediments.</w:t>
      </w:r>
    </w:p>
    <w:p w:rsidR="00EF1884" w:rsidRDefault="00EF1884" w:rsidP="005359B2">
      <w:pPr>
        <w:pStyle w:val="NoSpacing"/>
        <w:rPr>
          <w:rFonts w:ascii="Book Antiqua" w:hAnsi="Book Antiqua"/>
          <w:bCs/>
          <w:i/>
          <w:iCs/>
          <w:color w:val="000000"/>
          <w:sz w:val="18"/>
          <w:szCs w:val="18"/>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.3. Water and Venus.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Evidence suggests that something similar might have occurred on Venus. The ratio of deuterium to hydrogen in the atmosphere of Venus is the key data here. On 3 June, 1993, D.H. Grinspoon, pointed out that </w:t>
      </w:r>
      <w:r w:rsidRPr="00370948">
        <w:rPr>
          <w:rFonts w:ascii="Book Antiqua" w:hAnsi="Book Antiqua"/>
          <w:i/>
          <w:sz w:val="20"/>
        </w:rPr>
        <w:t xml:space="preserve">”The high abundance ratio of deuterium to hydrogen in the atmosphere of Venus (120 times that on Earth) can be interpreted either as a signature of a lost primordial ocean [Donahue et al, </w:t>
      </w:r>
      <w:r w:rsidRPr="00370948">
        <w:rPr>
          <w:rStyle w:val="Emphasis"/>
          <w:rFonts w:ascii="Book Antiqua" w:hAnsi="Book Antiqua"/>
          <w:sz w:val="20"/>
        </w:rPr>
        <w:t>Science</w:t>
      </w:r>
      <w:r w:rsidRPr="00370948">
        <w:rPr>
          <w:rFonts w:ascii="Book Antiqua" w:hAnsi="Book Antiqua"/>
          <w:i/>
          <w:sz w:val="20"/>
        </w:rPr>
        <w:t xml:space="preserve"> </w:t>
      </w:r>
      <w:r w:rsidRPr="00370948">
        <w:rPr>
          <w:rStyle w:val="Strong"/>
          <w:rFonts w:ascii="Book Antiqua" w:eastAsia="Calibri" w:hAnsi="Book Antiqua"/>
          <w:i/>
          <w:sz w:val="20"/>
        </w:rPr>
        <w:t>216</w:t>
      </w:r>
      <w:r w:rsidRPr="00370948">
        <w:rPr>
          <w:rFonts w:ascii="Book Antiqua" w:hAnsi="Book Antiqua"/>
          <w:i/>
          <w:sz w:val="20"/>
        </w:rPr>
        <w:t xml:space="preserve">, 630-633 (1982)], or a steady state in which water is continuously supplied to the surface of Venus by … volcanic outgassing…” </w:t>
      </w:r>
      <w:r w:rsidRPr="00370948">
        <w:rPr>
          <w:rFonts w:ascii="Book Antiqua" w:hAnsi="Book Antiqua"/>
          <w:sz w:val="20"/>
        </w:rPr>
        <w:t>[80] This tends to support the idea that water has been driven out of the interior of the planet towards the surface.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Cambridge Atlas of Astronomy, pp. 74-75, says</w:t>
      </w:r>
      <w:r w:rsidRPr="00370948">
        <w:rPr>
          <w:rStyle w:val="Emphasis"/>
          <w:rFonts w:ascii="Book Antiqua" w:hAnsi="Book Antiqua"/>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370948">
        <w:rPr>
          <w:rFonts w:ascii="Book Antiqua" w:hAnsi="Book Antiqua"/>
          <w:sz w:val="20"/>
        </w:rPr>
        <w:t xml:space="preserve"> [81] The advent of this water in the </w:t>
      </w:r>
      <w:r w:rsidRPr="00370948">
        <w:rPr>
          <w:rFonts w:ascii="Book Antiqua" w:hAnsi="Book Antiqua"/>
          <w:sz w:val="20"/>
        </w:rPr>
        <w:lastRenderedPageBreak/>
        <w:t>atmosphere is a clue as to what happened.  The water was outgassed from the interior either as a continuous process or in a catastrophic episode. The water was then lost through increasing heat and other escape mechanisms.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.4. Water and Mars.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action of water on the surface of Mars has been dated at 1.39 billion atomic years using the rubidium/strontium system on carbonate minerals in meteorite ALH84001 from Mars [82]. There is evidence of considerable surface erosion associated with this phase of activity.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largest outflow channel system on Mars is found on the north-west slopes of the Tharsis region (see Figure </w:t>
      </w:r>
      <w:r>
        <w:rPr>
          <w:rFonts w:ascii="Book Antiqua" w:hAnsi="Book Antiqua"/>
          <w:sz w:val="20"/>
        </w:rPr>
        <w:t>30</w:t>
      </w:r>
      <w:r w:rsidRPr="00370948">
        <w:rPr>
          <w:rFonts w:ascii="Book Antiqua" w:hAnsi="Book Antiqua"/>
          <w:sz w:val="20"/>
        </w:rPr>
        <w:t xml:space="preserve">). Dr James M. Dohm of the University of Arizona stated: </w:t>
      </w:r>
      <w:r w:rsidRPr="00370948">
        <w:rPr>
          <w:rStyle w:val="Emphasis"/>
          <w:rFonts w:ascii="Book Antiqua" w:hAnsi="Book Antiqua"/>
          <w:sz w:val="20"/>
        </w:rPr>
        <w:t>"The best explanation is that they were formed by catastrophic floods that at their peak potentially discharged as much as 50,000 times the flow of the Amazon river, Earth's largest river."</w:t>
      </w:r>
      <w:r w:rsidRPr="00370948">
        <w:rPr>
          <w:rFonts w:ascii="Book Antiqua" w:hAnsi="Book Antiqua"/>
          <w:sz w:val="20"/>
        </w:rPr>
        <w:t xml:space="preserve"> [83]</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841257" cy="3842017"/>
            <wp:effectExtent l="19050" t="0" r="7093" b="0"/>
            <wp:docPr id="180" name="il_fi" descr="http://abyss.uoregon.edu/~js/images/thar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byss.uoregon.edu/~js/images/tharsis.jpg"/>
                    <pic:cNvPicPr>
                      <a:picLocks noChangeAspect="1" noChangeArrowheads="1"/>
                    </pic:cNvPicPr>
                  </pic:nvPicPr>
                  <pic:blipFill>
                    <a:blip r:embed="rId319" cstate="print"/>
                    <a:srcRect l="2083" t="7887" r="5545" b="2545"/>
                    <a:stretch>
                      <a:fillRect/>
                    </a:stretch>
                  </pic:blipFill>
                  <pic:spPr bwMode="auto">
                    <a:xfrm>
                      <a:off x="0" y="0"/>
                      <a:ext cx="5848323" cy="384666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230752" w:rsidRDefault="005359B2" w:rsidP="0001612F">
      <w:pPr>
        <w:pStyle w:val="NoSpacing"/>
        <w:jc w:val="center"/>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30</w:t>
      </w:r>
      <w:r w:rsidRPr="00230752">
        <w:rPr>
          <w:rFonts w:ascii="Book Antiqua" w:hAnsi="Book Antiqua"/>
          <w:b/>
          <w:i/>
          <w:sz w:val="18"/>
          <w:szCs w:val="18"/>
        </w:rPr>
        <w:t>:</w:t>
      </w:r>
      <w:r w:rsidRPr="00230752">
        <w:rPr>
          <w:rFonts w:ascii="Book Antiqua" w:hAnsi="Book Antiqua"/>
          <w:i/>
          <w:sz w:val="18"/>
          <w:szCs w:val="18"/>
        </w:rPr>
        <w:t xml:space="preserve"> Tharsis outflow channels, Mars. High areas red</w:t>
      </w:r>
      <w:r w:rsidR="0001612F">
        <w:rPr>
          <w:rFonts w:ascii="Book Antiqua" w:hAnsi="Book Antiqua"/>
          <w:i/>
          <w:sz w:val="18"/>
          <w:szCs w:val="18"/>
        </w:rPr>
        <w:t xml:space="preserve"> (bottom left quadrant)</w:t>
      </w:r>
      <w:r w:rsidRPr="00230752">
        <w:rPr>
          <w:rFonts w:ascii="Book Antiqua" w:hAnsi="Book Antiqua"/>
          <w:i/>
          <w:sz w:val="18"/>
          <w:szCs w:val="18"/>
        </w:rPr>
        <w:t>; low areas blue</w:t>
      </w:r>
      <w:r w:rsidR="0001612F">
        <w:rPr>
          <w:rFonts w:ascii="Book Antiqua" w:hAnsi="Book Antiqua"/>
          <w:i/>
          <w:sz w:val="18"/>
          <w:szCs w:val="18"/>
        </w:rPr>
        <w:t xml:space="preserve"> (top right quadrant)</w:t>
      </w:r>
      <w:r w:rsidRPr="00230752">
        <w:rPr>
          <w:rFonts w:ascii="Book Antiqua" w:hAnsi="Book Antiqua"/>
          <w:i/>
          <w:sz w:val="18"/>
          <w:szCs w:val="18"/>
        </w:rPr>
        <w:t>.</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In a news release from the University of Arizona for 3rd August 2001 Dohm elaborated further: </w:t>
      </w:r>
      <w:r w:rsidRPr="00370948">
        <w:rPr>
          <w:rStyle w:val="Emphasis"/>
          <w:rFonts w:ascii="Book Antiqua" w:hAnsi="Book Antiqua"/>
          <w:sz w:val="20"/>
        </w:rPr>
        <w:t>"At sustained peak discharge rates, floods through the valleys would have filled a large ocean (96 million cubic kilometres) hypothesized for northern Mars in about 8 weeks, and a smaller ocean (14 million cubic kilometres) in the same region in about 8 days, according to the 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370948">
        <w:rPr>
          <w:rFonts w:ascii="Book Antiqua" w:hAnsi="Book Antiqua"/>
          <w:sz w:val="20"/>
        </w:rPr>
        <w:t xml:space="preserve"> The basis for these statements appears in Journal of Geophysical Research [84].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In a 2001 article on Mars</w:t>
      </w:r>
      <w:hyperlink r:id="rId320" w:history="1"/>
      <w:r w:rsidRPr="00370948">
        <w:rPr>
          <w:rFonts w:ascii="Book Antiqua" w:hAnsi="Book Antiqua"/>
          <w:sz w:val="20"/>
        </w:rPr>
        <w:t xml:space="preserve">, the statement was made that </w:t>
      </w:r>
      <w:r w:rsidRPr="00370948">
        <w:rPr>
          <w:rStyle w:val="Emphasis"/>
          <w:rFonts w:ascii="Book Antiqua" w:hAnsi="Book Antiqua"/>
          <w:sz w:val="20"/>
        </w:rPr>
        <w:t xml:space="preserve">"scientists have always had a great deal of trouble explaining just where those gigantic eruptions of high- pressure water came from </w:t>
      </w:r>
      <w:r w:rsidRPr="00370948">
        <w:rPr>
          <w:rStyle w:val="Emphasis"/>
          <w:rFonts w:ascii="Book Antiqua" w:hAnsi="Book Antiqua"/>
          <w:sz w:val="20"/>
        </w:rPr>
        <w:softHyphen/>
        <w:t xml:space="preserve"> especially since the patches of collapsed, ’chaotic’ ground from which they seem to have gushed usually don't look anywhere near big enough to contain amounts of water capable of carving such huge flood channels." </w:t>
      </w:r>
      <w:r w:rsidRPr="00370948">
        <w:rPr>
          <w:rStyle w:val="Emphasis"/>
          <w:rFonts w:ascii="Book Antiqua" w:hAnsi="Book Antiqua"/>
          <w:i w:val="0"/>
          <w:sz w:val="20"/>
        </w:rPr>
        <w:t>[85]</w:t>
      </w:r>
      <w:r w:rsidRPr="00370948">
        <w:rPr>
          <w:rFonts w:ascii="Book Antiqua" w:hAnsi="Book Antiqua"/>
          <w:sz w:val="20"/>
        </w:rPr>
        <w:t xml:space="preserve"> Despite the various solutions proposed, the matter is still one of debate. However, one possible </w:t>
      </w:r>
      <w:r w:rsidRPr="00370948">
        <w:rPr>
          <w:rFonts w:ascii="Book Antiqua" w:hAnsi="Book Antiqua"/>
          <w:sz w:val="20"/>
        </w:rPr>
        <w:lastRenderedPageBreak/>
        <w:t>answer to the problem is that these patches of collapsed, "chaotic" ground may in fact be the location of the Martian equivalent of earth's black smokers of the south-east Pacific rise.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Pr>
          <w:rFonts w:ascii="Book Antiqua" w:hAnsi="Book Antiqua"/>
          <w:bCs/>
          <w:i/>
          <w:iCs/>
          <w:color w:val="000000"/>
          <w:sz w:val="20"/>
        </w:rPr>
        <w:t>11</w:t>
      </w:r>
      <w:r w:rsidRPr="00370948">
        <w:rPr>
          <w:rFonts w:ascii="Book Antiqua" w:hAnsi="Book Antiqua"/>
          <w:bCs/>
          <w:i/>
          <w:iCs/>
          <w:color w:val="000000"/>
          <w:sz w:val="20"/>
        </w:rPr>
        <w:t xml:space="preserve">.5. Magma Outpouring </w:t>
      </w:r>
      <w:r>
        <w:rPr>
          <w:rFonts w:ascii="Book Antiqua" w:hAnsi="Book Antiqua"/>
          <w:bCs/>
          <w:i/>
          <w:iCs/>
          <w:color w:val="000000"/>
          <w:sz w:val="20"/>
        </w:rPr>
        <w:t>a</w:t>
      </w:r>
      <w:r w:rsidRPr="00370948">
        <w:rPr>
          <w:rFonts w:ascii="Book Antiqua" w:hAnsi="Book Antiqua"/>
          <w:bCs/>
          <w:i/>
          <w:iCs/>
          <w:color w:val="000000"/>
          <w:sz w:val="20"/>
        </w:rPr>
        <w:t>nd Venus.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After the violent outgassing of the waters, the internal heating of the planets continued.  The planetary interiors gradually became molten. </w:t>
      </w:r>
      <w:r>
        <w:rPr>
          <w:rFonts w:ascii="Book Antiqua" w:hAnsi="Book Antiqua"/>
          <w:sz w:val="20"/>
        </w:rPr>
        <w:t xml:space="preserve">Since rock expands in volume as it becomes molten, this place increasing pressure on the crust. </w:t>
      </w:r>
      <w:r w:rsidRPr="00370948">
        <w:rPr>
          <w:rFonts w:ascii="Book Antiqua" w:hAnsi="Book Antiqua"/>
          <w:sz w:val="20"/>
        </w:rPr>
        <w:t>Magma, responding to this pressure, would have also worked its way to, and up through, the crust of the inner planets.  Enough magma extruding in this fashion could completely resurface a planet as has happened in the case of Venus. It is this intense magma extrusion which probably evaporated all the previously outgassed water and/or ocean on the surface of</w:t>
      </w:r>
      <w:r>
        <w:rPr>
          <w:rFonts w:ascii="Book Antiqua" w:hAnsi="Book Antiqua"/>
          <w:sz w:val="20"/>
        </w:rPr>
        <w:t xml:space="preserve"> Venus.</w:t>
      </w: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095875" cy="2676525"/>
            <wp:effectExtent l="19050" t="0" r="0" b="0"/>
            <wp:docPr id="964" name="il_fi" descr="http://nssdc.gsfc.nasa.gov/image/planetary/venus/pvo_topo_mer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ssdc.gsfc.nasa.gov/image/planetary/venus/pvo_topo_mercator.jpg"/>
                    <pic:cNvPicPr>
                      <a:picLocks noChangeAspect="1" noChangeArrowheads="1"/>
                    </pic:cNvPicPr>
                  </pic:nvPicPr>
                  <pic:blipFill>
                    <a:blip r:embed="rId321" cstate="print">
                      <a:lum bright="20000" contrast="30000"/>
                    </a:blip>
                    <a:srcRect t="14596" r="17625" b="6211"/>
                    <a:stretch>
                      <a:fillRect/>
                    </a:stretch>
                  </pic:blipFill>
                  <pic:spPr bwMode="auto">
                    <a:xfrm>
                      <a:off x="0" y="0"/>
                      <a:ext cx="5107237" cy="268249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31</w:t>
      </w:r>
      <w:r w:rsidRPr="00230752">
        <w:rPr>
          <w:rFonts w:ascii="Book Antiqua" w:hAnsi="Book Antiqua"/>
          <w:b/>
          <w:i/>
          <w:sz w:val="18"/>
          <w:szCs w:val="18"/>
        </w:rPr>
        <w:t>:</w:t>
      </w:r>
      <w:r w:rsidRPr="00230752">
        <w:rPr>
          <w:rFonts w:ascii="Book Antiqua" w:hAnsi="Book Antiqua"/>
          <w:i/>
          <w:sz w:val="18"/>
          <w:szCs w:val="18"/>
        </w:rPr>
        <w:t xml:space="preserve"> Large scale map of Venus showing the olive-green and yellow “continent” highland areas surrounded by the vast lava plains, colored blue.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Topographically, Venus contains several continent-sized plateau highlands.  These rise 3 or more kilometres above the lowland plains which comprise about 80% of that planet's surface (see Figure </w:t>
      </w:r>
      <w:r>
        <w:rPr>
          <w:rFonts w:ascii="Book Antiqua" w:hAnsi="Book Antiqua"/>
          <w:sz w:val="20"/>
        </w:rPr>
        <w:t>31</w:t>
      </w:r>
      <w:r w:rsidRPr="00370948">
        <w:rPr>
          <w:rFonts w:ascii="Book Antiqua" w:hAnsi="Book Antiqua"/>
          <w:sz w:val="20"/>
        </w:rPr>
        <w:t>). These gently rolling plains are thought to be primarily due to effusive eruptions of basaltic lava.   A random distribution of craters is superimposed upon these plains, but the craters are smaller than what we have seen on Mercury and Mars.  The origin of the impactors is discussed in Chapter 9 on Solar System history with details on craters in Appendix 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color w:val="FF0000"/>
          <w:sz w:val="20"/>
        </w:rPr>
      </w:pPr>
      <w:r w:rsidRPr="00370948">
        <w:rPr>
          <w:rFonts w:ascii="Book Antiqua" w:hAnsi="Book Antiqua"/>
          <w:sz w:val="20"/>
        </w:rPr>
        <w:t xml:space="preserve">This random crater distribution is coupled with the fact that few craters on Venus display signs of significant modification by either tectonic or volcanic processes. In a paper entitled "Magellan: A new view of Venus' geology and geophysics" D. L. Bindschadler states </w:t>
      </w:r>
      <w:r w:rsidRPr="00370948">
        <w:rPr>
          <w:rFonts w:ascii="Book Antiqua" w:hAnsi="Book Antiqua"/>
          <w:i/>
          <w:iCs/>
          <w:sz w:val="20"/>
        </w:rPr>
        <w:t xml:space="preserve">"The impact crater distribution appears to be most consistent with models that call for a near-complete resurfacing of the planet prior to 300 </w:t>
      </w:r>
      <w:r w:rsidRPr="00370948">
        <w:rPr>
          <w:rFonts w:ascii="Book Antiqua" w:hAnsi="Book Antiqua"/>
          <w:i/>
          <w:iCs/>
          <w:sz w:val="20"/>
        </w:rPr>
        <w:softHyphen/>
        <w:t>- 500 Ma [million atomic years]. Subsequent to this period of extreme [volcanic] activity, [geological] process rates declined and impact craters began to accumulate, with only minor modification and resurfacing since."</w:t>
      </w:r>
      <w:r w:rsidRPr="00370948">
        <w:rPr>
          <w:rFonts w:ascii="Book Antiqua" w:hAnsi="Book Antiqua"/>
          <w:sz w:val="20"/>
        </w:rPr>
        <w:t xml:space="preserve"> He finally concludes that </w:t>
      </w:r>
      <w:r w:rsidRPr="00370948">
        <w:rPr>
          <w:rFonts w:ascii="Book Antiqua" w:hAnsi="Book Antiqua"/>
          <w:i/>
          <w:iCs/>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370948">
        <w:rPr>
          <w:rFonts w:ascii="Book Antiqua" w:hAnsi="Book Antiqua"/>
          <w:sz w:val="20"/>
        </w:rPr>
        <w:t xml:space="preserve"> [86]</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On the plasma model these plains were the result of the interior of Venus heating up. The increase in volume as the mantle rocks melted produced a network of cracks on the surface.  The pressurized magma was then outpoured through these cracks and engulfed and covered the early craters. This is covered in more detail in Chapter 9.</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bCs/>
          <w:i/>
          <w:iCs/>
          <w:color w:val="000000"/>
          <w:sz w:val="20"/>
        </w:rPr>
        <w:t xml:space="preserve">4.6. Magma Outpouring </w:t>
      </w:r>
      <w:r>
        <w:rPr>
          <w:rFonts w:ascii="Book Antiqua" w:hAnsi="Book Antiqua"/>
          <w:bCs/>
          <w:i/>
          <w:iCs/>
          <w:color w:val="000000"/>
          <w:sz w:val="20"/>
        </w:rPr>
        <w:t>o</w:t>
      </w:r>
      <w:r w:rsidRPr="00370948">
        <w:rPr>
          <w:rFonts w:ascii="Book Antiqua" w:hAnsi="Book Antiqua"/>
          <w:bCs/>
          <w:i/>
          <w:iCs/>
          <w:color w:val="000000"/>
          <w:sz w:val="20"/>
        </w:rPr>
        <w:t xml:space="preserve">n Mars </w:t>
      </w:r>
      <w:r>
        <w:rPr>
          <w:rFonts w:ascii="Book Antiqua" w:hAnsi="Book Antiqua"/>
          <w:bCs/>
          <w:i/>
          <w:iCs/>
          <w:color w:val="000000"/>
          <w:sz w:val="20"/>
        </w:rPr>
        <w:t>a</w:t>
      </w:r>
      <w:r w:rsidRPr="00370948">
        <w:rPr>
          <w:rFonts w:ascii="Book Antiqua" w:hAnsi="Book Antiqua"/>
          <w:bCs/>
          <w:i/>
          <w:iCs/>
          <w:color w:val="000000"/>
          <w:sz w:val="20"/>
        </w:rPr>
        <w:t>nd Earth.</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On Mars, the northern lowlands are similar to the maria plains on our Moon. This suggests that the northern plains on Mars were originally giant craters, like Mare Imbrium on the Moon. (See Figure </w:t>
      </w:r>
      <w:r>
        <w:rPr>
          <w:rFonts w:ascii="Book Antiqua" w:hAnsi="Book Antiqua"/>
          <w:sz w:val="20"/>
        </w:rPr>
        <w:t>32</w:t>
      </w:r>
      <w:r w:rsidRPr="00370948">
        <w:rPr>
          <w:rFonts w:ascii="Book Antiqua" w:hAnsi="Book Antiqua"/>
          <w:sz w:val="20"/>
        </w:rPr>
        <w:t>). These large structures were formed as a result of massive series of impacts referred to as the “Late Heavy Bombardment” (LHB) in the early solar system. The outgassing of water on Mars had filled these northern basins to give an initial ocean. Later, as the Martian interior became molten, the extruding magma probably filled the northern basins and simultaneously vaporized most of the water.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010025" cy="2768827"/>
            <wp:effectExtent l="19050" t="0" r="9525" b="0"/>
            <wp:docPr id="965"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2" cstate="print"/>
                    <a:srcRect t="4955" b="4054"/>
                    <a:stretch>
                      <a:fillRect/>
                    </a:stretch>
                  </pic:blipFill>
                  <pic:spPr bwMode="auto">
                    <a:xfrm>
                      <a:off x="0" y="0"/>
                      <a:ext cx="4010025" cy="2768827"/>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w:t>
      </w:r>
      <w:r w:rsidRPr="00230752">
        <w:rPr>
          <w:rFonts w:ascii="Book Antiqua" w:hAnsi="Book Antiqua"/>
          <w:b/>
          <w:i/>
          <w:sz w:val="18"/>
          <w:szCs w:val="18"/>
        </w:rPr>
        <w:t>2:</w:t>
      </w:r>
      <w:r w:rsidRPr="00230752">
        <w:rPr>
          <w:rFonts w:ascii="Book Antiqua" w:hAnsi="Book Antiqua"/>
          <w:i/>
          <w:sz w:val="18"/>
          <w:szCs w:val="18"/>
        </w:rPr>
        <w:t xml:space="preserve"> Major impact basins on Mars. Note that the northern hemisphere</w:t>
      </w:r>
      <w:r w:rsidR="00771332">
        <w:rPr>
          <w:rFonts w:ascii="Book Antiqua" w:hAnsi="Book Antiqua"/>
          <w:i/>
          <w:sz w:val="18"/>
          <w:szCs w:val="18"/>
        </w:rPr>
        <w:t xml:space="preserve"> (top segment in the upper row of images and the  bottom left image)</w:t>
      </w:r>
      <w:r w:rsidRPr="00230752">
        <w:rPr>
          <w:rFonts w:ascii="Book Antiqua" w:hAnsi="Book Antiqua"/>
          <w:i/>
          <w:sz w:val="18"/>
          <w:szCs w:val="18"/>
        </w:rPr>
        <w:t xml:space="preserve"> is primarily composed of lava-filled basins (blue) which are below the level of the southern highlands, just like our Moon’s northern hemisphere.</w:t>
      </w:r>
    </w:p>
    <w:p w:rsidR="005359B2"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The same process was happening on Earth.  As the rocks under the crust melted with the increasing heat generated by radioactive decay, they expanded in volume.  This put building pressure on the crust.  The event which this expansion of the mantle caused was the splitting of the crust at the Atlantic Mid-Ocean Ridge. This resulted in the formation of the Atlantic Ocean and concurrent continental drift. This event closely corresponds with the K/T extinction event which wiped out the dinosaurs and closed the Mesozoic Era.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Pr>
          <w:rFonts w:ascii="Book Antiqua" w:hAnsi="Book Antiqua"/>
          <w:bCs/>
          <w:i/>
          <w:iCs/>
          <w:color w:val="000000"/>
          <w:sz w:val="20"/>
        </w:rPr>
        <w:t>11</w:t>
      </w:r>
      <w:r w:rsidRPr="00370948">
        <w:rPr>
          <w:rFonts w:ascii="Book Antiqua" w:hAnsi="Book Antiqua"/>
          <w:bCs/>
          <w:i/>
          <w:iCs/>
          <w:color w:val="000000"/>
          <w:sz w:val="20"/>
        </w:rPr>
        <w:t>.7. The Situation With Mercury.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There have been two spacecraft sent to study the planet Mercury. These were the Mariner 10 probe and, since 2010, the MESSENGER mission.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i/>
          <w:iCs/>
          <w:sz w:val="20"/>
        </w:rPr>
        <w:t xml:space="preserve">“The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w:t>
      </w:r>
      <w:r w:rsidRPr="00370948">
        <w:rPr>
          <w:rFonts w:ascii="Book Antiqua" w:hAnsi="Book Antiqua"/>
          <w:i/>
          <w:iCs/>
          <w:sz w:val="20"/>
        </w:rPr>
        <w:lastRenderedPageBreak/>
        <w:t>different crater size-frequency distribution than the intercrater plains, consistent with a cratering record dominated by a younger population of impactors.”</w:t>
      </w:r>
      <w:r w:rsidRPr="00370948">
        <w:rPr>
          <w:rFonts w:ascii="Book Antiqua" w:hAnsi="Book Antiqua"/>
          <w:sz w:val="20"/>
        </w:rPr>
        <w:t xml:space="preserve"> [87].</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847292" cy="4371975"/>
            <wp:effectExtent l="19050" t="0" r="1058" b="0"/>
            <wp:docPr id="966" name="il_fi" descr="http://www.astrobio.nau.edu/~koerner/ast180/lectures/pic/cdrom/art_high-res/ch06/figure-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bio.nau.edu/~koerner/ast180/lectures/pic/cdrom/art_high-res/ch06/figure-06-03.jpg"/>
                    <pic:cNvPicPr>
                      <a:picLocks noChangeAspect="1" noChangeArrowheads="1"/>
                    </pic:cNvPicPr>
                  </pic:nvPicPr>
                  <pic:blipFill>
                    <a:blip r:embed="rId323" cstate="print"/>
                    <a:srcRect t="14247" r="3274" b="19178"/>
                    <a:stretch>
                      <a:fillRect/>
                    </a:stretch>
                  </pic:blipFill>
                  <pic:spPr bwMode="auto">
                    <a:xfrm>
                      <a:off x="0" y="0"/>
                      <a:ext cx="5847292" cy="4371975"/>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230752" w:rsidRDefault="005359B2" w:rsidP="008B29DE">
      <w:pPr>
        <w:pStyle w:val="NoSpacing"/>
        <w:jc w:val="center"/>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33</w:t>
      </w:r>
      <w:r w:rsidRPr="00230752">
        <w:rPr>
          <w:rFonts w:ascii="Book Antiqua" w:hAnsi="Book Antiqua"/>
          <w:b/>
          <w:i/>
          <w:sz w:val="18"/>
          <w:szCs w:val="18"/>
        </w:rPr>
        <w:t>:</w:t>
      </w:r>
      <w:r w:rsidRPr="00230752">
        <w:rPr>
          <w:rFonts w:ascii="Book Antiqua" w:hAnsi="Book Antiqua"/>
          <w:i/>
          <w:sz w:val="18"/>
          <w:szCs w:val="18"/>
        </w:rPr>
        <w:t xml:space="preserve"> An example of the intercrater plains on Mercury.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Strom analysis supports the contention that the Late Heavy Bombardment (LHB) was the first and primary cratering event, which also produced the “inter-crater plains.”(see Figure </w:t>
      </w:r>
      <w:r>
        <w:rPr>
          <w:rFonts w:ascii="Book Antiqua" w:hAnsi="Book Antiqua"/>
          <w:sz w:val="20"/>
        </w:rPr>
        <w:t>33</w:t>
      </w:r>
      <w:r w:rsidRPr="00370948">
        <w:rPr>
          <w:rFonts w:ascii="Book Antiqua" w:hAnsi="Book Antiqua"/>
          <w:sz w:val="20"/>
        </w:rPr>
        <w:t>). Strom stated tha</w:t>
      </w:r>
      <w:r w:rsidRPr="00370948">
        <w:rPr>
          <w:rFonts w:ascii="Book Antiqua" w:hAnsi="Book Antiqua"/>
          <w:i/>
          <w:iCs/>
          <w:sz w:val="20"/>
        </w:rPr>
        <w:t>t “It was known from Mariner 10 observations that Population 1 craters [from the LHB] dominated the cratering record on Mercury…”</w:t>
      </w:r>
      <w:r w:rsidRPr="00370948">
        <w:rPr>
          <w:rFonts w:ascii="Book Antiqua" w:hAnsi="Book Antiqua"/>
          <w:sz w:val="20"/>
        </w:rPr>
        <w:t xml:space="preserve"> Since Mercury is the closest planet to the sun, the Marklund convection process probably resulted in a higher concentration of radioactive elements in the core of Mercury as compared to the other planets. This would have resulted in more rapid internal heating, which means the rocks under the crust would have been in a molten state earlier than the other planets.  As a result, the great craters which formed by the LHB on other bodies, and which filled with magma later, may have filled with magma almost immediately on Mercury.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Sometime after the LHB event, some event formed the giant Caloris basin, and a second outpouring of magma resulted, forming  the “smooth plains.” (See Figure </w:t>
      </w:r>
      <w:r>
        <w:rPr>
          <w:rFonts w:ascii="Book Antiqua" w:hAnsi="Book Antiqua"/>
          <w:sz w:val="20"/>
        </w:rPr>
        <w:t>34</w:t>
      </w: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Population 2 craters are found on top of these “smooth plains”. Finally the third population of somewhat smaller craters was formed after the Population 2 cratering event. Thus on Mercury we have 1) the Late Heavy Bombardment which also triggered an initial magma outpouring; followed by 2) the event which formed the Caloris basin and associated features plus its overflow of magma; and, then, 3) the Population 2 cratering event and, finally, 4) a third population of craters with relatively small diameters. The origin of the impactors is discussed in Chapter 9 on Solar System history with crater formation specifics being discussed in detail along with experimental evidence in Appendix 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3446449" cy="3934225"/>
            <wp:effectExtent l="19050" t="0" r="1601" b="0"/>
            <wp:docPr id="967" name="Picture 7" descr="Mercury's Surface Dominated by Volcanism and Iron Deficiency"/>
            <wp:cNvGraphicFramePr/>
            <a:graphic xmlns:a="http://schemas.openxmlformats.org/drawingml/2006/main">
              <a:graphicData uri="http://schemas.openxmlformats.org/drawingml/2006/picture">
                <pic:pic xmlns:pic="http://schemas.openxmlformats.org/drawingml/2006/picture">
                  <pic:nvPicPr>
                    <pic:cNvPr id="6" name="Picture 5" descr="Mercury's Surface Dominated by Volcanism and Iron Deficiency"/>
                    <pic:cNvPicPr/>
                  </pic:nvPicPr>
                  <pic:blipFill>
                    <a:blip r:embed="rId324" cstate="print">
                      <a:lum contrast="40000"/>
                    </a:blip>
                    <a:srcRect/>
                    <a:stretch>
                      <a:fillRect/>
                    </a:stretch>
                  </pic:blipFill>
                  <pic:spPr bwMode="auto">
                    <a:xfrm>
                      <a:off x="0" y="0"/>
                      <a:ext cx="3449326" cy="3937509"/>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230752" w:rsidRDefault="005359B2" w:rsidP="005359B2">
      <w:pPr>
        <w:pStyle w:val="NoSpacing"/>
        <w:rPr>
          <w:rFonts w:ascii="Book Antiqua" w:hAnsi="Book Antiqua"/>
          <w:i/>
          <w:sz w:val="18"/>
          <w:szCs w:val="18"/>
        </w:rPr>
      </w:pPr>
      <w:r w:rsidRPr="00E71EE9">
        <w:rPr>
          <w:rFonts w:ascii="Book Antiqua" w:hAnsi="Book Antiqua"/>
          <w:b/>
          <w:i/>
          <w:sz w:val="18"/>
          <w:szCs w:val="18"/>
        </w:rPr>
        <w:t xml:space="preserve">Figure </w:t>
      </w:r>
      <w:r>
        <w:rPr>
          <w:rFonts w:ascii="Book Antiqua" w:hAnsi="Book Antiqua"/>
          <w:b/>
          <w:i/>
          <w:sz w:val="18"/>
          <w:szCs w:val="18"/>
        </w:rPr>
        <w:t>34</w:t>
      </w:r>
      <w:r w:rsidRPr="00E71EE9">
        <w:rPr>
          <w:rFonts w:ascii="Book Antiqua" w:hAnsi="Book Antiqua"/>
          <w:b/>
          <w:i/>
          <w:sz w:val="18"/>
          <w:szCs w:val="18"/>
        </w:rPr>
        <w:t>:</w:t>
      </w:r>
      <w:r w:rsidRPr="00230752">
        <w:rPr>
          <w:rFonts w:ascii="Book Antiqua" w:hAnsi="Book Antiqua"/>
          <w:i/>
          <w:sz w:val="18"/>
          <w:szCs w:val="18"/>
        </w:rPr>
        <w:t xml:space="preserve"> The giant Caloris Basin on Mercury marked C. The magma outpoured as a result of this event is colored light orange. So, too are all the low-iron volcanic plains associated with the Caloris event in this image. In contrast, the pervasive dark blue areas</w:t>
      </w:r>
      <w:r w:rsidR="008B29DE">
        <w:rPr>
          <w:rFonts w:ascii="Book Antiqua" w:hAnsi="Book Antiqua"/>
          <w:i/>
          <w:sz w:val="18"/>
          <w:szCs w:val="18"/>
        </w:rPr>
        <w:t xml:space="preserve"> (bottom right segment)</w:t>
      </w:r>
      <w:r w:rsidRPr="00230752">
        <w:rPr>
          <w:rFonts w:ascii="Book Antiqua" w:hAnsi="Book Antiqua"/>
          <w:i/>
          <w:sz w:val="18"/>
          <w:szCs w:val="18"/>
        </w:rPr>
        <w:t xml:space="preserve"> are older regions that may be rich in the mineral ilmenite which contains both iron and titanium.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bCs/>
          <w:i/>
          <w:iCs/>
          <w:color w:val="000000"/>
          <w:sz w:val="20"/>
        </w:rPr>
        <w:t>4.8. Our Moon.</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Following its formation, the interior of the Moon also heated up.  The subsequent Late Heavy Bombardment was responsible for the major impact basins. It has been suggested that about 50 large circular basins as well as many smaller craters were formed at this time</w:t>
      </w:r>
      <w:r>
        <w:rPr>
          <w:rFonts w:ascii="Book Antiqua" w:hAnsi="Book Antiqua"/>
          <w:sz w:val="20"/>
        </w:rPr>
        <w:t xml:space="preserve">.  </w:t>
      </w:r>
      <w:r w:rsidRPr="00370948">
        <w:rPr>
          <w:rFonts w:ascii="Book Antiqua" w:hAnsi="Book Antiqua"/>
          <w:sz w:val="20"/>
        </w:rPr>
        <w:t xml:space="preserve">Any water that was in its interior was probably incorporated into the molten basalt, so instead of an extrusion of water, a very fluid basalt with a high water content was outpoured.  It was this event, occurring in two phases, which formed the great lunar plains. They are named in Figure </w:t>
      </w:r>
      <w:r>
        <w:rPr>
          <w:rFonts w:ascii="Book Antiqua" w:hAnsi="Book Antiqua"/>
          <w:sz w:val="20"/>
        </w:rPr>
        <w:t>35</w:t>
      </w:r>
      <w:r w:rsidRPr="00370948">
        <w:rPr>
          <w:rFonts w:ascii="Book Antiqua" w:hAnsi="Book Antiqua"/>
          <w:sz w:val="20"/>
        </w:rPr>
        <w:t>.</w:t>
      </w:r>
    </w:p>
    <w:p w:rsidR="005359B2" w:rsidRDefault="005359B2" w:rsidP="005359B2">
      <w:pPr>
        <w:pStyle w:val="NoSpacing"/>
        <w:ind w:firstLine="720"/>
        <w:jc w:val="both"/>
        <w:rPr>
          <w:rFonts w:ascii="Book Antiqua" w:hAnsi="Book Antiqua"/>
          <w:sz w:val="20"/>
        </w:rPr>
      </w:pPr>
    </w:p>
    <w:p w:rsidR="008B29DE" w:rsidRPr="00370948" w:rsidRDefault="008B29DE" w:rsidP="008B29DE">
      <w:pPr>
        <w:pStyle w:val="NoSpacing"/>
        <w:ind w:firstLine="720"/>
        <w:jc w:val="both"/>
        <w:rPr>
          <w:rFonts w:ascii="Book Antiqua" w:hAnsi="Book Antiqua"/>
          <w:sz w:val="20"/>
        </w:rPr>
      </w:pPr>
      <w:r w:rsidRPr="00370948">
        <w:rPr>
          <w:rFonts w:ascii="Book Antiqua" w:hAnsi="Book Antiqua"/>
          <w:sz w:val="20"/>
        </w:rPr>
        <w:t>As M. W. Davidson of Florida State University, Tallahassee points out, the second outpouring is identified by a younger, low titanium group of basalts associated with Mare Imbrium (Sea of Rains), Mare Serenitatis (Sea of Serenity) and Oceanus Procellarum (Ocean of Storms). These basalts generally date from about 3.4 to 3.1 billion atomic years [88].  It is these central and western regions of the near-side of the Moon which were visited by the Apollo 12 and 15 astronauts.</w:t>
      </w:r>
    </w:p>
    <w:p w:rsidR="008B29DE" w:rsidRPr="00370948" w:rsidRDefault="008B29DE" w:rsidP="008B29DE">
      <w:pPr>
        <w:pStyle w:val="NoSpacing"/>
        <w:ind w:firstLine="720"/>
        <w:jc w:val="both"/>
        <w:rPr>
          <w:rFonts w:ascii="Book Antiqua" w:hAnsi="Book Antiqua"/>
          <w:sz w:val="20"/>
        </w:rPr>
      </w:pPr>
    </w:p>
    <w:p w:rsidR="008B29DE" w:rsidRPr="00370948" w:rsidRDefault="008B29DE" w:rsidP="008B29DE">
      <w:pPr>
        <w:pStyle w:val="NoSpacing"/>
        <w:ind w:firstLine="720"/>
        <w:jc w:val="both"/>
        <w:rPr>
          <w:rFonts w:ascii="Book Antiqua" w:hAnsi="Book Antiqua"/>
          <w:sz w:val="20"/>
        </w:rPr>
      </w:pPr>
      <w:r w:rsidRPr="00370948">
        <w:rPr>
          <w:rFonts w:ascii="Book Antiqua" w:hAnsi="Book Antiqua"/>
          <w:sz w:val="20"/>
        </w:rPr>
        <w:t>The first outpouring was an older basalt that had a high titanium content</w:t>
      </w:r>
      <w:r>
        <w:rPr>
          <w:rFonts w:ascii="Book Antiqua" w:hAnsi="Book Antiqua"/>
          <w:sz w:val="20"/>
        </w:rPr>
        <w:t xml:space="preserve">, dating </w:t>
      </w:r>
      <w:proofErr w:type="gramStart"/>
      <w:r>
        <w:rPr>
          <w:rFonts w:ascii="Book Antiqua" w:hAnsi="Book Antiqua"/>
          <w:sz w:val="20"/>
        </w:rPr>
        <w:t>from</w:t>
      </w:r>
      <w:r w:rsidRPr="00370948">
        <w:rPr>
          <w:rFonts w:ascii="Book Antiqua" w:hAnsi="Book Antiqua"/>
          <w:sz w:val="20"/>
        </w:rPr>
        <w:t xml:space="preserve">  </w:t>
      </w:r>
      <w:r w:rsidRPr="00417998">
        <w:rPr>
          <w:rFonts w:ascii="Book Antiqua" w:hAnsi="Book Antiqua"/>
          <w:sz w:val="20"/>
        </w:rPr>
        <w:t>3.8</w:t>
      </w:r>
      <w:proofErr w:type="gramEnd"/>
      <w:r w:rsidRPr="00417998">
        <w:rPr>
          <w:rFonts w:ascii="Book Antiqua" w:hAnsi="Book Antiqua"/>
          <w:sz w:val="20"/>
        </w:rPr>
        <w:t xml:space="preserve">  to 3.5 billion atomic years.</w:t>
      </w:r>
      <w:r w:rsidRPr="00370948">
        <w:rPr>
          <w:rFonts w:ascii="Book Antiqua" w:hAnsi="Book Antiqua"/>
          <w:sz w:val="20"/>
        </w:rPr>
        <w:t xml:space="preserve">  This was the outpouring which inundated Mare Tranquillitatis (Sea of Tranquility) and the Taurus-Littrow mare regions and other portions of the eastern hemisphere as seen from earth [88]. This includes areas explored by Apollo 11 and 17 (See Fig</w:t>
      </w:r>
      <w:r>
        <w:rPr>
          <w:rFonts w:ascii="Book Antiqua" w:hAnsi="Book Antiqua"/>
          <w:sz w:val="20"/>
        </w:rPr>
        <w:t>ures</w:t>
      </w:r>
      <w:r w:rsidRPr="00370948">
        <w:rPr>
          <w:rFonts w:ascii="Book Antiqua" w:hAnsi="Book Antiqua"/>
          <w:sz w:val="20"/>
        </w:rPr>
        <w:t xml:space="preserve"> </w:t>
      </w:r>
      <w:r>
        <w:rPr>
          <w:rFonts w:ascii="Book Antiqua" w:hAnsi="Book Antiqua"/>
          <w:sz w:val="20"/>
        </w:rPr>
        <w:t>35</w:t>
      </w:r>
      <w:r w:rsidRPr="00370948">
        <w:rPr>
          <w:rFonts w:ascii="Book Antiqua" w:hAnsi="Book Antiqua"/>
          <w:sz w:val="20"/>
        </w:rPr>
        <w:t xml:space="preserve"> &amp; 3</w:t>
      </w:r>
      <w:r>
        <w:rPr>
          <w:rFonts w:ascii="Book Antiqua" w:hAnsi="Book Antiqua"/>
          <w:sz w:val="20"/>
        </w:rPr>
        <w:t>6</w:t>
      </w:r>
      <w:r w:rsidRPr="00370948">
        <w:rPr>
          <w:rFonts w:ascii="Book Antiqua" w:hAnsi="Book Antiqua"/>
          <w:sz w:val="20"/>
        </w:rPr>
        <w:t xml:space="preserve">). </w:t>
      </w:r>
    </w:p>
    <w:p w:rsidR="008B29DE" w:rsidRPr="00370948" w:rsidRDefault="008B29DE"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4081616" cy="2835408"/>
            <wp:effectExtent l="19050" t="0" r="0" b="0"/>
            <wp:docPr id="968" name="il_fi" descr="http://s4.hubimg.com/u/6024851_f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4.hubimg.com/u/6024851_f520.jpg"/>
                    <pic:cNvPicPr>
                      <a:picLocks noChangeAspect="1" noChangeArrowheads="1"/>
                    </pic:cNvPicPr>
                  </pic:nvPicPr>
                  <pic:blipFill>
                    <a:blip r:embed="rId325" cstate="print">
                      <a:lum bright="30000"/>
                    </a:blip>
                    <a:srcRect/>
                    <a:stretch>
                      <a:fillRect/>
                    </a:stretch>
                  </pic:blipFill>
                  <pic:spPr bwMode="auto">
                    <a:xfrm>
                      <a:off x="0" y="0"/>
                      <a:ext cx="4087020" cy="2839162"/>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E71EE9" w:rsidRDefault="005359B2" w:rsidP="008469D4">
      <w:pPr>
        <w:pStyle w:val="NoSpacing"/>
        <w:jc w:val="center"/>
        <w:rPr>
          <w:rFonts w:ascii="Book Antiqua" w:hAnsi="Book Antiqua"/>
          <w:i/>
          <w:sz w:val="18"/>
          <w:szCs w:val="18"/>
        </w:rPr>
      </w:pPr>
      <w:r w:rsidRPr="00E71EE9">
        <w:rPr>
          <w:rFonts w:ascii="Book Antiqua" w:hAnsi="Book Antiqua"/>
          <w:b/>
          <w:i/>
          <w:sz w:val="18"/>
          <w:szCs w:val="18"/>
        </w:rPr>
        <w:t xml:space="preserve">Figure </w:t>
      </w:r>
      <w:r>
        <w:rPr>
          <w:rFonts w:ascii="Book Antiqua" w:hAnsi="Book Antiqua"/>
          <w:b/>
          <w:i/>
          <w:sz w:val="18"/>
          <w:szCs w:val="18"/>
        </w:rPr>
        <w:t>35</w:t>
      </w:r>
      <w:r w:rsidRPr="00E71EE9">
        <w:rPr>
          <w:rFonts w:ascii="Book Antiqua" w:hAnsi="Book Antiqua"/>
          <w:b/>
          <w:i/>
          <w:sz w:val="18"/>
          <w:szCs w:val="18"/>
        </w:rPr>
        <w:t>:</w:t>
      </w:r>
      <w:r w:rsidRPr="00E71EE9">
        <w:rPr>
          <w:rFonts w:ascii="Book Antiqua" w:hAnsi="Book Antiqua"/>
          <w:i/>
          <w:sz w:val="18"/>
          <w:szCs w:val="18"/>
        </w:rPr>
        <w:t xml:space="preserve"> Our Moon with the dark plains named that were formed by magma outpoured from the lunar interior.</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center"/>
        <w:rPr>
          <w:rFonts w:ascii="Book Antiqua" w:hAnsi="Book Antiqua"/>
          <w:i/>
          <w:sz w:val="20"/>
        </w:rPr>
      </w:pPr>
      <w:r w:rsidRPr="00370948">
        <w:rPr>
          <w:rFonts w:ascii="Book Antiqua" w:hAnsi="Book Antiqua"/>
          <w:i/>
          <w:noProof/>
          <w:sz w:val="20"/>
        </w:rPr>
        <w:drawing>
          <wp:inline distT="0" distB="0" distL="0" distR="0">
            <wp:extent cx="4629790" cy="4243973"/>
            <wp:effectExtent l="19050" t="0" r="0" b="0"/>
            <wp:docPr id="969" name="il_fi" descr="http://www.daviddarling.info/images/Apollo_landing_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aviddarling.info/images/Apollo_landing_sites.jpg"/>
                    <pic:cNvPicPr>
                      <a:picLocks noChangeAspect="1" noChangeArrowheads="1"/>
                    </pic:cNvPicPr>
                  </pic:nvPicPr>
                  <pic:blipFill>
                    <a:blip r:embed="rId326" cstate="print"/>
                    <a:srcRect/>
                    <a:stretch>
                      <a:fillRect/>
                    </a:stretch>
                  </pic:blipFill>
                  <pic:spPr bwMode="auto">
                    <a:xfrm>
                      <a:off x="0" y="0"/>
                      <a:ext cx="4633846" cy="4247691"/>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i/>
          <w:sz w:val="20"/>
        </w:rPr>
      </w:pPr>
    </w:p>
    <w:p w:rsidR="005359B2" w:rsidRPr="00E71EE9" w:rsidRDefault="005359B2" w:rsidP="008469D4">
      <w:pPr>
        <w:pStyle w:val="NoSpacing"/>
        <w:jc w:val="center"/>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6</w:t>
      </w:r>
      <w:r w:rsidRPr="00E71EE9">
        <w:rPr>
          <w:rFonts w:ascii="Book Antiqua" w:hAnsi="Book Antiqua"/>
          <w:b/>
          <w:i/>
          <w:sz w:val="18"/>
          <w:szCs w:val="18"/>
        </w:rPr>
        <w:t>:</w:t>
      </w:r>
      <w:r w:rsidRPr="00E71EE9">
        <w:rPr>
          <w:rFonts w:ascii="Book Antiqua" w:hAnsi="Book Antiqua"/>
          <w:i/>
          <w:sz w:val="18"/>
          <w:szCs w:val="18"/>
        </w:rPr>
        <w:t xml:space="preserve"> The Moon showing the locations of the Apollo landings.</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 xml:space="preserve">Over 90% of observed volcanic deposits on the Moon were emplaced during these two events, which were close together in astronomical time.   J. W. Head, L. Wilson, and D. Wilhelms state: </w:t>
      </w:r>
      <w:r w:rsidRPr="00370948">
        <w:rPr>
          <w:rStyle w:val="Emphasis"/>
          <w:rFonts w:ascii="Book Antiqua" w:hAnsi="Book Antiqua"/>
          <w:sz w:val="20"/>
        </w:rPr>
        <w:t>"The source of heat required for melting and depth of origin is a major outstanding question in the petrogenesis of mare basalts."</w:t>
      </w:r>
      <w:r w:rsidRPr="00370948">
        <w:rPr>
          <w:rFonts w:ascii="Book Antiqua" w:hAnsi="Book Antiqua"/>
          <w:sz w:val="20"/>
        </w:rPr>
        <w:t xml:space="preserve"> [89]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The end of major eruptions of mare basalt around 3 billion atomic years ago ushered in a stage of lunar development which resulted in only minor changes to the surface [89]. Since then, a few significant craters such as Copernicus and Tycho have been formed. Tycho is the prominent crater at the bottom center of Figure 3</w:t>
      </w:r>
      <w:r>
        <w:rPr>
          <w:rFonts w:ascii="Book Antiqua" w:hAnsi="Book Antiqua"/>
          <w:sz w:val="20"/>
        </w:rPr>
        <w:t>6</w:t>
      </w:r>
      <w:r w:rsidRPr="00370948">
        <w:rPr>
          <w:rFonts w:ascii="Book Antiqua" w:hAnsi="Book Antiqua"/>
          <w:sz w:val="20"/>
        </w:rPr>
        <w:t xml:space="preserve">.  Their ages are about 850 million and 70 million atomic years respectively [90, 91].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sequence of events on the Moon therefore appears to be as follows: (1) Initial heating of the interior. (2) The LHB forming massive basins. (3) The continued heating of the interior that resulted in highly mobile basalts flooding the massive basins, delineating the low-lying Mare plains from the highly cratered uplands. (4) Later impact and electrical events then formed a few significant craters. The basalt-flooded plains give strong evidence regarding the same processes heating up the interior of the moon as heated the inner planets.</w:t>
      </w:r>
      <w:r>
        <w:rPr>
          <w:rFonts w:ascii="Book Antiqua" w:hAnsi="Book Antiqua"/>
          <w:sz w:val="20"/>
        </w:rPr>
        <w:t xml:space="preserve"> </w:t>
      </w:r>
      <w:r w:rsidRPr="00370948">
        <w:rPr>
          <w:rFonts w:ascii="Book Antiqua" w:hAnsi="Book Antiqua"/>
          <w:sz w:val="20"/>
        </w:rPr>
        <w:t xml:space="preserve">When all these events are analyzed there seems to be a basic underlying trend in what we are seeing throughout the solar system.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Planet formation from plasma filaments. The basic composition of the planets and layering of their interiors was governed by Marklund convection with radioactive elements concentrated in planetary cores.</w:t>
      </w:r>
    </w:p>
    <w:p w:rsidR="005359B2" w:rsidRPr="00370948" w:rsidRDefault="005359B2" w:rsidP="005359B2">
      <w:pPr>
        <w:pStyle w:val="NoSpacing"/>
        <w:ind w:left="180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Heating of planetary interiors by rapid radioactive decay of short half-life elements drives large quantities of water towards the planetary surfaces or crusts. Pressure builds up as heating continues and more water is added until it catastrophically degasses onto the surface.</w:t>
      </w:r>
    </w:p>
    <w:p w:rsidR="005359B2" w:rsidRPr="00370948" w:rsidRDefault="005359B2" w:rsidP="005359B2">
      <w:pPr>
        <w:pStyle w:val="ListParagrap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Heating continues to build moon and planetary interior temperatures until mantle rocks become molten. Since molten rock has a 10% greater volume than solid, unheated rock, pressure is again exerted on crustal layers which may crack as in the mid-ocean ridges on earth, or as planet-wide fissures as on Venus. The excess magma then escapes through these cracks or fissures and resurfaces ocean basins as on earth and Mars, or the whole planet in the case of Venus and Mercury.</w:t>
      </w:r>
    </w:p>
    <w:p w:rsidR="005359B2" w:rsidRPr="00370948" w:rsidRDefault="005359B2" w:rsidP="005359B2">
      <w:pPr>
        <w:pStyle w:val="NoSpacing"/>
        <w:ind w:left="180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The events of the catastrophic degassing of water and the splitting of the crust to allow magma to be outpoured may have had trigger events related to the times of cratering activity. This is discussed in more detail in Chapter 9 on Solar System history and Appendix  E on the formation of craters.</w:t>
      </w:r>
    </w:p>
    <w:p w:rsidR="005359B2" w:rsidRPr="00370948" w:rsidRDefault="005359B2" w:rsidP="005359B2">
      <w:pPr>
        <w:pStyle w:val="NoSpacing"/>
        <w:jc w:val="both"/>
        <w:rPr>
          <w:rFonts w:ascii="Book Antiqua" w:hAnsi="Book Antiqua"/>
          <w:sz w:val="20"/>
        </w:rPr>
      </w:pPr>
    </w:p>
    <w:p w:rsidR="005359B2" w:rsidRPr="007F49C3" w:rsidRDefault="005359B2" w:rsidP="005359B2">
      <w:pPr>
        <w:pStyle w:val="NoSpacing"/>
        <w:jc w:val="both"/>
        <w:rPr>
          <w:rFonts w:ascii="Book Antiqua" w:hAnsi="Book Antiqua"/>
          <w:b/>
          <w:bCs/>
          <w:iCs/>
          <w:color w:val="000000"/>
          <w:sz w:val="20"/>
        </w:rPr>
      </w:pPr>
      <w:r w:rsidRPr="007F49C3">
        <w:rPr>
          <w:rFonts w:ascii="Book Antiqua" w:hAnsi="Book Antiqua"/>
          <w:b/>
          <w:bCs/>
          <w:iCs/>
          <w:color w:val="000000"/>
          <w:sz w:val="20"/>
        </w:rPr>
        <w:t>12.  Diamonds, Oil And Salt Deposits On Earth.</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Since Marklund convection layered materials according to ionization potential, this</w:t>
      </w:r>
      <w:r w:rsidRPr="00370948">
        <w:rPr>
          <w:rFonts w:ascii="Book Antiqua" w:hAnsi="Book Antiqua"/>
          <w:sz w:val="20"/>
        </w:rPr>
        <w:t xml:space="preserve"> concentrated some metals, like iron and nickel, and many radioactive elements in or near the core</w:t>
      </w:r>
      <w:r>
        <w:rPr>
          <w:rFonts w:ascii="Book Antiqua" w:hAnsi="Book Antiqua"/>
          <w:sz w:val="20"/>
        </w:rPr>
        <w:t xml:space="preserve"> of each planet, including Earth</w:t>
      </w:r>
      <w:r w:rsidRPr="00370948">
        <w:rPr>
          <w:rFonts w:ascii="Book Antiqua" w:hAnsi="Book Antiqua"/>
          <w:sz w:val="20"/>
        </w:rPr>
        <w:t xml:space="preserve">. </w:t>
      </w:r>
      <w:r>
        <w:rPr>
          <w:rFonts w:ascii="Book Antiqua" w:hAnsi="Book Antiqua"/>
          <w:sz w:val="20"/>
        </w:rPr>
        <w:t>This means</w:t>
      </w:r>
      <w:r w:rsidRPr="00417998">
        <w:rPr>
          <w:rFonts w:ascii="Book Antiqua" w:hAnsi="Book Antiqua"/>
          <w:sz w:val="20"/>
        </w:rPr>
        <w:t xml:space="preserve"> silicates would be expected to predominate in the mantle.</w:t>
      </w:r>
      <w:r w:rsidRPr="00370948">
        <w:rPr>
          <w:rFonts w:ascii="Book Antiqua" w:hAnsi="Book Antiqua"/>
          <w:sz w:val="20"/>
        </w:rPr>
        <w:t xml:space="preserve"> </w:t>
      </w:r>
      <w:r>
        <w:rPr>
          <w:rFonts w:ascii="Book Antiqua" w:hAnsi="Book Antiqua"/>
          <w:sz w:val="20"/>
        </w:rPr>
        <w:t>C</w:t>
      </w:r>
      <w:r w:rsidRPr="00370948">
        <w:rPr>
          <w:rFonts w:ascii="Book Antiqua" w:hAnsi="Book Antiqua"/>
          <w:sz w:val="20"/>
        </w:rPr>
        <w:t xml:space="preserve">loser to the surface, in the upper mantle, there </w:t>
      </w:r>
      <w:r>
        <w:rPr>
          <w:rFonts w:ascii="Book Antiqua" w:hAnsi="Book Antiqua"/>
          <w:sz w:val="20"/>
        </w:rPr>
        <w:t>are</w:t>
      </w:r>
      <w:r w:rsidRPr="00370948">
        <w:rPr>
          <w:rFonts w:ascii="Book Antiqua" w:hAnsi="Book Antiqua"/>
          <w:sz w:val="20"/>
        </w:rPr>
        <w:t xml:space="preserve"> layers enriched in carbon, chlorine, hydrogen and oxygen. </w:t>
      </w:r>
      <w:r>
        <w:rPr>
          <w:rFonts w:ascii="Book Antiqua" w:hAnsi="Book Antiqua"/>
          <w:sz w:val="20"/>
        </w:rPr>
        <w:t xml:space="preserve">This would be expected from Marklund convection and this is what we find.  </w:t>
      </w:r>
      <w:r w:rsidRPr="00370948">
        <w:rPr>
          <w:rFonts w:ascii="Book Antiqua" w:hAnsi="Book Antiqua"/>
          <w:sz w:val="20"/>
        </w:rPr>
        <w:t xml:space="preserve">As a result, water enrichment, from the combination of the hydrogen and oxygen, might be expected in the near surface layers, with an enrichment of oxygen and </w:t>
      </w:r>
      <w:r>
        <w:rPr>
          <w:rFonts w:ascii="Book Antiqua" w:hAnsi="Book Antiqua"/>
          <w:sz w:val="20"/>
        </w:rPr>
        <w:t>predominant</w:t>
      </w:r>
      <w:r w:rsidRPr="00370948">
        <w:rPr>
          <w:rFonts w:ascii="Book Antiqua" w:hAnsi="Book Antiqua"/>
          <w:sz w:val="20"/>
        </w:rPr>
        <w:t xml:space="preserve"> nitrogen in atmospheric layers. This is the result of a straightforward ionization sequence.</w:t>
      </w:r>
    </w:p>
    <w:p w:rsidR="005359B2" w:rsidRPr="00370948" w:rsidRDefault="005359B2" w:rsidP="005359B2">
      <w:pPr>
        <w:pStyle w:val="NoSpacing"/>
        <w:jc w:val="both"/>
        <w:rPr>
          <w:rFonts w:ascii="Book Antiqua" w:hAnsi="Book Antiqua"/>
          <w:noProof/>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Some important geological implications follow from this. The asthenosphere with its high water content is just under the present crust (see Figure 3</w:t>
      </w:r>
      <w:r>
        <w:rPr>
          <w:rFonts w:ascii="Book Antiqua" w:hAnsi="Book Antiqua"/>
          <w:sz w:val="20"/>
        </w:rPr>
        <w:t>7</w:t>
      </w:r>
      <w:r w:rsidRPr="00370948">
        <w:rPr>
          <w:rFonts w:ascii="Book Antiqua" w:hAnsi="Book Antiqua"/>
          <w:sz w:val="20"/>
        </w:rPr>
        <w:t xml:space="preserve">). </w:t>
      </w:r>
      <w:r>
        <w:rPr>
          <w:rFonts w:ascii="Book Antiqua" w:hAnsi="Book Antiqua"/>
          <w:sz w:val="20"/>
        </w:rPr>
        <w:t>It was the carbon</w:t>
      </w:r>
      <w:r w:rsidRPr="00370948">
        <w:rPr>
          <w:rFonts w:ascii="Book Antiqua" w:hAnsi="Book Antiqua"/>
          <w:sz w:val="20"/>
        </w:rPr>
        <w:t xml:space="preserve"> enrichment layer within the asthenosphere </w:t>
      </w:r>
      <w:r>
        <w:rPr>
          <w:rFonts w:ascii="Book Antiqua" w:hAnsi="Book Antiqua"/>
          <w:sz w:val="20"/>
        </w:rPr>
        <w:t>that gave</w:t>
      </w:r>
      <w:r w:rsidRPr="00370948">
        <w:rPr>
          <w:rFonts w:ascii="Book Antiqua" w:hAnsi="Book Antiqua"/>
          <w:sz w:val="20"/>
        </w:rPr>
        <w:t xml:space="preserve"> rise to the diamonds which have been found in the cratons on the surface.</w:t>
      </w:r>
    </w:p>
    <w:p w:rsidR="005359B2" w:rsidRPr="00370948" w:rsidRDefault="005359B2" w:rsidP="005359B2">
      <w:pPr>
        <w:pStyle w:val="NoSpacing"/>
        <w:jc w:val="both"/>
        <w:rPr>
          <w:rFonts w:ascii="Book Antiqua" w:hAnsi="Book Antiqua"/>
          <w:noProof/>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6709075" cy="4556632"/>
            <wp:effectExtent l="19050" t="0" r="0" b="0"/>
            <wp:docPr id="970" name="il_fi" descr="http://3.bp.blogspot.com/-mAufF9utJIY/TaQgHOu4pEI/AAAAAAAAALU/dofHxdW1IGs/s1600/ASTHENO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mAufF9utJIY/TaQgHOu4pEI/AAAAAAAAALU/dofHxdW1IGs/s1600/ASTHENOSPHERE.jpg"/>
                    <pic:cNvPicPr>
                      <a:picLocks noChangeAspect="1" noChangeArrowheads="1"/>
                    </pic:cNvPicPr>
                  </pic:nvPicPr>
                  <pic:blipFill>
                    <a:blip r:embed="rId327" cstate="print"/>
                    <a:srcRect r="-81" b="25167"/>
                    <a:stretch>
                      <a:fillRect/>
                    </a:stretch>
                  </pic:blipFill>
                  <pic:spPr bwMode="auto">
                    <a:xfrm>
                      <a:off x="0" y="0"/>
                      <a:ext cx="6723639" cy="456652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7</w:t>
      </w:r>
      <w:r w:rsidRPr="00E71EE9">
        <w:rPr>
          <w:rFonts w:ascii="Book Antiqua" w:hAnsi="Book Antiqua"/>
          <w:b/>
          <w:i/>
          <w:sz w:val="18"/>
          <w:szCs w:val="18"/>
        </w:rPr>
        <w:t>:</w:t>
      </w:r>
      <w:r w:rsidRPr="00E71EE9">
        <w:rPr>
          <w:rFonts w:ascii="Book Antiqua" w:hAnsi="Book Antiqua"/>
          <w:i/>
          <w:sz w:val="18"/>
          <w:szCs w:val="18"/>
        </w:rPr>
        <w:t xml:space="preserve"> The internal structure of the earth showing the asthenosphere as part of the upper mantle from about 70 km to 700 km depth (45 – 450 miles).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The c</w:t>
      </w:r>
      <w:r w:rsidRPr="00370948">
        <w:rPr>
          <w:rFonts w:ascii="Book Antiqua" w:hAnsi="Book Antiqua"/>
          <w:sz w:val="20"/>
        </w:rPr>
        <w:t>urrent understanding is that diamonds originate at depths of up to 370 km (about 230 miles). They come to the surface in volcanic pipes at speeds that may exceed 100 km per hour (otherwise the diamonds would be dissolved). A typical structure appears in Figure 3</w:t>
      </w:r>
      <w:r>
        <w:rPr>
          <w:rFonts w:ascii="Book Antiqua" w:hAnsi="Book Antiqua"/>
          <w:sz w:val="20"/>
        </w:rPr>
        <w:t>8</w:t>
      </w:r>
      <w:r w:rsidRPr="00370948">
        <w:rPr>
          <w:rFonts w:ascii="Book Antiqua" w:hAnsi="Book Antiqua"/>
          <w:sz w:val="20"/>
        </w:rPr>
        <w:t xml:space="preserve">. The kimberlite mixture, in which they ascend, includes high concentrations of magnesium, water and carbon dioxide [92]. The reason for the high magnesium content will be </w:t>
      </w:r>
      <w:r>
        <w:rPr>
          <w:rFonts w:ascii="Book Antiqua" w:hAnsi="Book Antiqua"/>
          <w:sz w:val="20"/>
        </w:rPr>
        <w:t>shown</w:t>
      </w:r>
      <w:r w:rsidRPr="00370948">
        <w:rPr>
          <w:rFonts w:ascii="Book Antiqua" w:hAnsi="Book Antiqua"/>
          <w:sz w:val="20"/>
        </w:rPr>
        <w:t xml:space="preserve"> shortly.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i/>
          <w:sz w:val="20"/>
        </w:rPr>
      </w:pPr>
      <w:r w:rsidRPr="00370948">
        <w:rPr>
          <w:rFonts w:ascii="Book Antiqua" w:hAnsi="Book Antiqua"/>
          <w:sz w:val="20"/>
        </w:rPr>
        <w:t>At the diffuse boundary between the hydrogen and carbon enrichment in the asthenosphere, hydrocarbons would be expected to form. Their buoyancy would then allow them to ascend towards the surface and ultimately become trapped by certain rock layers, such as sandstone. This may be the reason that some oil and natural gas deposits have reportedly been found under more than 10 km of granite in Russia. This may also be why some oil wells which have been pumped dry, appear to regenerate as the oil continues to ascend from the hydrogen/carbon enrichment zone to the entrapment layers.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Something similar was proposed by Thomas Gold in 1999 [93]. A related origin for oil was proposed by S.B. Keith and M.M. Swan in 2005 [94]. They considered that evidence suggests that it is the product of </w:t>
      </w:r>
      <w:r w:rsidRPr="00370948">
        <w:rPr>
          <w:rFonts w:ascii="Book Antiqua" w:hAnsi="Book Antiqua"/>
          <w:i/>
          <w:sz w:val="20"/>
        </w:rPr>
        <w:t>“hydrothermal, geochemically-zoned fluid plumes.”</w:t>
      </w:r>
      <w:r w:rsidRPr="00370948">
        <w:rPr>
          <w:rFonts w:ascii="Book Antiqua" w:hAnsi="Book Antiqua"/>
          <w:sz w:val="20"/>
        </w:rPr>
        <w:t xml:space="preserve"> They indicated that both a carbon-rich and hydrogen-rich environment was needed in that case [94]. This is exactly what the Marklund convection scenario indicates exists in the asthenosphere.</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4227355" cy="2912249"/>
            <wp:effectExtent l="19050" t="0" r="1745" b="0"/>
            <wp:docPr id="971" name="il_fi" descr="http://www.kgs.ku.edu/Publications/GeoRecord/2000/vol6.1/jpgs/kimberl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gs.ku.edu/Publications/GeoRecord/2000/vol6.1/jpgs/kimberlite.gif"/>
                    <pic:cNvPicPr>
                      <a:picLocks noChangeAspect="1" noChangeArrowheads="1"/>
                    </pic:cNvPicPr>
                  </pic:nvPicPr>
                  <pic:blipFill>
                    <a:blip r:embed="rId328" cstate="print"/>
                    <a:srcRect l="7317" b="3314"/>
                    <a:stretch>
                      <a:fillRect/>
                    </a:stretch>
                  </pic:blipFill>
                  <pic:spPr bwMode="auto">
                    <a:xfrm>
                      <a:off x="0" y="0"/>
                      <a:ext cx="4235780" cy="291805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8</w:t>
      </w:r>
      <w:r w:rsidRPr="00E71EE9">
        <w:rPr>
          <w:rFonts w:ascii="Book Antiqua" w:hAnsi="Book Antiqua"/>
          <w:b/>
          <w:i/>
          <w:sz w:val="18"/>
          <w:szCs w:val="18"/>
        </w:rPr>
        <w:t>:</w:t>
      </w:r>
      <w:r w:rsidRPr="00E71EE9">
        <w:rPr>
          <w:rFonts w:ascii="Book Antiqua" w:hAnsi="Book Antiqua"/>
          <w:i/>
          <w:sz w:val="18"/>
          <w:szCs w:val="18"/>
        </w:rPr>
        <w:t xml:space="preserve"> Diagram of a Kimberlite Pipe extending from a source in the upper mantle to the Earth’s surface and often containing diamonds.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More evidence emerged in 2007 from the research of </w:t>
      </w:r>
      <w:r w:rsidRPr="00370948">
        <w:rPr>
          <w:rFonts w:ascii="Book Antiqua" w:hAnsi="Book Antiqua"/>
          <w:iCs/>
          <w:sz w:val="20"/>
          <w:lang w:val="en-GB"/>
        </w:rPr>
        <w:t xml:space="preserve">Proskurowski, Lilley, Seewald et. al. They wrote </w:t>
      </w:r>
      <w:r w:rsidRPr="00370948">
        <w:rPr>
          <w:rFonts w:ascii="Book Antiqua" w:hAnsi="Book Antiqua"/>
          <w:i/>
          <w:iCs/>
          <w:sz w:val="20"/>
          <w:lang w:val="en-GB"/>
        </w:rPr>
        <w:t>“</w:t>
      </w:r>
      <w:r w:rsidRPr="00370948">
        <w:rPr>
          <w:rFonts w:ascii="Book Antiqua" w:hAnsi="Book Antiqua"/>
          <w:i/>
          <w:sz w:val="20"/>
          <w:lang w:val="en-GB"/>
        </w:rPr>
        <w:t xml:space="preserve">Here, we present concentration, and stable and radiocarbon isotope, data from hydrocarbons dissolved in hydrogen-rich fluids venting at the ultramafic-hosted Lost City Hydrothermal Field. ... Radiocarbon evidence rules out seawater bicarbonate as the carbon source for FTT reactions, suggesting that a mantle-derived inorganic carbon source is leached from the host rocks.” </w:t>
      </w:r>
      <w:r w:rsidRPr="00370948">
        <w:rPr>
          <w:rFonts w:ascii="Book Antiqua" w:hAnsi="Book Antiqua"/>
          <w:sz w:val="20"/>
          <w:lang w:val="en-GB"/>
        </w:rPr>
        <w:t xml:space="preserve">[95] </w:t>
      </w:r>
      <w:r w:rsidRPr="00370948">
        <w:rPr>
          <w:rFonts w:ascii="Book Antiqua" w:hAnsi="Book Antiqua"/>
          <w:sz w:val="20"/>
        </w:rPr>
        <w:t>A separate study at Lawrence Livermore National Labs has confirmed that the conditions exist at depths exceeding 100 km for oil to occur in the manner suggested here [96].</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r>
        <w:rPr>
          <w:rFonts w:ascii="Book Antiqua" w:hAnsi="Book Antiqua"/>
          <w:sz w:val="20"/>
        </w:rPr>
        <w:t>The plasma model</w:t>
      </w:r>
      <w:r w:rsidRPr="00370948">
        <w:rPr>
          <w:rFonts w:ascii="Book Antiqua" w:hAnsi="Book Antiqua"/>
          <w:sz w:val="20"/>
        </w:rPr>
        <w:t xml:space="preserve"> can also account for deposits of various salts.  The interior heating of the earth has two effects. First, the water in the crystal lattices and interstices between the minerals and grains in the planetary interiors </w:t>
      </w:r>
      <w:r>
        <w:rPr>
          <w:rFonts w:ascii="Book Antiqua" w:hAnsi="Book Antiqua"/>
          <w:sz w:val="20"/>
        </w:rPr>
        <w:t>is</w:t>
      </w:r>
      <w:r w:rsidRPr="00370948">
        <w:rPr>
          <w:rFonts w:ascii="Book Antiqua" w:hAnsi="Book Antiqua"/>
          <w:sz w:val="20"/>
        </w:rPr>
        <w:t xml:space="preserve"> driven off and </w:t>
      </w:r>
      <w:r>
        <w:rPr>
          <w:rFonts w:ascii="Book Antiqua" w:hAnsi="Book Antiqua"/>
          <w:sz w:val="20"/>
        </w:rPr>
        <w:t xml:space="preserve">then </w:t>
      </w:r>
      <w:r w:rsidRPr="00370948">
        <w:rPr>
          <w:rFonts w:ascii="Book Antiqua" w:hAnsi="Book Antiqua"/>
          <w:sz w:val="20"/>
        </w:rPr>
        <w:t>moves towards the surface. Because of the temperatures and pressures involved</w:t>
      </w:r>
      <w:r>
        <w:rPr>
          <w:rFonts w:ascii="Book Antiqua" w:hAnsi="Book Antiqua"/>
          <w:sz w:val="20"/>
        </w:rPr>
        <w:t>,</w:t>
      </w:r>
      <w:r w:rsidRPr="00370948">
        <w:rPr>
          <w:rFonts w:ascii="Book Antiqua" w:hAnsi="Book Antiqua"/>
          <w:sz w:val="20"/>
        </w:rPr>
        <w:t xml:space="preserve"> it is possible that it may become supercritical water. </w:t>
      </w:r>
      <w:r>
        <w:rPr>
          <w:rFonts w:ascii="Book Antiqua" w:hAnsi="Book Antiqua"/>
          <w:sz w:val="20"/>
        </w:rPr>
        <w:t>(</w:t>
      </w:r>
      <w:r w:rsidRPr="00370948">
        <w:rPr>
          <w:rFonts w:ascii="Book Antiqua" w:hAnsi="Book Antiqua"/>
          <w:sz w:val="20"/>
        </w:rPr>
        <w:t xml:space="preserve">In this supercritical condition, distinct liquid and gas phases do not exist. The supercritical water can </w:t>
      </w:r>
      <w:hyperlink r:id="rId329" w:tooltip="Effusion" w:history="1">
        <w:r w:rsidRPr="00370948">
          <w:rPr>
            <w:rStyle w:val="Hyperlink"/>
            <w:rFonts w:ascii="Book Antiqua" w:hAnsi="Book Antiqua"/>
            <w:sz w:val="20"/>
          </w:rPr>
          <w:t>effuse</w:t>
        </w:r>
      </w:hyperlink>
      <w:r w:rsidRPr="00370948">
        <w:rPr>
          <w:rFonts w:ascii="Book Antiqua" w:hAnsi="Book Antiqua"/>
          <w:sz w:val="20"/>
        </w:rPr>
        <w:t xml:space="preserve"> through </w:t>
      </w:r>
      <w:hyperlink r:id="rId330" w:tooltip="Solids" w:history="1">
        <w:r w:rsidRPr="00370948">
          <w:rPr>
            <w:rStyle w:val="Hyperlink"/>
            <w:rFonts w:ascii="Book Antiqua" w:hAnsi="Book Antiqua"/>
            <w:sz w:val="20"/>
          </w:rPr>
          <w:t>solids</w:t>
        </w:r>
      </w:hyperlink>
      <w:r w:rsidRPr="00370948">
        <w:rPr>
          <w:rFonts w:ascii="Book Antiqua" w:hAnsi="Book Antiqua"/>
          <w:sz w:val="20"/>
        </w:rPr>
        <w:t xml:space="preserve"> like a </w:t>
      </w:r>
      <w:hyperlink r:id="rId331" w:tooltip="Gas" w:history="1">
        <w:r w:rsidRPr="00370948">
          <w:rPr>
            <w:rStyle w:val="Hyperlink"/>
            <w:rFonts w:ascii="Book Antiqua" w:hAnsi="Book Antiqua"/>
            <w:sz w:val="20"/>
          </w:rPr>
          <w:t>gas</w:t>
        </w:r>
      </w:hyperlink>
      <w:r w:rsidRPr="00370948">
        <w:rPr>
          <w:rFonts w:ascii="Book Antiqua" w:hAnsi="Book Antiqua"/>
          <w:sz w:val="20"/>
        </w:rPr>
        <w:t xml:space="preserve">, and still </w:t>
      </w:r>
      <w:hyperlink r:id="rId332" w:tooltip="Solvation" w:history="1">
        <w:r w:rsidRPr="00370948">
          <w:rPr>
            <w:rStyle w:val="Hyperlink"/>
            <w:rFonts w:ascii="Book Antiqua" w:hAnsi="Book Antiqua"/>
            <w:sz w:val="20"/>
          </w:rPr>
          <w:t>dissolve</w:t>
        </w:r>
      </w:hyperlink>
      <w:r w:rsidRPr="00370948">
        <w:rPr>
          <w:rFonts w:ascii="Book Antiqua" w:hAnsi="Book Antiqua"/>
          <w:sz w:val="20"/>
        </w:rPr>
        <w:t xml:space="preserve"> materials like a </w:t>
      </w:r>
      <w:hyperlink r:id="rId333" w:tooltip="Liquid" w:history="1">
        <w:r w:rsidRPr="00370948">
          <w:rPr>
            <w:rStyle w:val="Hyperlink"/>
            <w:rFonts w:ascii="Book Antiqua" w:hAnsi="Book Antiqua"/>
            <w:sz w:val="20"/>
          </w:rPr>
          <w:t>liquid</w:t>
        </w:r>
      </w:hyperlink>
      <w:r w:rsidRPr="00370948">
        <w:rPr>
          <w:rFonts w:ascii="Book Antiqua" w:hAnsi="Book Antiqua"/>
          <w:sz w:val="20"/>
        </w:rPr>
        <w:t>. In fact it is a very strong solvent.</w:t>
      </w:r>
      <w:r>
        <w:rPr>
          <w:rFonts w:ascii="Book Antiqua" w:hAnsi="Book Antiqua"/>
          <w:sz w:val="20"/>
        </w:rPr>
        <w:t>)</w:t>
      </w:r>
      <w:r w:rsidRPr="00370948">
        <w:rPr>
          <w:rFonts w:ascii="Book Antiqua" w:hAnsi="Book Antiqua"/>
          <w:sz w:val="20"/>
        </w:rPr>
        <w:t xml:space="preserve"> Second, some rocks in the interior become molten and the </w:t>
      </w:r>
      <w:r>
        <w:rPr>
          <w:rFonts w:ascii="Book Antiqua" w:hAnsi="Book Antiqua"/>
          <w:sz w:val="20"/>
        </w:rPr>
        <w:t xml:space="preserve">resulting </w:t>
      </w:r>
      <w:r w:rsidRPr="00370948">
        <w:rPr>
          <w:rFonts w:ascii="Book Antiqua" w:hAnsi="Book Antiqua"/>
          <w:sz w:val="20"/>
        </w:rPr>
        <w:t>magma tends to ascend to</w:t>
      </w:r>
      <w:r>
        <w:rPr>
          <w:rFonts w:ascii="Book Antiqua" w:hAnsi="Book Antiqua"/>
          <w:sz w:val="20"/>
        </w:rPr>
        <w:t>ward</w:t>
      </w:r>
      <w:r w:rsidRPr="00370948">
        <w:rPr>
          <w:rFonts w:ascii="Book Antiqua" w:hAnsi="Book Antiqua"/>
          <w:sz w:val="20"/>
        </w:rPr>
        <w:t xml:space="preserve"> the surface, in a manner similar to the kimberlite pipes which carry the diamonds upwards. At this point we have both water and magma ascending towards the surface.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These liquids not only have a strong dissolving power, but they also tend to sweep up any atoms of large radius. This occurs because it is easier for a large atom to fit into the interstices between the atoms in a liquid than in a solid. Thus the largest atoms from the deep interior get transported towards the surface by the (supercritical) water and the molten rock. From the twenty most abundant elements in the earth, the four elements with the largest atomic radii can be selected. These four largest atoms are, in order, potasium at 227 picometers, calcium at 197, sodium at 186, and magnesium at 160 picometers. </w:t>
      </w: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Marklund convection processes were responsible for the original carbon, chlorine, hydrogen and oxygen in the asthenosphere.  The rising supercritical waters </w:t>
      </w:r>
      <w:r w:rsidR="00DD6A4D">
        <w:rPr>
          <w:rFonts w:ascii="Book Antiqua" w:hAnsi="Book Antiqua"/>
          <w:sz w:val="20"/>
        </w:rPr>
        <w:t>had become</w:t>
      </w:r>
      <w:r>
        <w:rPr>
          <w:rFonts w:ascii="Book Antiqua" w:hAnsi="Book Antiqua"/>
          <w:sz w:val="20"/>
        </w:rPr>
        <w:t xml:space="preserve"> enriched</w:t>
      </w:r>
      <w:r w:rsidRPr="00417998">
        <w:rPr>
          <w:rFonts w:ascii="Book Antiqua" w:hAnsi="Book Antiqua"/>
          <w:sz w:val="20"/>
        </w:rPr>
        <w:t xml:space="preserve"> w</w:t>
      </w:r>
      <w:r w:rsidRPr="00370948">
        <w:rPr>
          <w:rFonts w:ascii="Book Antiqua" w:hAnsi="Book Antiqua"/>
          <w:sz w:val="20"/>
        </w:rPr>
        <w:t>ith potassium, calcium, sodium, and magnesium</w:t>
      </w:r>
      <w:r w:rsidR="00DD6A4D">
        <w:rPr>
          <w:rFonts w:ascii="Book Antiqua" w:hAnsi="Book Antiqua"/>
          <w:sz w:val="20"/>
        </w:rPr>
        <w:t xml:space="preserve"> by the process just mentioned.</w:t>
      </w:r>
      <w:r w:rsidRPr="00370948">
        <w:rPr>
          <w:rFonts w:ascii="Book Antiqua" w:hAnsi="Book Antiqua"/>
          <w:sz w:val="20"/>
        </w:rPr>
        <w:t xml:space="preserve"> </w:t>
      </w:r>
      <w:r w:rsidR="00DD6A4D">
        <w:rPr>
          <w:rFonts w:ascii="Book Antiqua" w:hAnsi="Book Antiqua"/>
          <w:sz w:val="20"/>
        </w:rPr>
        <w:t>Then, as</w:t>
      </w:r>
      <w:r w:rsidRPr="00370948">
        <w:rPr>
          <w:rFonts w:ascii="Book Antiqua" w:hAnsi="Book Antiqua"/>
          <w:sz w:val="20"/>
        </w:rPr>
        <w:t xml:space="preserve"> the fluids mov</w:t>
      </w:r>
      <w:r w:rsidR="00DD6A4D">
        <w:rPr>
          <w:rFonts w:ascii="Book Antiqua" w:hAnsi="Book Antiqua"/>
          <w:sz w:val="20"/>
        </w:rPr>
        <w:t>ed into the asthenosphere, they</w:t>
      </w:r>
      <w:r w:rsidRPr="00370948">
        <w:rPr>
          <w:rFonts w:ascii="Book Antiqua" w:hAnsi="Book Antiqua"/>
          <w:sz w:val="20"/>
        </w:rPr>
        <w:t xml:space="preserve"> bec</w:t>
      </w:r>
      <w:r>
        <w:rPr>
          <w:rFonts w:ascii="Book Antiqua" w:hAnsi="Book Antiqua"/>
          <w:sz w:val="20"/>
        </w:rPr>
        <w:t>a</w:t>
      </w:r>
      <w:r w:rsidRPr="00370948">
        <w:rPr>
          <w:rFonts w:ascii="Book Antiqua" w:hAnsi="Book Antiqua"/>
          <w:sz w:val="20"/>
        </w:rPr>
        <w:t xml:space="preserve">me concentrated in carbonates </w:t>
      </w:r>
      <w:r w:rsidR="00215017">
        <w:rPr>
          <w:rFonts w:ascii="Book Antiqua" w:hAnsi="Book Antiqua"/>
          <w:sz w:val="20"/>
        </w:rPr>
        <w:t xml:space="preserve">and chlorides </w:t>
      </w:r>
      <w:r w:rsidRPr="00370948">
        <w:rPr>
          <w:rFonts w:ascii="Book Antiqua" w:hAnsi="Book Antiqua"/>
          <w:sz w:val="20"/>
        </w:rPr>
        <w:t xml:space="preserve">of sodium, potassium, magnesium and calcium. </w:t>
      </w:r>
      <w:r w:rsidR="00215017">
        <w:rPr>
          <w:rFonts w:ascii="Book Antiqua" w:hAnsi="Book Antiqua"/>
          <w:sz w:val="20"/>
        </w:rPr>
        <w:t>These salt-</w:t>
      </w:r>
      <w:r>
        <w:rPr>
          <w:rFonts w:ascii="Book Antiqua" w:hAnsi="Book Antiqua"/>
          <w:sz w:val="20"/>
        </w:rPr>
        <w:t xml:space="preserve">forming </w:t>
      </w:r>
      <w:r w:rsidR="00215017">
        <w:rPr>
          <w:rFonts w:ascii="Book Antiqua" w:hAnsi="Book Antiqua"/>
          <w:sz w:val="20"/>
        </w:rPr>
        <w:t xml:space="preserve">chlorides </w:t>
      </w:r>
      <w:r>
        <w:rPr>
          <w:rFonts w:ascii="Book Antiqua" w:hAnsi="Book Antiqua"/>
          <w:sz w:val="20"/>
        </w:rPr>
        <w:t>were then</w:t>
      </w:r>
      <w:r w:rsidRPr="00370948">
        <w:rPr>
          <w:rFonts w:ascii="Book Antiqua" w:hAnsi="Book Antiqua"/>
          <w:sz w:val="20"/>
        </w:rPr>
        <w:t xml:space="preserve"> transported in concentrated solutions towards the surface. </w:t>
      </w:r>
      <w:r w:rsidR="00DD6A4D">
        <w:rPr>
          <w:rFonts w:ascii="Book Antiqua" w:hAnsi="Book Antiqua"/>
          <w:sz w:val="20"/>
        </w:rPr>
        <w:t xml:space="preserve">Then, </w:t>
      </w:r>
      <w:r>
        <w:rPr>
          <w:rFonts w:ascii="Book Antiqua" w:hAnsi="Book Antiqua"/>
          <w:sz w:val="20"/>
        </w:rPr>
        <w:t xml:space="preserve">through the action of </w:t>
      </w:r>
      <w:r w:rsidRPr="00370948">
        <w:rPr>
          <w:rFonts w:ascii="Book Antiqua" w:hAnsi="Book Antiqua"/>
          <w:sz w:val="20"/>
        </w:rPr>
        <w:t xml:space="preserve">chemical precipitation from supersaturated solutions, </w:t>
      </w:r>
      <w:r>
        <w:rPr>
          <w:rFonts w:ascii="Book Antiqua" w:hAnsi="Book Antiqua"/>
          <w:sz w:val="20"/>
        </w:rPr>
        <w:t>via</w:t>
      </w:r>
      <w:r w:rsidRPr="00370948">
        <w:rPr>
          <w:rFonts w:ascii="Book Antiqua" w:hAnsi="Book Antiqua"/>
          <w:sz w:val="20"/>
        </w:rPr>
        <w:t xml:space="preserve"> hydrothermal vents, or from the action of volcanic fluids</w:t>
      </w:r>
      <w:r w:rsidR="00DD6A4D">
        <w:rPr>
          <w:rFonts w:ascii="Book Antiqua" w:hAnsi="Book Antiqua"/>
          <w:sz w:val="20"/>
        </w:rPr>
        <w:t>,</w:t>
      </w:r>
      <w:r>
        <w:rPr>
          <w:rFonts w:ascii="Book Antiqua" w:hAnsi="Book Antiqua"/>
          <w:sz w:val="20"/>
        </w:rPr>
        <w:t xml:space="preserve"> </w:t>
      </w:r>
      <w:r w:rsidR="00215017">
        <w:rPr>
          <w:rFonts w:ascii="Book Antiqua" w:hAnsi="Book Antiqua"/>
          <w:sz w:val="20"/>
        </w:rPr>
        <w:t xml:space="preserve">the </w:t>
      </w:r>
      <w:r w:rsidRPr="00370948">
        <w:rPr>
          <w:rFonts w:ascii="Book Antiqua" w:hAnsi="Book Antiqua"/>
          <w:sz w:val="20"/>
        </w:rPr>
        <w:t xml:space="preserve">huge ‘evaporite’ deposits </w:t>
      </w:r>
      <w:r w:rsidR="00DD6A4D">
        <w:rPr>
          <w:rFonts w:ascii="Book Antiqua" w:hAnsi="Book Antiqua"/>
          <w:sz w:val="20"/>
        </w:rPr>
        <w:t xml:space="preserve">were </w:t>
      </w:r>
      <w:r w:rsidRPr="00370948">
        <w:rPr>
          <w:rFonts w:ascii="Book Antiqua" w:hAnsi="Book Antiqua"/>
          <w:sz w:val="20"/>
        </w:rPr>
        <w:t>form</w:t>
      </w:r>
      <w:r>
        <w:rPr>
          <w:rFonts w:ascii="Book Antiqua" w:hAnsi="Book Antiqua"/>
          <w:sz w:val="20"/>
        </w:rPr>
        <w:t>ed.</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This origin for some of the huge evaporite deposits of various salts, such as those in the Upper Supai Formation of East Central Arizona which attain thicknesses of 485 feet, needs to be investigated.  Even more impressive are the series of Mediterranean basins which have thicknesses of halite and gypsum up to 2 km thick. The evidence suggests that they were all deposited in a very short time, geologically speaking. The additional options that open up when Marklund convection is coupled with the selective transportation of large atoms in fluids hold the potential to overcome at least some of the problems that these deposits present.</w:t>
      </w:r>
    </w:p>
    <w:p w:rsidR="005359B2" w:rsidRPr="00370948" w:rsidRDefault="005359B2" w:rsidP="005359B2">
      <w:pPr>
        <w:pStyle w:val="NoSpacing"/>
        <w:jc w:val="both"/>
        <w:rPr>
          <w:rFonts w:ascii="Book Antiqua" w:hAnsi="Book Antiqua"/>
          <w:b/>
          <w:bCs/>
          <w:iCs/>
          <w:color w:val="000000"/>
          <w:sz w:val="20"/>
        </w:rPr>
      </w:pPr>
    </w:p>
    <w:p w:rsidR="005359B2" w:rsidRPr="00370948" w:rsidRDefault="005359B2" w:rsidP="005359B2">
      <w:pPr>
        <w:pStyle w:val="NoSpacing"/>
        <w:jc w:val="both"/>
        <w:rPr>
          <w:rFonts w:ascii="Book Antiqua" w:hAnsi="Book Antiqua"/>
          <w:b/>
          <w:bCs/>
          <w:iCs/>
          <w:color w:val="000000"/>
          <w:sz w:val="20"/>
        </w:rPr>
      </w:pPr>
      <w:r>
        <w:rPr>
          <w:rFonts w:ascii="Book Antiqua" w:hAnsi="Book Antiqua"/>
          <w:b/>
          <w:bCs/>
          <w:iCs/>
          <w:color w:val="000000"/>
          <w:sz w:val="20"/>
        </w:rPr>
        <w:t>13</w:t>
      </w:r>
      <w:r w:rsidRPr="00370948">
        <w:rPr>
          <w:rFonts w:ascii="Book Antiqua" w:hAnsi="Book Antiqua"/>
          <w:b/>
          <w:bCs/>
          <w:iCs/>
          <w:color w:val="000000"/>
          <w:sz w:val="20"/>
        </w:rPr>
        <w:t>.  Coming to Conclusions</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same way that Darwin’s view of the cell as just a blob was </w:t>
      </w:r>
      <w:r>
        <w:rPr>
          <w:rFonts w:ascii="Book Antiqua" w:hAnsi="Book Antiqua"/>
          <w:sz w:val="20"/>
        </w:rPr>
        <w:t>inadequate</w:t>
      </w:r>
      <w:r w:rsidRPr="00370948">
        <w:rPr>
          <w:rFonts w:ascii="Book Antiqua" w:hAnsi="Book Antiqua"/>
          <w:sz w:val="20"/>
        </w:rPr>
        <w:t xml:space="preserve">, so the old idea of gravity being the prime mover in the universe is </w:t>
      </w:r>
      <w:r>
        <w:rPr>
          <w:rFonts w:ascii="Book Antiqua" w:hAnsi="Book Antiqua"/>
          <w:sz w:val="20"/>
        </w:rPr>
        <w:t xml:space="preserve">also </w:t>
      </w:r>
      <w:r w:rsidRPr="00370948">
        <w:rPr>
          <w:rFonts w:ascii="Book Antiqua" w:hAnsi="Book Antiqua"/>
          <w:sz w:val="20"/>
        </w:rPr>
        <w:t xml:space="preserve">proving itself </w:t>
      </w:r>
      <w:r>
        <w:rPr>
          <w:rFonts w:ascii="Book Antiqua" w:hAnsi="Book Antiqua"/>
          <w:sz w:val="20"/>
        </w:rPr>
        <w:t>inadequate</w:t>
      </w:r>
      <w:r w:rsidRPr="00370948">
        <w:rPr>
          <w:rFonts w:ascii="Book Antiqua" w:hAnsi="Book Antiqua"/>
          <w:sz w:val="20"/>
        </w:rPr>
        <w:t xml:space="preserve">.  It cannot account for the formation of heavy elements or galaxies without special pleading.  It has invented dark matter and dark energy to account for the speed of rotation of the spiral arms of galaxies.  </w:t>
      </w:r>
      <w:r>
        <w:rPr>
          <w:rFonts w:ascii="Book Antiqua" w:hAnsi="Book Antiqua"/>
          <w:sz w:val="20"/>
        </w:rPr>
        <w:t xml:space="preserve">It also cannot </w:t>
      </w:r>
      <w:r w:rsidRPr="00370948">
        <w:rPr>
          <w:rFonts w:ascii="Book Antiqua" w:hAnsi="Book Antiqua"/>
          <w:sz w:val="20"/>
        </w:rPr>
        <w:t>account for a number of other astronomical and planetary data.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As plasma physics </w:t>
      </w:r>
      <w:r>
        <w:rPr>
          <w:rFonts w:ascii="Book Antiqua" w:hAnsi="Book Antiqua"/>
          <w:sz w:val="20"/>
        </w:rPr>
        <w:t>becomes better known and understood</w:t>
      </w:r>
      <w:r w:rsidRPr="00370948">
        <w:rPr>
          <w:rFonts w:ascii="Book Antiqua" w:hAnsi="Book Antiqua"/>
          <w:sz w:val="20"/>
        </w:rPr>
        <w:t xml:space="preserve"> as a field of science, the problems presented by the gravitational model are being </w:t>
      </w:r>
      <w:r>
        <w:rPr>
          <w:rFonts w:ascii="Book Antiqua" w:hAnsi="Book Antiqua"/>
          <w:sz w:val="20"/>
        </w:rPr>
        <w:t>solved</w:t>
      </w:r>
      <w:r w:rsidRPr="00370948">
        <w:rPr>
          <w:rFonts w:ascii="Book Antiqua" w:hAnsi="Book Antiqua"/>
          <w:sz w:val="20"/>
        </w:rPr>
        <w:t xml:space="preserve">.  The universe is </w:t>
      </w:r>
      <w:r>
        <w:rPr>
          <w:rFonts w:ascii="Book Antiqua" w:hAnsi="Book Antiqua"/>
          <w:sz w:val="20"/>
        </w:rPr>
        <w:t>seen</w:t>
      </w:r>
      <w:r w:rsidRPr="00370948">
        <w:rPr>
          <w:rFonts w:ascii="Book Antiqua" w:hAnsi="Book Antiqua"/>
          <w:sz w:val="20"/>
        </w:rPr>
        <w:t xml:space="preserve"> to be full of massive electrical currents and interacting plasma filaments.  Work with plasma filaments in our labs has demonstrated how galaxies can form quickly, on a relatively flat plane, and why their outer spiral arms are moving as fast as their inner regions. This plasma approach to galaxy formation necessarily implies that each galaxy is linked to a cosmic filament structure as </w:t>
      </w:r>
      <w:r>
        <w:rPr>
          <w:rFonts w:ascii="Book Antiqua" w:hAnsi="Book Antiqua"/>
          <w:sz w:val="20"/>
        </w:rPr>
        <w:t>shown before</w:t>
      </w:r>
      <w:r w:rsidRPr="00370948">
        <w:rPr>
          <w:rFonts w:ascii="Book Antiqua" w:hAnsi="Book Antiqua"/>
          <w:sz w:val="20"/>
        </w:rPr>
        <w:t xml:space="preserve"> in Figure 6. This was partly confirmed in 2006 when I. Trujillo et al. from the University of Nottingham, England, discovered that the spin axes of galaxies line up along these huge filaments to a 99.7% confidence level. Figure 3</w:t>
      </w:r>
      <w:r>
        <w:rPr>
          <w:rFonts w:ascii="Book Antiqua" w:hAnsi="Book Antiqua"/>
          <w:sz w:val="20"/>
        </w:rPr>
        <w:t>9</w:t>
      </w:r>
      <w:r w:rsidRPr="00370948">
        <w:rPr>
          <w:rFonts w:ascii="Book Antiqua" w:hAnsi="Book Antiqua"/>
          <w:sz w:val="20"/>
        </w:rPr>
        <w:t xml:space="preserve"> sketches the effect that </w:t>
      </w:r>
      <w:r>
        <w:rPr>
          <w:rFonts w:ascii="Book Antiqua" w:hAnsi="Book Antiqua"/>
          <w:sz w:val="20"/>
        </w:rPr>
        <w:t>they</w:t>
      </w:r>
      <w:r w:rsidRPr="00370948">
        <w:rPr>
          <w:rFonts w:ascii="Book Antiqua" w:hAnsi="Book Antiqua"/>
          <w:sz w:val="20"/>
        </w:rPr>
        <w:t xml:space="preserve"> found [98].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067300" cy="3609975"/>
            <wp:effectExtent l="19050" t="0" r="0" b="0"/>
            <wp:docPr id="972" name="Picture 1" descr="spiral galaxies"/>
            <wp:cNvGraphicFramePr/>
            <a:graphic xmlns:a="http://schemas.openxmlformats.org/drawingml/2006/main">
              <a:graphicData uri="http://schemas.openxmlformats.org/drawingml/2006/picture">
                <pic:pic xmlns:pic="http://schemas.openxmlformats.org/drawingml/2006/picture">
                  <pic:nvPicPr>
                    <pic:cNvPr id="103427" name="Content Placeholder 3" descr="spiral galaxies"/>
                    <pic:cNvPicPr>
                      <a:picLocks noGrp="1"/>
                    </pic:cNvPicPr>
                  </pic:nvPicPr>
                  <pic:blipFill>
                    <a:blip r:embed="rId334" cstate="print"/>
                    <a:srcRect/>
                    <a:stretch>
                      <a:fillRect/>
                    </a:stretch>
                  </pic:blipFill>
                  <pic:spPr bwMode="auto">
                    <a:xfrm>
                      <a:off x="0" y="0"/>
                      <a:ext cx="5066706" cy="3609552"/>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20"/>
        </w:rPr>
      </w:pPr>
      <w:r w:rsidRPr="00E71EE9">
        <w:rPr>
          <w:rFonts w:ascii="Book Antiqua" w:hAnsi="Book Antiqua"/>
          <w:b/>
          <w:i/>
          <w:sz w:val="18"/>
          <w:szCs w:val="18"/>
        </w:rPr>
        <w:t>Figure 3</w:t>
      </w:r>
      <w:r>
        <w:rPr>
          <w:rFonts w:ascii="Book Antiqua" w:hAnsi="Book Antiqua"/>
          <w:b/>
          <w:i/>
          <w:sz w:val="18"/>
          <w:szCs w:val="18"/>
        </w:rPr>
        <w:t>9</w:t>
      </w:r>
      <w:r w:rsidRPr="00E71EE9">
        <w:rPr>
          <w:rFonts w:ascii="Book Antiqua" w:hAnsi="Book Antiqua"/>
          <w:b/>
          <w:i/>
          <w:sz w:val="18"/>
          <w:szCs w:val="18"/>
        </w:rPr>
        <w:t>:</w:t>
      </w:r>
      <w:r w:rsidRPr="00E71EE9">
        <w:rPr>
          <w:rFonts w:ascii="Book Antiqua" w:hAnsi="Book Antiqua"/>
          <w:i/>
          <w:sz w:val="18"/>
          <w:szCs w:val="18"/>
        </w:rPr>
        <w:t xml:space="preserve"> A sketch illustrating the discovery that the spin axes of galaxies all line up along large-scale cosmic filaments</w:t>
      </w:r>
      <w:r w:rsidRPr="00E71EE9">
        <w:rPr>
          <w:rFonts w:ascii="Book Antiqua" w:hAnsi="Book Antiqua"/>
          <w:i/>
          <w:sz w:val="20"/>
        </w:rPr>
        <w:t>.</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This means</w:t>
      </w:r>
      <w:r w:rsidRPr="00370948">
        <w:rPr>
          <w:rFonts w:ascii="Book Antiqua" w:hAnsi="Book Antiqua"/>
          <w:sz w:val="20"/>
        </w:rPr>
        <w:t xml:space="preserve"> there is an electric circuit for each galaxy. Work with a number of galaxies has </w:t>
      </w:r>
      <w:r>
        <w:rPr>
          <w:rFonts w:ascii="Book Antiqua" w:hAnsi="Book Antiqua"/>
          <w:sz w:val="20"/>
        </w:rPr>
        <w:t xml:space="preserve">also </w:t>
      </w:r>
      <w:r w:rsidRPr="00370948">
        <w:rPr>
          <w:rFonts w:ascii="Book Antiqua" w:hAnsi="Book Antiqua"/>
          <w:sz w:val="20"/>
        </w:rPr>
        <w:t xml:space="preserve">led to this conclusion. </w:t>
      </w:r>
      <w:r>
        <w:rPr>
          <w:rFonts w:ascii="Book Antiqua" w:hAnsi="Book Antiqua"/>
          <w:sz w:val="20"/>
        </w:rPr>
        <w:t>In</w:t>
      </w:r>
      <w:r w:rsidRPr="00370948">
        <w:rPr>
          <w:rFonts w:ascii="Book Antiqua" w:hAnsi="Book Antiqua"/>
          <w:sz w:val="20"/>
        </w:rPr>
        <w:t xml:space="preserve"> the case of the galaxy M82 this has been confirmed. The data for the starburst galaxy M82, which has two </w:t>
      </w:r>
      <w:r w:rsidRPr="00370948">
        <w:rPr>
          <w:rFonts w:ascii="Book Antiqua" w:hAnsi="Book Antiqua"/>
          <w:sz w:val="20"/>
        </w:rPr>
        <w:lastRenderedPageBreak/>
        <w:t>symmetric spiral arms, are plotted on the left hand diagram in Figure 4</w:t>
      </w:r>
      <w:r>
        <w:rPr>
          <w:rFonts w:ascii="Book Antiqua" w:hAnsi="Book Antiqua"/>
          <w:sz w:val="20"/>
        </w:rPr>
        <w:t>0</w:t>
      </w:r>
      <w:r w:rsidRPr="00370948">
        <w:rPr>
          <w:rFonts w:ascii="Book Antiqua" w:hAnsi="Book Antiqua"/>
          <w:sz w:val="20"/>
        </w:rPr>
        <w:t>. The resulting stylized generalization is shown on the right.</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6238875" cy="2724150"/>
            <wp:effectExtent l="19050" t="0" r="9525" b="0"/>
            <wp:docPr id="973" name="Picture 2" descr="http://www.holoscience.com/wp/wp-content/uploads/2012/03/m82_and_plasma_galaxy.jpg"/>
            <wp:cNvGraphicFramePr/>
            <a:graphic xmlns:a="http://schemas.openxmlformats.org/drawingml/2006/main">
              <a:graphicData uri="http://schemas.openxmlformats.org/drawingml/2006/picture">
                <pic:pic xmlns:pic="http://schemas.openxmlformats.org/drawingml/2006/picture">
                  <pic:nvPicPr>
                    <pic:cNvPr id="1026" name="Picture 2" descr="http://www.holoscience.com/wp/wp-content/uploads/2012/03/m82_and_plasma_galaxy.jpg"/>
                    <pic:cNvPicPr>
                      <a:picLocks noChangeAspect="1" noChangeArrowheads="1"/>
                    </pic:cNvPicPr>
                  </pic:nvPicPr>
                  <pic:blipFill>
                    <a:blip r:embed="rId335" cstate="print"/>
                    <a:srcRect/>
                    <a:stretch>
                      <a:fillRect/>
                    </a:stretch>
                  </pic:blipFill>
                  <pic:spPr bwMode="auto">
                    <a:xfrm>
                      <a:off x="0" y="0"/>
                      <a:ext cx="6238142" cy="2723830"/>
                    </a:xfrm>
                    <a:prstGeom prst="rect">
                      <a:avLst/>
                    </a:prstGeom>
                    <a:noFill/>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Pr>
          <w:rFonts w:ascii="Book Antiqua" w:hAnsi="Book Antiqua"/>
          <w:b/>
          <w:i/>
          <w:sz w:val="18"/>
          <w:szCs w:val="18"/>
        </w:rPr>
        <w:t xml:space="preserve">Figure </w:t>
      </w:r>
      <w:r w:rsidRPr="00E71EE9">
        <w:rPr>
          <w:rFonts w:ascii="Book Antiqua" w:hAnsi="Book Antiqua"/>
          <w:b/>
          <w:i/>
          <w:sz w:val="18"/>
          <w:szCs w:val="18"/>
        </w:rPr>
        <w:t>4</w:t>
      </w:r>
      <w:r>
        <w:rPr>
          <w:rFonts w:ascii="Book Antiqua" w:hAnsi="Book Antiqua"/>
          <w:b/>
          <w:i/>
          <w:sz w:val="18"/>
          <w:szCs w:val="18"/>
        </w:rPr>
        <w:t>0</w:t>
      </w:r>
      <w:r w:rsidRPr="00E71EE9">
        <w:rPr>
          <w:rFonts w:ascii="Book Antiqua" w:hAnsi="Book Antiqua"/>
          <w:b/>
          <w:i/>
          <w:sz w:val="18"/>
          <w:szCs w:val="18"/>
        </w:rPr>
        <w:t>: (Left)</w:t>
      </w:r>
      <w:r w:rsidRPr="00E71EE9">
        <w:rPr>
          <w:rFonts w:ascii="Book Antiqua" w:hAnsi="Book Antiqua"/>
          <w:i/>
          <w:sz w:val="18"/>
          <w:szCs w:val="18"/>
        </w:rPr>
        <w:t xml:space="preserve"> Electric and magnetic data plotted for galaxy M82. </w:t>
      </w:r>
      <w:r w:rsidRPr="00E71EE9">
        <w:rPr>
          <w:rFonts w:ascii="Book Antiqua" w:hAnsi="Book Antiqua"/>
          <w:b/>
          <w:i/>
          <w:sz w:val="18"/>
          <w:szCs w:val="18"/>
        </w:rPr>
        <w:t>(Right)</w:t>
      </w:r>
      <w:r w:rsidRPr="00E71EE9">
        <w:rPr>
          <w:rFonts w:ascii="Book Antiqua" w:hAnsi="Book Antiqua"/>
          <w:i/>
          <w:sz w:val="18"/>
          <w:szCs w:val="18"/>
        </w:rPr>
        <w:t xml:space="preserve"> General circuit diagram for a stylized galaxy. The current comes in via the spiral arms and exits at the core where a spherical plasmoid exists with strong currents, high voltages.  The current exits the core via jets </w:t>
      </w:r>
      <w:r w:rsidR="007519D2">
        <w:rPr>
          <w:rFonts w:ascii="Book Antiqua" w:hAnsi="Book Antiqua"/>
          <w:i/>
          <w:sz w:val="18"/>
          <w:szCs w:val="18"/>
        </w:rPr>
        <w:t xml:space="preserve">of ions and electrons </w:t>
      </w:r>
      <w:r w:rsidRPr="00E71EE9">
        <w:rPr>
          <w:rFonts w:ascii="Book Antiqua" w:hAnsi="Book Antiqua"/>
          <w:i/>
          <w:sz w:val="18"/>
          <w:szCs w:val="18"/>
        </w:rPr>
        <w:t>and circles around back into the spiral arms.</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Work with the Zero Point Energy, plasma physics and the red shift is pointing to the rapid formation of elements</w:t>
      </w:r>
      <w:r>
        <w:rPr>
          <w:rFonts w:ascii="Book Antiqua" w:hAnsi="Book Antiqua"/>
          <w:sz w:val="20"/>
        </w:rPr>
        <w:t>, STARS,</w:t>
      </w:r>
      <w:r w:rsidRPr="00370948">
        <w:rPr>
          <w:rFonts w:ascii="Book Antiqua" w:hAnsi="Book Antiqua"/>
          <w:sz w:val="20"/>
        </w:rPr>
        <w:t xml:space="preserve"> and galaxies very soon after the inception of the cosmos. This </w:t>
      </w:r>
      <w:r>
        <w:rPr>
          <w:rFonts w:ascii="Book Antiqua" w:hAnsi="Book Antiqua"/>
          <w:sz w:val="20"/>
        </w:rPr>
        <w:t>resolves many problems</w:t>
      </w:r>
      <w:r w:rsidRPr="00370948">
        <w:rPr>
          <w:rFonts w:ascii="Book Antiqua" w:hAnsi="Book Antiqua"/>
          <w:sz w:val="20"/>
        </w:rPr>
        <w:t xml:space="preserve"> raised by gravitational astronomy. Marklund convection </w:t>
      </w:r>
      <w:r>
        <w:rPr>
          <w:rFonts w:ascii="Book Antiqua" w:hAnsi="Book Antiqua"/>
          <w:sz w:val="20"/>
        </w:rPr>
        <w:t>explains</w:t>
      </w:r>
      <w:r w:rsidRPr="00370948">
        <w:rPr>
          <w:rFonts w:ascii="Book Antiqua" w:hAnsi="Book Antiqua"/>
          <w:sz w:val="20"/>
        </w:rPr>
        <w:t xml:space="preserve"> why the planets are layered the way they are and why they are in the particular order they are lining up away from the sun, again on a relatively flat plane.  This layering </w:t>
      </w:r>
      <w:r>
        <w:rPr>
          <w:rFonts w:ascii="Book Antiqua" w:hAnsi="Book Antiqua"/>
          <w:sz w:val="20"/>
        </w:rPr>
        <w:t>also gives</w:t>
      </w:r>
      <w:r w:rsidRPr="00370948">
        <w:rPr>
          <w:rFonts w:ascii="Book Antiqua" w:hAnsi="Book Antiqua"/>
          <w:sz w:val="20"/>
        </w:rPr>
        <w:t xml:space="preserve"> us the answer to the evidence of massive flooding occurring on the inner planets at an earlier time, as well as the cracking and divisions in the crustal material.  </w:t>
      </w:r>
      <w:r w:rsidRPr="00417998">
        <w:rPr>
          <w:rFonts w:ascii="Book Antiqua" w:hAnsi="Book Antiqua"/>
          <w:sz w:val="20"/>
        </w:rPr>
        <w:t xml:space="preserve">It also explains the origin of non-biogenic oil, diamonds and salts. </w:t>
      </w:r>
      <w:r>
        <w:rPr>
          <w:rFonts w:ascii="Book Antiqua" w:hAnsi="Book Antiqua"/>
          <w:sz w:val="20"/>
        </w:rPr>
        <w:t xml:space="preserve"> </w:t>
      </w:r>
      <w:r w:rsidRPr="00370948">
        <w:rPr>
          <w:rFonts w:ascii="Book Antiqua" w:hAnsi="Book Antiqua"/>
          <w:sz w:val="20"/>
        </w:rPr>
        <w:t xml:space="preserve">It </w:t>
      </w:r>
      <w:r>
        <w:rPr>
          <w:rFonts w:ascii="Book Antiqua" w:hAnsi="Book Antiqua"/>
          <w:sz w:val="20"/>
        </w:rPr>
        <w:t>is</w:t>
      </w:r>
      <w:r w:rsidRPr="00370948">
        <w:rPr>
          <w:rFonts w:ascii="Book Antiqua" w:hAnsi="Book Antiqua"/>
          <w:sz w:val="20"/>
        </w:rPr>
        <w:t xml:space="preserve"> time to pay much more attention to plasma physics and its implications in astronomy and geology.</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References </w:t>
      </w:r>
      <w:r w:rsidRPr="00370948">
        <w:rPr>
          <w:rFonts w:ascii="Book Antiqua" w:hAnsi="Book Antiqua"/>
          <w:bCs/>
          <w:i/>
          <w:iCs/>
          <w:color w:val="000000"/>
          <w:sz w:val="20"/>
        </w:rPr>
        <w:t>– All URL’s retrieved 9/13/12.</w:t>
      </w:r>
    </w:p>
    <w:p w:rsidR="005359B2" w:rsidRPr="00370948" w:rsidRDefault="005359B2" w:rsidP="005359B2">
      <w:pPr>
        <w:pStyle w:val="NoSpacing"/>
        <w:rPr>
          <w:rFonts w:ascii="Book Antiqua" w:hAnsi="Book Antiqua"/>
          <w:b/>
          <w:bCs/>
          <w:i/>
          <w:iCs/>
          <w:color w:val="000000"/>
          <w:sz w:val="16"/>
          <w:szCs w:val="16"/>
        </w:rPr>
      </w:pP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  K. Birkeland, </w:t>
      </w:r>
      <w:r w:rsidRPr="00370948">
        <w:rPr>
          <w:rFonts w:ascii="Book Antiqua" w:hAnsi="Book Antiqua"/>
          <w:i/>
          <w:sz w:val="16"/>
          <w:szCs w:val="16"/>
        </w:rPr>
        <w:t>The Norwegian Aurora Polaris Expedition 1902-1903</w:t>
      </w:r>
      <w:r w:rsidRPr="00370948">
        <w:rPr>
          <w:rFonts w:ascii="Book Antiqua" w:hAnsi="Book Antiqua"/>
          <w:sz w:val="16"/>
          <w:szCs w:val="16"/>
        </w:rPr>
        <w:t>, (1908).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  J. C. Armstrong, A. J. Zmuda,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78</w:t>
      </w:r>
      <w:r w:rsidRPr="00370948">
        <w:rPr>
          <w:rFonts w:ascii="Book Antiqua" w:hAnsi="Book Antiqua"/>
          <w:sz w:val="16"/>
          <w:szCs w:val="16"/>
        </w:rPr>
        <w:t>, p. 6802 (1973).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  A. J. Zmuda,  J. C. Armstrong,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79</w:t>
      </w:r>
      <w:r w:rsidRPr="00370948">
        <w:rPr>
          <w:rFonts w:ascii="Book Antiqua" w:hAnsi="Book Antiqua"/>
          <w:sz w:val="16"/>
          <w:szCs w:val="16"/>
        </w:rPr>
        <w:t>, p.</w:t>
      </w:r>
      <w:r w:rsidRPr="00370948">
        <w:rPr>
          <w:rFonts w:ascii="Book Antiqua" w:hAnsi="Book Antiqua"/>
          <w:b/>
          <w:sz w:val="16"/>
          <w:szCs w:val="16"/>
        </w:rPr>
        <w:t xml:space="preserve"> </w:t>
      </w:r>
      <w:r w:rsidRPr="00370948">
        <w:rPr>
          <w:rFonts w:ascii="Book Antiqua" w:hAnsi="Book Antiqua"/>
          <w:sz w:val="16"/>
          <w:szCs w:val="16"/>
        </w:rPr>
        <w:t>4611 (1974).</w:t>
      </w:r>
    </w:p>
    <w:p w:rsidR="005359B2" w:rsidRPr="00370948" w:rsidRDefault="005359B2" w:rsidP="005359B2">
      <w:pPr>
        <w:pStyle w:val="NoSpacing"/>
        <w:rPr>
          <w:rFonts w:ascii="Book Antiqua" w:hAnsi="Book Antiqua"/>
          <w:color w:val="FF0000"/>
          <w:sz w:val="16"/>
          <w:szCs w:val="16"/>
        </w:rPr>
      </w:pPr>
      <w:r w:rsidRPr="00370948">
        <w:rPr>
          <w:rFonts w:ascii="Book Antiqua" w:hAnsi="Book Antiqua"/>
          <w:sz w:val="16"/>
          <w:szCs w:val="16"/>
        </w:rPr>
        <w:t xml:space="preserve">[4] V. </w:t>
      </w:r>
      <w:r w:rsidRPr="00370948">
        <w:rPr>
          <w:rFonts w:ascii="Book Antiqua" w:hAnsi="Book Antiqua"/>
          <w:color w:val="000000"/>
          <w:sz w:val="16"/>
          <w:szCs w:val="16"/>
        </w:rPr>
        <w:t xml:space="preserve">Angelopoulos, American Geophysical Union meeting 2007, report here: </w:t>
      </w:r>
      <w:hyperlink r:id="rId336" w:history="1">
        <w:r w:rsidRPr="00370948">
          <w:rPr>
            <w:rStyle w:val="Hyperlink"/>
            <w:rFonts w:ascii="Book Antiqua" w:hAnsi="Book Antiqua"/>
            <w:i/>
            <w:szCs w:val="16"/>
          </w:rPr>
          <w:t>http://abcnews.go.com/Technology/story?id=4005338&amp;page=1</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[5] A. Dessler, </w:t>
      </w:r>
      <w:r w:rsidRPr="00370948">
        <w:rPr>
          <w:rFonts w:ascii="Book Antiqua" w:hAnsi="Book Antiqua"/>
          <w:i/>
          <w:sz w:val="16"/>
          <w:szCs w:val="16"/>
        </w:rPr>
        <w:t>Magnetospheric Currents</w:t>
      </w:r>
      <w:r w:rsidRPr="00370948">
        <w:rPr>
          <w:rFonts w:ascii="Book Antiqua" w:hAnsi="Book Antiqua"/>
          <w:sz w:val="16"/>
          <w:szCs w:val="16"/>
        </w:rPr>
        <w:t>, Ed. T.A. Potemra, (Geophysical Monograph No. 28), pp. 340-349,  Washington DC: American Geophysical Union (1984).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 NASA historical comments here: </w:t>
      </w:r>
    </w:p>
    <w:p w:rsidR="005359B2" w:rsidRPr="00370948" w:rsidRDefault="00241D2F" w:rsidP="005359B2">
      <w:pPr>
        <w:pStyle w:val="NoSpacing"/>
        <w:rPr>
          <w:rFonts w:ascii="Book Antiqua" w:hAnsi="Book Antiqua"/>
          <w:sz w:val="16"/>
          <w:szCs w:val="16"/>
        </w:rPr>
      </w:pPr>
      <w:hyperlink r:id="rId337" w:anchor="250" w:history="1">
        <w:r w:rsidR="005359B2" w:rsidRPr="00370948">
          <w:rPr>
            <w:rStyle w:val="Hyperlink"/>
            <w:rFonts w:ascii="Book Antiqua" w:hAnsi="Book Antiqua"/>
            <w:i/>
            <w:szCs w:val="16"/>
          </w:rPr>
          <w:t>http://history.nasa.gov/SP-345/ch15.htm#250</w:t>
        </w:r>
      </w:hyperlink>
      <w:r w:rsidR="005359B2"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[7]  M. A. Schield, J. W. Freeman, A. J. Dessler,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74</w:t>
      </w:r>
      <w:r w:rsidRPr="00370948">
        <w:rPr>
          <w:rFonts w:ascii="Book Antiqua" w:hAnsi="Book Antiqua"/>
          <w:sz w:val="16"/>
          <w:szCs w:val="16"/>
        </w:rPr>
        <w:t>, p. 247 (1969).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[8]  H. Alfvén, C.-G. Fälthammer, </w:t>
      </w:r>
      <w:r w:rsidRPr="00370948">
        <w:rPr>
          <w:rFonts w:ascii="Book Antiqua" w:hAnsi="Book Antiqua"/>
          <w:i/>
          <w:sz w:val="16"/>
          <w:szCs w:val="16"/>
        </w:rPr>
        <w:t>Cosmical Electrodynamics, Fundamental Principles</w:t>
      </w:r>
      <w:r w:rsidRPr="00370948">
        <w:rPr>
          <w:rFonts w:ascii="Book Antiqua" w:hAnsi="Book Antiqua"/>
          <w:sz w:val="16"/>
          <w:szCs w:val="16"/>
        </w:rPr>
        <w:t>, Monograph (Clarendon  Press, Oxford, 1963).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[9]  H. Alfvén, ‘On the Filamentary Structure of the Solar Corona’, in “The Solar Corona”, </w:t>
      </w:r>
      <w:r w:rsidRPr="00370948">
        <w:rPr>
          <w:rFonts w:ascii="Book Antiqua" w:hAnsi="Book Antiqua"/>
          <w:i/>
          <w:sz w:val="16"/>
          <w:szCs w:val="16"/>
        </w:rPr>
        <w:t>Proceedings of the IAU  Symposium</w:t>
      </w:r>
      <w:r w:rsidRPr="00370948">
        <w:rPr>
          <w:rFonts w:ascii="Book Antiqua" w:hAnsi="Book Antiqua"/>
          <w:sz w:val="16"/>
          <w:szCs w:val="16"/>
        </w:rPr>
        <w:t xml:space="preserve"> </w:t>
      </w:r>
      <w:r w:rsidRPr="00370948">
        <w:rPr>
          <w:rFonts w:ascii="Book Antiqua" w:hAnsi="Book Antiqua"/>
          <w:b/>
          <w:sz w:val="16"/>
          <w:szCs w:val="16"/>
        </w:rPr>
        <w:t>16</w:t>
      </w:r>
      <w:r w:rsidRPr="00370948">
        <w:rPr>
          <w:rFonts w:ascii="Book Antiqua" w:hAnsi="Book Antiqua"/>
          <w:sz w:val="16"/>
          <w:szCs w:val="16"/>
        </w:rPr>
        <w:t xml:space="preserve">, Cloudcroft, New Mexico, USA, p. 35 (28-30 August, 1961), Editor, J.W. Evans (Academic Press,  New York, 1963).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[10]  T. W. Hill, </w:t>
      </w:r>
      <w:r w:rsidRPr="00370948">
        <w:rPr>
          <w:rFonts w:ascii="Book Antiqua" w:hAnsi="Book Antiqua"/>
          <w:i/>
          <w:sz w:val="16"/>
          <w:szCs w:val="16"/>
        </w:rPr>
        <w:t>Magnetospheric Currents</w:t>
      </w:r>
      <w:r w:rsidRPr="00370948">
        <w:rPr>
          <w:rFonts w:ascii="Book Antiqua" w:hAnsi="Book Antiqua"/>
          <w:sz w:val="16"/>
          <w:szCs w:val="16"/>
        </w:rPr>
        <w:t xml:space="preserve">, Ed. T.A. Potemra, (Geophysical Monograph No. 28), pp. 340-349, Washington DC: American Geophysical Union (1984).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[11]  J. A. Pollock, S. Barraclough, </w:t>
      </w:r>
      <w:r w:rsidRPr="00370948">
        <w:rPr>
          <w:rFonts w:ascii="Book Antiqua" w:hAnsi="Book Antiqua"/>
          <w:i/>
          <w:sz w:val="16"/>
          <w:szCs w:val="16"/>
        </w:rPr>
        <w:t>Proceedings of the Royal Society of New South Wales</w:t>
      </w:r>
      <w:r w:rsidRPr="00370948">
        <w:rPr>
          <w:rFonts w:ascii="Book Antiqua" w:hAnsi="Book Antiqua"/>
          <w:sz w:val="16"/>
          <w:szCs w:val="16"/>
        </w:rPr>
        <w:t>,</w:t>
      </w:r>
      <w:r w:rsidRPr="00370948">
        <w:rPr>
          <w:rFonts w:ascii="Book Antiqua" w:hAnsi="Book Antiqua"/>
          <w:b/>
          <w:sz w:val="16"/>
          <w:szCs w:val="16"/>
        </w:rPr>
        <w:t xml:space="preserve"> 39</w:t>
      </w:r>
      <w:r w:rsidRPr="00370948">
        <w:rPr>
          <w:rFonts w:ascii="Book Antiqua" w:hAnsi="Book Antiqua"/>
          <w:sz w:val="16"/>
          <w:szCs w:val="16"/>
        </w:rPr>
        <w:t>, p. 131 (1905).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[12] W. H. Bennett, </w:t>
      </w:r>
      <w:r w:rsidRPr="00370948">
        <w:rPr>
          <w:rFonts w:ascii="Book Antiqua" w:hAnsi="Book Antiqua"/>
          <w:i/>
          <w:sz w:val="16"/>
          <w:szCs w:val="16"/>
        </w:rPr>
        <w:t>Physical Review</w:t>
      </w:r>
      <w:r w:rsidRPr="00370948">
        <w:rPr>
          <w:rFonts w:ascii="Book Antiqua" w:hAnsi="Book Antiqua"/>
          <w:sz w:val="16"/>
          <w:szCs w:val="16"/>
        </w:rPr>
        <w:t xml:space="preserve">, </w:t>
      </w:r>
      <w:r w:rsidRPr="00370948">
        <w:rPr>
          <w:rFonts w:ascii="Book Antiqua" w:hAnsi="Book Antiqua"/>
          <w:b/>
          <w:sz w:val="16"/>
          <w:szCs w:val="16"/>
        </w:rPr>
        <w:t>45</w:t>
      </w:r>
      <w:r w:rsidRPr="00370948">
        <w:rPr>
          <w:rFonts w:ascii="Book Antiqua" w:hAnsi="Book Antiqua"/>
          <w:sz w:val="16"/>
          <w:szCs w:val="16"/>
        </w:rPr>
        <w:t xml:space="preserve">, p.  890 (1934).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[13] S. G. Brush,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20</w:t>
      </w:r>
      <w:r w:rsidRPr="00370948">
        <w:rPr>
          <w:rFonts w:ascii="Book Antiqua" w:hAnsi="Book Antiqua"/>
          <w:sz w:val="16"/>
          <w:szCs w:val="16"/>
        </w:rPr>
        <w:t xml:space="preserve"> (6), pp. 557-589, (Dec.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lastRenderedPageBreak/>
        <w:t xml:space="preserve">[14] C-G Fälthammer, </w:t>
      </w:r>
      <w:r w:rsidRPr="00370948">
        <w:rPr>
          <w:rFonts w:ascii="Book Antiqua" w:hAnsi="Book Antiqua"/>
          <w:i/>
          <w:sz w:val="16"/>
          <w:szCs w:val="16"/>
        </w:rPr>
        <w:t xml:space="preserve">Proceedings of </w:t>
      </w:r>
      <w:smartTag w:uri="urn:schemas-microsoft-com:office:smarttags" w:element="stockticker">
        <w:r w:rsidRPr="00370948">
          <w:rPr>
            <w:rFonts w:ascii="Book Antiqua" w:hAnsi="Book Antiqua"/>
            <w:i/>
            <w:sz w:val="16"/>
            <w:szCs w:val="16"/>
          </w:rPr>
          <w:t>ESA</w:t>
        </w:r>
      </w:smartTag>
      <w:r w:rsidRPr="00370948">
        <w:rPr>
          <w:rFonts w:ascii="Book Antiqua" w:hAnsi="Book Antiqua"/>
          <w:i/>
          <w:sz w:val="16"/>
          <w:szCs w:val="16"/>
        </w:rPr>
        <w:t xml:space="preserve"> Workshop on Future Missions in Solar, Heliospheric, and Space Plasma Physics,</w:t>
      </w:r>
      <w:r w:rsidRPr="00370948">
        <w:rPr>
          <w:rFonts w:ascii="Book Antiqua" w:hAnsi="Book Antiqua"/>
          <w:sz w:val="16"/>
          <w:szCs w:val="16"/>
        </w:rPr>
        <w:t xml:space="preserve"> Garmisch-Partenkirchen, Germany, pp.107-133 (Apr.30-May 3, 1985).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[15] D. E. Scott, </w:t>
      </w:r>
      <w:r w:rsidRPr="00370948">
        <w:rPr>
          <w:rFonts w:ascii="Book Antiqua" w:hAnsi="Book Antiqua"/>
          <w:i/>
          <w:sz w:val="16"/>
          <w:szCs w:val="16"/>
        </w:rPr>
        <w:t>The Electric Sky</w:t>
      </w:r>
      <w:r w:rsidRPr="00370948">
        <w:rPr>
          <w:rFonts w:ascii="Book Antiqua" w:hAnsi="Book Antiqua"/>
          <w:sz w:val="16"/>
          <w:szCs w:val="16"/>
        </w:rPr>
        <w:t>, p. 62, Mikamar Publishing, Portland, Oregon (2006).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[16]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 xml:space="preserve">(6), pp. 639-660 (December 1986).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[17] A. L. Peratt, </w:t>
      </w:r>
      <w:r w:rsidRPr="00370948">
        <w:rPr>
          <w:rFonts w:ascii="Book Antiqua" w:hAnsi="Book Antiqua"/>
          <w:i/>
          <w:sz w:val="16"/>
          <w:szCs w:val="16"/>
        </w:rPr>
        <w:t>Physics of the Plasma Universe”,</w:t>
      </w:r>
      <w:r w:rsidRPr="00370948">
        <w:rPr>
          <w:rFonts w:ascii="Book Antiqua" w:hAnsi="Book Antiqua"/>
          <w:sz w:val="16"/>
          <w:szCs w:val="16"/>
        </w:rPr>
        <w:t xml:space="preserve"> pp. 43-92 (Springer-Verlag, New York &amp; Berlin,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[18] G. A. Germany et al., “Global auroral imaging as a remote diagnostic of geospace,” presented at the </w:t>
      </w:r>
      <w:r w:rsidRPr="00370948">
        <w:rPr>
          <w:rFonts w:ascii="Book Antiqua" w:hAnsi="Book Antiqua"/>
          <w:i/>
          <w:sz w:val="16"/>
          <w:szCs w:val="16"/>
        </w:rPr>
        <w:t>AIAA Plasmadynamics and Lasers Conference</w:t>
      </w:r>
      <w:r w:rsidRPr="00370948">
        <w:rPr>
          <w:rFonts w:ascii="Book Antiqua" w:hAnsi="Book Antiqua"/>
          <w:sz w:val="16"/>
          <w:szCs w:val="16"/>
        </w:rPr>
        <w:t xml:space="preserve"> (25 June, 1997).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[19] </w:t>
      </w:r>
      <w:r w:rsidRPr="00370948">
        <w:rPr>
          <w:rFonts w:ascii="Book Antiqua" w:hAnsi="Book Antiqua"/>
          <w:i/>
          <w:sz w:val="16"/>
          <w:szCs w:val="16"/>
        </w:rPr>
        <w:t>Official Press Release, Lockheed Martin Solar and Astrophysics Lab</w:t>
      </w:r>
      <w:r w:rsidRPr="00370948">
        <w:rPr>
          <w:rFonts w:ascii="Book Antiqua" w:hAnsi="Book Antiqua"/>
          <w:sz w:val="16"/>
          <w:szCs w:val="16"/>
        </w:rPr>
        <w:t xml:space="preserve">. (28 July, 2004). Comments and images in March 2007 at: </w:t>
      </w:r>
      <w:r w:rsidRPr="00370948">
        <w:rPr>
          <w:rFonts w:ascii="Book Antiqua" w:hAnsi="Book Antiqua"/>
          <w:i/>
          <w:sz w:val="16"/>
          <w:szCs w:val="16"/>
        </w:rPr>
        <w:t xml:space="preserve"> </w:t>
      </w:r>
      <w:hyperlink r:id="rId338" w:history="1">
        <w:r w:rsidRPr="00370948">
          <w:rPr>
            <w:rStyle w:val="Hyperlink"/>
            <w:rFonts w:ascii="Book Antiqua" w:hAnsi="Book Antiqua"/>
            <w:i/>
            <w:szCs w:val="16"/>
          </w:rPr>
          <w:t>http://lmsal.com/Press/spicules2004/</w:t>
        </w:r>
      </w:hyperlink>
      <w:r w:rsidRPr="00370948">
        <w:rPr>
          <w:rFonts w:ascii="Book Antiqua" w:hAnsi="Book Antiqua"/>
          <w:i/>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[20] </w:t>
      </w:r>
      <w:r w:rsidRPr="00370948">
        <w:rPr>
          <w:rFonts w:ascii="Book Antiqua" w:hAnsi="Book Antiqua"/>
          <w:i/>
          <w:sz w:val="16"/>
          <w:szCs w:val="16"/>
        </w:rPr>
        <w:t>New Scientist News Service</w:t>
      </w:r>
      <w:r w:rsidRPr="00370948">
        <w:rPr>
          <w:rFonts w:ascii="Book Antiqua" w:hAnsi="Book Antiqua"/>
          <w:sz w:val="16"/>
          <w:szCs w:val="16"/>
        </w:rPr>
        <w:t xml:space="preserve"> (21 March, 2007). Photographs, images and video on the web at: </w:t>
      </w:r>
      <w:hyperlink r:id="rId339" w:history="1">
        <w:r w:rsidRPr="00370948">
          <w:rPr>
            <w:rStyle w:val="Hyperlink"/>
            <w:rFonts w:ascii="Book Antiqua" w:hAnsi="Book Antiqua"/>
            <w:i/>
            <w:szCs w:val="16"/>
          </w:rPr>
          <w:t>http://space.newscientist.com/article.ns?id=dn11432&amp;print=true</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[21] </w:t>
      </w:r>
      <w:hyperlink r:id="rId340" w:history="1">
        <w:r w:rsidRPr="00370948">
          <w:rPr>
            <w:rStyle w:val="Hyperlink"/>
            <w:rFonts w:ascii="Book Antiqua" w:hAnsi="Book Antiqua"/>
            <w:i/>
            <w:szCs w:val="16"/>
          </w:rPr>
          <w:t>http://www.solarphysics.kva.se/NatureNov2002/images/NP1_Fig3_arrows_color.gif</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[22] G. Verschuur,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 xml:space="preserve"> pp. 187-198 (1995). Also in a Press Release quoted at: </w:t>
      </w:r>
      <w:hyperlink r:id="rId341" w:history="1">
        <w:r w:rsidRPr="00370948">
          <w:rPr>
            <w:rStyle w:val="Hyperlink"/>
            <w:rFonts w:ascii="Book Antiqua" w:hAnsi="Book Antiqua"/>
            <w:i/>
            <w:szCs w:val="16"/>
          </w:rPr>
          <w:t>http://plasmascience.net/tpu/CIV.html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[23] F. Yusef-Zudeh et al., </w:t>
      </w:r>
      <w:r w:rsidRPr="00370948">
        <w:rPr>
          <w:rFonts w:ascii="Book Antiqua" w:hAnsi="Book Antiqua"/>
          <w:i/>
          <w:sz w:val="16"/>
          <w:szCs w:val="16"/>
        </w:rPr>
        <w:t>Nature</w:t>
      </w:r>
      <w:r w:rsidRPr="00370948">
        <w:rPr>
          <w:rFonts w:ascii="Book Antiqua" w:hAnsi="Book Antiqua"/>
          <w:sz w:val="16"/>
          <w:szCs w:val="16"/>
        </w:rPr>
        <w:t>,</w:t>
      </w:r>
      <w:r w:rsidRPr="00370948">
        <w:rPr>
          <w:rFonts w:ascii="Book Antiqua" w:hAnsi="Book Antiqua"/>
          <w:b/>
          <w:sz w:val="16"/>
          <w:szCs w:val="16"/>
        </w:rPr>
        <w:t xml:space="preserve"> 310</w:t>
      </w:r>
      <w:r w:rsidRPr="00370948">
        <w:rPr>
          <w:rFonts w:ascii="Book Antiqua" w:hAnsi="Book Antiqua"/>
          <w:sz w:val="16"/>
          <w:szCs w:val="16"/>
        </w:rPr>
        <w:t xml:space="preserve"> pp.557-561 (1984).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[24] R. A. Perley et al.,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285</w:t>
      </w:r>
      <w:r w:rsidRPr="00370948">
        <w:rPr>
          <w:rFonts w:ascii="Book Antiqua" w:hAnsi="Book Antiqua"/>
          <w:sz w:val="16"/>
          <w:szCs w:val="16"/>
        </w:rPr>
        <w:t xml:space="preserve">, pp. L35-L38 (1984).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[25] See comment at: </w:t>
      </w:r>
      <w:hyperlink r:id="rId342" w:history="1">
        <w:r w:rsidRPr="00370948">
          <w:rPr>
            <w:rStyle w:val="Hyperlink"/>
            <w:rFonts w:ascii="Book Antiqua" w:hAnsi="Book Antiqua"/>
            <w:i/>
            <w:szCs w:val="16"/>
          </w:rPr>
          <w:t>http://www.windows.ucar.edu/tour/link=/jupiter/upper_atmosphere.html&amp;edu=high</w:t>
        </w:r>
      </w:hyperlink>
      <w:r w:rsidRPr="00370948">
        <w:rPr>
          <w:rFonts w:ascii="Book Antiqua" w:hAnsi="Book Antiqua"/>
          <w:i/>
          <w:sz w:val="16"/>
          <w:szCs w:val="16"/>
        </w:rPr>
        <w:t>].</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[26] See: </w:t>
      </w:r>
      <w:hyperlink r:id="rId343" w:history="1">
        <w:r w:rsidRPr="00370948">
          <w:rPr>
            <w:rStyle w:val="Hyperlink"/>
            <w:rFonts w:ascii="Book Antiqua" w:hAnsi="Book Antiqua"/>
            <w:i/>
            <w:szCs w:val="16"/>
          </w:rPr>
          <w:t>http://www.nasa.gov/images/content/54346main_m81_highres.jpg</w:t>
        </w:r>
      </w:hyperlink>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[27] See: </w:t>
      </w:r>
      <w:hyperlink r:id="rId344" w:history="1">
        <w:r w:rsidRPr="00370948">
          <w:rPr>
            <w:rStyle w:val="Hyperlink"/>
            <w:rFonts w:ascii="Book Antiqua" w:hAnsi="Book Antiqua"/>
            <w:i/>
            <w:szCs w:val="16"/>
          </w:rPr>
          <w:t>http://www.thunderbolts.info/tpod/2006/arch06/060602plasma-galaxy.htm</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[28] ESO Science Release 0941: “Shedding light on the Cosmic Skeleton,”</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 Nov. 2009) at: </w:t>
      </w:r>
      <w:hyperlink r:id="rId345" w:history="1">
        <w:r w:rsidRPr="00370948">
          <w:rPr>
            <w:rStyle w:val="Hyperlink"/>
            <w:rFonts w:ascii="Book Antiqua" w:hAnsi="Book Antiqua"/>
            <w:i/>
            <w:szCs w:val="16"/>
          </w:rPr>
          <w:t>http://www.eso.org/public/news/eso0941/</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[29] Herschel Space Observatory Press Release 139, 17 May, 2012 at:</w:t>
      </w:r>
    </w:p>
    <w:p w:rsidR="005359B2" w:rsidRPr="00370948" w:rsidRDefault="00241D2F" w:rsidP="005359B2">
      <w:pPr>
        <w:pStyle w:val="NoSpacing"/>
        <w:rPr>
          <w:rFonts w:ascii="Book Antiqua" w:hAnsi="Book Antiqua"/>
          <w:bCs/>
          <w:i/>
          <w:color w:val="FF0000"/>
          <w:sz w:val="16"/>
          <w:szCs w:val="16"/>
        </w:rPr>
      </w:pPr>
      <w:hyperlink r:id="rId346" w:history="1">
        <w:r w:rsidR="005359B2" w:rsidRPr="00370948">
          <w:rPr>
            <w:rStyle w:val="Hyperlink"/>
            <w:rFonts w:ascii="Book Antiqua" w:hAnsi="Book Antiqua"/>
            <w:bCs/>
            <w:i/>
            <w:szCs w:val="16"/>
          </w:rPr>
          <w:t>http://www.jpl.nasa.gov/news/news.cfm?release=2012-139&amp;cid=release_2012-139&amp;msource=12139</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[30] J. M. Wilcox, N. F. Ness,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70</w:t>
      </w:r>
      <w:r w:rsidRPr="00370948">
        <w:rPr>
          <w:rFonts w:ascii="Book Antiqua" w:hAnsi="Book Antiqua"/>
          <w:sz w:val="16"/>
          <w:szCs w:val="16"/>
        </w:rPr>
        <w:t>, p. 5793 (1965).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[31] L. P. Block, “Double Layers in the laboratory and above the aurora,” in </w:t>
      </w:r>
      <w:r w:rsidRPr="00370948">
        <w:rPr>
          <w:rFonts w:ascii="Book Antiqua" w:hAnsi="Book Antiqua"/>
          <w:i/>
          <w:sz w:val="16"/>
          <w:szCs w:val="16"/>
        </w:rPr>
        <w:t>Physics of Auroral Arc Formation</w:t>
      </w:r>
      <w:r w:rsidRPr="00370948">
        <w:rPr>
          <w:rFonts w:ascii="Book Antiqua" w:hAnsi="Book Antiqua"/>
          <w:sz w:val="16"/>
          <w:szCs w:val="16"/>
        </w:rPr>
        <w:t xml:space="preserve">, Geophysical Monograph Series, Vol. </w:t>
      </w:r>
      <w:r w:rsidRPr="00370948">
        <w:rPr>
          <w:rFonts w:ascii="Book Antiqua" w:hAnsi="Book Antiqua"/>
          <w:b/>
          <w:sz w:val="16"/>
          <w:szCs w:val="16"/>
        </w:rPr>
        <w:t>25</w:t>
      </w:r>
      <w:r w:rsidRPr="00370948">
        <w:rPr>
          <w:rFonts w:ascii="Book Antiqua" w:hAnsi="Book Antiqua"/>
          <w:sz w:val="16"/>
          <w:szCs w:val="16"/>
        </w:rPr>
        <w:t xml:space="preserve">, pp. 218-225), (American Geophysical Union, Washington DC, 1981).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[32] P. Carlqvist, </w:t>
      </w:r>
      <w:r w:rsidRPr="00370948">
        <w:rPr>
          <w:rFonts w:ascii="Book Antiqua" w:hAnsi="Book Antiqua"/>
          <w:i/>
          <w:sz w:val="16"/>
          <w:szCs w:val="16"/>
        </w:rPr>
        <w:t>Cosmic Electrodynamics</w:t>
      </w:r>
      <w:r w:rsidRPr="00370948">
        <w:rPr>
          <w:rFonts w:ascii="Book Antiqua" w:hAnsi="Book Antiqua"/>
          <w:sz w:val="16"/>
          <w:szCs w:val="16"/>
        </w:rPr>
        <w:t xml:space="preserve">, </w:t>
      </w:r>
      <w:r w:rsidRPr="00370948">
        <w:rPr>
          <w:rFonts w:ascii="Book Antiqua" w:hAnsi="Book Antiqua"/>
          <w:b/>
          <w:sz w:val="16"/>
          <w:szCs w:val="16"/>
        </w:rPr>
        <w:t>3</w:t>
      </w:r>
      <w:r w:rsidRPr="00370948">
        <w:rPr>
          <w:rFonts w:ascii="Book Antiqua" w:hAnsi="Book Antiqua"/>
          <w:sz w:val="16"/>
          <w:szCs w:val="16"/>
        </w:rPr>
        <w:t>, pp.377-388 (1972).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[33] L. P. Block, </w:t>
      </w:r>
      <w:r w:rsidRPr="00370948">
        <w:rPr>
          <w:rFonts w:ascii="Book Antiqua" w:hAnsi="Book Antiqua"/>
          <w:i/>
          <w:sz w:val="16"/>
          <w:szCs w:val="16"/>
        </w:rPr>
        <w:t>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59-83, (1978).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[34]. C-G Fälthammer, “Non-resistive electric drops in cosmical plasmas,” in </w:t>
      </w:r>
      <w:r w:rsidRPr="00370948">
        <w:rPr>
          <w:rFonts w:ascii="Book Antiqua" w:hAnsi="Book Antiqua"/>
          <w:i/>
          <w:sz w:val="16"/>
          <w:szCs w:val="16"/>
        </w:rPr>
        <w:t>Particle Acceleration Mechanisms in Astrophysics,</w:t>
      </w:r>
      <w:r w:rsidRPr="00370948">
        <w:rPr>
          <w:rFonts w:ascii="Book Antiqua" w:hAnsi="Book Antiqua"/>
          <w:sz w:val="16"/>
          <w:szCs w:val="16"/>
        </w:rPr>
        <w:t xml:space="preserve"> pp. 27-41, J. Arons, C. McKee, C. Max, Eds. (American Institute of Physics,1979).</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[35] </w:t>
      </w:r>
      <w:hyperlink r:id="rId347" w:history="1">
        <w:r w:rsidRPr="00370948">
          <w:rPr>
            <w:rStyle w:val="Hyperlink"/>
            <w:rFonts w:ascii="Book Antiqua" w:hAnsi="Book Antiqua"/>
            <w:i/>
            <w:szCs w:val="16"/>
          </w:rPr>
          <w:t>http://www.damtp.cam.ac.uk/user/gr/public/gal_lss.html</w:t>
        </w:r>
      </w:hyperlink>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[36] </w:t>
      </w:r>
      <w:hyperlink r:id="rId348" w:history="1">
        <w:r w:rsidRPr="00370948">
          <w:rPr>
            <w:rStyle w:val="Hyperlink"/>
            <w:rFonts w:ascii="Book Antiqua" w:hAnsi="Book Antiqua"/>
            <w:i/>
            <w:szCs w:val="16"/>
          </w:rPr>
          <w:t>http://192.171.198.135/Ps/aac/images/box.jpg</w:t>
        </w:r>
      </w:hyperlink>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[37] </w:t>
      </w:r>
      <w:hyperlink r:id="rId349" w:history="1">
        <w:r w:rsidRPr="00370948">
          <w:rPr>
            <w:rStyle w:val="Hyperlink"/>
            <w:rFonts w:ascii="Book Antiqua" w:hAnsi="Book Antiqua"/>
            <w:i/>
            <w:szCs w:val="16"/>
          </w:rPr>
          <w:t>http://192.171.198.135/Ps/aac/aac_evuniv_lss.asp</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[38]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(6), pp. 763-778  (December 1986).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[39] A. L. Peratt, </w:t>
      </w:r>
      <w:r w:rsidRPr="00370948">
        <w:rPr>
          <w:rFonts w:ascii="Book Antiqua" w:hAnsi="Book Antiqua"/>
          <w:i/>
          <w:sz w:val="16"/>
          <w:szCs w:val="16"/>
        </w:rPr>
        <w:t>Physics of the Plasma Universe,</w:t>
      </w:r>
      <w:r w:rsidRPr="00370948">
        <w:rPr>
          <w:rFonts w:ascii="Book Antiqua" w:hAnsi="Book Antiqua"/>
          <w:sz w:val="16"/>
          <w:szCs w:val="16"/>
        </w:rPr>
        <w:t xml:space="preserve"> Chapter 4 Section 4.6.3 (Springer-Verlag,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[40] G. T. Marklund,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277</w:t>
      </w:r>
      <w:r w:rsidRPr="00370948">
        <w:rPr>
          <w:rFonts w:ascii="Book Antiqua" w:hAnsi="Book Antiqua"/>
          <w:sz w:val="16"/>
          <w:szCs w:val="16"/>
        </w:rPr>
        <w:t>, pp. 370-371(1</w:t>
      </w:r>
      <w:r w:rsidRPr="00370948">
        <w:rPr>
          <w:rFonts w:ascii="Book Antiqua" w:hAnsi="Book Antiqua"/>
          <w:sz w:val="16"/>
          <w:szCs w:val="16"/>
          <w:vertAlign w:val="superscript"/>
        </w:rPr>
        <w:t>st</w:t>
      </w:r>
      <w:r w:rsidRPr="00370948">
        <w:rPr>
          <w:rFonts w:ascii="Book Antiqua" w:hAnsi="Book Antiqua"/>
          <w:sz w:val="16"/>
          <w:szCs w:val="16"/>
        </w:rPr>
        <w:t xml:space="preserve"> Feb. 1979).</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[41] </w:t>
      </w:r>
      <w:hyperlink r:id="rId350" w:history="1">
        <w:r w:rsidRPr="00370948">
          <w:rPr>
            <w:rStyle w:val="Hyperlink"/>
            <w:rFonts w:ascii="Book Antiqua" w:hAnsi="Book Antiqua"/>
            <w:i/>
            <w:szCs w:val="16"/>
          </w:rPr>
          <w:t>http://www.plasma-universe.com/index.php/Marklund_convection</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[42]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256</w:t>
      </w:r>
      <w:r w:rsidRPr="00370948">
        <w:rPr>
          <w:rFonts w:ascii="Book Antiqua" w:hAnsi="Book Antiqua"/>
          <w:sz w:val="16"/>
          <w:szCs w:val="16"/>
        </w:rPr>
        <w:t>, pp. 51-75 (1998).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[43]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(1-2), pp. 97-107 (May 1995).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[44] S. L. Martin, A. K. Connor, </w:t>
      </w:r>
      <w:r w:rsidRPr="00370948">
        <w:rPr>
          <w:rFonts w:ascii="Book Antiqua" w:hAnsi="Book Antiqua"/>
          <w:i/>
          <w:sz w:val="16"/>
          <w:szCs w:val="16"/>
        </w:rPr>
        <w:t>Basic Physics</w:t>
      </w:r>
      <w:r w:rsidRPr="00370948">
        <w:rPr>
          <w:rFonts w:ascii="Book Antiqua" w:hAnsi="Book Antiqua"/>
          <w:sz w:val="16"/>
          <w:szCs w:val="16"/>
        </w:rPr>
        <w:t>, 8</w:t>
      </w:r>
      <w:r w:rsidRPr="00370948">
        <w:rPr>
          <w:rFonts w:ascii="Book Antiqua" w:hAnsi="Book Antiqua"/>
          <w:sz w:val="16"/>
          <w:szCs w:val="16"/>
          <w:vertAlign w:val="superscript"/>
        </w:rPr>
        <w:t>th</w:t>
      </w:r>
      <w:r w:rsidRPr="00370948">
        <w:rPr>
          <w:rFonts w:ascii="Book Antiqua" w:hAnsi="Book Antiqua"/>
          <w:sz w:val="16"/>
          <w:szCs w:val="16"/>
        </w:rPr>
        <w:t xml:space="preserve"> Edition, Vol. 2, pp. 721-724, (Whitcombe &amp; Tombs Pty.Ltd., Melbourne, 1959).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[45] I. Langmuir, C. G. Found, A. F. Dittmer, </w:t>
      </w:r>
      <w:r w:rsidRPr="00370948">
        <w:rPr>
          <w:rFonts w:ascii="Book Antiqua" w:hAnsi="Book Antiqua"/>
          <w:i/>
          <w:sz w:val="16"/>
          <w:szCs w:val="16"/>
        </w:rPr>
        <w:t>Science</w:t>
      </w:r>
      <w:r w:rsidRPr="00370948">
        <w:rPr>
          <w:rFonts w:ascii="Book Antiqua" w:hAnsi="Book Antiqua"/>
          <w:sz w:val="16"/>
          <w:szCs w:val="16"/>
        </w:rPr>
        <w:t xml:space="preserve"> </w:t>
      </w:r>
      <w:r w:rsidRPr="00370948">
        <w:rPr>
          <w:rFonts w:ascii="Book Antiqua" w:hAnsi="Book Antiqua"/>
          <w:b/>
          <w:sz w:val="16"/>
          <w:szCs w:val="16"/>
        </w:rPr>
        <w:t>60</w:t>
      </w:r>
      <w:r w:rsidRPr="00370948">
        <w:rPr>
          <w:rFonts w:ascii="Book Antiqua" w:hAnsi="Book Antiqua"/>
          <w:sz w:val="16"/>
          <w:szCs w:val="16"/>
        </w:rPr>
        <w:t>, p. 392 (1924).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[46] L. Spitzer Jr., </w:t>
      </w:r>
      <w:r w:rsidRPr="00370948">
        <w:rPr>
          <w:rFonts w:ascii="Book Antiqua" w:hAnsi="Book Antiqua"/>
          <w:i/>
          <w:sz w:val="16"/>
          <w:szCs w:val="16"/>
        </w:rPr>
        <w:t>Physical Processes in the Interstellar Medium</w:t>
      </w:r>
      <w:r w:rsidRPr="00370948">
        <w:rPr>
          <w:rFonts w:ascii="Book Antiqua" w:hAnsi="Book Antiqua"/>
          <w:sz w:val="16"/>
          <w:szCs w:val="16"/>
        </w:rPr>
        <w:t>, (Wiley, New York, 1978).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[47] H. Alfvén, </w:t>
      </w:r>
      <w:r w:rsidRPr="00370948">
        <w:rPr>
          <w:rFonts w:ascii="Book Antiqua" w:hAnsi="Book Antiqua"/>
          <w:i/>
          <w:sz w:val="16"/>
          <w:szCs w:val="16"/>
        </w:rPr>
        <w:t>On the Origin of the Solar System</w:t>
      </w:r>
      <w:r w:rsidRPr="00370948">
        <w:rPr>
          <w:rFonts w:ascii="Book Antiqua" w:hAnsi="Book Antiqua"/>
          <w:b/>
          <w:sz w:val="16"/>
          <w:szCs w:val="16"/>
        </w:rPr>
        <w:t xml:space="preserve"> </w:t>
      </w:r>
      <w:r w:rsidRPr="00370948">
        <w:rPr>
          <w:rFonts w:ascii="Book Antiqua" w:hAnsi="Book Antiqua"/>
          <w:sz w:val="16"/>
          <w:szCs w:val="16"/>
        </w:rPr>
        <w:t>(Clarendon Press, Oxford, UK, 1954).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[48] C. K. Goertz, G. Morfill, </w:t>
      </w:r>
      <w:r w:rsidRPr="00370948">
        <w:rPr>
          <w:rFonts w:ascii="Book Antiqua" w:hAnsi="Book Antiqua"/>
          <w:i/>
          <w:sz w:val="16"/>
          <w:szCs w:val="16"/>
        </w:rPr>
        <w:t>Icarus</w:t>
      </w:r>
      <w:r w:rsidRPr="00370948">
        <w:rPr>
          <w:rFonts w:ascii="Book Antiqua" w:hAnsi="Book Antiqua"/>
          <w:b/>
          <w:sz w:val="16"/>
          <w:szCs w:val="16"/>
        </w:rPr>
        <w:t xml:space="preserve"> 53</w:t>
      </w:r>
      <w:r w:rsidRPr="00370948">
        <w:rPr>
          <w:rFonts w:ascii="Book Antiqua" w:hAnsi="Book Antiqua"/>
          <w:sz w:val="16"/>
          <w:szCs w:val="16"/>
        </w:rPr>
        <w:t>, p. 219 (1983).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[49] </w:t>
      </w:r>
      <w:r w:rsidRPr="00370948">
        <w:rPr>
          <w:rFonts w:ascii="Book Antiqua" w:hAnsi="Book Antiqua"/>
          <w:i/>
          <w:sz w:val="16"/>
          <w:szCs w:val="16"/>
        </w:rPr>
        <w:t>NASA/JPL Press Release in Science Daily</w:t>
      </w:r>
      <w:r w:rsidRPr="00370948">
        <w:rPr>
          <w:rFonts w:ascii="Book Antiqua" w:hAnsi="Book Antiqua"/>
          <w:sz w:val="16"/>
          <w:szCs w:val="16"/>
        </w:rPr>
        <w:t>,( 17 September, 2005). Available on-line at:</w:t>
      </w:r>
    </w:p>
    <w:p w:rsidR="005359B2" w:rsidRPr="00370948" w:rsidRDefault="00241D2F" w:rsidP="005359B2">
      <w:pPr>
        <w:pStyle w:val="NoSpacing"/>
        <w:rPr>
          <w:rFonts w:ascii="Book Antiqua" w:hAnsi="Book Antiqua"/>
          <w:i/>
          <w:sz w:val="16"/>
          <w:szCs w:val="16"/>
        </w:rPr>
      </w:pPr>
      <w:hyperlink r:id="rId351" w:history="1">
        <w:r w:rsidR="005359B2" w:rsidRPr="00370948">
          <w:rPr>
            <w:rStyle w:val="Hyperlink"/>
            <w:rFonts w:ascii="Book Antiqua" w:hAnsi="Book Antiqua"/>
            <w:i/>
            <w:szCs w:val="16"/>
          </w:rPr>
          <w:t>http://www.sciencedaily.com/releases/2005/09/050917084531.htm</w:t>
        </w:r>
      </w:hyperlink>
      <w:r w:rsidR="005359B2" w:rsidRPr="00370948">
        <w:rPr>
          <w:rFonts w:ascii="Book Antiqua" w:hAnsi="Book Antiqua"/>
          <w:i/>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[50] R. L. Merlino, J. A. Goree, </w:t>
      </w:r>
      <w:r w:rsidRPr="00370948">
        <w:rPr>
          <w:rFonts w:ascii="Book Antiqua" w:hAnsi="Book Antiqua"/>
          <w:i/>
          <w:sz w:val="16"/>
          <w:szCs w:val="16"/>
        </w:rPr>
        <w:t>Physics Today</w:t>
      </w:r>
      <w:r w:rsidRPr="00370948">
        <w:rPr>
          <w:rFonts w:ascii="Book Antiqua" w:hAnsi="Book Antiqua"/>
          <w:sz w:val="16"/>
          <w:szCs w:val="16"/>
        </w:rPr>
        <w:t>, pp. 32-38 (July 2004).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[ 51 ] A. Nefedov et al., </w:t>
      </w:r>
      <w:r w:rsidRPr="00370948">
        <w:rPr>
          <w:rFonts w:ascii="Book Antiqua" w:hAnsi="Book Antiqua"/>
          <w:i/>
          <w:sz w:val="16"/>
          <w:szCs w:val="16"/>
        </w:rPr>
        <w:t>New Journal of Physics</w:t>
      </w:r>
      <w:r w:rsidRPr="00370948">
        <w:rPr>
          <w:rFonts w:ascii="Book Antiqua" w:hAnsi="Book Antiqua"/>
          <w:sz w:val="16"/>
          <w:szCs w:val="16"/>
        </w:rPr>
        <w:t>,</w:t>
      </w:r>
      <w:r w:rsidRPr="00370948">
        <w:rPr>
          <w:rFonts w:ascii="Book Antiqua" w:hAnsi="Book Antiqua"/>
          <w:b/>
          <w:sz w:val="16"/>
          <w:szCs w:val="16"/>
        </w:rPr>
        <w:t xml:space="preserve"> 5</w:t>
      </w:r>
      <w:r w:rsidRPr="00370948">
        <w:rPr>
          <w:rFonts w:ascii="Book Antiqua" w:hAnsi="Book Antiqua"/>
          <w:sz w:val="16"/>
          <w:szCs w:val="16"/>
        </w:rPr>
        <w:t>, 33.1 (2003).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[52] A. Gsponer, ‘Physics of high-intensity particle beam propagation in open air and outer-space plasmas’, (October 2004). Found at: </w:t>
      </w:r>
      <w:hyperlink r:id="rId352" w:history="1">
        <w:r w:rsidRPr="00370948">
          <w:rPr>
            <w:rStyle w:val="Hyperlink"/>
            <w:rFonts w:ascii="Book Antiqua" w:hAnsi="Book Antiqua"/>
            <w:i/>
            <w:szCs w:val="16"/>
          </w:rPr>
          <w:t>http://arxiv.org/abs/physics/0409157</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[53] H. Alfvén, </w:t>
      </w:r>
      <w:r w:rsidRPr="00370948">
        <w:rPr>
          <w:rFonts w:ascii="Book Antiqua" w:hAnsi="Book Antiqua"/>
          <w:i/>
          <w:sz w:val="16"/>
          <w:szCs w:val="16"/>
        </w:rPr>
        <w:t>Cosmical Electrodynamics</w:t>
      </w:r>
      <w:r w:rsidRPr="00370948">
        <w:rPr>
          <w:rFonts w:ascii="Book Antiqua" w:hAnsi="Book Antiqua"/>
          <w:sz w:val="16"/>
          <w:szCs w:val="16"/>
        </w:rPr>
        <w:t xml:space="preserve"> (Oxford University Press, New York, 1950).</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[54] A. L. Peratt, </w:t>
      </w:r>
      <w:r w:rsidRPr="00370948">
        <w:rPr>
          <w:rFonts w:ascii="Book Antiqua" w:hAnsi="Book Antiqua"/>
          <w:i/>
          <w:sz w:val="16"/>
          <w:szCs w:val="16"/>
        </w:rPr>
        <w:t>Physics of the Plasma Universe</w:t>
      </w:r>
      <w:r w:rsidRPr="00370948">
        <w:rPr>
          <w:rFonts w:ascii="Book Antiqua" w:hAnsi="Book Antiqua"/>
          <w:sz w:val="16"/>
          <w:szCs w:val="16"/>
        </w:rPr>
        <w:t>, op. cit., p.29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[55] S. L. Martin, A. K. Connor, op. cit.,,Vol. 2, pp. 543-552 (1959).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[56] B. Chiswell, E. C. M. Grigg, </w:t>
      </w:r>
      <w:r w:rsidRPr="00370948">
        <w:rPr>
          <w:rFonts w:ascii="Book Antiqua" w:hAnsi="Book Antiqua"/>
          <w:i/>
          <w:sz w:val="16"/>
          <w:szCs w:val="16"/>
        </w:rPr>
        <w:t>SI Units</w:t>
      </w:r>
      <w:r w:rsidRPr="00370948">
        <w:rPr>
          <w:rFonts w:ascii="Book Antiqua" w:hAnsi="Book Antiqua"/>
          <w:sz w:val="16"/>
          <w:szCs w:val="16"/>
        </w:rPr>
        <w:t>, p. 45 (John Wiley &amp; Sons Australasia Pty. Ltd. 1970).</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[57] See </w:t>
      </w:r>
      <w:hyperlink r:id="rId353" w:history="1">
        <w:r w:rsidRPr="00370948">
          <w:rPr>
            <w:rStyle w:val="Hyperlink"/>
            <w:rFonts w:ascii="Book Antiqua" w:hAnsi="Book Antiqua"/>
            <w:i/>
            <w:szCs w:val="16"/>
          </w:rPr>
          <w:t>http://cmb.as.arizona.edu/~eisenste/acousticpeak/acoustic_physics.ht</w:t>
        </w:r>
        <w:r w:rsidRPr="00370948">
          <w:rPr>
            <w:rStyle w:val="Hyperlink"/>
            <w:rFonts w:ascii="Book Antiqua" w:hAnsi="Book Antiqua"/>
            <w:szCs w:val="16"/>
          </w:rPr>
          <w:t>ml</w:t>
        </w:r>
      </w:hyperlink>
      <w:r w:rsidRPr="00370948">
        <w:rPr>
          <w:rFonts w:ascii="Book Antiqua" w:hAnsi="Book Antiqua"/>
          <w:sz w:val="16"/>
          <w:szCs w:val="16"/>
        </w:rPr>
        <w:t xml:space="preserve"> November 2007.</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[58] See the following sites: </w:t>
      </w:r>
      <w:hyperlink r:id="rId354" w:history="1">
        <w:r w:rsidRPr="00370948">
          <w:rPr>
            <w:rStyle w:val="Hyperlink"/>
            <w:rFonts w:ascii="Book Antiqua" w:hAnsi="Book Antiqua"/>
            <w:i/>
            <w:szCs w:val="16"/>
          </w:rPr>
          <w:t>http://www.physics.ccsu.edu/larsen/wmap.html</w:t>
        </w:r>
      </w:hyperlink>
    </w:p>
    <w:p w:rsidR="005359B2" w:rsidRPr="00370948" w:rsidRDefault="00241D2F" w:rsidP="005359B2">
      <w:pPr>
        <w:pStyle w:val="NoSpacing"/>
        <w:rPr>
          <w:rFonts w:ascii="Book Antiqua" w:hAnsi="Book Antiqua"/>
          <w:sz w:val="16"/>
          <w:szCs w:val="16"/>
        </w:rPr>
      </w:pPr>
      <w:hyperlink r:id="rId355" w:history="1">
        <w:r w:rsidR="005359B2" w:rsidRPr="00370948">
          <w:rPr>
            <w:rStyle w:val="Hyperlink"/>
            <w:rFonts w:ascii="Book Antiqua" w:hAnsi="Book Antiqua"/>
            <w:i/>
            <w:szCs w:val="16"/>
          </w:rPr>
          <w:t>http://astsun.astro.virginia.edu/~dmw8f/index.php</w:t>
        </w:r>
      </w:hyperlink>
      <w:r w:rsidR="005359B2" w:rsidRPr="00370948">
        <w:rPr>
          <w:rFonts w:ascii="Book Antiqua" w:hAnsi="Book Antiqua"/>
          <w:sz w:val="16"/>
          <w:szCs w:val="16"/>
        </w:rPr>
        <w:t xml:space="preserve"> </w:t>
      </w:r>
      <w:hyperlink r:id="rId356" w:anchor="9" w:history="1">
        <w:r w:rsidR="005359B2" w:rsidRPr="00370948">
          <w:rPr>
            <w:rStyle w:val="Hyperlink"/>
            <w:rFonts w:ascii="Book Antiqua" w:hAnsi="Book Antiqua"/>
            <w:i/>
            <w:szCs w:val="16"/>
          </w:rPr>
          <w:t>http://vmsstreamer1.fnal.gov/VMS_Site_03/Lectures/Colloquium/presentations/070214Eisenstein.ppt#9</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[59] J. Trefil, </w:t>
      </w:r>
      <w:r w:rsidRPr="00370948">
        <w:rPr>
          <w:rFonts w:ascii="Book Antiqua" w:hAnsi="Book Antiqua"/>
          <w:bCs/>
          <w:i/>
          <w:sz w:val="16"/>
          <w:szCs w:val="16"/>
        </w:rPr>
        <w:t>The Dark Side of the Universe</w:t>
      </w:r>
      <w:r w:rsidRPr="00370948">
        <w:rPr>
          <w:rFonts w:ascii="Book Antiqua" w:hAnsi="Book Antiqua"/>
          <w:sz w:val="16"/>
          <w:szCs w:val="16"/>
        </w:rPr>
        <w:t>, p.61, (Scribner, 1988).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[60] M. D. Lehnert, et al, </w:t>
      </w:r>
      <w:r w:rsidRPr="00370948">
        <w:rPr>
          <w:rFonts w:ascii="Book Antiqua" w:hAnsi="Book Antiqua"/>
          <w:i/>
          <w:iCs/>
          <w:sz w:val="16"/>
          <w:szCs w:val="16"/>
        </w:rPr>
        <w:t xml:space="preserve">Nature </w:t>
      </w:r>
      <w:r w:rsidRPr="00370948">
        <w:rPr>
          <w:rFonts w:ascii="Book Antiqua" w:hAnsi="Book Antiqua"/>
          <w:b/>
          <w:bCs/>
          <w:sz w:val="16"/>
          <w:szCs w:val="16"/>
        </w:rPr>
        <w:t>467</w:t>
      </w:r>
      <w:r w:rsidRPr="00370948">
        <w:rPr>
          <w:rFonts w:ascii="Book Antiqua" w:hAnsi="Book Antiqua"/>
          <w:sz w:val="16"/>
          <w:szCs w:val="16"/>
        </w:rPr>
        <w:t>: 490-492 (Oct 2010).</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[61] Nature 483, pp.45-50, (3 November 2005).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[62]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515</w:t>
      </w:r>
      <w:r w:rsidRPr="00370948">
        <w:rPr>
          <w:rFonts w:ascii="Book Antiqua" w:hAnsi="Book Antiqua"/>
          <w:sz w:val="16"/>
          <w:szCs w:val="16"/>
        </w:rPr>
        <w:t>, pp. 487-496, (1999).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[63] D. E. Scott, op. cit., (reference 15 above), pp. 105-107.</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[64] A. N. Cox, Ed., </w:t>
      </w:r>
      <w:r w:rsidRPr="00370948">
        <w:rPr>
          <w:rFonts w:ascii="Book Antiqua" w:hAnsi="Book Antiqua"/>
          <w:i/>
          <w:color w:val="000000"/>
          <w:sz w:val="16"/>
          <w:szCs w:val="16"/>
        </w:rPr>
        <w:t>Allen’s Astrophysical Quantities</w:t>
      </w:r>
      <w:r w:rsidRPr="00370948">
        <w:rPr>
          <w:rFonts w:ascii="Book Antiqua" w:hAnsi="Book Antiqua"/>
          <w:color w:val="000000"/>
          <w:sz w:val="16"/>
          <w:szCs w:val="16"/>
        </w:rPr>
        <w:t>, 4</w:t>
      </w:r>
      <w:r w:rsidRPr="00370948">
        <w:rPr>
          <w:rFonts w:ascii="Book Antiqua" w:hAnsi="Book Antiqua"/>
          <w:color w:val="000000"/>
          <w:sz w:val="16"/>
          <w:szCs w:val="16"/>
          <w:vertAlign w:val="superscript"/>
        </w:rPr>
        <w:t>th</w:t>
      </w:r>
      <w:r w:rsidRPr="00370948">
        <w:rPr>
          <w:rFonts w:ascii="Book Antiqua" w:hAnsi="Book Antiqua"/>
          <w:color w:val="000000"/>
          <w:sz w:val="16"/>
          <w:szCs w:val="16"/>
        </w:rPr>
        <w:t xml:space="preserve"> edition, p.11, (Springer-Verlag, New York, 2000).</w:t>
      </w:r>
    </w:p>
    <w:p w:rsidR="005359B2" w:rsidRPr="00370948" w:rsidRDefault="005359B2" w:rsidP="005359B2">
      <w:pPr>
        <w:pStyle w:val="NoSpacing"/>
        <w:rPr>
          <w:rFonts w:ascii="Book Antiqua" w:hAnsi="Book Antiqua"/>
          <w:i/>
          <w:color w:val="000000"/>
          <w:sz w:val="16"/>
          <w:szCs w:val="16"/>
        </w:rPr>
      </w:pPr>
      <w:r w:rsidRPr="00370948">
        <w:rPr>
          <w:rFonts w:ascii="Book Antiqua" w:hAnsi="Book Antiqua"/>
          <w:color w:val="000000"/>
          <w:sz w:val="16"/>
          <w:szCs w:val="16"/>
        </w:rPr>
        <w:t xml:space="preserve">[ 65 ] C. L. Bennett et al., </w:t>
      </w:r>
      <w:r w:rsidRPr="00370948">
        <w:rPr>
          <w:rFonts w:ascii="Book Antiqua" w:hAnsi="Book Antiqua"/>
          <w:i/>
          <w:color w:val="000000"/>
          <w:sz w:val="16"/>
          <w:szCs w:val="16"/>
        </w:rPr>
        <w:t>Astrophysical Journal Supplement Series</w:t>
      </w:r>
      <w:r w:rsidRPr="00370948">
        <w:rPr>
          <w:rFonts w:ascii="Book Antiqua" w:hAnsi="Book Antiqua"/>
          <w:color w:val="000000"/>
          <w:sz w:val="16"/>
          <w:szCs w:val="16"/>
        </w:rPr>
        <w:t xml:space="preserve"> </w:t>
      </w:r>
      <w:r w:rsidRPr="00370948">
        <w:rPr>
          <w:rFonts w:ascii="Book Antiqua" w:hAnsi="Book Antiqua"/>
          <w:b/>
          <w:color w:val="000000"/>
          <w:sz w:val="16"/>
          <w:szCs w:val="16"/>
        </w:rPr>
        <w:t>148</w:t>
      </w:r>
      <w:r w:rsidRPr="00370948">
        <w:rPr>
          <w:rFonts w:ascii="Book Antiqua" w:hAnsi="Book Antiqua"/>
          <w:color w:val="000000"/>
          <w:sz w:val="16"/>
          <w:szCs w:val="16"/>
        </w:rPr>
        <w:t xml:space="preserve"> (1), pp. 1-27, 175-194 (Sept. 2003).  Also view the presentation at this URL: </w:t>
      </w:r>
      <w:r w:rsidRPr="00370948">
        <w:rPr>
          <w:rFonts w:ascii="Book Antiqua" w:hAnsi="Book Antiqua"/>
          <w:i/>
          <w:color w:val="000000"/>
          <w:sz w:val="16"/>
          <w:szCs w:val="16"/>
        </w:rPr>
        <w:t>http://astsun.astro.virginia.edu/~dmw8f/sounds/aas/sounds_web_long.pdf</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lastRenderedPageBreak/>
        <w:t xml:space="preserve">[66] Z. Merali, </w:t>
      </w:r>
      <w:r w:rsidRPr="00370948">
        <w:rPr>
          <w:rFonts w:ascii="Book Antiqua" w:hAnsi="Book Antiqua"/>
          <w:i/>
          <w:color w:val="000000"/>
          <w:sz w:val="16"/>
          <w:szCs w:val="16"/>
        </w:rPr>
        <w:t>New Scientist</w:t>
      </w:r>
      <w:r w:rsidRPr="00370948">
        <w:rPr>
          <w:rFonts w:ascii="Book Antiqua" w:hAnsi="Book Antiqua"/>
          <w:color w:val="000000"/>
          <w:sz w:val="16"/>
          <w:szCs w:val="16"/>
        </w:rPr>
        <w:t xml:space="preserve">, p. 13 (12 January 2008). Also at: </w:t>
      </w:r>
      <w:hyperlink r:id="rId357" w:history="1">
        <w:r w:rsidRPr="00370948">
          <w:rPr>
            <w:rStyle w:val="Hyperlink"/>
            <w:rFonts w:ascii="Book Antiqua" w:hAnsi="Book Antiqua"/>
            <w:i/>
            <w:szCs w:val="16"/>
          </w:rPr>
          <w:t>www.arxiv.org/abs/0801.0006</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[67] R. W. P. McWhirter, R. Wilson, </w:t>
      </w:r>
      <w:r w:rsidRPr="00370948">
        <w:rPr>
          <w:rFonts w:ascii="Book Antiqua" w:hAnsi="Book Antiqua"/>
          <w:i/>
          <w:color w:val="000000"/>
          <w:sz w:val="16"/>
          <w:szCs w:val="16"/>
        </w:rPr>
        <w:t>Journal of Physics B: Atomic and Molecular Physics</w:t>
      </w:r>
      <w:r w:rsidRPr="00370948">
        <w:rPr>
          <w:rFonts w:ascii="Book Antiqua" w:hAnsi="Book Antiqua"/>
          <w:color w:val="000000"/>
          <w:sz w:val="16"/>
          <w:szCs w:val="16"/>
        </w:rPr>
        <w:t xml:space="preserve">, </w:t>
      </w:r>
      <w:r w:rsidRPr="00370948">
        <w:rPr>
          <w:rFonts w:ascii="Book Antiqua" w:hAnsi="Book Antiqua"/>
          <w:b/>
          <w:color w:val="000000"/>
          <w:sz w:val="16"/>
          <w:szCs w:val="16"/>
        </w:rPr>
        <w:t>7</w:t>
      </w:r>
      <w:r w:rsidRPr="00370948">
        <w:rPr>
          <w:rFonts w:ascii="Book Antiqua" w:hAnsi="Book Antiqua"/>
          <w:color w:val="000000"/>
          <w:sz w:val="16"/>
          <w:szCs w:val="16"/>
        </w:rPr>
        <w:t xml:space="preserve"> (12), pp. 1588 ff (1974).</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[68] </w:t>
      </w:r>
      <w:r w:rsidRPr="00370948">
        <w:rPr>
          <w:rFonts w:ascii="Book Antiqua" w:hAnsi="Book Antiqua"/>
          <w:sz w:val="16"/>
          <w:szCs w:val="16"/>
        </w:rPr>
        <w:t xml:space="preserve">V. Rubin, </w:t>
      </w:r>
      <w:r w:rsidRPr="00370948">
        <w:rPr>
          <w:rStyle w:val="Emphasis"/>
          <w:rFonts w:ascii="Book Antiqua" w:hAnsi="Book Antiqua"/>
          <w:sz w:val="16"/>
          <w:szCs w:val="16"/>
        </w:rPr>
        <w:t xml:space="preserve">Science, </w:t>
      </w:r>
      <w:r w:rsidRPr="00370948">
        <w:rPr>
          <w:rStyle w:val="Strong"/>
          <w:rFonts w:ascii="Book Antiqua" w:eastAsia="Calibri" w:hAnsi="Book Antiqua"/>
          <w:sz w:val="16"/>
          <w:szCs w:val="16"/>
        </w:rPr>
        <w:t>220 (</w:t>
      </w:r>
      <w:r w:rsidRPr="00370948">
        <w:rPr>
          <w:rFonts w:ascii="Book Antiqua" w:hAnsi="Book Antiqua"/>
          <w:sz w:val="16"/>
          <w:szCs w:val="16"/>
        </w:rPr>
        <w:t>4604), p. 1339, (1983).</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[69] </w:t>
      </w:r>
      <w:hyperlink r:id="rId358" w:anchor="3a174" w:history="1">
        <w:r w:rsidRPr="00370948">
          <w:rPr>
            <w:rFonts w:ascii="Book Antiqua" w:hAnsi="Book Antiqua"/>
            <w:sz w:val="16"/>
            <w:szCs w:val="16"/>
          </w:rPr>
          <w:t xml:space="preserve">M. Milgrom, </w:t>
        </w:r>
        <w:r w:rsidRPr="00370948">
          <w:rPr>
            <w:rStyle w:val="Emphasis"/>
            <w:rFonts w:ascii="Book Antiqua" w:hAnsi="Book Antiqua"/>
            <w:sz w:val="16"/>
            <w:szCs w:val="16"/>
          </w:rPr>
          <w:t xml:space="preserve">Astrophysical Journal, </w:t>
        </w:r>
        <w:r w:rsidRPr="00370948">
          <w:rPr>
            <w:rStyle w:val="Strong"/>
            <w:rFonts w:ascii="Book Antiqua" w:eastAsia="Calibri" w:hAnsi="Book Antiqua"/>
            <w:sz w:val="16"/>
            <w:szCs w:val="16"/>
          </w:rPr>
          <w:t xml:space="preserve">270, pp. </w:t>
        </w:r>
        <w:r w:rsidRPr="00370948">
          <w:rPr>
            <w:rFonts w:ascii="Book Antiqua" w:hAnsi="Book Antiqua"/>
            <w:sz w:val="16"/>
            <w:szCs w:val="16"/>
          </w:rPr>
          <w:t>365 ff. (1983).</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[70] H. </w:t>
      </w:r>
      <w:r w:rsidRPr="00370948">
        <w:rPr>
          <w:rFonts w:ascii="Book Antiqua" w:hAnsi="Book Antiqua"/>
          <w:sz w:val="16"/>
          <w:szCs w:val="16"/>
        </w:rPr>
        <w:t>Alfvén, P. Carlqvist,</w:t>
      </w:r>
      <w:r w:rsidRPr="00370948">
        <w:rPr>
          <w:rFonts w:ascii="Book Antiqua" w:hAnsi="Book Antiqua"/>
          <w:i/>
          <w:sz w:val="16"/>
          <w:szCs w:val="16"/>
        </w:rPr>
        <w:t xml:space="preserve"> 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484-509 (1978).</w:t>
      </w:r>
    </w:p>
    <w:p w:rsidR="005359B2" w:rsidRPr="00370948" w:rsidRDefault="005359B2" w:rsidP="005359B2">
      <w:pPr>
        <w:pStyle w:val="NoSpacing"/>
        <w:rPr>
          <w:rFonts w:ascii="Book Antiqua" w:eastAsia="Calibri" w:hAnsi="Book Antiqua"/>
          <w:color w:val="0000FF"/>
          <w:sz w:val="16"/>
          <w:szCs w:val="16"/>
        </w:rPr>
      </w:pPr>
      <w:r w:rsidRPr="00370948">
        <w:rPr>
          <w:rFonts w:ascii="Book Antiqua" w:hAnsi="Book Antiqua"/>
          <w:color w:val="000000"/>
          <w:sz w:val="16"/>
          <w:szCs w:val="16"/>
        </w:rPr>
        <w:t xml:space="preserve">[71] </w:t>
      </w:r>
      <w:hyperlink r:id="rId359" w:history="1">
        <w:r w:rsidRPr="00370948">
          <w:rPr>
            <w:rStyle w:val="Hyperlink"/>
            <w:rFonts w:ascii="Book Antiqua" w:eastAsia="Calibri" w:hAnsi="Book Antiqua"/>
            <w:i/>
            <w:szCs w:val="16"/>
          </w:rPr>
          <w:t>http://phys.org/news/2012-04-astronomers-vast-amounts-gas-black.html</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[72] B. P. Venemans et al., “Detection of atomic carbon [CII] 158 microns and dust emission from a z=7.1 quasar host galaxy,” available at: </w:t>
      </w:r>
      <w:hyperlink r:id="rId360" w:history="1">
        <w:r w:rsidRPr="00370948">
          <w:rPr>
            <w:rStyle w:val="Hyperlink"/>
            <w:rFonts w:ascii="Book Antiqua" w:hAnsi="Book Antiqua"/>
            <w:i/>
            <w:szCs w:val="16"/>
          </w:rPr>
          <w:t>http://arxiv.org/abs/1203.5844</w:t>
        </w:r>
      </w:hyperlink>
      <w:r w:rsidRPr="00370948">
        <w:rPr>
          <w:rFonts w:ascii="Book Antiqua" w:hAnsi="Book Antiqua"/>
          <w:sz w:val="16"/>
          <w:szCs w:val="16"/>
        </w:rPr>
        <w:t>.</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[73] N. Drake, </w:t>
      </w:r>
      <w:r w:rsidRPr="00370948">
        <w:rPr>
          <w:rFonts w:ascii="Book Antiqua" w:hAnsi="Book Antiqua"/>
          <w:i/>
          <w:color w:val="000000"/>
          <w:sz w:val="16"/>
          <w:szCs w:val="16"/>
        </w:rPr>
        <w:t>Nature News</w:t>
      </w:r>
      <w:r w:rsidRPr="00370948">
        <w:rPr>
          <w:rFonts w:ascii="Book Antiqua" w:hAnsi="Book Antiqua"/>
          <w:color w:val="000000"/>
          <w:sz w:val="16"/>
          <w:szCs w:val="16"/>
        </w:rPr>
        <w:t xml:space="preserve"> (18 May, 2011).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[ 74 ] T. Sumi, D. Bennett, </w:t>
      </w:r>
      <w:r w:rsidRPr="00370948">
        <w:rPr>
          <w:rFonts w:ascii="Book Antiqua" w:hAnsi="Book Antiqua"/>
          <w:i/>
          <w:color w:val="000000"/>
          <w:sz w:val="16"/>
          <w:szCs w:val="16"/>
        </w:rPr>
        <w:t>Nature</w:t>
      </w:r>
      <w:r w:rsidRPr="00370948">
        <w:rPr>
          <w:rFonts w:ascii="Book Antiqua" w:hAnsi="Book Antiqua"/>
          <w:color w:val="000000"/>
          <w:sz w:val="16"/>
          <w:szCs w:val="16"/>
        </w:rPr>
        <w:t xml:space="preserve">, </w:t>
      </w:r>
      <w:r w:rsidRPr="00370948">
        <w:rPr>
          <w:rFonts w:ascii="Book Antiqua" w:hAnsi="Book Antiqua"/>
          <w:b/>
          <w:color w:val="000000"/>
          <w:sz w:val="16"/>
          <w:szCs w:val="16"/>
        </w:rPr>
        <w:t>473</w:t>
      </w:r>
      <w:r w:rsidRPr="00370948">
        <w:rPr>
          <w:rFonts w:ascii="Book Antiqua" w:hAnsi="Book Antiqua"/>
          <w:color w:val="000000"/>
          <w:sz w:val="16"/>
          <w:szCs w:val="16"/>
        </w:rPr>
        <w:t>, pp. 349-352 (2011).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[75] </w:t>
      </w:r>
      <w:r w:rsidRPr="00370948">
        <w:rPr>
          <w:rFonts w:ascii="Book Antiqua" w:hAnsi="Book Antiqua"/>
          <w:sz w:val="16"/>
          <w:szCs w:val="16"/>
        </w:rPr>
        <w:t xml:space="preserve">M. Zuber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483</w:t>
      </w:r>
      <w:r w:rsidRPr="00370948">
        <w:rPr>
          <w:rFonts w:ascii="Book Antiqua" w:hAnsi="Book Antiqua"/>
          <w:sz w:val="16"/>
          <w:szCs w:val="16"/>
        </w:rPr>
        <w:t>, p. 513, (29 March 2012).</w:t>
      </w:r>
    </w:p>
    <w:p w:rsidR="005359B2" w:rsidRPr="00370948" w:rsidRDefault="005359B2" w:rsidP="005359B2">
      <w:pPr>
        <w:autoSpaceDE w:val="0"/>
        <w:autoSpaceDN w:val="0"/>
        <w:adjustRightInd w:val="0"/>
        <w:rPr>
          <w:rFonts w:ascii="Book Antiqua" w:hAnsi="Book Antiqua"/>
          <w:sz w:val="16"/>
          <w:szCs w:val="16"/>
        </w:rPr>
      </w:pPr>
      <w:r w:rsidRPr="00370948">
        <w:rPr>
          <w:rFonts w:ascii="Book Antiqua" w:hAnsi="Book Antiqua"/>
          <w:color w:val="000000"/>
          <w:sz w:val="16"/>
          <w:szCs w:val="16"/>
        </w:rPr>
        <w:t>[76]</w:t>
      </w:r>
      <w:r w:rsidRPr="00370948">
        <w:rPr>
          <w:rFonts w:ascii="Book Antiqua" w:hAnsi="Book Antiqua"/>
          <w:sz w:val="16"/>
          <w:szCs w:val="16"/>
        </w:rPr>
        <w:t xml:space="preserve"> A. N. Halliday, </w:t>
      </w:r>
      <w:r w:rsidRPr="00370948">
        <w:rPr>
          <w:rFonts w:ascii="Book Antiqua" w:hAnsi="Book Antiqua"/>
          <w:i/>
          <w:iCs/>
          <w:sz w:val="16"/>
          <w:szCs w:val="16"/>
        </w:rPr>
        <w:t xml:space="preserve">Nature </w:t>
      </w:r>
      <w:r w:rsidRPr="00370948">
        <w:rPr>
          <w:rFonts w:ascii="Book Antiqua" w:hAnsi="Book Antiqua"/>
          <w:b/>
          <w:bCs/>
          <w:sz w:val="16"/>
          <w:szCs w:val="16"/>
        </w:rPr>
        <w:t>409</w:t>
      </w:r>
      <w:r w:rsidRPr="00370948">
        <w:rPr>
          <w:rFonts w:ascii="Book Antiqua" w:hAnsi="Book Antiqua"/>
          <w:bCs/>
          <w:sz w:val="16"/>
          <w:szCs w:val="16"/>
        </w:rPr>
        <w:t>, pp.</w:t>
      </w:r>
      <w:r w:rsidRPr="00370948">
        <w:rPr>
          <w:rFonts w:ascii="Book Antiqua" w:hAnsi="Book Antiqua"/>
          <w:sz w:val="16"/>
          <w:szCs w:val="16"/>
        </w:rPr>
        <w:t xml:space="preserve"> 144-145 (11 Jan 2001).</w:t>
      </w:r>
    </w:p>
    <w:p w:rsidR="005359B2" w:rsidRPr="00370948" w:rsidRDefault="005359B2" w:rsidP="005359B2">
      <w:pPr>
        <w:autoSpaceDE w:val="0"/>
        <w:autoSpaceDN w:val="0"/>
        <w:adjustRightInd w:val="0"/>
        <w:rPr>
          <w:rFonts w:ascii="Book Antiqua" w:hAnsi="Book Antiqua"/>
          <w:sz w:val="16"/>
          <w:szCs w:val="16"/>
        </w:rPr>
      </w:pPr>
      <w:r w:rsidRPr="00370948">
        <w:rPr>
          <w:rFonts w:ascii="Book Antiqua" w:hAnsi="Book Antiqua"/>
          <w:sz w:val="16"/>
          <w:szCs w:val="16"/>
        </w:rPr>
        <w:t xml:space="preserve">[77] S. A. Wilde,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409</w:t>
      </w:r>
      <w:r w:rsidRPr="00370948">
        <w:rPr>
          <w:rFonts w:ascii="Book Antiqua" w:hAnsi="Book Antiqua"/>
          <w:sz w:val="16"/>
          <w:szCs w:val="16"/>
        </w:rPr>
        <w:t>, pp. 175-178; S. J. Mojzsis, et al, pp. 178-181 (11 Jan. 2001).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[78] M. Berhanu et al.,</w:t>
      </w:r>
      <w:r w:rsidRPr="00370948">
        <w:rPr>
          <w:rFonts w:ascii="Book Antiqua" w:hAnsi="Book Antiqua"/>
          <w:i/>
          <w:sz w:val="16"/>
          <w:szCs w:val="16"/>
        </w:rPr>
        <w:t xml:space="preserve"> </w:t>
      </w:r>
      <w:r w:rsidRPr="00370948">
        <w:rPr>
          <w:rFonts w:ascii="Book Antiqua" w:hAnsi="Book Antiqua"/>
          <w:sz w:val="16"/>
          <w:szCs w:val="16"/>
        </w:rPr>
        <w:t>“Magnetic field reversals in an experimental turbulent dynamo,”</w:t>
      </w:r>
      <w:r w:rsidRPr="00370948">
        <w:rPr>
          <w:rFonts w:ascii="Book Antiqua" w:hAnsi="Book Antiqua"/>
          <w:i/>
          <w:sz w:val="16"/>
          <w:szCs w:val="16"/>
        </w:rPr>
        <w:t xml:space="preserve"> Euro Physics Letters </w:t>
      </w:r>
      <w:r w:rsidRPr="00370948">
        <w:rPr>
          <w:rFonts w:ascii="Book Antiqua" w:hAnsi="Book Antiqua"/>
          <w:b/>
          <w:sz w:val="16"/>
          <w:szCs w:val="16"/>
        </w:rPr>
        <w:t>77:</w:t>
      </w:r>
      <w:r w:rsidRPr="00370948">
        <w:rPr>
          <w:rFonts w:ascii="Book Antiqua" w:hAnsi="Book Antiqua"/>
          <w:sz w:val="16"/>
          <w:szCs w:val="16"/>
        </w:rPr>
        <w:t xml:space="preserve">5, pp.59001 (2007). Available at: </w:t>
      </w:r>
      <w:hyperlink r:id="rId361" w:history="1">
        <w:r w:rsidRPr="00370948">
          <w:rPr>
            <w:rStyle w:val="Hyperlink"/>
            <w:rFonts w:ascii="Book Antiqua" w:hAnsi="Book Antiqua"/>
            <w:szCs w:val="16"/>
          </w:rPr>
          <w:t>http://arxiv.org/pdf/physics/0701076.pdf</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[79] P.L. Olson et al., “Complex polarity reversals in a geodynamo model”, </w:t>
      </w:r>
      <w:r w:rsidRPr="00370948">
        <w:rPr>
          <w:rFonts w:ascii="Book Antiqua" w:hAnsi="Book Antiqua"/>
          <w:i/>
          <w:sz w:val="16"/>
          <w:szCs w:val="16"/>
        </w:rPr>
        <w:t>Earth and Planetary Science Letters</w:t>
      </w:r>
      <w:r w:rsidRPr="00370948">
        <w:rPr>
          <w:rFonts w:ascii="Book Antiqua" w:hAnsi="Book Antiqua"/>
          <w:sz w:val="16"/>
          <w:szCs w:val="16"/>
        </w:rPr>
        <w:t xml:space="preserve"> </w:t>
      </w:r>
      <w:r w:rsidRPr="00370948">
        <w:rPr>
          <w:rFonts w:ascii="Book Antiqua" w:hAnsi="Book Antiqua"/>
          <w:b/>
          <w:sz w:val="16"/>
          <w:szCs w:val="16"/>
        </w:rPr>
        <w:t>304</w:t>
      </w:r>
      <w:r w:rsidRPr="00370948">
        <w:rPr>
          <w:rFonts w:ascii="Book Antiqua" w:hAnsi="Book Antiqua"/>
          <w:sz w:val="16"/>
          <w:szCs w:val="16"/>
        </w:rPr>
        <w:t>(2011) pp.168-179.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[80] D. H. Grinspoon, Letter to </w:t>
      </w:r>
      <w:r w:rsidRPr="00370948">
        <w:rPr>
          <w:rFonts w:ascii="Book Antiqua" w:hAnsi="Book Antiqua"/>
          <w:i/>
          <w:sz w:val="16"/>
          <w:szCs w:val="16"/>
        </w:rPr>
        <w:t>Nature</w:t>
      </w:r>
      <w:r w:rsidRPr="00370948">
        <w:rPr>
          <w:rFonts w:ascii="Book Antiqua" w:hAnsi="Book Antiqua"/>
          <w:sz w:val="16"/>
          <w:szCs w:val="16"/>
        </w:rPr>
        <w:t>, pp. 428-431, (3 June 1993).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[81] J. Audouze, G. Israel, Cambridge Atlas of Astronomy, pp. 74-75,  (Cambridge University Press, Cambridge, 1985).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[82] M. Wadhwa, G. W. Lugmair, </w:t>
      </w:r>
      <w:r w:rsidRPr="00370948">
        <w:rPr>
          <w:rFonts w:ascii="Book Antiqua" w:hAnsi="Book Antiqua"/>
          <w:i/>
          <w:sz w:val="16"/>
          <w:szCs w:val="16"/>
        </w:rPr>
        <w:t>Meteoritics</w:t>
      </w:r>
      <w:r w:rsidRPr="00370948">
        <w:rPr>
          <w:rFonts w:ascii="Book Antiqua" w:hAnsi="Book Antiqua"/>
          <w:sz w:val="16"/>
          <w:szCs w:val="16"/>
        </w:rPr>
        <w:t xml:space="preserve">, </w:t>
      </w:r>
      <w:r w:rsidRPr="00370948">
        <w:rPr>
          <w:rFonts w:ascii="Book Antiqua" w:hAnsi="Book Antiqua"/>
          <w:b/>
          <w:sz w:val="16"/>
          <w:szCs w:val="16"/>
        </w:rPr>
        <w:t>31</w:t>
      </w:r>
      <w:r w:rsidRPr="00370948">
        <w:rPr>
          <w:rFonts w:ascii="Book Antiqua" w:hAnsi="Book Antiqua"/>
          <w:sz w:val="16"/>
          <w:szCs w:val="16"/>
        </w:rPr>
        <w:t>, A145 (1996).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[83] J. M. Dohm, “Scientist Find Largest Flood Channels in the Solar System,” </w:t>
      </w:r>
      <w:r w:rsidRPr="00370948">
        <w:rPr>
          <w:rFonts w:ascii="Book Antiqua" w:hAnsi="Book Antiqua"/>
          <w:i/>
          <w:sz w:val="16"/>
          <w:szCs w:val="16"/>
        </w:rPr>
        <w:t>University of Arizona News Release</w:t>
      </w:r>
      <w:r w:rsidRPr="00370948">
        <w:rPr>
          <w:rFonts w:ascii="Book Antiqua" w:hAnsi="Book Antiqua"/>
          <w:sz w:val="16"/>
          <w:szCs w:val="16"/>
        </w:rPr>
        <w:t xml:space="preserve">, (1 August, 2001), At:  </w:t>
      </w:r>
      <w:hyperlink r:id="rId362" w:history="1">
        <w:r w:rsidRPr="00370948">
          <w:rPr>
            <w:rStyle w:val="Hyperlink"/>
            <w:rFonts w:ascii="Book Antiqua" w:hAnsi="Book Antiqua"/>
            <w:i/>
            <w:szCs w:val="16"/>
          </w:rPr>
          <w:t>http://uanews.org/node/5107</w:t>
        </w:r>
      </w:hyperlink>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[84] Dohm, J. M., et al., “</w:t>
      </w:r>
      <w:r w:rsidRPr="00370948">
        <w:rPr>
          <w:rStyle w:val="title0"/>
          <w:rFonts w:ascii="Book Antiqua" w:eastAsia="Calibri" w:hAnsi="Book Antiqua"/>
          <w:sz w:val="16"/>
          <w:szCs w:val="16"/>
        </w:rPr>
        <w:t>Latent outflow activity for western Tharsis, Mars: Significant flood record exposed</w:t>
      </w:r>
      <w:r w:rsidRPr="00370948">
        <w:rPr>
          <w:rFonts w:ascii="Book Antiqua" w:hAnsi="Book Antiqua"/>
          <w:sz w:val="16"/>
          <w:szCs w:val="16"/>
        </w:rPr>
        <w:t xml:space="preserve">,” </w:t>
      </w:r>
      <w:r w:rsidRPr="00370948">
        <w:rPr>
          <w:rStyle w:val="ital"/>
          <w:rFonts w:ascii="Book Antiqua" w:eastAsia="Calibri" w:hAnsi="Book Antiqua"/>
          <w:i/>
          <w:iCs/>
          <w:sz w:val="16"/>
          <w:szCs w:val="16"/>
        </w:rPr>
        <w:t>J. Geophys. Res.</w:t>
      </w:r>
      <w:r w:rsidRPr="00370948">
        <w:rPr>
          <w:rFonts w:ascii="Book Antiqua" w:hAnsi="Book Antiqua"/>
          <w:sz w:val="16"/>
          <w:szCs w:val="16"/>
        </w:rPr>
        <w:t xml:space="preserve">, </w:t>
      </w:r>
      <w:r w:rsidRPr="00370948">
        <w:rPr>
          <w:rStyle w:val="ital"/>
          <w:rFonts w:ascii="Book Antiqua" w:eastAsia="Calibri" w:hAnsi="Book Antiqua"/>
          <w:sz w:val="16"/>
          <w:szCs w:val="16"/>
        </w:rPr>
        <w:t>106</w:t>
      </w:r>
      <w:r w:rsidRPr="00370948">
        <w:rPr>
          <w:rFonts w:ascii="Book Antiqua" w:hAnsi="Book Antiqua"/>
          <w:sz w:val="16"/>
          <w:szCs w:val="16"/>
        </w:rPr>
        <w:t>(E6), pp.12,301–12,314 (25 June, 2001).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[85] B. Moomaw, “Mars: A World Riven by H2O or CO2.” Space Daily, (1 May, 2001) at:</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 </w:t>
      </w:r>
      <w:hyperlink r:id="rId363" w:history="1">
        <w:r w:rsidRPr="00370948">
          <w:rPr>
            <w:rStyle w:val="Hyperlink"/>
            <w:rFonts w:ascii="Book Antiqua" w:hAnsi="Book Antiqua"/>
            <w:i/>
            <w:szCs w:val="16"/>
          </w:rPr>
          <w:t>http://www.spacedaily.com/news/lunarplanet-2001-01a4.html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[86] D. L. Bindschadler, "Magellan: A new view of Venus' geology and geophysics," </w:t>
      </w:r>
      <w:r w:rsidRPr="00370948">
        <w:rPr>
          <w:rStyle w:val="st"/>
          <w:rFonts w:ascii="Book Antiqua" w:hAnsi="Book Antiqua"/>
          <w:i/>
          <w:color w:val="222222"/>
          <w:sz w:val="16"/>
          <w:szCs w:val="16"/>
        </w:rPr>
        <w:t>Reviews of Geophysics</w:t>
      </w:r>
      <w:r w:rsidRPr="00370948">
        <w:rPr>
          <w:rStyle w:val="st"/>
          <w:rFonts w:ascii="Book Antiqua" w:hAnsi="Book Antiqua"/>
          <w:color w:val="222222"/>
          <w:sz w:val="16"/>
          <w:szCs w:val="16"/>
        </w:rPr>
        <w:t xml:space="preserve">, </w:t>
      </w:r>
      <w:r w:rsidRPr="00370948">
        <w:rPr>
          <w:rStyle w:val="st"/>
          <w:rFonts w:ascii="Book Antiqua" w:hAnsi="Book Antiqua"/>
          <w:b/>
          <w:color w:val="222222"/>
          <w:sz w:val="16"/>
          <w:szCs w:val="16"/>
        </w:rPr>
        <w:t>33</w:t>
      </w:r>
      <w:r w:rsidRPr="00370948">
        <w:rPr>
          <w:rStyle w:val="st"/>
          <w:rFonts w:ascii="Book Antiqua" w:hAnsi="Book Antiqua"/>
          <w:color w:val="222222"/>
          <w:sz w:val="16"/>
          <w:szCs w:val="16"/>
        </w:rPr>
        <w:t>, pp.  459–467, (1995).</w:t>
      </w:r>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[87] R. G. Strom et al., </w:t>
      </w:r>
      <w:r w:rsidRPr="00370948">
        <w:rPr>
          <w:rFonts w:ascii="Book Antiqua" w:hAnsi="Book Antiqua"/>
          <w:i/>
          <w:sz w:val="16"/>
          <w:szCs w:val="16"/>
        </w:rPr>
        <w:t>Planetary and Space Science</w:t>
      </w:r>
      <w:r w:rsidRPr="00370948">
        <w:rPr>
          <w:rFonts w:ascii="Book Antiqua" w:hAnsi="Book Antiqua"/>
          <w:sz w:val="16"/>
          <w:szCs w:val="16"/>
        </w:rPr>
        <w:t xml:space="preserve">, </w:t>
      </w:r>
      <w:r w:rsidRPr="00370948">
        <w:rPr>
          <w:rFonts w:ascii="Book Antiqua" w:hAnsi="Book Antiqua"/>
          <w:b/>
          <w:sz w:val="16"/>
          <w:szCs w:val="16"/>
        </w:rPr>
        <w:t>59</w:t>
      </w:r>
      <w:r w:rsidRPr="00370948">
        <w:rPr>
          <w:rFonts w:ascii="Book Antiqua" w:hAnsi="Book Antiqua"/>
          <w:sz w:val="16"/>
          <w:szCs w:val="16"/>
        </w:rPr>
        <w:t>, pp 1960 – 1967 (2011).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[88] M. W. Davidson, “Moon Rocks Under the Microscope,” at:</w:t>
      </w:r>
    </w:p>
    <w:p w:rsidR="005359B2" w:rsidRPr="00370948" w:rsidRDefault="00241D2F" w:rsidP="005359B2">
      <w:pPr>
        <w:pStyle w:val="NoSpacing"/>
        <w:rPr>
          <w:rFonts w:ascii="Book Antiqua" w:hAnsi="Book Antiqua"/>
          <w:color w:val="000000"/>
          <w:sz w:val="16"/>
          <w:szCs w:val="16"/>
        </w:rPr>
      </w:pPr>
      <w:hyperlink r:id="rId364" w:history="1">
        <w:r w:rsidR="005359B2" w:rsidRPr="00370948">
          <w:rPr>
            <w:rStyle w:val="Hyperlink"/>
            <w:rFonts w:ascii="Book Antiqua" w:hAnsi="Book Antiqua"/>
            <w:i/>
            <w:szCs w:val="16"/>
          </w:rPr>
          <w:t>http://micro.magnet.fsu.edu/publications/pages/rocks.html</w:t>
        </w:r>
      </w:hyperlink>
      <w:r w:rsidR="005359B2" w:rsidRPr="00370948">
        <w:rPr>
          <w:rFonts w:ascii="Book Antiqua" w:hAnsi="Book Antiqua"/>
          <w:color w:val="000000"/>
          <w:sz w:val="16"/>
          <w:szCs w:val="16"/>
        </w:rPr>
        <w:t xml:space="preserve"> .</w:t>
      </w:r>
    </w:p>
    <w:p w:rsidR="005359B2" w:rsidRPr="00370948" w:rsidRDefault="005359B2" w:rsidP="005359B2">
      <w:pPr>
        <w:pStyle w:val="NoSpacing"/>
        <w:jc w:val="both"/>
        <w:rPr>
          <w:rFonts w:ascii="Book Antiqua" w:hAnsi="Book Antiqua"/>
          <w:sz w:val="16"/>
          <w:szCs w:val="16"/>
        </w:rPr>
      </w:pPr>
      <w:r w:rsidRPr="00370948">
        <w:rPr>
          <w:rFonts w:ascii="Book Antiqua" w:hAnsi="Book Antiqua"/>
          <w:color w:val="000000"/>
          <w:sz w:val="16"/>
          <w:szCs w:val="16"/>
        </w:rPr>
        <w:t xml:space="preserve">[89] J. W. Head, et al., </w:t>
      </w:r>
      <w:r w:rsidRPr="00370948">
        <w:rPr>
          <w:rFonts w:ascii="Book Antiqua" w:hAnsi="Book Antiqua"/>
          <w:sz w:val="16"/>
          <w:szCs w:val="16"/>
        </w:rPr>
        <w:t xml:space="preserve">"Lunar Mare Basalt Volcanism", </w:t>
      </w:r>
      <w:r w:rsidRPr="00370948">
        <w:rPr>
          <w:rFonts w:ascii="Book Antiqua" w:hAnsi="Book Antiqua"/>
          <w:i/>
          <w:sz w:val="16"/>
          <w:szCs w:val="16"/>
        </w:rPr>
        <w:t>28th Lunar and Planetary Science Conference</w:t>
      </w:r>
      <w:r w:rsidRPr="00370948">
        <w:rPr>
          <w:rFonts w:ascii="Book Antiqua" w:hAnsi="Book Antiqua"/>
          <w:sz w:val="16"/>
          <w:szCs w:val="16"/>
        </w:rPr>
        <w:t>, Paper 1112, (March 1997).</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[90] </w:t>
      </w:r>
      <w:r w:rsidRPr="00370948">
        <w:rPr>
          <w:rFonts w:ascii="Book Antiqua" w:hAnsi="Book Antiqua"/>
          <w:sz w:val="16"/>
          <w:szCs w:val="16"/>
        </w:rPr>
        <w:t xml:space="preserve">L. T. Silver, </w:t>
      </w:r>
      <w:r w:rsidRPr="00370948">
        <w:rPr>
          <w:rFonts w:ascii="Book Antiqua" w:hAnsi="Book Antiqua"/>
          <w:i/>
          <w:sz w:val="16"/>
          <w:szCs w:val="16"/>
        </w:rPr>
        <w:t>Eos</w:t>
      </w:r>
      <w:r w:rsidRPr="00370948">
        <w:rPr>
          <w:rFonts w:ascii="Book Antiqua" w:hAnsi="Book Antiqua"/>
          <w:sz w:val="16"/>
          <w:szCs w:val="16"/>
        </w:rPr>
        <w:t>,</w:t>
      </w:r>
      <w:r w:rsidRPr="00370948">
        <w:rPr>
          <w:rFonts w:ascii="Book Antiqua" w:hAnsi="Book Antiqua"/>
          <w:b/>
          <w:sz w:val="16"/>
          <w:szCs w:val="16"/>
        </w:rPr>
        <w:t xml:space="preserve"> 52</w:t>
      </w:r>
      <w:r w:rsidRPr="00370948">
        <w:rPr>
          <w:rFonts w:ascii="Book Antiqua" w:hAnsi="Book Antiqua"/>
          <w:sz w:val="16"/>
          <w:szCs w:val="16"/>
        </w:rPr>
        <w:t>, p.534 (1971).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sz w:val="16"/>
          <w:szCs w:val="16"/>
        </w:rPr>
        <w:t xml:space="preserve">[91] L. T. Silver, P. H. Schultz, </w:t>
      </w:r>
      <w:r w:rsidRPr="00370948">
        <w:rPr>
          <w:rFonts w:ascii="Book Antiqua" w:hAnsi="Book Antiqua"/>
          <w:i/>
          <w:sz w:val="16"/>
          <w:szCs w:val="16"/>
        </w:rPr>
        <w:t>Geological Society of America, Special Paper</w:t>
      </w:r>
      <w:r w:rsidRPr="00370948">
        <w:rPr>
          <w:rFonts w:ascii="Book Antiqua" w:hAnsi="Book Antiqua"/>
          <w:sz w:val="16"/>
          <w:szCs w:val="16"/>
        </w:rPr>
        <w:t xml:space="preserve"> </w:t>
      </w:r>
      <w:r w:rsidRPr="00370948">
        <w:rPr>
          <w:rFonts w:ascii="Book Antiqua" w:hAnsi="Book Antiqua"/>
          <w:b/>
          <w:sz w:val="16"/>
          <w:szCs w:val="16"/>
        </w:rPr>
        <w:t>190</w:t>
      </w:r>
      <w:r w:rsidRPr="00370948">
        <w:rPr>
          <w:rFonts w:ascii="Book Antiqua" w:hAnsi="Book Antiqua"/>
          <w:sz w:val="16"/>
          <w:szCs w:val="16"/>
        </w:rPr>
        <w:t xml:space="preserve">, pp. ii and xiv, (October 1981). </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[92] </w:t>
      </w:r>
      <w:r w:rsidRPr="00370948">
        <w:rPr>
          <w:rFonts w:ascii="Book Antiqua" w:hAnsi="Book Antiqua"/>
          <w:sz w:val="16"/>
          <w:szCs w:val="16"/>
        </w:rPr>
        <w:t xml:space="preserve">See, for example, J.K. Russell et al., “Kimberlite ascent by assimilation-fuelled buoyancy,”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481</w:t>
      </w:r>
      <w:r w:rsidRPr="00370948">
        <w:rPr>
          <w:rFonts w:ascii="Book Antiqua" w:hAnsi="Book Antiqua"/>
          <w:sz w:val="16"/>
          <w:szCs w:val="16"/>
        </w:rPr>
        <w:t>, pp.352-356, (19 January, 2012).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[93] T. Gold, </w:t>
      </w:r>
      <w:r w:rsidRPr="00370948">
        <w:rPr>
          <w:rFonts w:ascii="Book Antiqua" w:hAnsi="Book Antiqua"/>
          <w:i/>
          <w:sz w:val="16"/>
          <w:szCs w:val="16"/>
        </w:rPr>
        <w:t>The Deep Hot Biosphere</w:t>
      </w:r>
      <w:r w:rsidRPr="00370948">
        <w:rPr>
          <w:rFonts w:ascii="Book Antiqua" w:hAnsi="Book Antiqua"/>
          <w:sz w:val="16"/>
          <w:szCs w:val="16"/>
        </w:rPr>
        <w:t xml:space="preserve">, (Copernican Books, 1999).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[94] S. B. Keith, M. M. Swan in </w:t>
      </w:r>
      <w:r w:rsidRPr="00370948">
        <w:rPr>
          <w:rFonts w:ascii="Book Antiqua" w:hAnsi="Book Antiqua"/>
          <w:i/>
          <w:sz w:val="16"/>
          <w:szCs w:val="16"/>
        </w:rPr>
        <w:t>Abstracts of the AAPG Research Conference, Calgary, Canada</w:t>
      </w:r>
      <w:r w:rsidRPr="00370948">
        <w:rPr>
          <w:rFonts w:ascii="Book Antiqua" w:hAnsi="Book Antiqua"/>
          <w:sz w:val="16"/>
          <w:szCs w:val="16"/>
        </w:rPr>
        <w:t>, (2005).</w:t>
      </w:r>
    </w:p>
    <w:p w:rsidR="005359B2" w:rsidRPr="00370948" w:rsidRDefault="005359B2" w:rsidP="005359B2">
      <w:pPr>
        <w:pStyle w:val="NoSpacing"/>
        <w:rPr>
          <w:rFonts w:ascii="Book Antiqua" w:hAnsi="Book Antiqua"/>
          <w:sz w:val="16"/>
          <w:szCs w:val="16"/>
          <w:lang w:val="en-GB"/>
        </w:rPr>
      </w:pPr>
      <w:r w:rsidRPr="00370948">
        <w:rPr>
          <w:rFonts w:ascii="Book Antiqua" w:hAnsi="Book Antiqua"/>
          <w:sz w:val="16"/>
          <w:szCs w:val="16"/>
        </w:rPr>
        <w:t xml:space="preserve">[95] G. </w:t>
      </w:r>
      <w:r w:rsidRPr="00370948">
        <w:rPr>
          <w:rFonts w:ascii="Book Antiqua" w:hAnsi="Book Antiqua"/>
          <w:iCs/>
          <w:sz w:val="16"/>
          <w:szCs w:val="16"/>
          <w:lang w:val="en-GB"/>
        </w:rPr>
        <w:t>Proskurowski, M. D. Lilley, J. S. Seewald et al., ”Abiogenic Hydrocarbon Production at Lost City Hydrothermal Field,”</w:t>
      </w:r>
      <w:r w:rsidRPr="00370948">
        <w:rPr>
          <w:rFonts w:ascii="Book Antiqua" w:hAnsi="Book Antiqua"/>
          <w:sz w:val="16"/>
          <w:szCs w:val="16"/>
        </w:rPr>
        <w:t xml:space="preserve"> </w:t>
      </w:r>
      <w:r w:rsidRPr="00370948">
        <w:rPr>
          <w:rFonts w:ascii="Book Antiqua" w:hAnsi="Book Antiqua"/>
          <w:i/>
          <w:sz w:val="16"/>
          <w:szCs w:val="16"/>
          <w:lang w:val="en-GB"/>
        </w:rPr>
        <w:t>Science</w:t>
      </w:r>
      <w:r w:rsidRPr="00370948">
        <w:rPr>
          <w:rFonts w:ascii="Book Antiqua" w:hAnsi="Book Antiqua"/>
          <w:sz w:val="16"/>
          <w:szCs w:val="16"/>
          <w:lang w:val="en-GB"/>
        </w:rPr>
        <w:t xml:space="preserve">, </w:t>
      </w:r>
      <w:r w:rsidRPr="00370948">
        <w:rPr>
          <w:rFonts w:ascii="Book Antiqua" w:hAnsi="Book Antiqua"/>
          <w:b/>
          <w:sz w:val="16"/>
          <w:szCs w:val="16"/>
          <w:lang w:val="en-GB"/>
        </w:rPr>
        <w:t>319</w:t>
      </w:r>
      <w:r w:rsidRPr="00370948">
        <w:rPr>
          <w:rFonts w:ascii="Book Antiqua" w:hAnsi="Book Antiqua"/>
          <w:sz w:val="16"/>
          <w:szCs w:val="16"/>
          <w:lang w:val="en-GB"/>
        </w:rPr>
        <w:t>, pp. 604-607, (1 Feb 2008).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lang w:val="en-GB"/>
        </w:rPr>
        <w:t xml:space="preserve">[96] A. M. Stark, </w:t>
      </w:r>
      <w:r w:rsidRPr="00370948">
        <w:rPr>
          <w:rFonts w:ascii="Book Antiqua" w:hAnsi="Book Antiqua"/>
          <w:sz w:val="16"/>
          <w:szCs w:val="16"/>
        </w:rPr>
        <w:t xml:space="preserve">“Hydrocarbons in the deep earth,” Lawrence Livermore National Laboratories </w:t>
      </w:r>
      <w:r w:rsidRPr="00370948">
        <w:rPr>
          <w:rFonts w:ascii="Book Antiqua" w:hAnsi="Book Antiqua"/>
          <w:i/>
          <w:sz w:val="16"/>
          <w:szCs w:val="16"/>
        </w:rPr>
        <w:t>(LLNL) News Release</w:t>
      </w:r>
      <w:r w:rsidRPr="00370948">
        <w:rPr>
          <w:rFonts w:ascii="Book Antiqua" w:hAnsi="Book Antiqua"/>
          <w:sz w:val="16"/>
          <w:szCs w:val="16"/>
        </w:rPr>
        <w:t>, (14</w:t>
      </w:r>
      <w:r w:rsidRPr="00370948">
        <w:rPr>
          <w:rFonts w:ascii="Book Antiqua" w:hAnsi="Book Antiqua"/>
          <w:sz w:val="16"/>
          <w:szCs w:val="16"/>
          <w:vertAlign w:val="superscript"/>
        </w:rPr>
        <w:t>th</w:t>
      </w:r>
      <w:r w:rsidRPr="00370948">
        <w:rPr>
          <w:rFonts w:ascii="Book Antiqua" w:hAnsi="Book Antiqua"/>
          <w:sz w:val="16"/>
          <w:szCs w:val="16"/>
        </w:rPr>
        <w:t xml:space="preserve"> April, 2011) at:</w:t>
      </w:r>
      <w:r w:rsidRPr="00370948">
        <w:rPr>
          <w:rFonts w:ascii="Book Antiqua" w:hAnsi="Book Antiqua"/>
          <w:i/>
          <w:sz w:val="16"/>
          <w:szCs w:val="16"/>
        </w:rPr>
        <w:t xml:space="preserve"> </w:t>
      </w:r>
      <w:hyperlink r:id="rId365" w:history="1">
        <w:r w:rsidRPr="00370948">
          <w:rPr>
            <w:rStyle w:val="Hyperlink"/>
            <w:rFonts w:ascii="Book Antiqua" w:hAnsi="Book Antiqua"/>
            <w:i/>
            <w:szCs w:val="16"/>
          </w:rPr>
          <w:t>https://www.llnl.gov/news/newsreleases/2011/Apr/NR-11-04-04.html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[97] Table 1 data from K.L. McDonald and R.M. Guest,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73</w:t>
      </w:r>
      <w:r w:rsidRPr="00370948">
        <w:rPr>
          <w:rFonts w:ascii="Book Antiqua" w:hAnsi="Book Antiqua"/>
          <w:sz w:val="16"/>
          <w:szCs w:val="16"/>
        </w:rPr>
        <w:t xml:space="preserve">:6, pp.2057-2067 (Jan 1968). Also T-W. Wang, </w:t>
      </w:r>
      <w:r w:rsidRPr="00370948">
        <w:rPr>
          <w:rFonts w:ascii="Book Antiqua" w:hAnsi="Book Antiqua"/>
          <w:i/>
          <w:sz w:val="16"/>
          <w:szCs w:val="16"/>
        </w:rPr>
        <w:t>Chinese Journal of Geophysics</w:t>
      </w:r>
      <w:r w:rsidRPr="00370948">
        <w:rPr>
          <w:rFonts w:ascii="Book Antiqua" w:hAnsi="Book Antiqua"/>
          <w:sz w:val="16"/>
          <w:szCs w:val="16"/>
        </w:rPr>
        <w:t xml:space="preserve">, </w:t>
      </w:r>
      <w:r w:rsidRPr="00370948">
        <w:rPr>
          <w:rFonts w:ascii="Book Antiqua" w:hAnsi="Book Antiqua"/>
          <w:b/>
          <w:sz w:val="16"/>
          <w:szCs w:val="16"/>
        </w:rPr>
        <w:t>48</w:t>
      </w:r>
      <w:r w:rsidRPr="00370948">
        <w:rPr>
          <w:rFonts w:ascii="Book Antiqua" w:hAnsi="Book Antiqua"/>
          <w:sz w:val="16"/>
          <w:szCs w:val="16"/>
        </w:rPr>
        <w:t xml:space="preserve">:1 (2005) pp.62-65. Also Barton, C. E. 1989, "Geomagnetic secular variation," in </w:t>
      </w:r>
      <w:r w:rsidRPr="00370948">
        <w:rPr>
          <w:rFonts w:ascii="Book Antiqua" w:hAnsi="Book Antiqua"/>
          <w:i/>
          <w:iCs/>
          <w:sz w:val="16"/>
          <w:szCs w:val="16"/>
        </w:rPr>
        <w:t>The Encyclopedia of Solid Earth Geophysics</w:t>
      </w:r>
      <w:r w:rsidRPr="00370948">
        <w:rPr>
          <w:rFonts w:ascii="Book Antiqua" w:hAnsi="Book Antiqua"/>
          <w:sz w:val="16"/>
          <w:szCs w:val="16"/>
        </w:rPr>
        <w:t xml:space="preserve"> edited by D. E. James, 560-577, Table 2, Van Nostrand Reinhold, New York.</w:t>
      </w:r>
    </w:p>
    <w:p w:rsidR="005359B2" w:rsidRPr="00370948" w:rsidRDefault="005359B2" w:rsidP="005359B2">
      <w:pPr>
        <w:pStyle w:val="NoSpacing"/>
        <w:rPr>
          <w:rFonts w:ascii="Book Antiqua" w:hAnsi="Book Antiqua"/>
          <w:b/>
          <w:sz w:val="16"/>
          <w:szCs w:val="16"/>
        </w:rPr>
      </w:pPr>
      <w:r w:rsidRPr="00370948">
        <w:rPr>
          <w:rFonts w:ascii="Book Antiqua" w:hAnsi="Book Antiqua"/>
          <w:sz w:val="16"/>
          <w:szCs w:val="16"/>
        </w:rPr>
        <w:t xml:space="preserve">[98] I. Trujillo et al., </w:t>
      </w:r>
      <w:r w:rsidRPr="00370948">
        <w:rPr>
          <w:rFonts w:ascii="Book Antiqua" w:hAnsi="Book Antiqua"/>
          <w:i/>
          <w:sz w:val="16"/>
          <w:szCs w:val="16"/>
        </w:rPr>
        <w:t>Astrophysical Journal Letters</w:t>
      </w:r>
      <w:r w:rsidRPr="00370948">
        <w:rPr>
          <w:rFonts w:ascii="Book Antiqua" w:hAnsi="Book Antiqua"/>
          <w:sz w:val="16"/>
          <w:szCs w:val="16"/>
        </w:rPr>
        <w:t xml:space="preserve"> </w:t>
      </w:r>
      <w:r w:rsidRPr="00370948">
        <w:rPr>
          <w:rFonts w:ascii="Book Antiqua" w:hAnsi="Book Antiqua"/>
          <w:b/>
          <w:sz w:val="16"/>
          <w:szCs w:val="16"/>
        </w:rPr>
        <w:t>640</w:t>
      </w:r>
      <w:r w:rsidRPr="00370948">
        <w:rPr>
          <w:rFonts w:ascii="Book Antiqua" w:hAnsi="Book Antiqua"/>
          <w:sz w:val="16"/>
          <w:szCs w:val="16"/>
        </w:rPr>
        <w:t xml:space="preserve"> (2006), L111 – L114 .</w:t>
      </w:r>
    </w:p>
    <w:p w:rsidR="005359B2" w:rsidRPr="00370948" w:rsidRDefault="005359B2" w:rsidP="005359B2">
      <w:pPr>
        <w:pStyle w:val="NoSpacing"/>
        <w:jc w:val="center"/>
        <w:rPr>
          <w:rFonts w:ascii="Book Antiqua" w:hAnsi="Book Antiqua"/>
          <w:color w:val="000000"/>
          <w:sz w:val="16"/>
          <w:szCs w:val="16"/>
        </w:rPr>
      </w:pPr>
    </w:p>
    <w:p w:rsidR="005359B2" w:rsidRPr="00370948" w:rsidRDefault="005359B2" w:rsidP="005359B2">
      <w:pPr>
        <w:rPr>
          <w:rFonts w:ascii="Book Antiqua" w:hAnsi="Book Antiqua"/>
          <w:b/>
          <w:sz w:val="16"/>
          <w:szCs w:val="16"/>
        </w:rPr>
      </w:pPr>
      <w:r w:rsidRPr="00370948">
        <w:rPr>
          <w:rFonts w:ascii="Book Antiqua" w:hAnsi="Book Antiqua"/>
          <w:b/>
          <w:sz w:val="16"/>
          <w:szCs w:val="16"/>
        </w:rPr>
        <w:t xml:space="preserve">Figure References </w:t>
      </w:r>
      <w:r w:rsidRPr="00370948">
        <w:rPr>
          <w:rFonts w:ascii="Book Antiqua" w:hAnsi="Book Antiqua"/>
          <w:i/>
          <w:sz w:val="16"/>
          <w:szCs w:val="16"/>
        </w:rPr>
        <w:t>– All URL’s retrieved 9/13/12</w:t>
      </w:r>
    </w:p>
    <w:p w:rsidR="005359B2" w:rsidRPr="00AA273F" w:rsidRDefault="005359B2" w:rsidP="005359B2">
      <w:pPr>
        <w:pStyle w:val="NoSpacing"/>
        <w:rPr>
          <w:rFonts w:ascii="Book Antiqua" w:hAnsi="Book Antiqua"/>
          <w:sz w:val="16"/>
          <w:szCs w:val="16"/>
        </w:rPr>
      </w:pPr>
      <w:r w:rsidRPr="00AA273F">
        <w:rPr>
          <w:rFonts w:ascii="Book Antiqua" w:hAnsi="Book Antiqua"/>
          <w:sz w:val="16"/>
          <w:szCs w:val="16"/>
        </w:rPr>
        <w:t xml:space="preserve">Figure 1: The four states of matter: </w:t>
      </w:r>
      <w:hyperlink r:id="rId366" w:history="1">
        <w:r w:rsidRPr="00AA273F">
          <w:rPr>
            <w:rStyle w:val="Hyperlink"/>
            <w:rFonts w:ascii="Book Antiqua" w:hAnsi="Book Antiqua"/>
            <w:i/>
            <w:szCs w:val="16"/>
          </w:rPr>
          <w:t>http://fitz6.wordpress.com/2012/02/27/states-of-matter/</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3: Left: Kristian Birkeland: </w:t>
      </w:r>
      <w:hyperlink r:id="rId367" w:history="1">
        <w:r w:rsidRPr="00AA273F">
          <w:rPr>
            <w:rStyle w:val="Hyperlink"/>
            <w:rFonts w:ascii="Book Antiqua" w:hAnsi="Book Antiqua"/>
            <w:i/>
            <w:szCs w:val="16"/>
          </w:rPr>
          <w:t>http://snl.no/Kristian_Bernhard_Birkeland</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3:  Right: Sydney Chapman: </w:t>
      </w:r>
      <w:hyperlink r:id="rId368" w:history="1">
        <w:r w:rsidRPr="00AA273F">
          <w:rPr>
            <w:rStyle w:val="Hyperlink"/>
            <w:rFonts w:ascii="Book Antiqua" w:hAnsi="Book Antiqua"/>
            <w:i/>
            <w:szCs w:val="16"/>
          </w:rPr>
          <w:t>http://celebrating200years.noaa.gov/magazine/igy/sydney_chapman.html</w:t>
        </w:r>
      </w:hyperlink>
    </w:p>
    <w:p w:rsidR="005359B2" w:rsidRPr="004C1392" w:rsidRDefault="005359B2" w:rsidP="005359B2">
      <w:pPr>
        <w:pStyle w:val="NoSpacing"/>
        <w:rPr>
          <w:rFonts w:ascii="Book Antiqua" w:hAnsi="Book Antiqua"/>
          <w:sz w:val="16"/>
          <w:szCs w:val="16"/>
        </w:rPr>
      </w:pPr>
      <w:r w:rsidRPr="004C1392">
        <w:rPr>
          <w:rFonts w:ascii="Book Antiqua" w:hAnsi="Book Antiqua"/>
          <w:sz w:val="16"/>
          <w:szCs w:val="16"/>
        </w:rPr>
        <w:t xml:space="preserve">Figure 4: (Left) Positive ion current and (Center) negative electron current from: </w:t>
      </w:r>
      <w:hyperlink r:id="rId369" w:history="1">
        <w:r w:rsidRPr="004C1392">
          <w:rPr>
            <w:rStyle w:val="Hyperlink"/>
            <w:rFonts w:ascii="Book Antiqua" w:hAnsi="Book Antiqua"/>
            <w:i/>
            <w:szCs w:val="16"/>
          </w:rPr>
          <w:t>http://cnx.org/content/m42341/latest/?collection=col11458/latest</w:t>
        </w:r>
      </w:hyperlink>
    </w:p>
    <w:p w:rsidR="005359B2" w:rsidRPr="004C1392" w:rsidRDefault="005359B2" w:rsidP="005359B2">
      <w:pPr>
        <w:pStyle w:val="NoSpacing"/>
        <w:rPr>
          <w:rFonts w:ascii="Book Antiqua" w:hAnsi="Book Antiqua"/>
          <w:i/>
          <w:sz w:val="16"/>
          <w:szCs w:val="16"/>
        </w:rPr>
      </w:pPr>
      <w:r>
        <w:rPr>
          <w:rFonts w:ascii="Book Antiqua" w:hAnsi="Book Antiqua"/>
          <w:sz w:val="16"/>
          <w:szCs w:val="16"/>
        </w:rPr>
        <w:t xml:space="preserve">Figure 4: (Right) Every electric current is surrounded by a magnetic field. </w:t>
      </w:r>
      <w:r w:rsidRPr="004C1392">
        <w:rPr>
          <w:rFonts w:ascii="Book Antiqua" w:hAnsi="Book Antiqua"/>
          <w:i/>
          <w:sz w:val="16"/>
          <w:szCs w:val="16"/>
        </w:rPr>
        <w:t>http://www.thunderbolts.info/wp/2011/10/17/essential-guide-to-the-eu-chapter-2/</w:t>
      </w:r>
    </w:p>
    <w:p w:rsidR="005359B2" w:rsidRPr="004C1392" w:rsidRDefault="005359B2" w:rsidP="005359B2">
      <w:pPr>
        <w:pStyle w:val="NoSpacing"/>
        <w:rPr>
          <w:rFonts w:ascii="Book Antiqua" w:hAnsi="Book Antiqua"/>
          <w:sz w:val="16"/>
          <w:szCs w:val="16"/>
        </w:rPr>
      </w:pPr>
      <w:r w:rsidRPr="004C1392">
        <w:rPr>
          <w:rFonts w:ascii="Book Antiqua" w:hAnsi="Book Antiqua"/>
          <w:sz w:val="16"/>
          <w:szCs w:val="16"/>
        </w:rPr>
        <w:t>Figure 5: Cygus Loop plasma filament: http://www.fractaluniverse.org/v2/?page_id=55</w:t>
      </w:r>
    </w:p>
    <w:p w:rsidR="005359B2" w:rsidRPr="00AA273F" w:rsidRDefault="005359B2" w:rsidP="005359B2">
      <w:pPr>
        <w:pStyle w:val="NoSpacing"/>
        <w:rPr>
          <w:rFonts w:ascii="Book Antiqua" w:hAnsi="Book Antiqua"/>
          <w:sz w:val="16"/>
          <w:szCs w:val="16"/>
        </w:rPr>
      </w:pPr>
      <w:r w:rsidRPr="00AA273F">
        <w:rPr>
          <w:rFonts w:ascii="Book Antiqua" w:hAnsi="Book Antiqua"/>
          <w:sz w:val="16"/>
          <w:szCs w:val="16"/>
        </w:rPr>
        <w:t xml:space="preserve">Figure 6: Plasma instabilities and pinch: </w:t>
      </w:r>
      <w:r w:rsidRPr="00AA273F">
        <w:rPr>
          <w:rFonts w:ascii="Book Antiqua" w:hAnsi="Book Antiqua"/>
          <w:i/>
          <w:sz w:val="16"/>
          <w:szCs w:val="16"/>
        </w:rPr>
        <w:t>http://www.answers.com/topic/pinch-effect-1</w:t>
      </w:r>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7: Orion Molecular Cloud and its magnetic “slinky.” </w:t>
      </w:r>
      <w:hyperlink r:id="rId370" w:history="1">
        <w:r w:rsidRPr="00AA273F">
          <w:rPr>
            <w:rStyle w:val="Hyperlink"/>
            <w:rFonts w:ascii="Book Antiqua" w:hAnsi="Book Antiqua"/>
            <w:i/>
            <w:szCs w:val="16"/>
          </w:rPr>
          <w:t>http://berkeley.edu/news/media/releases/2006/01/12_helical.shtml</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8: Spitzer Space Telescope image of galaxy M81. </w:t>
      </w:r>
      <w:hyperlink r:id="rId371" w:history="1">
        <w:r w:rsidRPr="00AA273F">
          <w:rPr>
            <w:rStyle w:val="Hyperlink"/>
            <w:rFonts w:ascii="Book Antiqua" w:hAnsi="Book Antiqua"/>
            <w:i/>
            <w:szCs w:val="16"/>
          </w:rPr>
          <w:t>http://jumk.de/astronomie/galaxies/bodes-galaxy.shtml</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9: The Sun’s heliospheric current sheet. </w:t>
      </w:r>
      <w:hyperlink r:id="rId372" w:history="1">
        <w:r w:rsidRPr="00AA273F">
          <w:rPr>
            <w:rStyle w:val="Hyperlink"/>
            <w:rFonts w:ascii="Book Antiqua" w:hAnsi="Book Antiqua"/>
            <w:i/>
            <w:szCs w:val="16"/>
          </w:rPr>
          <w:t>http://www.thunderbolts.info/tpod/2005/arch05/051031plasma.htm</w:t>
        </w:r>
      </w:hyperlink>
    </w:p>
    <w:p w:rsidR="005359B2" w:rsidRPr="00AA273F" w:rsidRDefault="005359B2" w:rsidP="005359B2">
      <w:pPr>
        <w:pStyle w:val="NoSpacing"/>
        <w:rPr>
          <w:rStyle w:val="Strong"/>
          <w:rFonts w:ascii="Book Antiqua" w:eastAsia="Calibri" w:hAnsi="Book Antiqua"/>
          <w:b w:val="0"/>
          <w:i/>
          <w:sz w:val="16"/>
          <w:szCs w:val="16"/>
        </w:rPr>
      </w:pPr>
      <w:r w:rsidRPr="00AA273F">
        <w:rPr>
          <w:rFonts w:ascii="Book Antiqua" w:hAnsi="Book Antiqua"/>
          <w:sz w:val="16"/>
          <w:szCs w:val="16"/>
        </w:rPr>
        <w:t xml:space="preserve">Figure 10: Plot of galaxy positions forming filaments: </w:t>
      </w:r>
      <w:hyperlink r:id="rId373" w:tgtFrame="_new" w:history="1">
        <w:r w:rsidRPr="00AA273F">
          <w:rPr>
            <w:rStyle w:val="Hyperlink"/>
            <w:rFonts w:ascii="Book Antiqua" w:hAnsi="Book Antiqua"/>
            <w:bCs/>
            <w:i/>
            <w:szCs w:val="16"/>
          </w:rPr>
          <w:t>http://www.exp-astro.phys.ethz.ch/highlights/oct06_1.gif</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Figure 11: Element sorting by Marklund Convection.</w:t>
      </w:r>
    </w:p>
    <w:p w:rsidR="005359B2" w:rsidRPr="00370948" w:rsidRDefault="00241D2F" w:rsidP="005359B2">
      <w:pPr>
        <w:pStyle w:val="NoSpacing"/>
        <w:jc w:val="both"/>
        <w:rPr>
          <w:rStyle w:val="Strong"/>
          <w:rFonts w:ascii="Book Antiqua" w:eastAsia="Calibri" w:hAnsi="Book Antiqua"/>
          <w:b w:val="0"/>
          <w:sz w:val="16"/>
          <w:szCs w:val="16"/>
        </w:rPr>
      </w:pPr>
      <w:hyperlink r:id="rId374" w:history="1">
        <w:r w:rsidR="005359B2" w:rsidRPr="00370948">
          <w:rPr>
            <w:rStyle w:val="Hyperlink"/>
            <w:rFonts w:ascii="Book Antiqua" w:hAnsi="Book Antiqua"/>
            <w:szCs w:val="16"/>
          </w:rPr>
          <w:t>http://www.holoscience.com/wp/wp-content/uploads/2011/05/Marklund-Convection-2.jpg</w:t>
        </w:r>
      </w:hyperlink>
    </w:p>
    <w:p w:rsidR="005359B2" w:rsidRPr="005350F1"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Figure 13:</w:t>
      </w:r>
      <w:r w:rsidRPr="005350F1">
        <w:rPr>
          <w:rStyle w:val="Strong"/>
          <w:rFonts w:ascii="Book Antiqua" w:eastAsia="Calibri" w:hAnsi="Book Antiqua"/>
          <w:sz w:val="16"/>
          <w:szCs w:val="16"/>
        </w:rPr>
        <w:t xml:space="preserve"> </w:t>
      </w:r>
      <w:r w:rsidRPr="005350F1">
        <w:rPr>
          <w:rFonts w:ascii="Book Antiqua" w:hAnsi="Book Antiqua"/>
          <w:sz w:val="16"/>
          <w:szCs w:val="16"/>
        </w:rPr>
        <w:t>Behavior of Earth’s dipole magnetic moment, M*, in amp-meters</w:t>
      </w:r>
      <w:r w:rsidRPr="005350F1">
        <w:rPr>
          <w:rFonts w:ascii="Book Antiqua" w:hAnsi="Book Antiqua"/>
          <w:sz w:val="16"/>
          <w:szCs w:val="16"/>
          <w:vertAlign w:val="superscript"/>
        </w:rPr>
        <w:t>2</w:t>
      </w:r>
      <w:r w:rsidRPr="005350F1">
        <w:rPr>
          <w:rFonts w:ascii="Book Antiqua" w:hAnsi="Book Antiqua"/>
          <w:sz w:val="16"/>
          <w:szCs w:val="16"/>
        </w:rPr>
        <w:t>.</w:t>
      </w:r>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Figure 14: Galaxy formation from interacting plasma filaments.</w:t>
      </w:r>
    </w:p>
    <w:p w:rsidR="005359B2" w:rsidRPr="00370948" w:rsidRDefault="00241D2F" w:rsidP="005359B2">
      <w:pPr>
        <w:pStyle w:val="NoSpacing"/>
        <w:jc w:val="both"/>
        <w:rPr>
          <w:rStyle w:val="Strong"/>
          <w:rFonts w:ascii="Book Antiqua" w:eastAsia="Calibri" w:hAnsi="Book Antiqua"/>
          <w:b w:val="0"/>
          <w:i/>
          <w:sz w:val="16"/>
          <w:szCs w:val="16"/>
        </w:rPr>
      </w:pPr>
      <w:hyperlink r:id="rId375" w:history="1">
        <w:r w:rsidR="005359B2" w:rsidRPr="00370948">
          <w:rPr>
            <w:rStyle w:val="Hyperlink"/>
            <w:rFonts w:ascii="Book Antiqua" w:hAnsi="Book Antiqua"/>
            <w:i/>
            <w:szCs w:val="16"/>
          </w:rPr>
          <w:t>http://www.thunderbolts.info/wp/2011/12/05/considering-the-electric-sun-part-1/perattsimulations_1/</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15: Top – lab results from approaching interacting filaments. </w:t>
      </w:r>
    </w:p>
    <w:p w:rsidR="005359B2" w:rsidRPr="00370948" w:rsidRDefault="00241D2F" w:rsidP="005359B2">
      <w:pPr>
        <w:pStyle w:val="NoSpacing"/>
        <w:jc w:val="both"/>
        <w:rPr>
          <w:rStyle w:val="Strong"/>
          <w:rFonts w:ascii="Book Antiqua" w:eastAsia="Calibri" w:hAnsi="Book Antiqua"/>
          <w:b w:val="0"/>
          <w:i/>
          <w:sz w:val="16"/>
          <w:szCs w:val="16"/>
        </w:rPr>
      </w:pPr>
      <w:hyperlink r:id="rId376" w:history="1">
        <w:r w:rsidR="005359B2" w:rsidRPr="00370948">
          <w:rPr>
            <w:rStyle w:val="Hyperlink"/>
            <w:rFonts w:ascii="Book Antiqua" w:hAnsi="Book Antiqua"/>
            <w:i/>
            <w:szCs w:val="16"/>
          </w:rPr>
          <w:t>http://www.holoscience.com/wp/the-spiral-galaxy-at-saturns-pole/</w:t>
        </w:r>
      </w:hyperlink>
    </w:p>
    <w:p w:rsidR="005359B2" w:rsidRPr="003B4CE2" w:rsidRDefault="005359B2" w:rsidP="005359B2">
      <w:pPr>
        <w:pStyle w:val="NoSpacing"/>
        <w:jc w:val="both"/>
        <w:rPr>
          <w:rStyle w:val="Strong"/>
          <w:rFonts w:ascii="Book Antiqua" w:eastAsia="Calibri" w:hAnsi="Book Antiqua"/>
          <w:b w:val="0"/>
          <w:i/>
          <w:sz w:val="16"/>
          <w:szCs w:val="16"/>
          <w:u w:val="single"/>
        </w:rPr>
      </w:pPr>
      <w:r w:rsidRPr="003B4CE2">
        <w:rPr>
          <w:rStyle w:val="Strong"/>
          <w:rFonts w:ascii="Book Antiqua" w:eastAsia="Calibri" w:hAnsi="Book Antiqua"/>
          <w:b w:val="0"/>
          <w:sz w:val="16"/>
          <w:szCs w:val="16"/>
        </w:rPr>
        <w:t xml:space="preserve">Figure 15: Bottom left - Radio galaxy 3C296. </w:t>
      </w:r>
      <w:hyperlink r:id="rId377" w:history="1">
        <w:r w:rsidRPr="003B4CE2">
          <w:rPr>
            <w:rStyle w:val="Hyperlink"/>
            <w:rFonts w:ascii="Book Antiqua" w:hAnsi="Book Antiqua"/>
            <w:b/>
            <w:i/>
            <w:szCs w:val="16"/>
          </w:rPr>
          <w:t>http://apod.nasa.gov/apod/ap020226.html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lastRenderedPageBreak/>
        <w:t xml:space="preserve">Figure 15: Bottom middle – Radio galaxy Fornax A. </w:t>
      </w:r>
      <w:hyperlink r:id="rId378" w:history="1">
        <w:r w:rsidRPr="003B4CE2">
          <w:rPr>
            <w:rStyle w:val="Hyperlink"/>
            <w:rFonts w:ascii="Book Antiqua" w:hAnsi="Book Antiqua"/>
            <w:b/>
            <w:i/>
            <w:szCs w:val="16"/>
          </w:rPr>
          <w:t>http://images.nrao.edu/501</w:t>
        </w:r>
      </w:hyperlink>
    </w:p>
    <w:p w:rsidR="005359B2" w:rsidRPr="003B4CE2" w:rsidRDefault="005359B2" w:rsidP="005359B2">
      <w:pPr>
        <w:pStyle w:val="NoSpacing"/>
        <w:jc w:val="both"/>
        <w:rPr>
          <w:rFonts w:ascii="Book Antiqua" w:hAnsi="Book Antiqua"/>
          <w:b/>
          <w:sz w:val="16"/>
          <w:szCs w:val="16"/>
        </w:rPr>
      </w:pPr>
      <w:r w:rsidRPr="003B4CE2">
        <w:rPr>
          <w:rStyle w:val="Strong"/>
          <w:rFonts w:ascii="Book Antiqua" w:eastAsia="Calibri" w:hAnsi="Book Antiqua"/>
          <w:b w:val="0"/>
          <w:sz w:val="16"/>
          <w:szCs w:val="16"/>
        </w:rPr>
        <w:t xml:space="preserve">Figure 15: Bottom right – Radio galaxy Centaurus A. </w:t>
      </w:r>
      <w:hyperlink r:id="rId379" w:history="1">
        <w:r w:rsidRPr="003B4CE2">
          <w:rPr>
            <w:rStyle w:val="Hyperlink"/>
            <w:rFonts w:ascii="Book Antiqua" w:hAnsi="Book Antiqua"/>
            <w:b/>
            <w:i/>
            <w:szCs w:val="16"/>
          </w:rPr>
          <w:t>http://apod.nasa.gov/apod/ap080110.html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16: (Top) Radio galaxy NGC 4261 and its core. </w:t>
      </w:r>
      <w:hyperlink r:id="rId380" w:history="1">
        <w:r w:rsidRPr="003B4CE2">
          <w:rPr>
            <w:rStyle w:val="Hyperlink"/>
            <w:rFonts w:ascii="Book Antiqua" w:hAnsi="Book Antiqua"/>
            <w:b/>
            <w:i/>
            <w:szCs w:val="16"/>
          </w:rPr>
          <w:t>http://csep10.phys.utk.edu/astr162/lect/active/ngc4261.html</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16: (Bottom) Quasars from various angles </w:t>
      </w:r>
      <w:r w:rsidRPr="003B4CE2">
        <w:rPr>
          <w:rStyle w:val="Strong"/>
          <w:rFonts w:ascii="Book Antiqua" w:eastAsia="Calibri" w:hAnsi="Book Antiqua"/>
          <w:b w:val="0"/>
          <w:i/>
          <w:sz w:val="16"/>
          <w:szCs w:val="16"/>
        </w:rPr>
        <w:t>http://scioly.org/wiki/index.php/Astronomy/Active_Galaxies</w:t>
      </w:r>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17: Left: Giant elliptical galaxy M87. </w:t>
      </w:r>
      <w:hyperlink r:id="rId381" w:history="1">
        <w:r w:rsidRPr="003B4CE2">
          <w:rPr>
            <w:rStyle w:val="Hyperlink"/>
            <w:rFonts w:ascii="Book Antiqua" w:hAnsi="Book Antiqua"/>
            <w:b/>
            <w:i/>
            <w:szCs w:val="16"/>
          </w:rPr>
          <w:t>http://csep10.phys.utk.edu/astr162/lect/galaxies/elliptical.html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17: Right: The huge plasma jet from the nucleus of M87. </w:t>
      </w:r>
      <w:hyperlink r:id="rId382" w:history="1">
        <w:r w:rsidRPr="003B4CE2">
          <w:rPr>
            <w:rStyle w:val="Hyperlink"/>
            <w:rFonts w:ascii="Book Antiqua" w:hAnsi="Book Antiqua"/>
            <w:b/>
            <w:i/>
            <w:szCs w:val="16"/>
          </w:rPr>
          <w:t>http://www.holoscience.com/wp/electric-galaxies/</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18: Left: Gamma ray lobes on our Galaxy </w:t>
      </w:r>
      <w:hyperlink r:id="rId383" w:history="1">
        <w:r w:rsidRPr="003B4CE2">
          <w:rPr>
            <w:rStyle w:val="Hyperlink"/>
            <w:rFonts w:ascii="Book Antiqua" w:hAnsi="Book Antiqua"/>
            <w:b/>
            <w:i/>
            <w:szCs w:val="16"/>
          </w:rPr>
          <w:t>http://theastronomist.fieldofscience.com/2010/11/milky-way-hides-gamma-ray-lobes.html</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18: Right: Jets from Milky Way core </w:t>
      </w:r>
      <w:r w:rsidRPr="003B4CE2">
        <w:rPr>
          <w:rStyle w:val="Strong"/>
          <w:rFonts w:ascii="Book Antiqua" w:eastAsia="Calibri" w:hAnsi="Book Antiqua"/>
          <w:b w:val="0"/>
          <w:i/>
          <w:sz w:val="16"/>
          <w:szCs w:val="16"/>
        </w:rPr>
        <w:t>http://orbiter-forum.com/showthread.php?t=19150</w:t>
      </w:r>
      <w:r w:rsidRPr="003B4CE2">
        <w:rPr>
          <w:rStyle w:val="Strong"/>
          <w:rFonts w:ascii="Book Antiqua" w:eastAsia="Calibri" w:hAnsi="Book Antiqua"/>
          <w:b w:val="0"/>
          <w:sz w:val="16"/>
          <w:szCs w:val="16"/>
        </w:rPr>
        <w:t xml:space="preserve"> </w:t>
      </w:r>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20 Left: Barred spiral galaxy NGC 1300. </w:t>
      </w:r>
      <w:hyperlink r:id="rId384" w:history="1">
        <w:r w:rsidRPr="003B4CE2">
          <w:rPr>
            <w:rStyle w:val="Hyperlink"/>
            <w:rFonts w:ascii="Book Antiqua" w:hAnsi="Book Antiqua"/>
            <w:b/>
            <w:i/>
            <w:szCs w:val="16"/>
          </w:rPr>
          <w:t>http://apod.nasa.gov/apod/ap050112.html</w:t>
        </w:r>
      </w:hyperlink>
    </w:p>
    <w:p w:rsidR="005359B2" w:rsidRPr="00AA273F" w:rsidRDefault="005359B2" w:rsidP="005359B2">
      <w:pPr>
        <w:pStyle w:val="NoSpacing"/>
        <w:jc w:val="both"/>
        <w:rPr>
          <w:rFonts w:ascii="Book Antiqua" w:hAnsi="Book Antiqua"/>
          <w:i/>
          <w:sz w:val="16"/>
          <w:szCs w:val="16"/>
        </w:rPr>
      </w:pPr>
      <w:r w:rsidRPr="003B4CE2">
        <w:rPr>
          <w:rStyle w:val="Strong"/>
          <w:rFonts w:ascii="Book Antiqua" w:eastAsia="Calibri" w:hAnsi="Book Antiqua"/>
          <w:b w:val="0"/>
          <w:sz w:val="16"/>
          <w:szCs w:val="16"/>
        </w:rPr>
        <w:t xml:space="preserve">Figure 20 Right: Spiral galaxy M81 (composite). </w:t>
      </w:r>
      <w:hyperlink r:id="rId385" w:history="1">
        <w:r w:rsidRPr="00AA273F">
          <w:rPr>
            <w:rStyle w:val="Hyperlink"/>
            <w:rFonts w:ascii="Book Antiqua" w:hAnsi="Book Antiqua"/>
            <w:i/>
            <w:szCs w:val="16"/>
          </w:rPr>
          <w:t>http://chandra.harvard.edu/photo/2008/m81/more.html</w:t>
        </w:r>
      </w:hyperlink>
    </w:p>
    <w:p w:rsidR="005359B2" w:rsidRPr="00AA273F" w:rsidRDefault="005359B2" w:rsidP="005359B2">
      <w:pPr>
        <w:pStyle w:val="NoSpacing"/>
        <w:jc w:val="both"/>
        <w:rPr>
          <w:rFonts w:ascii="Book Antiqua" w:hAnsi="Book Antiqua"/>
          <w:i/>
          <w:sz w:val="16"/>
          <w:szCs w:val="16"/>
        </w:rPr>
      </w:pPr>
      <w:r w:rsidRPr="00AA273F">
        <w:rPr>
          <w:rFonts w:ascii="Book Antiqua" w:hAnsi="Book Antiqua"/>
          <w:sz w:val="16"/>
          <w:szCs w:val="16"/>
        </w:rPr>
        <w:t xml:space="preserve">Figure </w:t>
      </w:r>
      <w:r>
        <w:rPr>
          <w:rFonts w:ascii="Book Antiqua" w:hAnsi="Book Antiqua"/>
          <w:sz w:val="16"/>
          <w:szCs w:val="16"/>
        </w:rPr>
        <w:t>2</w:t>
      </w:r>
      <w:r w:rsidRPr="00AA273F">
        <w:rPr>
          <w:rFonts w:ascii="Book Antiqua" w:hAnsi="Book Antiqua"/>
          <w:sz w:val="16"/>
          <w:szCs w:val="16"/>
        </w:rPr>
        <w:t xml:space="preserve">1: Rotation curves of a typical galaxy. </w:t>
      </w:r>
      <w:hyperlink r:id="rId386" w:history="1">
        <w:r w:rsidRPr="00AA273F">
          <w:rPr>
            <w:rStyle w:val="Hyperlink"/>
            <w:rFonts w:ascii="Book Antiqua" w:hAnsi="Book Antiqua"/>
            <w:i/>
            <w:szCs w:val="16"/>
          </w:rPr>
          <w:t>http://large.stanford.edu/courses/2007/ph210/sugarbaker2/</w:t>
        </w:r>
      </w:hyperlink>
    </w:p>
    <w:p w:rsidR="005359B2" w:rsidRPr="00323BEC" w:rsidRDefault="005359B2" w:rsidP="005359B2">
      <w:pPr>
        <w:pStyle w:val="NoSpacing"/>
        <w:rPr>
          <w:rFonts w:ascii="Book Antiqua" w:hAnsi="Book Antiqua"/>
          <w:i/>
          <w:sz w:val="16"/>
          <w:szCs w:val="16"/>
        </w:rPr>
      </w:pPr>
      <w:r w:rsidRPr="00323BEC">
        <w:rPr>
          <w:rFonts w:ascii="Book Antiqua" w:hAnsi="Book Antiqua"/>
          <w:sz w:val="16"/>
          <w:szCs w:val="16"/>
        </w:rPr>
        <w:t xml:space="preserve">Figure 22: Galaxy rotation curves compared with plasma experiments. </w:t>
      </w:r>
      <w:hyperlink r:id="rId387" w:history="1">
        <w:r w:rsidRPr="00323BEC">
          <w:rPr>
            <w:rStyle w:val="Hyperlink"/>
            <w:rFonts w:ascii="Book Antiqua" w:hAnsi="Book Antiqua"/>
            <w:i/>
            <w:szCs w:val="16"/>
          </w:rPr>
          <w:t>http://www.holoscience.com/wp/electric-galaxies/</w:t>
        </w:r>
      </w:hyperlink>
    </w:p>
    <w:p w:rsidR="005359B2" w:rsidRPr="00323BEC" w:rsidRDefault="005359B2" w:rsidP="005359B2">
      <w:pPr>
        <w:pStyle w:val="NoSpacing"/>
        <w:rPr>
          <w:rFonts w:ascii="Book Antiqua" w:hAnsi="Book Antiqua"/>
          <w:i/>
          <w:sz w:val="16"/>
          <w:szCs w:val="16"/>
        </w:rPr>
      </w:pPr>
      <w:r w:rsidRPr="00323BEC">
        <w:rPr>
          <w:rFonts w:ascii="Book Antiqua" w:hAnsi="Book Antiqua"/>
          <w:sz w:val="16"/>
          <w:szCs w:val="16"/>
        </w:rPr>
        <w:t xml:space="preserve">Figure 23: Top Left: Ant Nebula Mz3 in Norma. </w:t>
      </w:r>
      <w:hyperlink r:id="rId388" w:history="1">
        <w:r w:rsidRPr="00323BEC">
          <w:rPr>
            <w:rStyle w:val="Hyperlink"/>
            <w:rFonts w:ascii="Book Antiqua" w:hAnsi="Book Antiqua"/>
            <w:i/>
            <w:szCs w:val="16"/>
          </w:rPr>
          <w:t>http://hubblesite.org/gallery/album/pr2001005a/</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Top Right: Bug nebula NGC 6302 in Scorpius.</w:t>
      </w:r>
    </w:p>
    <w:p w:rsidR="005359B2" w:rsidRPr="009D21E5" w:rsidRDefault="00241D2F" w:rsidP="005359B2">
      <w:pPr>
        <w:pStyle w:val="NoSpacing"/>
        <w:rPr>
          <w:rFonts w:ascii="Book Antiqua" w:hAnsi="Book Antiqua"/>
          <w:i/>
          <w:sz w:val="16"/>
          <w:szCs w:val="16"/>
        </w:rPr>
      </w:pPr>
      <w:hyperlink r:id="rId389" w:history="1">
        <w:r w:rsidR="005359B2" w:rsidRPr="009D21E5">
          <w:rPr>
            <w:rStyle w:val="Hyperlink"/>
            <w:rFonts w:ascii="Book Antiqua" w:hAnsi="Book Antiqua"/>
            <w:i/>
            <w:szCs w:val="16"/>
          </w:rPr>
          <w:t>http://www.nasa.gov/mission_pages/hubble/multimedia/ero/ero_ngc6302.html</w:t>
        </w:r>
      </w:hyperlink>
    </w:p>
    <w:p w:rsidR="005359B2" w:rsidRPr="009D21E5" w:rsidRDefault="005359B2" w:rsidP="005359B2">
      <w:pPr>
        <w:pStyle w:val="NoSpacing"/>
        <w:rPr>
          <w:rStyle w:val="Hyperlink"/>
          <w:rFonts w:ascii="Book Antiqua" w:hAnsi="Book Antiqua"/>
          <w:bCs/>
          <w:i/>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Bottom Left: Double balloon nebula in Sagittarius. </w:t>
      </w:r>
      <w:hyperlink r:id="rId390" w:history="1">
        <w:r w:rsidRPr="009D21E5">
          <w:rPr>
            <w:rStyle w:val="Hyperlink"/>
            <w:rFonts w:ascii="Book Antiqua" w:hAnsi="Book Antiqua"/>
            <w:bCs/>
            <w:i/>
            <w:szCs w:val="16"/>
          </w:rPr>
          <w:t>http://hubblesite.org/newscenter/archive/releases/1997/38/image/f/</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Bottom Right: Butterfly wing nebula M2-9 in Ophiuchus.</w:t>
      </w:r>
    </w:p>
    <w:p w:rsidR="005359B2" w:rsidRPr="009D21E5" w:rsidRDefault="00241D2F" w:rsidP="005359B2">
      <w:pPr>
        <w:pStyle w:val="NoSpacing"/>
        <w:rPr>
          <w:rFonts w:ascii="Book Antiqua" w:hAnsi="Book Antiqua"/>
          <w:i/>
          <w:sz w:val="16"/>
          <w:szCs w:val="16"/>
        </w:rPr>
      </w:pPr>
      <w:hyperlink r:id="rId391" w:history="1">
        <w:r w:rsidR="005359B2" w:rsidRPr="009D21E5">
          <w:rPr>
            <w:rStyle w:val="Hyperlink"/>
            <w:rFonts w:ascii="Book Antiqua" w:hAnsi="Book Antiqua"/>
            <w:i/>
            <w:szCs w:val="16"/>
          </w:rPr>
          <w:t>http://www.spacetelescope.org/projects/fits_liberator/fitsimages/danny_lacrue_11/</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24</w:t>
      </w:r>
      <w:r w:rsidRPr="009D21E5">
        <w:rPr>
          <w:rFonts w:ascii="Book Antiqua" w:hAnsi="Book Antiqua"/>
          <w:sz w:val="16"/>
          <w:szCs w:val="16"/>
        </w:rPr>
        <w:t xml:space="preserve">: The spiral galaxy M31 in Andromeda. </w:t>
      </w:r>
    </w:p>
    <w:p w:rsidR="005359B2" w:rsidRPr="009D21E5" w:rsidRDefault="005359B2" w:rsidP="005359B2">
      <w:pPr>
        <w:pStyle w:val="NoSpacing"/>
        <w:rPr>
          <w:rFonts w:ascii="Book Antiqua" w:hAnsi="Book Antiqua"/>
          <w:i/>
          <w:sz w:val="16"/>
          <w:szCs w:val="16"/>
        </w:rPr>
      </w:pPr>
      <w:r w:rsidRPr="009D21E5">
        <w:rPr>
          <w:rFonts w:ascii="Book Antiqua" w:hAnsi="Book Antiqua"/>
          <w:i/>
          <w:sz w:val="16"/>
          <w:szCs w:val="16"/>
        </w:rPr>
        <w:t>http://www.dailymail.co.uk/sciencetech/article-1106383/Hold-tight-Milky-Way-poised-collide-nearest-galaxy-sooner-predicted.html</w:t>
      </w:r>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Figure 2</w:t>
      </w:r>
      <w:r>
        <w:rPr>
          <w:rFonts w:ascii="Book Antiqua" w:hAnsi="Book Antiqua"/>
          <w:sz w:val="16"/>
          <w:szCs w:val="16"/>
        </w:rPr>
        <w:t>6</w:t>
      </w:r>
      <w:r w:rsidRPr="009D21E5">
        <w:rPr>
          <w:rFonts w:ascii="Book Antiqua" w:hAnsi="Book Antiqua"/>
          <w:sz w:val="16"/>
          <w:szCs w:val="16"/>
        </w:rPr>
        <w:t>: The relative magnetic moment of the Earth’s magnetic field through geological time.</w:t>
      </w:r>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 </w:t>
      </w:r>
      <w:hyperlink r:id="rId392" w:history="1">
        <w:r w:rsidRPr="009D21E5">
          <w:rPr>
            <w:rStyle w:val="Hyperlink"/>
            <w:rFonts w:ascii="Book Antiqua" w:hAnsi="Book Antiqua"/>
            <w:i/>
            <w:szCs w:val="16"/>
          </w:rPr>
          <w:t>http://ars.els-cdn.com/content/image/1-s2.0-S0264370702000492-gr2.gif</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Figure 2</w:t>
      </w:r>
      <w:r>
        <w:rPr>
          <w:rFonts w:ascii="Book Antiqua" w:hAnsi="Book Antiqua"/>
          <w:sz w:val="16"/>
          <w:szCs w:val="16"/>
        </w:rPr>
        <w:t>7</w:t>
      </w:r>
      <w:r w:rsidRPr="009D21E5">
        <w:rPr>
          <w:rFonts w:ascii="Book Antiqua" w:hAnsi="Book Antiqua"/>
          <w:sz w:val="16"/>
          <w:szCs w:val="16"/>
        </w:rPr>
        <w:t xml:space="preserve">: Reversals of the Earth’s magnetic field through geologic time… </w:t>
      </w:r>
    </w:p>
    <w:p w:rsidR="005359B2" w:rsidRDefault="00241D2F" w:rsidP="005359B2">
      <w:pPr>
        <w:pStyle w:val="NoSpacing"/>
        <w:rPr>
          <w:rFonts w:ascii="Book Antiqua" w:hAnsi="Book Antiqua"/>
          <w:sz w:val="16"/>
          <w:szCs w:val="16"/>
        </w:rPr>
      </w:pPr>
      <w:hyperlink r:id="rId393" w:history="1">
        <w:r w:rsidR="005359B2" w:rsidRPr="009D21E5">
          <w:rPr>
            <w:rStyle w:val="Hyperlink"/>
            <w:rFonts w:ascii="Book Antiqua" w:hAnsi="Book Antiqua"/>
            <w:i/>
            <w:szCs w:val="16"/>
          </w:rPr>
          <w:t>http://ars.els-cdn.com/content/image/1-s2.0-S0031920112001720-gr8.jpg</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30</w:t>
      </w:r>
      <w:r w:rsidRPr="009D21E5">
        <w:rPr>
          <w:rFonts w:ascii="Book Antiqua" w:hAnsi="Book Antiqua"/>
          <w:sz w:val="16"/>
          <w:szCs w:val="16"/>
        </w:rPr>
        <w:t xml:space="preserve">: Tharsis outflow channels, Mars. </w:t>
      </w:r>
      <w:hyperlink r:id="rId394" w:history="1">
        <w:r w:rsidRPr="009D21E5">
          <w:rPr>
            <w:rStyle w:val="Hyperlink"/>
            <w:rFonts w:ascii="Book Antiqua" w:hAnsi="Book Antiqua"/>
            <w:i/>
            <w:szCs w:val="16"/>
          </w:rPr>
          <w:t>http://abyss.uoregon.edu/~js/ast121/lectures/tharsis.html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31</w:t>
      </w:r>
      <w:r w:rsidRPr="009D21E5">
        <w:rPr>
          <w:rFonts w:ascii="Book Antiqua" w:hAnsi="Book Antiqua"/>
          <w:sz w:val="16"/>
          <w:szCs w:val="16"/>
        </w:rPr>
        <w:t xml:space="preserve">: Radar topographic map of Venus. </w:t>
      </w:r>
      <w:hyperlink r:id="rId395" w:history="1">
        <w:r w:rsidRPr="009D21E5">
          <w:rPr>
            <w:rStyle w:val="Hyperlink"/>
            <w:rFonts w:ascii="Book Antiqua" w:hAnsi="Book Antiqua"/>
            <w:i/>
            <w:szCs w:val="16"/>
          </w:rPr>
          <w:t>http://nssdc.gsfc.nasa.gov/photo_gallery/photogallery-venus.html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w:t>
      </w:r>
      <w:r w:rsidRPr="009D21E5">
        <w:rPr>
          <w:rFonts w:ascii="Book Antiqua" w:hAnsi="Book Antiqua"/>
          <w:sz w:val="16"/>
          <w:szCs w:val="16"/>
        </w:rPr>
        <w:t xml:space="preserve">2: Major impact basins on Mars. </w:t>
      </w:r>
      <w:hyperlink r:id="rId396" w:history="1">
        <w:r w:rsidRPr="009D21E5">
          <w:rPr>
            <w:rStyle w:val="Hyperlink"/>
            <w:rFonts w:ascii="Book Antiqua" w:hAnsi="Book Antiqua"/>
            <w:i/>
            <w:szCs w:val="16"/>
          </w:rPr>
          <w:t>http://www.psrd.hawaii.edu/May10/YoungerALH84001.html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33</w:t>
      </w:r>
      <w:r w:rsidRPr="009D21E5">
        <w:rPr>
          <w:rFonts w:ascii="Book Antiqua" w:hAnsi="Book Antiqua"/>
          <w:sz w:val="16"/>
          <w:szCs w:val="16"/>
        </w:rPr>
        <w:t xml:space="preserve">: Inter-crater plains, Mercury. </w:t>
      </w:r>
      <w:hyperlink r:id="rId397" w:history="1">
        <w:r w:rsidRPr="009D21E5">
          <w:rPr>
            <w:rStyle w:val="Hyperlink"/>
            <w:rFonts w:ascii="Book Antiqua" w:hAnsi="Book Antiqua"/>
            <w:i/>
            <w:szCs w:val="16"/>
          </w:rPr>
          <w:t>http://www.setterfield.org/Astronomy_Lesson_3.html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34</w:t>
      </w:r>
      <w:r w:rsidRPr="009D21E5">
        <w:rPr>
          <w:rFonts w:ascii="Book Antiqua" w:hAnsi="Book Antiqua"/>
          <w:sz w:val="16"/>
          <w:szCs w:val="16"/>
        </w:rPr>
        <w:t xml:space="preserve">: The giant Caloris Basin and associated magma outpouring. </w:t>
      </w:r>
      <w:hyperlink r:id="rId398" w:history="1">
        <w:r w:rsidRPr="009D21E5">
          <w:rPr>
            <w:rStyle w:val="Hyperlink"/>
            <w:rFonts w:ascii="Book Antiqua" w:hAnsi="Book Antiqua"/>
            <w:i/>
            <w:szCs w:val="16"/>
          </w:rPr>
          <w:t>http://www.setterfield.org/Astronomy_Lesson_3.html</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35</w:t>
      </w:r>
      <w:r w:rsidRPr="009D21E5">
        <w:rPr>
          <w:rFonts w:ascii="Book Antiqua" w:hAnsi="Book Antiqua"/>
          <w:sz w:val="16"/>
          <w:szCs w:val="16"/>
        </w:rPr>
        <w:t>: The Moon with the solidified magma plains labeled.</w:t>
      </w:r>
    </w:p>
    <w:p w:rsidR="005359B2" w:rsidRPr="009D21E5" w:rsidRDefault="00241D2F" w:rsidP="005359B2">
      <w:pPr>
        <w:pStyle w:val="NoSpacing"/>
        <w:rPr>
          <w:rFonts w:ascii="Book Antiqua" w:hAnsi="Book Antiqua"/>
          <w:i/>
          <w:sz w:val="16"/>
          <w:szCs w:val="16"/>
        </w:rPr>
      </w:pPr>
      <w:hyperlink r:id="rId399" w:history="1">
        <w:r w:rsidR="005359B2" w:rsidRPr="009D21E5">
          <w:rPr>
            <w:rStyle w:val="Hyperlink"/>
            <w:rFonts w:ascii="Book Antiqua" w:hAnsi="Book Antiqua"/>
            <w:i/>
            <w:szCs w:val="16"/>
          </w:rPr>
          <w:t>http://greensleeves-hubs.hubpages.com/hub/AstronomyBeginnersGuideMoon-Greensleeves</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6</w:t>
      </w:r>
      <w:r w:rsidRPr="009D21E5">
        <w:rPr>
          <w:rFonts w:ascii="Book Antiqua" w:hAnsi="Book Antiqua"/>
          <w:sz w:val="16"/>
          <w:szCs w:val="16"/>
        </w:rPr>
        <w:t xml:space="preserve">: The Moon showing locations of Apollo landings. </w:t>
      </w:r>
      <w:hyperlink r:id="rId400" w:history="1">
        <w:r w:rsidRPr="009D21E5">
          <w:rPr>
            <w:rStyle w:val="Hyperlink"/>
            <w:rFonts w:ascii="Book Antiqua" w:hAnsi="Book Antiqua"/>
            <w:i/>
            <w:szCs w:val="16"/>
          </w:rPr>
          <w:t>http://uanews.org/node/17385</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7</w:t>
      </w:r>
      <w:r w:rsidRPr="009D21E5">
        <w:rPr>
          <w:rFonts w:ascii="Book Antiqua" w:hAnsi="Book Antiqua"/>
          <w:sz w:val="16"/>
          <w:szCs w:val="16"/>
        </w:rPr>
        <w:t xml:space="preserve">: Internal structure of the earth showing asthenosphere. </w:t>
      </w:r>
      <w:hyperlink r:id="rId401" w:history="1">
        <w:r w:rsidRPr="009D21E5">
          <w:rPr>
            <w:rStyle w:val="Hyperlink"/>
            <w:rFonts w:ascii="Book Antiqua" w:hAnsi="Book Antiqua"/>
            <w:i/>
            <w:szCs w:val="16"/>
          </w:rPr>
          <w:t>http://yoelnatanbooks.blogspot.com/</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8</w:t>
      </w:r>
      <w:r w:rsidRPr="009D21E5">
        <w:rPr>
          <w:rFonts w:ascii="Book Antiqua" w:hAnsi="Book Antiqua"/>
          <w:sz w:val="16"/>
          <w:szCs w:val="16"/>
        </w:rPr>
        <w:t xml:space="preserve">: A kimberlite pipe which brought diamonds to the surface. </w:t>
      </w:r>
      <w:hyperlink r:id="rId402" w:history="1">
        <w:r w:rsidRPr="009D21E5">
          <w:rPr>
            <w:rStyle w:val="Hyperlink"/>
            <w:rFonts w:ascii="Book Antiqua" w:hAnsi="Book Antiqua"/>
            <w:i/>
            <w:szCs w:val="16"/>
          </w:rPr>
          <w:t>http://www.kgs.ku.edu/Publications/GeoRecord/2000/vol6.1/Page1.html</w:t>
        </w:r>
      </w:hyperlink>
    </w:p>
    <w:p w:rsidR="005359B2" w:rsidRDefault="005359B2" w:rsidP="005359B2">
      <w:pPr>
        <w:pStyle w:val="NoSpacing"/>
        <w:rPr>
          <w:rFonts w:ascii="Book Antiqua" w:hAnsi="Book Antiqua"/>
          <w:sz w:val="16"/>
          <w:szCs w:val="16"/>
        </w:rPr>
      </w:pPr>
      <w:r>
        <w:rPr>
          <w:rFonts w:ascii="Book Antiqua" w:hAnsi="Book Antiqua"/>
          <w:sz w:val="16"/>
          <w:szCs w:val="16"/>
        </w:rPr>
        <w:t>Figure 39: Galaxies spin axes line up on filament</w:t>
      </w:r>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40</w:t>
      </w:r>
      <w:r w:rsidRPr="009D21E5">
        <w:rPr>
          <w:rFonts w:ascii="Book Antiqua" w:hAnsi="Book Antiqua"/>
          <w:sz w:val="16"/>
          <w:szCs w:val="16"/>
        </w:rPr>
        <w:t>: Galaxy M82 with electric and magnetic data and stylized galaxy electric and magnetic circuit.</w:t>
      </w:r>
    </w:p>
    <w:p w:rsidR="005359B2" w:rsidRPr="009D21E5" w:rsidRDefault="00241D2F" w:rsidP="005359B2">
      <w:pPr>
        <w:pStyle w:val="NoSpacing"/>
        <w:rPr>
          <w:rFonts w:ascii="Book Antiqua" w:hAnsi="Book Antiqua"/>
          <w:sz w:val="16"/>
          <w:szCs w:val="16"/>
        </w:rPr>
      </w:pPr>
      <w:hyperlink r:id="rId403" w:history="1">
        <w:r w:rsidR="005359B2" w:rsidRPr="009D21E5">
          <w:rPr>
            <w:rStyle w:val="Hyperlink"/>
            <w:rFonts w:ascii="Book Antiqua" w:hAnsi="Book Antiqua"/>
            <w:szCs w:val="16"/>
          </w:rPr>
          <w:t>http://www.holoscience.com/wp/synopsis/synopsis-5-electric-galaxies/</w:t>
        </w:r>
      </w:hyperlink>
    </w:p>
    <w:p w:rsidR="005359B2" w:rsidRPr="00370948" w:rsidRDefault="005359B2" w:rsidP="005359B2">
      <w:pPr>
        <w:rPr>
          <w:rFonts w:ascii="Book Antiqua" w:hAnsi="Book Antiqua"/>
          <w:sz w:val="16"/>
          <w:szCs w:val="16"/>
        </w:rPr>
      </w:pPr>
    </w:p>
    <w:p w:rsidR="005359B2" w:rsidRDefault="005359B2" w:rsidP="005359B2">
      <w:pPr>
        <w:pStyle w:val="Els-body-text"/>
        <w:ind w:firstLine="0"/>
        <w:jc w:val="center"/>
        <w:rPr>
          <w:rFonts w:ascii="Book Antiqua" w:hAnsi="Book Antiqua"/>
          <w:b/>
          <w:sz w:val="28"/>
          <w:szCs w:val="28"/>
        </w:rPr>
      </w:pPr>
      <w:r w:rsidRPr="00AD2E51">
        <w:rPr>
          <w:rFonts w:ascii="Book Antiqua" w:hAnsi="Book Antiqua"/>
          <w:b/>
          <w:sz w:val="28"/>
          <w:szCs w:val="28"/>
        </w:rPr>
        <w:t>*  *  *  *  *  *  *</w:t>
      </w:r>
    </w:p>
    <w:p w:rsidR="005359B2" w:rsidRDefault="005359B2" w:rsidP="005359B2">
      <w:pPr>
        <w:pStyle w:val="NoSpacing"/>
        <w:jc w:val="center"/>
      </w:pPr>
    </w:p>
    <w:p w:rsidR="00F17B23" w:rsidRDefault="00F17B23">
      <w:pPr>
        <w:widowControl/>
        <w:spacing w:after="200" w:line="276" w:lineRule="auto"/>
        <w:rPr>
          <w:rFonts w:ascii="Book Antiqua" w:hAnsi="Book Antiqua"/>
          <w:b/>
          <w:sz w:val="28"/>
          <w:szCs w:val="28"/>
          <w:lang w:val="en-US"/>
        </w:rPr>
      </w:pPr>
      <w:r>
        <w:rPr>
          <w:rFonts w:ascii="Book Antiqua" w:hAnsi="Book Antiqua"/>
          <w:b/>
          <w:sz w:val="28"/>
          <w:szCs w:val="28"/>
        </w:rPr>
        <w:br w:type="page"/>
      </w:r>
    </w:p>
    <w:p w:rsidR="006D41BD" w:rsidRPr="00F87319" w:rsidRDefault="006D41BD" w:rsidP="006D41BD">
      <w:pPr>
        <w:pStyle w:val="NoSpacing"/>
        <w:jc w:val="center"/>
        <w:rPr>
          <w:rFonts w:ascii="Book Antiqua" w:hAnsi="Book Antiqua"/>
          <w:b/>
          <w:bCs/>
          <w:iCs/>
          <w:color w:val="000000"/>
          <w:szCs w:val="24"/>
        </w:rPr>
      </w:pPr>
      <w:r w:rsidRPr="00F87319">
        <w:rPr>
          <w:rFonts w:ascii="Book Antiqua" w:hAnsi="Book Antiqua"/>
          <w:b/>
          <w:bCs/>
          <w:iCs/>
          <w:color w:val="000000"/>
          <w:szCs w:val="24"/>
        </w:rPr>
        <w:lastRenderedPageBreak/>
        <w:t xml:space="preserve">Chapter 7: </w:t>
      </w:r>
      <w:r w:rsidRPr="00912D2D">
        <w:rPr>
          <w:rFonts w:ascii="Book Antiqua" w:hAnsi="Book Antiqua"/>
          <w:b/>
          <w:bCs/>
          <w:i/>
          <w:iCs/>
          <w:color w:val="000000"/>
          <w:szCs w:val="24"/>
        </w:rPr>
        <w:t>The ZPE and Relativity.</w:t>
      </w:r>
    </w:p>
    <w:p w:rsidR="006D41BD" w:rsidRPr="00F87319" w:rsidRDefault="006D41BD" w:rsidP="006D41BD">
      <w:pPr>
        <w:pStyle w:val="NormalWeb"/>
        <w:spacing w:before="0" w:beforeAutospacing="0" w:after="240" w:afterAutospacing="0" w:line="210" w:lineRule="atLeast"/>
        <w:jc w:val="both"/>
        <w:rPr>
          <w:rFonts w:ascii="Book Antiqua" w:hAnsi="Book Antiqua"/>
          <w:b/>
          <w:sz w:val="20"/>
          <w:szCs w:val="20"/>
        </w:rPr>
      </w:pPr>
      <w:r w:rsidRPr="00F87319">
        <w:rPr>
          <w:rFonts w:ascii="Book Antiqua" w:hAnsi="Book Antiqua"/>
          <w:b/>
          <w:sz w:val="20"/>
          <w:szCs w:val="20"/>
        </w:rPr>
        <w:t>1.  Overview of the topic</w:t>
      </w:r>
    </w:p>
    <w:p w:rsidR="006D41BD" w:rsidRPr="00F87319" w:rsidRDefault="006D41BD" w:rsidP="006D41BD">
      <w:pPr>
        <w:pStyle w:val="NormalWeb"/>
        <w:spacing w:before="0" w:beforeAutospacing="0" w:after="240" w:afterAutospacing="0" w:line="210" w:lineRule="atLeast"/>
        <w:jc w:val="both"/>
        <w:rPr>
          <w:rFonts w:ascii="Book Antiqua" w:hAnsi="Book Antiqua"/>
          <w:i/>
          <w:sz w:val="20"/>
          <w:szCs w:val="20"/>
        </w:rPr>
      </w:pPr>
      <w:r w:rsidRPr="00F87319">
        <w:rPr>
          <w:rFonts w:ascii="Book Antiqua" w:hAnsi="Book Antiqua"/>
          <w:i/>
          <w:sz w:val="20"/>
          <w:szCs w:val="20"/>
        </w:rPr>
        <w:t>1. 1. Introduction</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Mathematics is an interesting field.  It allows one to construct a completely imaginary model, totally divorced from reality, yet internally consistent within itself.  It is the current mood in science to accept mathematical models as if they were a description of reality, provided that they demonstrate this internal consistency. In some cases is it true that mathematical modeling has produced some predictions that have later been verified. This tends to give credibility to the model.  However, some have correctly cautioned that mathematical modeling is only legitimate if it is firmly anchored in physical reality and data. This is because mathematical models, divorced from physical reality, are nothing more than elegant mathematics.  There are also instances where, despite an apparent initial verification of the mathematical approach, it was subsequently demonstrated that the model itself was incorrect and out of touch with reality. </w:t>
      </w:r>
    </w:p>
    <w:p w:rsidR="006D41BD" w:rsidRPr="00F87319" w:rsidRDefault="006D41BD" w:rsidP="006D41BD">
      <w:pPr>
        <w:pStyle w:val="NoSpacing"/>
        <w:jc w:val="both"/>
        <w:rPr>
          <w:rStyle w:val="Strong"/>
          <w:rFonts w:ascii="Book Antiqua" w:hAnsi="Book Antiqua"/>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1.2. Two Illustrations</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One example of this is Dirac's mathematical model in which the quantum vacuum was composed of a "sea" of electrons. From this model, presented in 1929-1930, Dirac predicted the existence of the positron. The existence of the positron was then experimentally verified in 1932, and Dirac received a Nobel Prize as a result. However, his mathematical model of the vacuum was later abandoned because other physical evidence – reality – proved it to be incorrect, despite its correct prediction of positrons and the resulting Nobel Prize.</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Today, the Big Bang is in an even worse situation. The mathematical model contains over a dozen free parameters each of which have to be adjusted to obtain the correct results. Under other circumstances, this procedure would result in the rejection of the model. In an open letter to the scientific community, published in </w:t>
      </w:r>
      <w:r w:rsidRPr="00F87319">
        <w:rPr>
          <w:rStyle w:val="Emphasis"/>
          <w:rFonts w:ascii="Book Antiqua" w:hAnsi="Book Antiqua"/>
          <w:sz w:val="20"/>
        </w:rPr>
        <w:t>New Scientist</w:t>
      </w:r>
      <w:r w:rsidRPr="00F87319">
        <w:rPr>
          <w:rFonts w:ascii="Book Antiqua" w:hAnsi="Book Antiqua"/>
          <w:sz w:val="20"/>
        </w:rPr>
        <w:t xml:space="preserve">, May 22, 2004, over 400 scientists have pointed out some of the numerous failings of Big Bang cosmology. They stated, along with cosmologist Eric Lerner, that: </w:t>
      </w:r>
      <w:r w:rsidRPr="00F87319">
        <w:rPr>
          <w:rStyle w:val="Emphasis"/>
          <w:rFonts w:ascii="Book Antiqua" w:hAnsi="Book Antiqua"/>
          <w:sz w:val="20"/>
        </w:rPr>
        <w:t>"Contradictions between observations and Big Bang predictions are 'resolved' by the introduction of such entities [as dark matter and dark energy], entities that we cannot or do not observe."</w:t>
      </w:r>
      <w:r w:rsidRPr="00F87319">
        <w:rPr>
          <w:rFonts w:ascii="Book Antiqua" w:hAnsi="Book Antiqua"/>
          <w:sz w:val="20"/>
        </w:rPr>
        <w:t xml:space="preserve"> </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On the other hand Big Bang cosmologists persistently fail to acknowledge the data that are contrary to their position. These data include quantized redshifts, quasar distribution, and the failure of the gravitational model to account for the filamentary structure of the universe except under extremely special conditions.  Astronomer Halton Arp has pointed out a long list of data that has been ignored in order to maintain the popular theory. In frustration, Arp has stated: </w:t>
      </w:r>
    </w:p>
    <w:p w:rsidR="006D41BD" w:rsidRPr="00F87319" w:rsidRDefault="006D41BD" w:rsidP="006D41BD">
      <w:pPr>
        <w:pStyle w:val="NoSpacing"/>
        <w:jc w:val="both"/>
        <w:rPr>
          <w:rStyle w:val="Emphasis"/>
          <w:rFonts w:ascii="Book Antiqua" w:hAnsi="Book Antiqua"/>
          <w:color w:val="000000"/>
          <w:sz w:val="20"/>
        </w:rPr>
      </w:pPr>
    </w:p>
    <w:p w:rsidR="006D41BD" w:rsidRPr="00F87319" w:rsidRDefault="006D41BD" w:rsidP="000C2FA1">
      <w:pPr>
        <w:pStyle w:val="NoSpacing"/>
        <w:jc w:val="both"/>
        <w:rPr>
          <w:rFonts w:ascii="Book Antiqua" w:hAnsi="Book Antiqua"/>
          <w:sz w:val="20"/>
        </w:rPr>
      </w:pPr>
      <w:r w:rsidRPr="00F87319">
        <w:rPr>
          <w:rStyle w:val="Emphasis"/>
          <w:rFonts w:ascii="Book Antiqua" w:hAnsi="Book Antiqua"/>
          <w:color w:val="000000"/>
          <w:sz w:val="20"/>
        </w:rPr>
        <w:t xml:space="preserve">"It seems the toughest thing for scientists to grasp—that a cherished paradigm like the big bang can be wrong. ... I gloomily came to the ironic conclusion that </w:t>
      </w:r>
      <w:r w:rsidRPr="00F87319">
        <w:rPr>
          <w:rStyle w:val="Strong"/>
          <w:rFonts w:ascii="Book Antiqua" w:hAnsi="Book Antiqua"/>
          <w:i/>
          <w:iCs/>
          <w:color w:val="000000"/>
          <w:sz w:val="20"/>
        </w:rPr>
        <w:t>if you take a highly intelligent person and give them the best possible, elite education, then you will most likely wind up with an academic who is completely impervious to reality.</w:t>
      </w:r>
      <w:r w:rsidRPr="00F87319">
        <w:rPr>
          <w:rStyle w:val="style11"/>
          <w:rFonts w:ascii="Book Antiqua" w:hAnsi="Book Antiqua"/>
          <w:sz w:val="20"/>
        </w:rPr>
        <w:t xml:space="preserve"> " [Emphasis in the original available at:</w:t>
      </w:r>
      <w:r w:rsidR="000C2FA1">
        <w:rPr>
          <w:rStyle w:val="style11"/>
          <w:rFonts w:ascii="Book Antiqua" w:hAnsi="Book Antiqua"/>
          <w:sz w:val="20"/>
        </w:rPr>
        <w:t xml:space="preserve"> </w:t>
      </w:r>
      <w:hyperlink r:id="rId404" w:history="1">
        <w:r w:rsidRPr="00F87319">
          <w:rPr>
            <w:rStyle w:val="Hyperlink"/>
            <w:rFonts w:ascii="Book Antiqua" w:hAnsi="Book Antiqua"/>
            <w:i/>
            <w:sz w:val="20"/>
          </w:rPr>
          <w:t>http://www.thunderbolts.info/tpod/2009/arch09/091229seeing.htm</w:t>
        </w:r>
      </w:hyperlink>
      <w:r w:rsidRPr="00F87319">
        <w:rPr>
          <w:rFonts w:ascii="Book Antiqua" w:hAnsi="Book Antiqua"/>
          <w:sz w:val="20"/>
        </w:rPr>
        <w:t>]</w:t>
      </w:r>
    </w:p>
    <w:p w:rsidR="00253084" w:rsidRPr="00F87319" w:rsidRDefault="00253084" w:rsidP="006D41BD">
      <w:pPr>
        <w:pStyle w:val="NoSpacing"/>
        <w:rPr>
          <w:rFonts w:ascii="Book Antiqua" w:hAnsi="Book Antiqua"/>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1.3. Why Relativity was Introduced</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At the beginning of the twentieth century, it was assumed that there had to be a medium filling the entire vacuum of space so that light waves could be transmitted.  This “light-carrying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Morley (M-M) performed this experiment in 1887, and the maximum drift recorded, about 8 km/s, was considered by </w:t>
      </w:r>
      <w:r w:rsidRPr="00F87319">
        <w:rPr>
          <w:sz w:val="20"/>
        </w:rPr>
        <w:lastRenderedPageBreak/>
        <w:t>most to be near the error limits of the equipment.  The results of the experiment as plotted by Michelson are shown in Fig. 1 [1].</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4017688" cy="2066925"/>
            <wp:effectExtent l="19050" t="0" r="1862" b="0"/>
            <wp:docPr id="1513" name="Picture 284" descr="http://upload.wikimedia.org/wikipedia/en/d/d1/Michelson_Morley_1887_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upload.wikimedia.org/wikipedia/en/d/d1/Michelson_Morley_1887_Figure_6.png"/>
                    <pic:cNvPicPr>
                      <a:picLocks noChangeAspect="1" noChangeArrowheads="1"/>
                    </pic:cNvPicPr>
                  </pic:nvPicPr>
                  <pic:blipFill>
                    <a:blip r:embed="rId405" cstate="print"/>
                    <a:srcRect/>
                    <a:stretch>
                      <a:fillRect/>
                    </a:stretch>
                  </pic:blipFill>
                  <pic:spPr bwMode="auto">
                    <a:xfrm>
                      <a:off x="0" y="0"/>
                      <a:ext cx="4017688" cy="2066925"/>
                    </a:xfrm>
                    <a:prstGeom prst="rect">
                      <a:avLst/>
                    </a:prstGeom>
                    <a:noFill/>
                    <a:ln w="9525">
                      <a:noFill/>
                      <a:miter lim="800000"/>
                      <a:headEnd/>
                      <a:tailEnd/>
                    </a:ln>
                  </pic:spPr>
                </pic:pic>
              </a:graphicData>
            </a:graphic>
          </wp:inline>
        </w:drawing>
      </w:r>
    </w:p>
    <w:p w:rsidR="006D41BD" w:rsidRPr="000C2FA1" w:rsidRDefault="006D41BD" w:rsidP="000C2FA1">
      <w:pPr>
        <w:pStyle w:val="NormPara"/>
        <w:spacing w:before="80" w:after="80"/>
        <w:ind w:right="274" w:firstLine="0"/>
        <w:jc w:val="left"/>
        <w:rPr>
          <w:i/>
          <w:szCs w:val="18"/>
        </w:rPr>
      </w:pPr>
      <w:r w:rsidRPr="000C2FA1">
        <w:rPr>
          <w:b/>
          <w:i/>
          <w:szCs w:val="18"/>
        </w:rPr>
        <w:t>Fig</w:t>
      </w:r>
      <w:r w:rsidR="000C2FA1" w:rsidRPr="000C2FA1">
        <w:rPr>
          <w:b/>
          <w:i/>
          <w:szCs w:val="18"/>
        </w:rPr>
        <w:t>ure</w:t>
      </w:r>
      <w:r w:rsidRPr="000C2FA1">
        <w:rPr>
          <w:b/>
          <w:i/>
          <w:szCs w:val="18"/>
        </w:rPr>
        <w:t xml:space="preserve"> 1.</w:t>
      </w:r>
      <w:r w:rsidRPr="000C2FA1">
        <w:rPr>
          <w:i/>
          <w:szCs w:val="18"/>
        </w:rPr>
        <w:t xml:space="preserve">  The official results of the Michelson-Morley experiment to detect the presence of an ether (Fig. 6 in their report). Top figure is for the noon observations; the bottom for the evening experiments. The Earth’s orbit speed is about 30 km/s.  The dashed curve represents one-eighth of this. The experiment itself gave the solid line of small amplitude about the x-axis [1].</w:t>
      </w:r>
    </w:p>
    <w:p w:rsidR="00253084" w:rsidRPr="00F87319" w:rsidRDefault="00253084"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Michelson concluded from his experiment in 1887 that [2]: </w:t>
      </w:r>
      <w:r w:rsidRPr="00F87319">
        <w:rPr>
          <w:i/>
          <w:sz w:val="20"/>
        </w:rPr>
        <w:t xml:space="preserve">The interpretation of these results is that there is no displacement of the interference bands.  The result of the hypothesis of a stationary ether is thus shown to be incorrect, and the necessary conclusion follows that the hypothesis is erroneous. </w:t>
      </w:r>
      <w:r w:rsidRPr="00F87319">
        <w:rPr>
          <w:sz w:val="20"/>
        </w:rPr>
        <w:t>In order to account for this lack of motion through the stationary ether, a number of proposals were made by a variety of physicists.  These included Lorentz [3] in 1904 and Einstein in 1905, who published their respective theories of relativity in those years.</w:t>
      </w:r>
    </w:p>
    <w:p w:rsidR="006D41BD" w:rsidRPr="00F87319" w:rsidRDefault="006D41BD" w:rsidP="006D41BD">
      <w:pPr>
        <w:pStyle w:val="NormPara"/>
        <w:ind w:firstLine="270"/>
        <w:rPr>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1.4. Lorentz’s &amp; Einstein’s Relativity Compared</w:t>
      </w:r>
    </w:p>
    <w:p w:rsidR="00253084" w:rsidRPr="00F87319" w:rsidRDefault="006D41BD" w:rsidP="006D41BD">
      <w:pPr>
        <w:pStyle w:val="NormPara"/>
        <w:ind w:firstLine="720"/>
        <w:rPr>
          <w:sz w:val="20"/>
        </w:rPr>
      </w:pPr>
      <w:r w:rsidRPr="00F87319">
        <w:rPr>
          <w:sz w:val="20"/>
        </w:rPr>
        <w:t xml:space="preserve">Einstein explained the M-M results in Special Relativity (SR) by proposing (1) that there was no absolute frame of reference anywhere in the universe; (2) that the speed of light was an absolute constant; and (3) that mathematical transformations had to be applied to time, space, and mass and had to be applied both ways when comparing two objects in motion.  By contrast, Lorentz (1) did not have the restriction regarding an absolute frame of reference; (2) did not require a constant speed of light; and (3) proposed that mathematical transformations only apply one way and that only clocks, meter sticks, and momentum are affected, not time, space, and matter. </w:t>
      </w:r>
    </w:p>
    <w:p w:rsidR="00253084" w:rsidRPr="00F87319" w:rsidRDefault="00253084"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 There is an important distinction in this latter point.  For example, SR requires time itself to be affected by velocity or gravitational potential.  By contrast, in Lorentz Relativity (LR) nothing ever happens to time itself, just to certain types of clock attempting to keep time.  In a somewhat similar way, an increase in temperature may lengthen the pendulum of some clocks and affect their time-keeping, but not the actual time itself. LR thus accepts that other types of clock exist for measuring time that may be unaffected by speed or potential.  In contrast, SR requires not only time itself to be affected by velocity or potential, but mass and length as well.  Just recently, an entirely new approach to the problem was attempted and the early results suggest that Lorentz was basically correct </w:t>
      </w:r>
      <w:hyperlink r:id="rId406" w:anchor="7a219" w:history="1">
        <w:r w:rsidRPr="00F87319">
          <w:rPr>
            <w:rStyle w:val="Hyperlink"/>
            <w:sz w:val="20"/>
          </w:rPr>
          <w:t>[4]</w:t>
        </w:r>
      </w:hyperlink>
      <w:r w:rsidRPr="00F87319">
        <w:rPr>
          <w:sz w:val="20"/>
        </w:rPr>
        <w: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Einstein made use of his required length transformation of space to overcome the problem of the lack of fringe shifts.  He claimed that the contraction of the arms of the interferometer in the direction of travel made the interferometer arms shorter by just the amount needed to compensate for what was expected to be a longer travel time for light through the moving ether.  Even as late as 1929 and 1931 in the Rhodes Lectures, Einstein claimed that the aether existed, but that his SR overcame the problems with the observations in an aether-filled universe.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However, there is another logical explanation for the lack of fringe shifts in the Michelson-Morley experiment.  The absence of the fringes may mean that the Earth apparently has no motion relative to the ether or light-carrying </w:t>
      </w:r>
      <w:r w:rsidRPr="00F87319">
        <w:rPr>
          <w:sz w:val="20"/>
        </w:rPr>
        <w:lastRenderedPageBreak/>
        <w:t>medium.  This was a problem in 1905.  But if we now exchange the old ether concept for the actual Zero Point Energy (ZPE) which is known to fill the cosmos, and through which light propagates, we can obtain a satisfactory answer to the fringe shift problem.  This option first became available through Planck’s work, in 1911, but did not really emerge until 1962.</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jc w:val="both"/>
        <w:rPr>
          <w:rFonts w:ascii="Book Antiqua" w:hAnsi="Book Antiqua" w:cs="Times New Roman"/>
          <w:b w:val="0"/>
          <w:sz w:val="20"/>
          <w:szCs w:val="20"/>
        </w:rPr>
      </w:pPr>
      <w:r w:rsidRPr="00F87319">
        <w:rPr>
          <w:rFonts w:ascii="Book Antiqua" w:hAnsi="Book Antiqua" w:cs="Times New Roman"/>
          <w:b w:val="0"/>
          <w:sz w:val="20"/>
          <w:szCs w:val="20"/>
        </w:rPr>
        <w:t>1.5. Developments in Physics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1911, Planck published his 'second paper' in which the existence of an all-pervasive vacuum Zero Point Energy (ZPE) was shown to be the reason why quantum uncertainty exists [5].  Investigations by Einstein and Stern in 1913 and Nernst in 1916 gave further insights to this proposition, which was appearing very attractive [6,7].  The presence of the ZPE was verified experimentally by Mulliken in 1925.  However, these concepts were ignored for a number of years as papers were being written and published using Planck’s first paper of 1901, which presented a purely theoretical concept (which Planck himself was unhappy about from the beginning [8]).  Planck’s first theory, and those resulting papers, led to the birth of Quantum Electro-Dynamics (QED), or Quantum Physics as we know it today, which only envisages a virtual, not a real, ZPE.</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Then, in 1962, de Broglie, who had written one of those early papers which gave rise to quantum physics, suggested that, after all, perhaps physics had missed something important.  He suggested re-examining the material in Planck’s second paper which stated that the Zero Point Energy was a real physical entity which caused the observed quantum effects [9].  In this second paper, the constant</w:t>
      </w:r>
      <w:proofErr w:type="gramStart"/>
      <w:r w:rsidRPr="00F87319">
        <w:rPr>
          <w:sz w:val="20"/>
        </w:rPr>
        <w:t>,</w:t>
      </w:r>
      <w:proofErr w:type="gramEnd"/>
      <w:r w:rsidRPr="00F87319">
        <w:rPr>
          <w:position w:val="-6"/>
          <w:sz w:val="20"/>
        </w:rPr>
        <w:object w:dxaOrig="180" w:dyaOrig="240">
          <v:shape id="_x0000_i1052" type="#_x0000_t75" style="width:9.1pt;height:12.1pt" o:ole="">
            <v:imagedata r:id="rId407" o:title=""/>
          </v:shape>
          <o:OLEObject Type="Embed" ProgID="Equation.DSMT4" ShapeID="_x0000_i1052" DrawAspect="Content" ObjectID="_1438188864" r:id="rId408"/>
        </w:object>
      </w:r>
      <w:r w:rsidRPr="00F87319">
        <w:rPr>
          <w:sz w:val="20"/>
        </w:rPr>
        <w:t>(subsequently called Planck’s constant), was a scale factor to bring theory into line with experiment.  The result is that</w:t>
      </w:r>
      <w:r w:rsidRPr="00F87319">
        <w:rPr>
          <w:position w:val="-6"/>
          <w:sz w:val="20"/>
        </w:rPr>
        <w:object w:dxaOrig="180" w:dyaOrig="240">
          <v:shape id="_x0000_i1053" type="#_x0000_t75" style="width:9.1pt;height:12.1pt" o:ole="">
            <v:imagedata r:id="rId409" o:title=""/>
          </v:shape>
          <o:OLEObject Type="Embed" ProgID="Equation.DSMT4" ShapeID="_x0000_i1053" DrawAspect="Content" ObjectID="_1438188865" r:id="rId410"/>
        </w:object>
      </w:r>
      <w:r w:rsidRPr="00F87319">
        <w:rPr>
          <w:sz w:val="20"/>
        </w:rPr>
        <w:t>is a direct measure of the strength of the ZPE.  Thus, if the ZPE strength,</w:t>
      </w:r>
      <w:r w:rsidRPr="00F87319">
        <w:rPr>
          <w:position w:val="-6"/>
          <w:sz w:val="20"/>
        </w:rPr>
        <w:object w:dxaOrig="220" w:dyaOrig="240">
          <v:shape id="_x0000_i1054" type="#_x0000_t75" style="width:10.3pt;height:12.1pt" o:ole="">
            <v:imagedata r:id="rId411" o:title=""/>
          </v:shape>
          <o:OLEObject Type="Embed" ProgID="Equation.3" ShapeID="_x0000_i1054" DrawAspect="Content" ObjectID="_1438188866" r:id="rId412"/>
        </w:object>
      </w:r>
      <w:proofErr w:type="gramStart"/>
      <w:r w:rsidRPr="00F87319">
        <w:rPr>
          <w:sz w:val="20"/>
        </w:rPr>
        <w:t>,</w:t>
      </w:r>
      <w:proofErr w:type="gramEnd"/>
      <w:r w:rsidRPr="00F87319">
        <w:rPr>
          <w:sz w:val="20"/>
        </w:rPr>
        <w:t xml:space="preserve"> changed, so did</w:t>
      </w:r>
      <w:r w:rsidRPr="00F87319">
        <w:rPr>
          <w:position w:val="-6"/>
          <w:sz w:val="20"/>
        </w:rPr>
        <w:object w:dxaOrig="180" w:dyaOrig="240">
          <v:shape id="_x0000_i1055" type="#_x0000_t75" style="width:9.1pt;height:12.1pt" o:ole="">
            <v:imagedata r:id="rId413" o:title=""/>
          </v:shape>
          <o:OLEObject Type="Embed" ProgID="Equation.3" ShapeID="_x0000_i1055" DrawAspect="Content" ObjectID="_1438188867" r:id="rId414"/>
        </w:object>
      </w:r>
      <w:r w:rsidRPr="00F87319">
        <w:rPr>
          <w:i/>
          <w:sz w:val="20"/>
        </w:rPr>
        <w:t>,</w:t>
      </w:r>
      <w:r w:rsidRPr="00F87319">
        <w:rPr>
          <w:sz w:val="20"/>
        </w:rPr>
        <w:t xml:space="preserve"> in direct proportion.  This can be written as</w:t>
      </w: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499" w:dyaOrig="240">
          <v:shape id="_x0000_i1056" type="#_x0000_t75" style="width:24.8pt;height:12.1pt" o:ole="">
            <v:imagedata r:id="rId415" o:title=""/>
          </v:shape>
          <o:OLEObject Type="Embed" ProgID="Equation.DSMT4" ShapeID="_x0000_i1056" DrawAspect="Content" ObjectID="_1438188868" r:id="rId416"/>
        </w:object>
      </w:r>
      <w:r w:rsidRPr="00F87319">
        <w:rPr>
          <w:sz w:val="20"/>
        </w:rPr>
        <w:tab/>
      </w:r>
      <w:r w:rsidRPr="00F87319">
        <w:rPr>
          <w:sz w:val="20"/>
        </w:rPr>
        <w:tab/>
      </w:r>
      <w:r w:rsidRPr="00F87319">
        <w:rPr>
          <w:sz w:val="20"/>
        </w:rPr>
        <w:tab/>
      </w:r>
      <w:r w:rsidRPr="00F87319">
        <w:rPr>
          <w:sz w:val="20"/>
        </w:rPr>
        <w:tab/>
      </w:r>
      <w:r w:rsidRPr="00F87319">
        <w:rPr>
          <w:i/>
          <w:sz w:val="20"/>
        </w:rPr>
        <w:tab/>
        <w:t xml:space="preserve"> (1)</w:t>
      </w:r>
    </w:p>
    <w:p w:rsidR="006D41BD" w:rsidRPr="00F87319" w:rsidRDefault="006D41BD" w:rsidP="006D41BD">
      <w:pPr>
        <w:pStyle w:val="NormPara"/>
        <w:ind w:firstLine="0"/>
        <w:rPr>
          <w:sz w:val="20"/>
        </w:rPr>
      </w:pPr>
      <w:r w:rsidRPr="00F87319">
        <w:rPr>
          <w:sz w:val="20"/>
        </w:rPr>
        <w:t>As noted earlier, the symbol “</w:t>
      </w:r>
      <w:r w:rsidRPr="00F87319">
        <w:rPr>
          <w:position w:val="-4"/>
          <w:sz w:val="20"/>
        </w:rPr>
        <w:object w:dxaOrig="180" w:dyaOrig="160">
          <v:shape id="_x0000_i1057" type="#_x0000_t75" style="width:9.1pt;height:8.45pt" o:ole="">
            <v:imagedata r:id="rId417" o:title=""/>
          </v:shape>
          <o:OLEObject Type="Embed" ProgID="PowerPoint.Slide.12" ShapeID="_x0000_i1057" DrawAspect="Content" ObjectID="_1438188869" r:id="rId418"/>
        </w:object>
      </w:r>
      <w:r w:rsidRPr="00F87319">
        <w:rPr>
          <w:sz w:val="20"/>
        </w:rPr>
        <w:t>” means “is proportional to.”</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This re-examination of the reality of the ZPE is ongoing and has produced the branch of physics known as Stochastic Electro-Dynamics (SED).  The SED approach to quantum phenomena holds the promise of explaining quantum effects via the action of a real ZPE.  It should also be noted that it has also produced results that allow Relativity’s predictions to be simply explained.</w:t>
      </w:r>
    </w:p>
    <w:p w:rsidR="006D41BD" w:rsidRPr="00F87319" w:rsidRDefault="006D41BD" w:rsidP="006D41BD">
      <w:pPr>
        <w:pStyle w:val="NormPara"/>
        <w:ind w:firstLine="27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1.6. The Zero Point Energy (ZPE)</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The Zero Point Energy exists as all-pervasive electromagnetic waves of all wavelengths throughout the universe.  It exists independently of any thermal radiation, even at zero degrees Kelvin, and is composed of many more waves of short wavelengths than long.  The precise description is that it has a frequency-cubed spectrum.  This means that on the scale of feet or meters there are very few ZPE waves.  However, on smaller scales, the number of short-wavelength ZPE waves increases significantly.  The smallest of the ZPE’s more numerous short waves approaches what is called the Planck length cut-off.  The Planck length of</w:t>
      </w:r>
      <w:r w:rsidRPr="00F87319">
        <w:rPr>
          <w:position w:val="-6"/>
          <w:sz w:val="20"/>
        </w:rPr>
        <w:object w:dxaOrig="480" w:dyaOrig="300">
          <v:shape id="_x0000_i1058" type="#_x0000_t75" style="width:24.2pt;height:15.15pt" o:ole="">
            <v:imagedata r:id="rId419" o:title=""/>
          </v:shape>
          <o:OLEObject Type="Embed" ProgID="PowerPoint.Slide.12" ShapeID="_x0000_i1058" DrawAspect="Content" ObjectID="_1438188870" r:id="rId420"/>
        </w:object>
      </w:r>
      <w:r w:rsidRPr="00F87319">
        <w:rPr>
          <w:sz w:val="20"/>
        </w:rPr>
        <w:t>meters is the smallest length possible in our universe.  Beyond this limit, the vacuum itself breaks down and space assumes a granular structure, like a fabric.  Any waves with a shorter wavelength than the Planck length are simply absorbed into the structure of the vacuum.</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By the time the scale of atomic size is reached, the characteristic phrase used to describe the ZPE is </w:t>
      </w:r>
      <w:r w:rsidRPr="00F87319">
        <w:rPr>
          <w:i/>
          <w:sz w:val="20"/>
        </w:rPr>
        <w:t>“the seething vacuum.”</w:t>
      </w:r>
      <w:r w:rsidRPr="00F87319">
        <w:rPr>
          <w:sz w:val="20"/>
        </w:rPr>
        <w:t xml:space="preserve">  Every atom is immersed in this turbulent sea of activity.  The fact that cooling alone will never freeze liquid helium is one of the strong indications of the existence of the ZPE.  Unless pressure is applied, ZPE fluctuations at the atomic level prevent helium’s atoms from getting close enough to permit solidification.</w:t>
      </w:r>
    </w:p>
    <w:p w:rsidR="006D41BD" w:rsidRPr="00F87319" w:rsidRDefault="006D41BD" w:rsidP="006D41BD">
      <w:pPr>
        <w:pStyle w:val="NormPara"/>
        <w:ind w:firstLine="720"/>
        <w:rPr>
          <w:sz w:val="20"/>
        </w:rPr>
      </w:pPr>
      <w:r w:rsidRPr="00F87319">
        <w:rPr>
          <w:sz w:val="20"/>
        </w:rPr>
        <w:t>In electronic circuits, such as microwave receivers, ZPE fluctuations cause a random “noise” that places limits on the level to which signals can be amplified.  This “noise” can never be removed no matter how perfect the technology.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Further evidence comes from what is called the Lamb shift of spectral lines.  ZPE waves slightly perturb electrons in atoms so that, when electrons make a transition from one state to another, the atom emits light whose wavelength is shifted slightly from the position that line would have had if the ZPE did not exist.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Casimir effect also indicates the existence of the ZPE and that it is comprised of electromagnetic waves.  This effect can be demonstrated by bringing two large metal plates very close together in a vacuum.  When they are close, but not touching, there is a small but measurable force that pushes them together.</w:t>
      </w:r>
    </w:p>
    <w:p w:rsidR="006D41BD" w:rsidRPr="00F87319" w:rsidRDefault="006D41BD" w:rsidP="006D41BD">
      <w:pPr>
        <w:pStyle w:val="NormPara"/>
        <w:ind w:firstLine="720"/>
        <w:rPr>
          <w:sz w:val="20"/>
        </w:rPr>
      </w:pPr>
    </w:p>
    <w:p w:rsidR="00EA25F1" w:rsidRPr="00F87319" w:rsidRDefault="006D41BD" w:rsidP="00EA25F1">
      <w:pPr>
        <w:pStyle w:val="NormPara"/>
        <w:spacing w:before="80" w:after="80"/>
        <w:ind w:right="274" w:firstLine="0"/>
        <w:rPr>
          <w:sz w:val="20"/>
        </w:rPr>
      </w:pPr>
      <w:r w:rsidRPr="00F87319">
        <w:rPr>
          <w:sz w:val="20"/>
        </w:rPr>
        <w:t xml:space="preserve">The explanation of this effect comes straight from classical physics.  As the metal plates are brought closer, they exclude all wavelengths of the ZPE except those which fit exactly between the plates.  In other words, all the long wavelengths of the ZPE have </w:t>
      </w:r>
      <w:r w:rsidR="00EA25F1" w:rsidRPr="00F87319">
        <w:rPr>
          <w:sz w:val="20"/>
        </w:rPr>
        <w:t>been excluded and are now acting on the plates from the outside (see Figure 2).  Because there are no long waves acting from within to balance the pressure, the combined radiation pressure of these external waves then forces the plates together.  In November 1998, Mohideen and Roy reported verification of the effect to within 1% [10].</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4392074" cy="2981325"/>
            <wp:effectExtent l="19050" t="0" r="8476" b="0"/>
            <wp:docPr id="29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421" cstate="print"/>
                    <a:srcRect l="2020" t="1839" r="2199" b="1840"/>
                    <a:stretch>
                      <a:fillRect/>
                    </a:stretch>
                  </pic:blipFill>
                  <pic:spPr bwMode="auto">
                    <a:xfrm>
                      <a:off x="0" y="0"/>
                      <a:ext cx="4395906" cy="2983926"/>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center"/>
        <w:rPr>
          <w:sz w:val="20"/>
        </w:rPr>
      </w:pPr>
    </w:p>
    <w:p w:rsidR="006D41BD" w:rsidRPr="00F87319" w:rsidRDefault="006D41BD" w:rsidP="000C2FA1">
      <w:pPr>
        <w:pStyle w:val="NormPara"/>
        <w:spacing w:before="80" w:after="80"/>
        <w:ind w:right="274" w:firstLine="0"/>
        <w:jc w:val="left"/>
        <w:rPr>
          <w:i/>
          <w:szCs w:val="18"/>
        </w:rPr>
      </w:pPr>
      <w:r w:rsidRPr="000C2FA1">
        <w:rPr>
          <w:b/>
          <w:i/>
          <w:szCs w:val="18"/>
        </w:rPr>
        <w:t>Fig</w:t>
      </w:r>
      <w:r w:rsidR="000C2FA1" w:rsidRPr="000C2FA1">
        <w:rPr>
          <w:b/>
          <w:i/>
          <w:szCs w:val="18"/>
        </w:rPr>
        <w:t>ure 2:</w:t>
      </w:r>
      <w:r w:rsidRPr="000C2FA1">
        <w:rPr>
          <w:i/>
          <w:szCs w:val="18"/>
        </w:rPr>
        <w:t xml:space="preserve">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exert an excess pressure on the plates, which pushes them together.  The wave series third from bottom has the largest wavelength that will fit exactly between the plates.  All longer waves are excluded and exert a pressure from the outside</w:t>
      </w:r>
      <w:r w:rsidRPr="00F87319">
        <w:rPr>
          <w:i/>
          <w:szCs w:val="18"/>
        </w:rPr>
        <w:t>.</w:t>
      </w:r>
    </w:p>
    <w:p w:rsidR="006D41BD" w:rsidRPr="00F87319" w:rsidRDefault="006D41BD" w:rsidP="006D41BD">
      <w:pPr>
        <w:pStyle w:val="NormPara"/>
        <w:spacing w:before="80" w:after="80"/>
        <w:ind w:left="274" w:right="274" w:firstLine="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1.7. Motion through the ZPE is Undetectable</w:t>
      </w:r>
    </w:p>
    <w:p w:rsidR="006D41BD" w:rsidRPr="00F87319" w:rsidRDefault="006D41BD" w:rsidP="006D41BD">
      <w:pPr>
        <w:pStyle w:val="NormPara"/>
        <w:ind w:firstLine="270"/>
        <w:rPr>
          <w:sz w:val="20"/>
        </w:rPr>
      </w:pPr>
    </w:p>
    <w:p w:rsidR="006D41BD" w:rsidRPr="00F87319" w:rsidRDefault="006D41BD" w:rsidP="006D41BD">
      <w:pPr>
        <w:pStyle w:val="NormPara"/>
        <w:ind w:firstLine="548"/>
        <w:rPr>
          <w:rStyle w:val="Emphasis"/>
          <w:sz w:val="20"/>
        </w:rPr>
      </w:pPr>
      <w:r w:rsidRPr="00F87319">
        <w:rPr>
          <w:sz w:val="20"/>
        </w:rPr>
        <w:t>Every source of radiation has a characteristic intensity distribution with frequency.  That is to say, every radiation source will have its intensity (the number of waves) rising to a maximum in a given frequency range, producing a characteristic curve.  Because of its frequency-cubed distribution, the ZPE has an enormous energy density.  In discussing this, Timothy Boyer in his article “The Classical Vacuum”, has this to say about the ZPE, explaining why any motion through the ZPE will be undetectable.</w:t>
      </w:r>
    </w:p>
    <w:p w:rsidR="006D41BD" w:rsidRPr="00F87319" w:rsidRDefault="006D41BD" w:rsidP="006D41BD">
      <w:pPr>
        <w:pStyle w:val="NormPara"/>
        <w:spacing w:before="80" w:after="80"/>
        <w:ind w:left="274" w:firstLine="274"/>
        <w:rPr>
          <w:rStyle w:val="Emphasis"/>
          <w:i w:val="0"/>
          <w:color w:val="FF0000"/>
          <w:sz w:val="20"/>
        </w:rPr>
      </w:pPr>
      <w:r w:rsidRPr="00F87319">
        <w:rPr>
          <w:rStyle w:val="Emphasis"/>
          <w:sz w:val="20"/>
        </w:rPr>
        <w:lastRenderedPageBreak/>
        <w:t xml:space="preserve">It turns out that the zero-point spectrum can only have one possible shape….  [T]he intensity of the radiation at any frequency must be proportional to the cube of that frequency.  A spectrum defined by such a cubic curve is the same for all unaccelerated observers, no matter what their velocity; moreover, it is the only spectrum that has this property. </w:t>
      </w:r>
      <w:r w:rsidRPr="00F87319">
        <w:rPr>
          <w:rStyle w:val="Emphasis"/>
          <w:i w:val="0"/>
          <w:sz w:val="20"/>
        </w:rPr>
        <w:t>[11]</w:t>
      </w:r>
    </w:p>
    <w:p w:rsidR="006D41BD" w:rsidRPr="00F87319" w:rsidRDefault="006D41BD" w:rsidP="006D41BD">
      <w:pPr>
        <w:pStyle w:val="NormPara"/>
        <w:spacing w:before="80" w:after="80"/>
        <w:ind w:left="274" w:firstLine="274"/>
        <w:rPr>
          <w:sz w:val="20"/>
        </w:rPr>
      </w:pPr>
    </w:p>
    <w:p w:rsidR="006D41BD" w:rsidRDefault="006D41BD" w:rsidP="006D41BD">
      <w:pPr>
        <w:pStyle w:val="NormPara"/>
        <w:ind w:firstLine="548"/>
        <w:rPr>
          <w:sz w:val="20"/>
        </w:rPr>
      </w:pPr>
      <w:r w:rsidRPr="00F87319">
        <w:rPr>
          <w:sz w:val="20"/>
        </w:rPr>
        <w:t>Remember that any motion through the ZPE produces a genuine Doppler shift.  Because of this, radiation will appear shifted towards the blue end of the spectrum for an approaching observer or towards the red end of the spectrum for a receding observer.  Here is what Boyer goes on to say:</w:t>
      </w:r>
    </w:p>
    <w:p w:rsidR="00F87319" w:rsidRPr="00F87319" w:rsidRDefault="00F87319" w:rsidP="006D41BD">
      <w:pPr>
        <w:pStyle w:val="NormPara"/>
        <w:ind w:firstLine="548"/>
        <w:rPr>
          <w:sz w:val="20"/>
        </w:rPr>
      </w:pPr>
    </w:p>
    <w:p w:rsidR="006D41BD" w:rsidRDefault="006D41BD" w:rsidP="006D41BD">
      <w:pPr>
        <w:pStyle w:val="NormPara"/>
        <w:spacing w:before="80" w:after="80"/>
        <w:ind w:left="274" w:firstLine="274"/>
        <w:rPr>
          <w:rStyle w:val="Emphasis"/>
          <w:i w:val="0"/>
          <w:sz w:val="20"/>
        </w:rPr>
      </w:pPr>
      <w:r w:rsidRPr="00F87319">
        <w:rPr>
          <w:rStyle w:val="Emphasis"/>
          <w:sz w:val="20"/>
        </w:rPr>
        <w:t xml:space="preserve">The Zero Point Spectrum is independent of the observer's velocity because of compensating changes in frequency and intensity.  When an observer is approaching [any] source of radiation, all frequencies are shifted to higher values [that is, become bluer] and all intensities increased; moving away from any source has the opposite effect.  Thus a spectrum that has a peak in the green region for a stationary observer has a larger blue[r] peak for an approaching observer and a smaller red[er] peak for a receding observer.  The cubic curve that defines the zero-point spectrum balances the shifts in frequency and intensity.  Light that appears green in the stationary frame of reference becomes blue to an approaching observer, but its intensity matches that of the blue light seen by an observer at rest.  By the same token, green light is shifted to red frequencies for a receding observer, but its intensity is diminished accordingly. </w:t>
      </w:r>
      <w:r w:rsidRPr="00F87319">
        <w:rPr>
          <w:rStyle w:val="Emphasis"/>
          <w:i w:val="0"/>
          <w:sz w:val="20"/>
        </w:rPr>
        <w:t>[11]</w:t>
      </w:r>
    </w:p>
    <w:p w:rsidR="00F87319" w:rsidRPr="00F87319" w:rsidRDefault="00F87319" w:rsidP="006D41BD">
      <w:pPr>
        <w:pStyle w:val="NormPara"/>
        <w:spacing w:before="80" w:after="80"/>
        <w:ind w:left="274" w:firstLine="274"/>
        <w:rPr>
          <w:rStyle w:val="Emphasis"/>
          <w:i w:val="0"/>
          <w:sz w:val="20"/>
        </w:rPr>
      </w:pPr>
    </w:p>
    <w:p w:rsidR="006D41BD" w:rsidRPr="00F87319" w:rsidRDefault="006D41BD" w:rsidP="006D41BD">
      <w:pPr>
        <w:pStyle w:val="NormPara"/>
        <w:ind w:firstLine="548"/>
        <w:rPr>
          <w:sz w:val="20"/>
        </w:rPr>
      </w:pPr>
      <w:r w:rsidRPr="00F87319">
        <w:rPr>
          <w:sz w:val="20"/>
        </w:rPr>
        <w:t>In this way, the distribution of intensity with frequency for the ZPE remains the same no matter what your velocity is.  In other words, because of its frequency-cubed distribution, the ZPE is said to be Lorentz invariant, meaning that the velocity through the ZPE cannot, in itself, be detected. (see additional note on this below in citation for reference [32]).  In an examination of this, Davies and Unruh found that, while velocities through the ZPE cannot be detected, acceleration can be detected, but that acceleration has to be of the order of</w:t>
      </w:r>
      <w:r w:rsidRPr="00F87319">
        <w:rPr>
          <w:position w:val="-6"/>
          <w:sz w:val="20"/>
        </w:rPr>
        <w:object w:dxaOrig="400" w:dyaOrig="300">
          <v:shape id="_x0000_i1059" type="#_x0000_t75" style="width:19.95pt;height:15.15pt" o:ole="">
            <v:imagedata r:id="rId422" o:title=""/>
          </v:shape>
          <o:OLEObject Type="Embed" ProgID="PowerPoint.Slide.12" ShapeID="_x0000_i1059" DrawAspect="Content" ObjectID="_1438188871" r:id="rId423"/>
        </w:object>
      </w:r>
      <w:r w:rsidRPr="00F87319">
        <w:rPr>
          <w:sz w:val="20"/>
        </w:rPr>
        <w:t>times that of Earth’s gravity before the effect becomes significant enough to observe.  This is called the Davies-Unruh effect.  Therefore, for all practical purposes, the motion of the Earth, or any other body, through the ZPE cannot be detected.</w:t>
      </w:r>
    </w:p>
    <w:p w:rsidR="006D41BD" w:rsidRPr="00F87319" w:rsidRDefault="006D41BD" w:rsidP="006D41BD">
      <w:pPr>
        <w:pStyle w:val="NormPara"/>
        <w:ind w:firstLine="548"/>
        <w:rPr>
          <w:sz w:val="20"/>
        </w:rPr>
      </w:pPr>
    </w:p>
    <w:p w:rsidR="006D41BD" w:rsidRPr="00F87319" w:rsidRDefault="006D41BD" w:rsidP="006D41BD">
      <w:pPr>
        <w:pStyle w:val="NormPara"/>
        <w:ind w:firstLine="548"/>
        <w:rPr>
          <w:sz w:val="20"/>
        </w:rPr>
      </w:pPr>
      <w:r w:rsidRPr="00F87319">
        <w:rPr>
          <w:sz w:val="20"/>
        </w:rPr>
        <w:t>There is another reason, also rooted in the ZPE, why the Earth’s motion through the “ether” is undetectable.  The local gravitational field of the Earth can be shown to be an augmentation of the ZPE in our vicinity brought about by the presence of oscillating point charges.  The impacting waves of the ZPE jiggle these point charges or “partons”, which make up all matter, and these charges emit recoil or secondary electromagnetic radiation [7].  This secondary field locally boosts the strength of the ambient ZPE around massive objects.  This local field of the (augmented) ZPE has no motion with respect to the Earth’s center of mass since it originates with the presence of the Earth’s mass.  Thus, the Michelson-Morley experiment will show no fringe shifts.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However, the Earth does rotate with respect to its own gravitational field, and hence with respect to the augmented ZPE.  This motion does produce fringe shifts, known as the Sagnac effect, that were first seen in 1913 when a rotating platform was used for the experiment.  It was replicated in the Michelson-Gale experiment of 1925 using the Earth’s own rotation.  The ZPE approach is thereby shown to be a far simpler explanation for the lack of fringe shifts in the Michelson-Morley experiment than the complication of SR</w:t>
      </w:r>
    </w:p>
    <w:p w:rsidR="006D41BD" w:rsidRPr="00F87319" w:rsidRDefault="006D41BD" w:rsidP="006D41BD">
      <w:pPr>
        <w:pStyle w:val="NormPara"/>
        <w:ind w:firstLine="548"/>
        <w:rPr>
          <w:sz w:val="20"/>
        </w:rPr>
      </w:pPr>
      <w:r w:rsidRPr="00F87319">
        <w:rPr>
          <w:sz w:val="20"/>
        </w:rPr>
        <w:t>.</w:t>
      </w: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1.8. The ZPE and the Speed of Light</w:t>
      </w:r>
    </w:p>
    <w:p w:rsidR="006D41BD" w:rsidRPr="00F87319" w:rsidRDefault="006D41BD" w:rsidP="006D41BD">
      <w:pPr>
        <w:pStyle w:val="NormPara"/>
        <w:ind w:firstLine="270"/>
        <w:rPr>
          <w:sz w:val="20"/>
        </w:rPr>
      </w:pPr>
    </w:p>
    <w:p w:rsidR="00F87319" w:rsidRDefault="006D41BD" w:rsidP="006D41BD">
      <w:pPr>
        <w:pStyle w:val="NormPara"/>
        <w:ind w:firstLine="720"/>
        <w:rPr>
          <w:sz w:val="20"/>
        </w:rPr>
      </w:pPr>
      <w:r w:rsidRPr="00F87319">
        <w:rPr>
          <w:sz w:val="20"/>
        </w:rPr>
        <w:t xml:space="preserve">The Michelson-Morley experiment indicated that the speed of light in any direction through the Zero Point Field is always the same.  This experimental result agrees with the SED approach.  Because the ZPE is made up of electromagnetic waves of all wavelengths going in all directions simultaneously, the points where these waves intersect result in a concentration of energy.  These energy concentrations allow the formation of pairs of virtual particles, such as electron-positron pairs.  </w:t>
      </w:r>
    </w:p>
    <w:p w:rsidR="00F87319" w:rsidRDefault="00F87319" w:rsidP="006D41BD">
      <w:pPr>
        <w:pStyle w:val="NormPara"/>
        <w:ind w:firstLine="720"/>
        <w:rPr>
          <w:sz w:val="20"/>
        </w:rPr>
      </w:pPr>
    </w:p>
    <w:p w:rsidR="006D41BD" w:rsidRPr="00F87319" w:rsidRDefault="006D41BD" w:rsidP="006D41BD">
      <w:pPr>
        <w:pStyle w:val="NormPara"/>
        <w:ind w:firstLine="720"/>
        <w:rPr>
          <w:sz w:val="20"/>
        </w:rPr>
      </w:pPr>
      <w:r w:rsidRPr="00F87319">
        <w:rPr>
          <w:sz w:val="20"/>
        </w:rPr>
        <w:t>The</w:t>
      </w:r>
      <w:r w:rsidR="00F87319">
        <w:rPr>
          <w:sz w:val="20"/>
        </w:rPr>
        <w:t>se</w:t>
      </w:r>
      <w:r w:rsidRPr="00F87319">
        <w:rPr>
          <w:sz w:val="20"/>
        </w:rPr>
        <w:t xml:space="preserve"> virtual particles snap into and out of existence almost, but not quite, instantaneously.  During their brief existence they can absorb a light photon, and when the positive and negative of each pair snap back together, the photon </w:t>
      </w:r>
      <w:r w:rsidRPr="00F87319">
        <w:rPr>
          <w:sz w:val="20"/>
        </w:rPr>
        <w:lastRenderedPageBreak/>
        <w:t xml:space="preserve">of light is released to continue on its way.  Even in a very small volume of space, the number of virtual particle pairs is enormous.  From the “jiggling” of electrons, their volume and their Compton frequency, it can be deduced that a cubic meter contains about </w:t>
      </w:r>
      <m:oMath>
        <m:sSup>
          <m:sSupPr>
            <m:ctrlPr>
              <w:rPr>
                <w:rFonts w:ascii="Cambria Math" w:hAnsi="Cambria Math"/>
                <w:i/>
                <w:sz w:val="20"/>
              </w:rPr>
            </m:ctrlPr>
          </m:sSupPr>
          <m:e>
            <m:r>
              <w:rPr>
                <w:rFonts w:ascii="Cambria Math"/>
                <w:sz w:val="20"/>
              </w:rPr>
              <m:t>10</m:t>
            </m:r>
          </m:e>
          <m:sup>
            <m:r>
              <w:rPr>
                <w:rFonts w:ascii="Cambria Math"/>
                <w:sz w:val="20"/>
              </w:rPr>
              <m:t>63</m:t>
            </m:r>
          </m:sup>
        </m:sSup>
      </m:oMath>
      <w:r w:rsidRPr="00F87319">
        <w:rPr>
          <w:sz w:val="20"/>
        </w:rPr>
        <w:t xml:space="preserve"> virtual particles.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Photons of light must interact with these particles in their path.  The greater the strength of the Zero Point Energy, the greater the numbers of virtual particles that exist in any given volume of space at any given time.  As a result, light photons are slowed even more because space has effectively become “thicker” with virtual particles.  Thus, in a manner similar to light slowing in water compared to air, light will also slow with a stronger ZPE.  In fact, it can be shown that the speed of light, </w:t>
      </w:r>
      <w:r w:rsidRPr="00F87319">
        <w:rPr>
          <w:i/>
          <w:sz w:val="20"/>
        </w:rPr>
        <w:t>c</w:t>
      </w:r>
      <w:r w:rsidRPr="00F87319">
        <w:rPr>
          <w:sz w:val="20"/>
        </w:rPr>
        <w:t xml:space="preserve">, is inversely proportional to ZPE </w:t>
      </w:r>
      <w:proofErr w:type="gramStart"/>
      <w:r w:rsidRPr="00F87319">
        <w:rPr>
          <w:sz w:val="20"/>
        </w:rPr>
        <w:t>strength,</w:t>
      </w:r>
      <w:r w:rsidRPr="00F87319">
        <w:rPr>
          <w:position w:val="-6"/>
          <w:sz w:val="20"/>
        </w:rPr>
        <w:object w:dxaOrig="220" w:dyaOrig="240">
          <v:shape id="_x0000_i1060" type="#_x0000_t75" style="width:10.3pt;height:12.1pt" o:ole="">
            <v:imagedata r:id="rId424" o:title=""/>
          </v:shape>
          <o:OLEObject Type="Embed" ProgID="PowerPoint.Slide.12" ShapeID="_x0000_i1060" DrawAspect="Content" ObjectID="_1438188872" r:id="rId425"/>
        </w:object>
      </w:r>
      <w:r w:rsidRPr="00F87319">
        <w:rPr>
          <w:sz w:val="20"/>
        </w:rPr>
        <w:t>.</w:t>
      </w:r>
      <w:proofErr w:type="gramEnd"/>
      <w:r w:rsidRPr="00F87319">
        <w:rPr>
          <w:sz w:val="20"/>
        </w:rPr>
        <w:t xml:space="preserve">  This is done in detail in “The Zero Point Energy, Light and Time” [12], which establishes that</w:t>
      </w: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39" w:dyaOrig="279">
          <v:shape id="_x0000_i1061" type="#_x0000_t75" style="width:31.45pt;height:14.5pt" o:ole="">
            <v:imagedata r:id="rId426" o:title=""/>
          </v:shape>
          <o:OLEObject Type="Embed" ProgID="PowerPoint.Slide.12" ShapeID="_x0000_i1061" DrawAspect="Content" ObjectID="_1438188873" r:id="rId42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w:t>
      </w:r>
    </w:p>
    <w:p w:rsidR="006D41BD" w:rsidRPr="00F87319" w:rsidRDefault="006D41BD" w:rsidP="006D41BD">
      <w:pPr>
        <w:pStyle w:val="NormPara"/>
        <w:ind w:firstLine="270"/>
        <w:rPr>
          <w:sz w:val="20"/>
        </w:rPr>
      </w:pPr>
      <w:r w:rsidRPr="00F87319">
        <w:rPr>
          <w:sz w:val="20"/>
        </w:rPr>
        <w:t>When Eqs. (1) and (2) are considered together, the inescapable result is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859" w:dyaOrig="240">
          <v:shape id="_x0000_i1062" type="#_x0000_t75" style="width:42.95pt;height:12.1pt" o:ole="">
            <v:imagedata r:id="rId428" o:title=""/>
          </v:shape>
          <o:OLEObject Type="Embed" ProgID="Equation.DSMT4" ShapeID="_x0000_i1062" DrawAspect="Content" ObjectID="_1438188874" r:id="rId42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270"/>
        <w:rPr>
          <w:sz w:val="20"/>
        </w:rPr>
      </w:pPr>
      <w:r w:rsidRPr="00F87319">
        <w:rPr>
          <w:sz w:val="20"/>
        </w:rPr>
        <w:t>Since the strength of the Zero Point Energy also determines the electromagnetic properties of the vacuum, it was shown in the same paper, and in Chapters 2 and 4 here,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iCs/>
          <w:sz w:val="20"/>
        </w:rPr>
        <w:tab/>
      </w:r>
      <w:r w:rsidRPr="00F87319">
        <w:rPr>
          <w:iCs/>
          <w:position w:val="-8"/>
          <w:sz w:val="20"/>
        </w:rPr>
        <w:object w:dxaOrig="800" w:dyaOrig="260">
          <v:shape id="_x0000_i1063" type="#_x0000_t75" style="width:39.95pt;height:12.7pt" o:ole="">
            <v:imagedata r:id="rId430" o:title=""/>
          </v:shape>
          <o:OLEObject Type="Embed" ProgID="Equation.DSMT4" ShapeID="_x0000_i1063" DrawAspect="Content" ObjectID="_1438188875" r:id="rId431"/>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
          <w:iCs/>
          <w:sz w:val="20"/>
        </w:rPr>
        <w:tab/>
        <w:t>(4)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6"/>
          <w:sz w:val="20"/>
        </w:rPr>
        <w:object w:dxaOrig="180" w:dyaOrig="200">
          <v:shape id="_x0000_i1064" type="#_x0000_t75" style="width:9.1pt;height:9.7pt" o:ole="">
            <v:imagedata r:id="rId432" o:title=""/>
          </v:shape>
          <o:OLEObject Type="Embed" ProgID="Equation.DSMT4" ShapeID="_x0000_i1064" DrawAspect="Content" ObjectID="_1438188876" r:id="rId433"/>
        </w:object>
      </w:r>
      <w:r w:rsidRPr="00F87319">
        <w:rPr>
          <w:sz w:val="20"/>
        </w:rPr>
        <w:t>is the permittivity of the vacuum and</w:t>
      </w:r>
      <w:r w:rsidRPr="00F87319">
        <w:rPr>
          <w:position w:val="-8"/>
          <w:sz w:val="20"/>
        </w:rPr>
        <w:object w:dxaOrig="180" w:dyaOrig="220">
          <v:shape id="_x0000_i1065" type="#_x0000_t75" style="width:9.1pt;height:10.3pt" o:ole="">
            <v:imagedata r:id="rId434" o:title=""/>
          </v:shape>
          <o:OLEObject Type="Embed" ProgID="Equation.DSMT4" ShapeID="_x0000_i1065" DrawAspect="Content" ObjectID="_1438188877" r:id="rId435"/>
        </w:object>
      </w:r>
      <w:r w:rsidRPr="00F87319">
        <w:rPr>
          <w:sz w:val="20"/>
        </w:rPr>
        <w:t>is its magnetic permeability.  Therefore, since the standard equation reads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660" w:dyaOrig="520">
          <v:shape id="_x0000_i1066" type="#_x0000_t75" style="width:33.3pt;height:26pt" o:ole="">
            <v:imagedata r:id="rId436" o:title=""/>
          </v:shape>
          <o:OLEObject Type="Embed" ProgID="Equation.DSMT4" ShapeID="_x0000_i1066" DrawAspect="Content" ObjectID="_1438188878" r:id="rId43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then it follows that the speed of light, </w:t>
      </w:r>
      <w:r w:rsidRPr="00F87319">
        <w:rPr>
          <w:i/>
          <w:sz w:val="20"/>
        </w:rPr>
        <w:t>c</w:t>
      </w:r>
      <w:r w:rsidRPr="00F87319">
        <w:rPr>
          <w:sz w:val="20"/>
        </w:rPr>
        <w:t>, behaves as follows: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500" w:dyaOrig="520">
          <v:shape id="_x0000_i1067" type="#_x0000_t75" style="width:75.05pt;height:26pt" o:ole="">
            <v:imagedata r:id="rId438" o:title=""/>
          </v:shape>
          <o:OLEObject Type="Embed" ProgID="Equation.DSMT4" ShapeID="_x0000_i1067" DrawAspect="Content" ObjectID="_1438188879" r:id="rId43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(6)</w:t>
      </w:r>
    </w:p>
    <w:p w:rsidR="006D41BD" w:rsidRPr="00F87319" w:rsidRDefault="006D41BD" w:rsidP="006D41BD">
      <w:pPr>
        <w:pStyle w:val="NormPara"/>
        <w:ind w:firstLine="270"/>
        <w:rPr>
          <w:sz w:val="20"/>
        </w:rPr>
      </w:pPr>
    </w:p>
    <w:p w:rsidR="006D41BD" w:rsidRDefault="006D41BD" w:rsidP="006D41BD">
      <w:pPr>
        <w:pStyle w:val="NormPara"/>
        <w:ind w:firstLine="720"/>
        <w:rPr>
          <w:sz w:val="20"/>
        </w:rPr>
      </w:pPr>
      <w:r w:rsidRPr="00F87319">
        <w:rPr>
          <w:sz w:val="20"/>
        </w:rPr>
        <w:t>Since the ZPE is uniform through all space at any given time, the speed of light will also be uniform throughout all of space at any given time.  In other words, light speed is not dependent on direction of travel.  It is the universal changes in the strength of the ZPE which will affect the speed of light, not direction of travel.  This explains the result of the M-M experiment, which shows the speed of light to be the same in all directions.</w:t>
      </w:r>
    </w:p>
    <w:p w:rsidR="00F87319" w:rsidRDefault="00F87319"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1.9.  Zero Point Energy Behavior over Time</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There are </w:t>
      </w:r>
      <w:r w:rsidR="00A80554" w:rsidRPr="00F87319">
        <w:rPr>
          <w:sz w:val="20"/>
        </w:rPr>
        <w:t>good</w:t>
      </w:r>
      <w:r w:rsidRPr="00F87319">
        <w:rPr>
          <w:sz w:val="20"/>
        </w:rPr>
        <w:t xml:space="preserve"> reasons to believe that the strength of the Zero Point Energy has changed with time.  Briefly</w:t>
      </w:r>
      <w:r w:rsidR="00A80554" w:rsidRPr="00F87319">
        <w:rPr>
          <w:sz w:val="20"/>
        </w:rPr>
        <w:t xml:space="preserve">, </w:t>
      </w:r>
      <w:r w:rsidRPr="00F87319">
        <w:rPr>
          <w:sz w:val="20"/>
        </w:rPr>
        <w:t xml:space="preserve">original </w:t>
      </w:r>
      <w:r w:rsidR="00A80554" w:rsidRPr="00F87319">
        <w:rPr>
          <w:sz w:val="20"/>
        </w:rPr>
        <w:t>cosm</w:t>
      </w:r>
      <w:r w:rsidR="00434F2D" w:rsidRPr="00F87319">
        <w:rPr>
          <w:sz w:val="20"/>
        </w:rPr>
        <w:t xml:space="preserve">ic </w:t>
      </w:r>
      <w:r w:rsidRPr="00F87319">
        <w:rPr>
          <w:sz w:val="20"/>
        </w:rPr>
        <w:t xml:space="preserve">expansion invested energy into the fabric of space which ultimately appeared as the ZPE.  Hydrogen cloud data suggest that the expansion slowed and ultimately stopped so that the cosmos became static.  The ZPE built up to its full value after expansion ceased.  </w:t>
      </w:r>
    </w:p>
    <w:p w:rsidR="006D41BD" w:rsidRPr="00F87319" w:rsidRDefault="006D41BD" w:rsidP="006D41BD">
      <w:pPr>
        <w:pStyle w:val="NormPara"/>
        <w:ind w:firstLine="0"/>
        <w:rPr>
          <w:sz w:val="20"/>
        </w:rPr>
      </w:pPr>
    </w:p>
    <w:tbl>
      <w:tblPr>
        <w:tblStyle w:val="TableGrid"/>
        <w:tblW w:w="0" w:type="auto"/>
        <w:jc w:val="center"/>
        <w:tblLook w:val="04A0"/>
      </w:tblPr>
      <w:tblGrid>
        <w:gridCol w:w="4356"/>
        <w:gridCol w:w="4476"/>
      </w:tblGrid>
      <w:tr w:rsidR="006D41BD" w:rsidRPr="00F87319" w:rsidTr="00E01094">
        <w:trPr>
          <w:trHeight w:val="2936"/>
          <w:jc w:val="center"/>
        </w:trPr>
        <w:tc>
          <w:tcPr>
            <w:tcW w:w="3309" w:type="dxa"/>
          </w:tcPr>
          <w:p w:rsidR="006D41BD" w:rsidRPr="00F87319" w:rsidRDefault="006D41BD" w:rsidP="00BD495E">
            <w:pPr>
              <w:pStyle w:val="NormPara"/>
              <w:ind w:firstLine="0"/>
              <w:rPr>
                <w:sz w:val="20"/>
              </w:rPr>
            </w:pPr>
            <w:r w:rsidRPr="00F87319">
              <w:rPr>
                <w:noProof/>
                <w:sz w:val="20"/>
              </w:rPr>
              <w:lastRenderedPageBreak/>
              <w:drawing>
                <wp:inline distT="0" distB="0" distL="0" distR="0">
                  <wp:extent cx="2600325" cy="2823528"/>
                  <wp:effectExtent l="19050" t="0" r="9525" b="0"/>
                  <wp:docPr id="298"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602256" cy="2825624"/>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5674" cy="2819400"/>
                  <wp:effectExtent l="19050" t="0" r="376" b="0"/>
                  <wp:docPr id="305"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85674" cy="2819400"/>
                          </a:xfrm>
                          <a:prstGeom prst="rect">
                            <a:avLst/>
                          </a:prstGeom>
                          <a:noFill/>
                          <a:ln w="9525">
                            <a:noFill/>
                            <a:miter lim="800000"/>
                            <a:headEnd/>
                            <a:tailEnd/>
                          </a:ln>
                        </pic:spPr>
                      </pic:pic>
                    </a:graphicData>
                  </a:graphic>
                </wp:inline>
              </w:drawing>
            </w:r>
          </w:p>
        </w:tc>
      </w:tr>
      <w:tr w:rsidR="006D41BD" w:rsidRPr="00F87319" w:rsidTr="00E01094">
        <w:trPr>
          <w:trHeight w:val="2863"/>
          <w:jc w:val="center"/>
        </w:trPr>
        <w:tc>
          <w:tcPr>
            <w:tcW w:w="3309" w:type="dxa"/>
          </w:tcPr>
          <w:p w:rsidR="006D41BD" w:rsidRPr="00F87319" w:rsidRDefault="006D41BD" w:rsidP="00BD495E">
            <w:pPr>
              <w:pStyle w:val="NormPara"/>
              <w:ind w:firstLine="0"/>
              <w:rPr>
                <w:sz w:val="20"/>
              </w:rPr>
            </w:pPr>
            <w:r w:rsidRPr="00F87319">
              <w:rPr>
                <w:noProof/>
                <w:sz w:val="20"/>
              </w:rPr>
              <w:drawing>
                <wp:inline distT="0" distB="0" distL="0" distR="0">
                  <wp:extent cx="2589213" cy="2733675"/>
                  <wp:effectExtent l="19050" t="0" r="1587" b="0"/>
                  <wp:docPr id="307"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602802" cy="2748023"/>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6050" cy="2733675"/>
                  <wp:effectExtent l="19050" t="0" r="0" b="0"/>
                  <wp:docPr id="308"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tc>
      </w:tr>
    </w:tbl>
    <w:p w:rsidR="006D41BD" w:rsidRPr="00F87319" w:rsidRDefault="006D41BD" w:rsidP="006D41BD">
      <w:pPr>
        <w:pStyle w:val="NormPara"/>
        <w:spacing w:before="80" w:after="80"/>
        <w:ind w:right="274" w:firstLine="0"/>
        <w:jc w:val="left"/>
        <w:rPr>
          <w:szCs w:val="18"/>
        </w:rPr>
      </w:pPr>
    </w:p>
    <w:p w:rsidR="006D41BD" w:rsidRPr="000C2FA1" w:rsidRDefault="006D41BD" w:rsidP="00E01094">
      <w:pPr>
        <w:pStyle w:val="NormPara"/>
        <w:spacing w:before="80" w:after="80"/>
        <w:ind w:right="274" w:firstLine="0"/>
        <w:rPr>
          <w:i/>
          <w:szCs w:val="18"/>
        </w:rPr>
      </w:pPr>
      <w:r w:rsidRPr="000C2FA1">
        <w:rPr>
          <w:b/>
          <w:i/>
          <w:szCs w:val="18"/>
        </w:rPr>
        <w:t>Fig</w:t>
      </w:r>
      <w:r w:rsidR="000C2FA1" w:rsidRPr="000C2FA1">
        <w:rPr>
          <w:b/>
          <w:i/>
          <w:szCs w:val="18"/>
        </w:rPr>
        <w:t>ure</w:t>
      </w:r>
      <w:r w:rsidRPr="000C2FA1">
        <w:rPr>
          <w:b/>
          <w:i/>
          <w:szCs w:val="18"/>
        </w:rPr>
        <w:t xml:space="preserve"> 3</w:t>
      </w:r>
      <w:r w:rsidR="000C2FA1" w:rsidRPr="000C2FA1">
        <w:rPr>
          <w:b/>
          <w:i/>
          <w:szCs w:val="18"/>
        </w:rPr>
        <w:t>:</w:t>
      </w:r>
      <w:r w:rsidRPr="000C2FA1">
        <w:rPr>
          <w:i/>
          <w:szCs w:val="18"/>
        </w:rPr>
        <w:t xml:space="preserve">  Clockwise from top left—Recommended values of Planck’s constant, h; electron rest mass, m; the run-rate of atomic clocks, t, with orbital time horizontally; and light-speed, c [12].</w:t>
      </w:r>
    </w:p>
    <w:p w:rsidR="00F87319" w:rsidRPr="00F87319" w:rsidRDefault="00F87319" w:rsidP="006D41BD">
      <w:pPr>
        <w:pStyle w:val="NormPara"/>
        <w:spacing w:before="80" w:after="80"/>
        <w:ind w:right="274" w:firstLine="0"/>
        <w:jc w:val="left"/>
        <w:rPr>
          <w:szCs w:val="18"/>
        </w:rPr>
      </w:pPr>
    </w:p>
    <w:p w:rsidR="006D41BD" w:rsidRPr="00F87319" w:rsidRDefault="006D41BD" w:rsidP="006D41BD">
      <w:pPr>
        <w:pStyle w:val="NormPara"/>
        <w:ind w:firstLine="720"/>
        <w:rPr>
          <w:sz w:val="20"/>
        </w:rPr>
      </w:pPr>
      <w:r w:rsidRPr="00F87319">
        <w:rPr>
          <w:sz w:val="20"/>
        </w:rPr>
        <w:t>Narlikar and Arp have shown that a static cosmos will be stable against collapse but will oscillate slightly [13]. This oscillation results in a slightly changing ZPE through the current time, since a fixed quantity of energy in a smaller volume gives a higher energy density.  The converse is also true.  All these concepts are discussed in more detail in “The Zero Point Energy, Light and Time” [12] and chapters 1, 2 and 4 here.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experimental data support a changing ZPE strength.  Data show that atomic masses, </w:t>
      </w:r>
      <w:r w:rsidRPr="00F87319">
        <w:rPr>
          <w:i/>
          <w:sz w:val="20"/>
        </w:rPr>
        <w:t>m</w:t>
      </w:r>
      <w:r w:rsidRPr="00F87319">
        <w:rPr>
          <w:sz w:val="20"/>
        </w:rPr>
        <w:t xml:space="preserve">, were increasing synchronously with Planck’s constant, </w:t>
      </w:r>
      <w:r w:rsidRPr="00F87319">
        <w:rPr>
          <w:i/>
          <w:sz w:val="20"/>
        </w:rPr>
        <w:t>h</w:t>
      </w:r>
      <w:r w:rsidRPr="00F87319">
        <w:rPr>
          <w:sz w:val="20"/>
        </w:rPr>
        <w:t xml:space="preserve">, up to 1970.  Conversely, light speed, </w:t>
      </w:r>
      <w:r w:rsidRPr="00F87319">
        <w:rPr>
          <w:i/>
          <w:sz w:val="20"/>
        </w:rPr>
        <w:t>c</w:t>
      </w:r>
      <w:r w:rsidRPr="00F87319">
        <w:rPr>
          <w:sz w:val="20"/>
        </w:rPr>
        <w:t xml:space="preserve">, and atomic clock rates, </w:t>
      </w:r>
      <w:r w:rsidRPr="00F87319">
        <w:rPr>
          <w:i/>
          <w:sz w:val="20"/>
        </w:rPr>
        <w:t>t</w:t>
      </w:r>
      <w:r w:rsidRPr="00F87319">
        <w:rPr>
          <w:sz w:val="20"/>
        </w:rPr>
        <w:t>, were decreasing up to 1970.  The data are summarized by the graphs in Fig. 3.  They suggest that the ZPE strength was increasing until 1970 as part of the oscillation of a static universe which Narlikar and Arp proposed.  A reversal of the trend of each of these measurements started near 1970 and indicates the oscillation reversed or reached a flat-point then.</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Although the speed of light changes with a change in the Zero Point Energy, this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will be slowing simultaneously although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Therefore, in the wave equation</w:t>
      </w:r>
      <w:r w:rsidRPr="00F87319">
        <w:rPr>
          <w:position w:val="-10"/>
          <w:sz w:val="20"/>
        </w:rPr>
        <w:object w:dxaOrig="660" w:dyaOrig="279">
          <v:shape id="_x0000_i1068" type="#_x0000_t75" style="width:33.3pt;height:14.5pt" o:ole="">
            <v:imagedata r:id="rId441" o:title=""/>
          </v:shape>
          <o:OLEObject Type="Embed" ProgID="Equation.DSMT4" ShapeID="_x0000_i1068" DrawAspect="Content" ObjectID="_1438188880" r:id="rId442"/>
        </w:object>
      </w:r>
      <w:r w:rsidRPr="00F87319">
        <w:rPr>
          <w:sz w:val="20"/>
        </w:rPr>
        <w:t>, where</w:t>
      </w:r>
      <w:r w:rsidRPr="00F87319">
        <w:rPr>
          <w:i/>
          <w:sz w:val="20"/>
        </w:rPr>
        <w:t xml:space="preserve"> c</w:t>
      </w:r>
      <w:r w:rsidRPr="00F87319">
        <w:rPr>
          <w:sz w:val="20"/>
        </w:rPr>
        <w:t xml:space="preserve"> is light speed, and </w:t>
      </w:r>
      <w:r w:rsidRPr="00F87319">
        <w:rPr>
          <w:i/>
          <w:sz w:val="20"/>
        </w:rPr>
        <w:t>f</w:t>
      </w:r>
      <w:r w:rsidRPr="00F87319">
        <w:rPr>
          <w:sz w:val="20"/>
        </w:rPr>
        <w:t xml:space="preserve"> is frequency, the wavelength </w:t>
      </w:r>
      <w:r w:rsidRPr="00F87319">
        <w:rPr>
          <w:i/>
          <w:sz w:val="20"/>
        </w:rPr>
        <w:t>W</w:t>
      </w:r>
      <w:r w:rsidRPr="00F87319">
        <w:rPr>
          <w:sz w:val="20"/>
        </w:rPr>
        <w:t xml:space="preserve"> remains constant.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460" w:dyaOrig="279">
          <v:shape id="_x0000_i1069" type="#_x0000_t75" style="width:23pt;height:14.5pt" o:ole="">
            <v:imagedata r:id="rId443" o:title=""/>
          </v:shape>
          <o:OLEObject Type="Embed" ProgID="Equation.DSMT4" ShapeID="_x0000_i1069" DrawAspect="Content" ObjectID="_1438188881" r:id="rId44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r w:rsidRPr="00F87319">
        <w:rPr>
          <w:sz w:val="20"/>
        </w:rPr>
        <w:t>Martin and Connor point out that there is no refraction or “bending” of the light beam if the wavelengths remain constant or are not “bunched up” in the new medium [14].  This means that there will be no refraction of light in transit with any universal ZPE changes, since wavelengths remain constant with all of them.</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1.10. The ZPE Replaces the Old Aether</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While ZPE provides something like an all-pervasive “ether”, it is one whose properties are vastly different from those imagined by physicists when the Michelson-Morley experiment was done.  The Zero Point Energy is the light carrying medium or “ether” that exists in reality.  The ZPE is Lorentz invariant, simply meaning you cannot distinguish any motion through it relative to itself, and the speed of light is the same in all directions.  If all this had been known then, the results of the M-M experiment could have been readily explained.  Interestingly, this would also mean that the necessity for Einstein's theory of relativity would have been eliminated.</w:t>
      </w:r>
    </w:p>
    <w:p w:rsidR="006D41BD" w:rsidRPr="00F87319" w:rsidRDefault="006D41BD" w:rsidP="006D41BD">
      <w:pPr>
        <w:pStyle w:val="NormPara"/>
        <w:ind w:firstLine="720"/>
        <w:rPr>
          <w:sz w:val="20"/>
        </w:rPr>
      </w:pPr>
    </w:p>
    <w:p w:rsidR="006D41BD" w:rsidRPr="00F87319" w:rsidRDefault="006D41BD" w:rsidP="006D41BD">
      <w:pPr>
        <w:pStyle w:val="NormPara"/>
        <w:ind w:firstLine="548"/>
        <w:rPr>
          <w:sz w:val="20"/>
        </w:rPr>
      </w:pPr>
      <w:r w:rsidRPr="00F87319">
        <w:rPr>
          <w:sz w:val="20"/>
        </w:rPr>
        <w:t>Effectively, then, there were three choices when the M-M results came in.</w:t>
      </w:r>
    </w:p>
    <w:p w:rsidR="006D41BD" w:rsidRPr="00F87319" w:rsidRDefault="006D41BD" w:rsidP="00252491">
      <w:pPr>
        <w:pStyle w:val="NoSpacing"/>
        <w:numPr>
          <w:ilvl w:val="0"/>
          <w:numId w:val="37"/>
        </w:numPr>
        <w:spacing w:before="80" w:line="240" w:lineRule="atLeast"/>
        <w:ind w:left="548" w:hanging="274"/>
        <w:jc w:val="both"/>
        <w:rPr>
          <w:rFonts w:ascii="Book Antiqua" w:hAnsi="Book Antiqua"/>
          <w:sz w:val="20"/>
        </w:rPr>
      </w:pPr>
      <w:r w:rsidRPr="00F87319">
        <w:rPr>
          <w:rFonts w:ascii="Book Antiqua" w:hAnsi="Book Antiqua"/>
          <w:sz w:val="20"/>
        </w:rPr>
        <w:t>The results can be explained by changes in the properties of matter, so that a moving object undergoes length contraction, mass increase, and time dilation.  This was the approach of Fitzgerald and Lorentz.</w:t>
      </w:r>
    </w:p>
    <w:p w:rsidR="006D41BD" w:rsidRPr="00F87319" w:rsidRDefault="006D41BD" w:rsidP="00252491">
      <w:pPr>
        <w:pStyle w:val="NoSpacing"/>
        <w:numPr>
          <w:ilvl w:val="0"/>
          <w:numId w:val="37"/>
        </w:numPr>
        <w:spacing w:line="240" w:lineRule="atLeast"/>
        <w:ind w:left="540" w:hanging="270"/>
        <w:jc w:val="both"/>
        <w:rPr>
          <w:rFonts w:ascii="Book Antiqua" w:hAnsi="Book Antiqua"/>
          <w:sz w:val="20"/>
        </w:rPr>
      </w:pPr>
      <w:r w:rsidRPr="00F87319">
        <w:rPr>
          <w:rFonts w:ascii="Book Antiqua" w:hAnsi="Book Antiqua"/>
          <w:sz w:val="20"/>
        </w:rPr>
        <w:t>Einstein proposed the second option, namely, that instead of physical changes in matter these same effects were due to changes in the properties of space and time.  This meant that the absoluteness of space and time, which had been introduced by Newton, had to be discarded.</w:t>
      </w:r>
    </w:p>
    <w:p w:rsidR="006D41BD" w:rsidRPr="00F87319" w:rsidRDefault="006D41BD" w:rsidP="00252491">
      <w:pPr>
        <w:pStyle w:val="NoSpacing"/>
        <w:numPr>
          <w:ilvl w:val="0"/>
          <w:numId w:val="37"/>
        </w:numPr>
        <w:spacing w:after="80" w:line="240" w:lineRule="atLeast"/>
        <w:ind w:left="548" w:hanging="274"/>
        <w:jc w:val="both"/>
        <w:rPr>
          <w:rFonts w:ascii="Book Antiqua" w:hAnsi="Book Antiqua"/>
          <w:sz w:val="20"/>
        </w:rPr>
      </w:pPr>
      <w:r w:rsidRPr="00F87319">
        <w:rPr>
          <w:rFonts w:ascii="Book Antiqua" w:hAnsi="Book Antiqua"/>
          <w:sz w:val="20"/>
        </w:rPr>
        <w:t>The third option was to conclude that the ether had entirely different properties than those imagined by scientists when the M-M experiment was done.</w:t>
      </w:r>
    </w:p>
    <w:p w:rsidR="006D41BD" w:rsidRPr="00F87319" w:rsidRDefault="006D41BD" w:rsidP="006D41BD">
      <w:pPr>
        <w:pStyle w:val="NoSpacing"/>
        <w:spacing w:after="80" w:line="240" w:lineRule="atLeast"/>
        <w:ind w:left="548"/>
        <w:jc w:val="both"/>
        <w:rPr>
          <w:rFonts w:ascii="Book Antiqua" w:hAnsi="Book Antiqua"/>
          <w:sz w:val="20"/>
        </w:rPr>
      </w:pPr>
    </w:p>
    <w:p w:rsidR="006D41BD" w:rsidRDefault="006D41BD" w:rsidP="006D41BD">
      <w:pPr>
        <w:pStyle w:val="NormPara"/>
        <w:ind w:firstLine="548"/>
        <w:rPr>
          <w:sz w:val="20"/>
        </w:rPr>
      </w:pPr>
      <w:r w:rsidRPr="00F87319">
        <w:rPr>
          <w:sz w:val="20"/>
        </w:rPr>
        <w:t>Although the Fitzgerald and Lorentz propositions (1) were complicated, Einstein’s solution to the problem (2) was even more complicated and esoteric.  The third option was, and is, far simpler than either of the other two.  History, experiment, data, and theory have all shown that the third option would have been the simpler, better way to go.  It has been discovered that the “ether” of the ZPE has a frequency distribution which makes it Lorentz invariant, so motion through this “ether” cannot be detected. In addition, the speed of light depends only on the energy density of the ZPE “ether”, which is independent of the direction of travel.  The mathematical models proposed by Fitzgerald, Lorentz, and Einstein were unnecessarily complex.  For that reason alone, they should have been regarded with suspicion and the third option given some serious thought.  The existence of the real, not virtual, Zero Point Energy gives good physical reasons why these things happen, without resorting to esoteric mathematics which are not connected to reality.</w:t>
      </w:r>
    </w:p>
    <w:p w:rsidR="004C0B55" w:rsidRPr="00F87319" w:rsidRDefault="004C0B55" w:rsidP="006D41BD">
      <w:pPr>
        <w:pStyle w:val="NormPara"/>
        <w:ind w:firstLine="548"/>
        <w:rPr>
          <w:sz w:val="20"/>
        </w:rPr>
      </w:pPr>
    </w:p>
    <w:p w:rsidR="006D41BD" w:rsidRPr="00F87319" w:rsidRDefault="006D41BD" w:rsidP="006D41BD">
      <w:pPr>
        <w:pStyle w:val="Els-body-text"/>
        <w:rPr>
          <w:rFonts w:ascii="Book Antiqua" w:hAnsi="Book Antiqua"/>
        </w:rPr>
      </w:pP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lastRenderedPageBreak/>
        <w:t>1.11 Special Relativity and Maxwell’s Equations</w:t>
      </w:r>
    </w:p>
    <w:p w:rsidR="006D41BD" w:rsidRPr="00F87319" w:rsidRDefault="006D41BD" w:rsidP="006D41BD">
      <w:pPr>
        <w:rPr>
          <w:rFonts w:ascii="Book Antiqua" w:hAnsi="Book Antiqua"/>
        </w:rPr>
      </w:pPr>
    </w:p>
    <w:p w:rsidR="006D41BD" w:rsidRPr="00F87319" w:rsidRDefault="006D41BD" w:rsidP="006D41BD">
      <w:pPr>
        <w:pStyle w:val="NormPara"/>
        <w:ind w:firstLine="548"/>
        <w:rPr>
          <w:szCs w:val="18"/>
        </w:rPr>
      </w:pPr>
      <w:r w:rsidRPr="00F87319">
        <w:rPr>
          <w:szCs w:val="18"/>
        </w:rPr>
        <w:t xml:space="preserve">It is customary procedure to derive Maxwell’s equations describing electromagnetic phenomena from relativity.  This gives relativity additional credibility.  Because of this approach, it may be objected that Eq. (5) is obtained on the assumption that </w:t>
      </w:r>
      <w:r w:rsidRPr="00F87319">
        <w:rPr>
          <w:rStyle w:val="Emphasis"/>
          <w:b/>
          <w:bCs/>
          <w:szCs w:val="18"/>
        </w:rPr>
        <w:t>c</w:t>
      </w:r>
      <w:r w:rsidRPr="00F87319">
        <w:rPr>
          <w:szCs w:val="18"/>
        </w:rPr>
        <w:t xml:space="preserve"> is a constant.  But, as shown by Bleany and Bleany </w:t>
      </w:r>
      <w:hyperlink r:id="rId445" w:anchor="7a196" w:history="1">
        <w:r w:rsidRPr="00F87319">
          <w:rPr>
            <w:rStyle w:val="Hyperlink"/>
            <w:szCs w:val="18"/>
          </w:rPr>
          <w:t>[15]</w:t>
        </w:r>
      </w:hyperlink>
      <w:r w:rsidRPr="00F87319">
        <w:rPr>
          <w:szCs w:val="18"/>
        </w:rPr>
        <w:t xml:space="preserve">, (5) can be readily derived without any initial assumptions about the behavior of </w:t>
      </w:r>
      <w:r w:rsidRPr="00F87319">
        <w:rPr>
          <w:rStyle w:val="Emphasis"/>
          <w:bCs/>
          <w:szCs w:val="18"/>
        </w:rPr>
        <w:t>c</w:t>
      </w:r>
      <w:r w:rsidRPr="00F87319">
        <w:rPr>
          <w:szCs w:val="18"/>
        </w:rPr>
        <w:t xml:space="preserve">, </w:t>
      </w:r>
      <w:r w:rsidRPr="00F87319">
        <w:rPr>
          <w:rStyle w:val="style41"/>
          <w:bCs/>
          <w:szCs w:val="18"/>
        </w:rPr>
        <w:t>ε</w:t>
      </w:r>
      <w:r w:rsidRPr="00F87319">
        <w:rPr>
          <w:szCs w:val="18"/>
        </w:rPr>
        <w:t xml:space="preserve">, or </w:t>
      </w:r>
      <w:r w:rsidRPr="00F87319">
        <w:rPr>
          <w:rStyle w:val="Emphasis"/>
          <w:bCs/>
          <w:szCs w:val="18"/>
        </w:rPr>
        <w:t>μ</w:t>
      </w:r>
      <w:r w:rsidRPr="00F87319">
        <w:rPr>
          <w:szCs w:val="18"/>
        </w:rPr>
        <w:t xml:space="preserve">, just as Maxwell himself did many years before relativity was introduced.  This is done by obtaining a set of four simultaneous partial </w:t>
      </w:r>
      <w:r w:rsidRPr="00F87319">
        <w:t>differential</w:t>
      </w:r>
      <w:r w:rsidRPr="00F87319">
        <w:rPr>
          <w:szCs w:val="18"/>
        </w:rPr>
        <w:t xml:space="preserve"> equations based on</w:t>
      </w:r>
    </w:p>
    <w:p w:rsidR="006D41BD" w:rsidRPr="00F87319" w:rsidRDefault="006D41BD" w:rsidP="00252491">
      <w:pPr>
        <w:pStyle w:val="NoSpacing"/>
        <w:numPr>
          <w:ilvl w:val="0"/>
          <w:numId w:val="38"/>
        </w:numPr>
        <w:spacing w:before="80" w:line="240" w:lineRule="atLeast"/>
        <w:ind w:left="548" w:hanging="274"/>
        <w:jc w:val="both"/>
        <w:rPr>
          <w:rFonts w:ascii="Book Antiqua" w:hAnsi="Book Antiqua"/>
          <w:sz w:val="18"/>
          <w:szCs w:val="18"/>
        </w:rPr>
      </w:pPr>
      <w:r w:rsidRPr="00F87319">
        <w:rPr>
          <w:rFonts w:ascii="Book Antiqua" w:hAnsi="Book Antiqua"/>
          <w:sz w:val="18"/>
          <w:szCs w:val="18"/>
        </w:rPr>
        <w:t>Gauss’s theorem applied to electrostatics,</w:t>
      </w:r>
    </w:p>
    <w:p w:rsidR="006D41BD" w:rsidRPr="00F87319" w:rsidRDefault="006D41BD" w:rsidP="00252491">
      <w:pPr>
        <w:pStyle w:val="NoSpacing"/>
        <w:numPr>
          <w:ilvl w:val="0"/>
          <w:numId w:val="38"/>
        </w:numPr>
        <w:spacing w:line="240" w:lineRule="atLeast"/>
        <w:ind w:left="540" w:hanging="270"/>
        <w:jc w:val="both"/>
        <w:rPr>
          <w:rFonts w:ascii="Book Antiqua" w:hAnsi="Book Antiqua"/>
          <w:sz w:val="18"/>
          <w:szCs w:val="18"/>
        </w:rPr>
      </w:pPr>
      <w:r w:rsidRPr="00F87319">
        <w:rPr>
          <w:rFonts w:ascii="Book Antiqua" w:hAnsi="Book Antiqua"/>
          <w:sz w:val="18"/>
          <w:szCs w:val="18"/>
        </w:rPr>
        <w:t>Gauss’s theorem applied to magnetic fields,</w:t>
      </w:r>
    </w:p>
    <w:p w:rsidR="006D41BD" w:rsidRPr="00F87319" w:rsidRDefault="006D41BD" w:rsidP="00252491">
      <w:pPr>
        <w:pStyle w:val="NoSpacing"/>
        <w:numPr>
          <w:ilvl w:val="0"/>
          <w:numId w:val="38"/>
        </w:numPr>
        <w:spacing w:line="240" w:lineRule="atLeast"/>
        <w:ind w:left="540" w:hanging="270"/>
        <w:jc w:val="both"/>
        <w:rPr>
          <w:rFonts w:ascii="Book Antiqua" w:hAnsi="Book Antiqua"/>
          <w:sz w:val="18"/>
          <w:szCs w:val="18"/>
        </w:rPr>
      </w:pPr>
      <w:r w:rsidRPr="00F87319">
        <w:rPr>
          <w:rFonts w:ascii="Book Antiqua" w:hAnsi="Book Antiqua"/>
          <w:sz w:val="18"/>
          <w:szCs w:val="18"/>
        </w:rPr>
        <w:t>Faraday’s and Lenz’s law of electromagnetic induction,</w:t>
      </w:r>
    </w:p>
    <w:p w:rsidR="006D41BD" w:rsidRPr="00F87319" w:rsidRDefault="006D41BD" w:rsidP="00252491">
      <w:pPr>
        <w:pStyle w:val="NoSpacing"/>
        <w:numPr>
          <w:ilvl w:val="0"/>
          <w:numId w:val="38"/>
        </w:numPr>
        <w:spacing w:after="80" w:line="240" w:lineRule="atLeast"/>
        <w:ind w:left="548" w:hanging="274"/>
        <w:jc w:val="both"/>
        <w:rPr>
          <w:rFonts w:ascii="Book Antiqua" w:hAnsi="Book Antiqua"/>
          <w:sz w:val="18"/>
          <w:szCs w:val="18"/>
        </w:rPr>
      </w:pPr>
      <w:r w:rsidRPr="00F87319">
        <w:rPr>
          <w:rFonts w:ascii="Book Antiqua" w:hAnsi="Book Antiqua"/>
          <w:sz w:val="18"/>
          <w:szCs w:val="18"/>
        </w:rPr>
        <w:t>Ampere’s law for magnetomotive force.</w:t>
      </w:r>
    </w:p>
    <w:p w:rsidR="006D41BD" w:rsidRPr="00F87319" w:rsidRDefault="006D41BD" w:rsidP="006D41BD">
      <w:pPr>
        <w:pStyle w:val="NormPara"/>
        <w:ind w:firstLine="0"/>
        <w:rPr>
          <w:szCs w:val="18"/>
        </w:rPr>
      </w:pPr>
      <w:r w:rsidRPr="00F87319">
        <w:rPr>
          <w:szCs w:val="18"/>
        </w:rPr>
        <w:t xml:space="preserve">It can be shown </w:t>
      </w:r>
      <w:r w:rsidRPr="00F87319">
        <w:t>that</w:t>
      </w:r>
      <w:r w:rsidRPr="00F87319">
        <w:rPr>
          <w:szCs w:val="18"/>
        </w:rPr>
        <w:t xml:space="preserve"> the equations from 1. and 2. become [15]</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rStyle w:val="Strong"/>
          <w:rFonts w:eastAsia="Lucida Sans Unicode"/>
          <w:b w:val="0"/>
          <w:i/>
          <w:szCs w:val="18"/>
        </w:rPr>
      </w:pPr>
      <w:r w:rsidRPr="00F87319">
        <w:rPr>
          <w:rStyle w:val="style21"/>
          <w:rFonts w:eastAsia="Calibri"/>
          <w:bCs/>
          <w:szCs w:val="18"/>
        </w:rPr>
        <w:tab/>
      </w:r>
      <w:r w:rsidRPr="00F87319">
        <w:rPr>
          <w:rStyle w:val="style21"/>
          <w:rFonts w:eastAsia="Calibri"/>
          <w:bCs/>
          <w:szCs w:val="18"/>
        </w:rPr>
        <w:object w:dxaOrig="840" w:dyaOrig="320">
          <v:shape id="_x0000_i1070" type="#_x0000_t75" style="width:41.75pt;height:15.75pt" o:ole="">
            <v:imagedata r:id="rId446" o:title=""/>
          </v:shape>
          <o:OLEObject Type="Embed" ProgID="Equation.3" ShapeID="_x0000_i1070" DrawAspect="Content" ObjectID="_1438188882" r:id="rId447"/>
        </w:object>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rong"/>
          <w:rFonts w:eastAsia="Lucida Sans Unicode"/>
          <w:b w:val="0"/>
          <w:szCs w:val="18"/>
        </w:rPr>
        <w:tab/>
      </w:r>
      <w:r w:rsidRPr="00F87319">
        <w:rPr>
          <w:rStyle w:val="Strong"/>
          <w:rFonts w:eastAsia="Lucida Sans Unicode"/>
          <w:b w:val="0"/>
          <w:i/>
          <w:szCs w:val="18"/>
        </w:rPr>
        <w:t>(8)</w:t>
      </w:r>
    </w:p>
    <w:p w:rsidR="006D41BD" w:rsidRPr="00F87319" w:rsidRDefault="006D41BD" w:rsidP="006D41BD">
      <w:pPr>
        <w:pStyle w:val="equation"/>
        <w:spacing w:before="80" w:after="80"/>
        <w:jc w:val="right"/>
        <w:rPr>
          <w:rStyle w:val="Strong"/>
          <w:rFonts w:eastAsia="Lucida Sans Unicode"/>
          <w:b w:val="0"/>
          <w:szCs w:val="18"/>
        </w:rPr>
      </w:pPr>
    </w:p>
    <w:p w:rsidR="006D41BD" w:rsidRPr="00F87319" w:rsidRDefault="006D41BD" w:rsidP="006D41BD">
      <w:pPr>
        <w:pStyle w:val="equation"/>
        <w:spacing w:before="80" w:after="80"/>
        <w:jc w:val="right"/>
        <w:rPr>
          <w:i/>
          <w:szCs w:val="18"/>
        </w:rPr>
      </w:pPr>
      <w:r w:rsidRPr="00F87319">
        <w:rPr>
          <w:rStyle w:val="Emphasis"/>
          <w:bCs/>
          <w:i w:val="0"/>
          <w:szCs w:val="18"/>
        </w:rPr>
        <w:t>And</w:t>
      </w:r>
      <w:r w:rsidRPr="00F87319">
        <w:rPr>
          <w:rStyle w:val="Emphasis"/>
          <w:bCs/>
          <w:i w:val="0"/>
          <w:szCs w:val="18"/>
        </w:rPr>
        <w:tab/>
      </w:r>
      <w:r w:rsidRPr="00F87319">
        <w:rPr>
          <w:rStyle w:val="Emphasis"/>
          <w:bCs/>
          <w:i w:val="0"/>
          <w:szCs w:val="18"/>
        </w:rPr>
        <w:object w:dxaOrig="920" w:dyaOrig="320">
          <v:shape id="_x0000_i1071" type="#_x0000_t75" style="width:46pt;height:15.75pt" o:ole="">
            <v:imagedata r:id="rId448" o:title=""/>
          </v:shape>
          <o:OLEObject Type="Embed" ProgID="Equation.DSMT4" ShapeID="_x0000_i1071" DrawAspect="Content" ObjectID="_1438188883" r:id="rId449"/>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szCs w:val="18"/>
        </w:rPr>
        <w:tab/>
      </w:r>
      <w:r w:rsidRPr="00F87319">
        <w:rPr>
          <w:i/>
          <w:szCs w:val="18"/>
        </w:rPr>
        <w:t>(9)</w:t>
      </w:r>
    </w:p>
    <w:p w:rsidR="006D41BD" w:rsidRPr="00F87319" w:rsidRDefault="006D41BD" w:rsidP="006D41BD">
      <w:pPr>
        <w:pStyle w:val="equation"/>
        <w:spacing w:before="80" w:after="80"/>
        <w:jc w:val="right"/>
        <w:rPr>
          <w:i/>
          <w:szCs w:val="18"/>
        </w:rPr>
      </w:pPr>
    </w:p>
    <w:p w:rsidR="006D41BD" w:rsidRPr="00F87319" w:rsidRDefault="006D41BD" w:rsidP="006D41BD">
      <w:pPr>
        <w:pStyle w:val="NormPara"/>
        <w:ind w:firstLine="0"/>
        <w:rPr>
          <w:szCs w:val="18"/>
        </w:rPr>
      </w:pPr>
      <w:proofErr w:type="gramStart"/>
      <w:r w:rsidRPr="00F87319">
        <w:rPr>
          <w:szCs w:val="18"/>
        </w:rPr>
        <w:t>for</w:t>
      </w:r>
      <w:proofErr w:type="gramEnd"/>
      <w:r w:rsidRPr="00F87319">
        <w:rPr>
          <w:szCs w:val="18"/>
        </w:rPr>
        <w:t xml:space="preserve"> a vacuum, and so are independent of any variations in </w:t>
      </w:r>
      <w:r w:rsidRPr="00F87319">
        <w:rPr>
          <w:position w:val="-6"/>
          <w:szCs w:val="18"/>
        </w:rPr>
        <w:object w:dxaOrig="160" w:dyaOrig="200">
          <v:shape id="_x0000_i1072" type="#_x0000_t75" style="width:8.45pt;height:9.7pt" o:ole="">
            <v:imagedata r:id="rId450" o:title=""/>
          </v:shape>
          <o:OLEObject Type="Embed" ProgID="Equation.DSMT4" ShapeID="_x0000_i1072" DrawAspect="Content" ObjectID="_1438188884" r:id="rId451"/>
        </w:object>
      </w:r>
      <w:r w:rsidRPr="00F87319">
        <w:rPr>
          <w:szCs w:val="18"/>
        </w:rPr>
        <w:t>and</w:t>
      </w:r>
      <w:r w:rsidRPr="00F87319">
        <w:rPr>
          <w:position w:val="-8"/>
          <w:szCs w:val="18"/>
        </w:rPr>
        <w:object w:dxaOrig="200" w:dyaOrig="220">
          <v:shape id="_x0000_i1073" type="#_x0000_t75" style="width:9.7pt;height:10.3pt" o:ole="">
            <v:imagedata r:id="rId452" o:title=""/>
          </v:shape>
          <o:OLEObject Type="Embed" ProgID="PowerPoint.Slide.12" ShapeID="_x0000_i1073" DrawAspect="Content" ObjectID="_1438188885" r:id="rId453"/>
        </w:object>
      </w:r>
      <w:r w:rsidRPr="00F87319">
        <w:rPr>
          <w:szCs w:val="18"/>
        </w:rPr>
        <w:t xml:space="preserve">.  Further, it can be shown that </w:t>
      </w:r>
      <w:r w:rsidRPr="00F87319">
        <w:t>the</w:t>
      </w:r>
      <w:r w:rsidRPr="00F87319">
        <w:rPr>
          <w:szCs w:val="18"/>
        </w:rPr>
        <w:t xml:space="preserve"> equations from 3. and 4. eventually become</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szCs w:val="18"/>
        </w:rPr>
      </w:pPr>
      <w:r w:rsidRPr="00F87319">
        <w:rPr>
          <w:rStyle w:val="Emphasis"/>
          <w:bCs/>
          <w:i w:val="0"/>
          <w:szCs w:val="18"/>
        </w:rPr>
        <w:tab/>
      </w:r>
      <w:r w:rsidRPr="00F87319">
        <w:rPr>
          <w:rStyle w:val="Emphasis"/>
          <w:bCs/>
          <w:i w:val="0"/>
          <w:szCs w:val="18"/>
        </w:rPr>
        <w:object w:dxaOrig="1160" w:dyaOrig="540">
          <v:shape id="_x0000_i1074" type="#_x0000_t75" style="width:57.5pt;height:27.25pt" o:ole="">
            <v:imagedata r:id="rId454" o:title=""/>
          </v:shape>
          <o:OLEObject Type="Embed" ProgID="PowerPoint.Slide.12" ShapeID="_x0000_i1074" DrawAspect="Content" ObjectID="_1438188886" r:id="rId455"/>
        </w:objec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(10)</w:t>
      </w:r>
    </w:p>
    <w:p w:rsidR="006D41BD" w:rsidRPr="00F87319" w:rsidRDefault="006D41BD" w:rsidP="006D41BD">
      <w:pPr>
        <w:pStyle w:val="equation"/>
        <w:spacing w:before="80" w:after="80"/>
        <w:jc w:val="right"/>
        <w:rPr>
          <w:szCs w:val="18"/>
        </w:rPr>
      </w:pPr>
      <w:proofErr w:type="gramStart"/>
      <w:r w:rsidRPr="00F87319">
        <w:rPr>
          <w:rStyle w:val="Emphasis"/>
          <w:bCs/>
          <w:i w:val="0"/>
          <w:szCs w:val="18"/>
        </w:rPr>
        <w:t>and</w:t>
      </w:r>
      <w:proofErr w:type="gramEnd"/>
      <w:r w:rsidRPr="00F87319">
        <w:rPr>
          <w:rStyle w:val="Emphasis"/>
          <w:bCs/>
          <w:i w:val="0"/>
          <w:szCs w:val="18"/>
        </w:rPr>
        <w:tab/>
      </w:r>
      <w:r w:rsidRPr="00F87319">
        <w:rPr>
          <w:rStyle w:val="Emphasis"/>
          <w:bCs/>
          <w:i w:val="0"/>
          <w:szCs w:val="18"/>
        </w:rPr>
        <w:object w:dxaOrig="1040" w:dyaOrig="540">
          <v:shape id="_x0000_i1075" type="#_x0000_t75" style="width:52.05pt;height:27.25pt" o:ole="">
            <v:imagedata r:id="rId456" o:title=""/>
          </v:shape>
          <o:OLEObject Type="Embed" ProgID="Equation.DSMT4" ShapeID="_x0000_i1075" DrawAspect="Content" ObjectID="_1438188887" r:id="rId457"/>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
          <w:bCs/>
          <w:szCs w:val="18"/>
        </w:rPr>
        <w:tab/>
      </w:r>
      <w:r w:rsidRPr="00F87319">
        <w:rPr>
          <w:i/>
          <w:szCs w:val="18"/>
        </w:rPr>
        <w:t>(11)</w:t>
      </w:r>
    </w:p>
    <w:p w:rsidR="006D41BD" w:rsidRPr="00F87319" w:rsidRDefault="006D41BD" w:rsidP="006D41BD">
      <w:pPr>
        <w:pStyle w:val="NormPara"/>
        <w:ind w:firstLine="720"/>
        <w:rPr>
          <w:szCs w:val="18"/>
        </w:rPr>
      </w:pPr>
      <w:r w:rsidRPr="00F87319">
        <w:rPr>
          <w:szCs w:val="18"/>
        </w:rPr>
        <w:t>Provided that</w:t>
      </w:r>
      <w:r w:rsidRPr="00F87319">
        <w:rPr>
          <w:position w:val="-8"/>
          <w:szCs w:val="18"/>
        </w:rPr>
        <w:object w:dxaOrig="200" w:dyaOrig="220">
          <v:shape id="_x0000_i1076" type="#_x0000_t75" style="width:9.7pt;height:10.3pt" o:ole="">
            <v:imagedata r:id="rId458" o:title=""/>
          </v:shape>
          <o:OLEObject Type="Embed" ProgID="PowerPoint.Slide.12" ShapeID="_x0000_i1076" DrawAspect="Content" ObjectID="_1438188888" r:id="rId459"/>
        </w:object>
      </w:r>
      <w:r w:rsidRPr="00F87319">
        <w:rPr>
          <w:szCs w:val="18"/>
        </w:rPr>
        <w:t>varies slowly with respect to</w:t>
      </w:r>
      <w:r w:rsidRPr="00F87319">
        <w:rPr>
          <w:position w:val="-4"/>
          <w:szCs w:val="18"/>
        </w:rPr>
        <w:object w:dxaOrig="220" w:dyaOrig="260">
          <v:shape id="_x0000_i1077" type="#_x0000_t75" style="width:10.3pt;height:12.7pt" o:ole="">
            <v:imagedata r:id="rId460" o:title=""/>
          </v:shape>
          <o:OLEObject Type="Embed" ProgID="Equation.DSMT4" ShapeID="_x0000_i1077" DrawAspect="Content" ObjectID="_1438188889" r:id="rId461"/>
        </w:object>
      </w:r>
      <w:r w:rsidRPr="00F87319">
        <w:rPr>
          <w:szCs w:val="18"/>
        </w:rPr>
        <w:t xml:space="preserve">, and that </w:t>
      </w:r>
      <m:oMath>
        <m:r>
          <w:rPr>
            <w:rFonts w:ascii="Cambria Math" w:hAnsi="Cambria Math"/>
            <w:szCs w:val="18"/>
          </w:rPr>
          <m:t>ε</m:t>
        </m:r>
      </m:oMath>
      <w:r w:rsidRPr="00F87319">
        <w:rPr>
          <w:szCs w:val="18"/>
        </w:rPr>
        <w:t xml:space="preserve"> varies slowly with respect </w:t>
      </w:r>
      <w:proofErr w:type="gramStart"/>
      <w:r w:rsidRPr="00F87319">
        <w:rPr>
          <w:szCs w:val="18"/>
        </w:rPr>
        <w:t xml:space="preserve">to </w:t>
      </w:r>
      <w:proofErr w:type="gramEnd"/>
      <w:r w:rsidRPr="00F87319">
        <w:rPr>
          <w:position w:val="-4"/>
          <w:szCs w:val="18"/>
        </w:rPr>
        <w:object w:dxaOrig="180" w:dyaOrig="260">
          <v:shape id="_x0000_i1078" type="#_x0000_t75" style="width:9.1pt;height:12.7pt" o:ole="">
            <v:imagedata r:id="rId462" o:title=""/>
          </v:shape>
          <o:OLEObject Type="Embed" ProgID="PowerPoint.Slide.12" ShapeID="_x0000_i1078" DrawAspect="Content" ObjectID="_1438188890" r:id="rId463"/>
        </w:object>
      </w:r>
      <w:r w:rsidRPr="00F87319">
        <w:rPr>
          <w:szCs w:val="18"/>
        </w:rPr>
        <w:t>, this formulation is still valid.  The general wave equation which 1, 2, 3, and 4 reduce to then has the form</w:t>
      </w:r>
      <w:r w:rsidRPr="00F87319">
        <w:rPr>
          <w:szCs w:val="18"/>
        </w:rPr>
        <w:tab/>
      </w:r>
    </w:p>
    <w:p w:rsidR="006D41BD" w:rsidRPr="00F87319" w:rsidRDefault="006D41BD" w:rsidP="006D41BD">
      <w:pPr>
        <w:pStyle w:val="equation"/>
        <w:spacing w:before="0" w:after="80"/>
        <w:jc w:val="right"/>
        <w:rPr>
          <w:rStyle w:val="Strong"/>
          <w:rFonts w:eastAsia="Lucida Sans Unicode"/>
          <w:b w:val="0"/>
          <w:szCs w:val="18"/>
        </w:rPr>
      </w:pPr>
      <w:r w:rsidRPr="00F87319">
        <w:rPr>
          <w:rStyle w:val="Emphasis"/>
          <w:bCs/>
          <w:i w:val="0"/>
          <w:szCs w:val="18"/>
        </w:rPr>
        <w:tab/>
      </w:r>
      <w:r w:rsidRPr="00F87319">
        <w:rPr>
          <w:rStyle w:val="Emphasis"/>
          <w:bCs/>
          <w:i w:val="0"/>
          <w:szCs w:val="18"/>
        </w:rPr>
        <w:object w:dxaOrig="1219" w:dyaOrig="580">
          <v:shape id="_x0000_i1079" type="#_x0000_t75" style="width:60.5pt;height:29.05pt" o:ole="">
            <v:imagedata r:id="rId464" o:title=""/>
          </v:shape>
          <o:OLEObject Type="Embed" ProgID="PowerPoint.Slide.12" ShapeID="_x0000_i1079" DrawAspect="Content" ObjectID="_1438188891" r:id="rId465"/>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Strong"/>
          <w:rFonts w:eastAsia="Lucida Sans Unicode"/>
          <w:szCs w:val="18"/>
        </w:rPr>
        <w:tab/>
      </w:r>
      <w:r w:rsidRPr="00F87319">
        <w:rPr>
          <w:rStyle w:val="Strong"/>
          <w:rFonts w:eastAsia="Lucida Sans Unicode"/>
          <w:szCs w:val="18"/>
        </w:rPr>
        <w:tab/>
      </w:r>
      <w:r w:rsidRPr="00F87319">
        <w:rPr>
          <w:rStyle w:val="Strong"/>
          <w:rFonts w:eastAsia="Lucida Sans Unicode"/>
          <w:b w:val="0"/>
          <w:i/>
          <w:szCs w:val="18"/>
        </w:rPr>
        <w:t>(12)</w:t>
      </w:r>
    </w:p>
    <w:p w:rsidR="006D41BD" w:rsidRPr="00F87319" w:rsidRDefault="006D41BD" w:rsidP="006D41BD">
      <w:pPr>
        <w:pStyle w:val="equation"/>
        <w:spacing w:before="0" w:after="80"/>
        <w:jc w:val="right"/>
        <w:rPr>
          <w:rStyle w:val="Strong"/>
          <w:rFonts w:eastAsia="Lucida Sans Unicode"/>
          <w:szCs w:val="18"/>
        </w:rPr>
      </w:pPr>
    </w:p>
    <w:p w:rsidR="006D41BD" w:rsidRPr="00F87319" w:rsidRDefault="006D41BD" w:rsidP="006D41BD">
      <w:pPr>
        <w:pStyle w:val="equation"/>
        <w:spacing w:before="80" w:after="80"/>
        <w:jc w:val="right"/>
        <w:rPr>
          <w:i/>
          <w:szCs w:val="18"/>
        </w:rPr>
      </w:pPr>
      <w:proofErr w:type="gramStart"/>
      <w:r w:rsidRPr="00F87319">
        <w:rPr>
          <w:rStyle w:val="Emphasis"/>
          <w:bCs/>
          <w:i w:val="0"/>
          <w:szCs w:val="18"/>
        </w:rPr>
        <w:t>where</w:t>
      </w:r>
      <w:proofErr w:type="gramEnd"/>
      <w:r w:rsidRPr="00F87319">
        <w:rPr>
          <w:rStyle w:val="Emphasis"/>
          <w:bCs/>
          <w:i w:val="0"/>
          <w:szCs w:val="18"/>
        </w:rPr>
        <w:tab/>
      </w:r>
      <w:r w:rsidRPr="00F87319">
        <w:rPr>
          <w:rStyle w:val="Emphasis"/>
          <w:bCs/>
          <w:i w:val="0"/>
          <w:szCs w:val="18"/>
        </w:rPr>
        <w:object w:dxaOrig="1040" w:dyaOrig="520">
          <v:shape id="_x0000_i1080" type="#_x0000_t75" style="width:52.05pt;height:26pt" o:ole="">
            <v:imagedata r:id="rId466" o:title=""/>
          </v:shape>
          <o:OLEObject Type="Embed" ProgID="PowerPoint.Slide.12" ShapeID="_x0000_i1080" DrawAspect="Content" ObjectID="_1438188892" r:id="rId467"/>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(13)</w:t>
      </w:r>
    </w:p>
    <w:p w:rsidR="006D41BD" w:rsidRPr="00F87319" w:rsidRDefault="006D41BD" w:rsidP="006D41BD">
      <w:pPr>
        <w:pStyle w:val="equation"/>
        <w:spacing w:before="80" w:after="80"/>
        <w:jc w:val="right"/>
        <w:rPr>
          <w:szCs w:val="18"/>
        </w:rPr>
      </w:pPr>
    </w:p>
    <w:p w:rsidR="006D41BD" w:rsidRPr="00F87319" w:rsidRDefault="006D41BD" w:rsidP="006D41BD">
      <w:pPr>
        <w:pStyle w:val="NormPara"/>
        <w:ind w:firstLine="0"/>
        <w:rPr>
          <w:szCs w:val="18"/>
        </w:rPr>
      </w:pPr>
      <w:r w:rsidRPr="00F87319">
        <w:rPr>
          <w:szCs w:val="18"/>
        </w:rPr>
        <w:t xml:space="preserve">and </w:t>
      </w:r>
      <w:r w:rsidRPr="00F87319">
        <w:rPr>
          <w:rStyle w:val="Emphasis"/>
          <w:b/>
          <w:bCs/>
          <w:i w:val="0"/>
          <w:szCs w:val="18"/>
        </w:rPr>
        <w:t>A</w:t>
      </w:r>
      <w:r w:rsidRPr="00F87319">
        <w:rPr>
          <w:szCs w:val="18"/>
        </w:rPr>
        <w:t xml:space="preserve"> is some scalar or vector quantity.  Again, this equation is valid for describing wave motion provided that </w:t>
      </w:r>
      <w:r w:rsidRPr="00F87319">
        <w:rPr>
          <w:position w:val="-6"/>
          <w:szCs w:val="18"/>
        </w:rPr>
        <w:object w:dxaOrig="260" w:dyaOrig="300">
          <v:shape id="_x0000_i1081" type="#_x0000_t75" style="width:12.7pt;height:15.15pt" o:ole="">
            <v:imagedata r:id="rId468" o:title=""/>
          </v:shape>
          <o:OLEObject Type="Embed" ProgID="Equation.DSMT4" ShapeID="_x0000_i1081" DrawAspect="Content" ObjectID="_1438188893" r:id="rId469"/>
        </w:object>
      </w:r>
      <w:r w:rsidRPr="00F87319">
        <w:rPr>
          <w:szCs w:val="18"/>
        </w:rPr>
        <w:t xml:space="preserve"> varies slowly with respect to </w:t>
      </w:r>
      <w:r w:rsidRPr="00F87319">
        <w:rPr>
          <w:rStyle w:val="Emphasis"/>
          <w:b/>
          <w:bCs/>
          <w:i w:val="0"/>
          <w:szCs w:val="18"/>
        </w:rPr>
        <w:t>A</w:t>
      </w:r>
      <w:r w:rsidRPr="00F87319">
        <w:rPr>
          <w:szCs w:val="18"/>
        </w:rPr>
        <w:t xml:space="preserve">.  Since a ZPE change manifests as a change </w:t>
      </w:r>
      <w:proofErr w:type="gramStart"/>
      <w:r w:rsidRPr="00F87319">
        <w:rPr>
          <w:szCs w:val="18"/>
        </w:rPr>
        <w:t xml:space="preserve">in </w:t>
      </w:r>
      <w:proofErr w:type="gramEnd"/>
      <w:r w:rsidRPr="00F87319">
        <w:rPr>
          <w:position w:val="-6"/>
          <w:szCs w:val="18"/>
        </w:rPr>
        <w:object w:dxaOrig="180" w:dyaOrig="200">
          <v:shape id="_x0000_i1082" type="#_x0000_t75" style="width:9.1pt;height:9.7pt" o:ole="">
            <v:imagedata r:id="rId470" o:title=""/>
          </v:shape>
          <o:OLEObject Type="Embed" ProgID="Equation.DSMT4" ShapeID="_x0000_i1082" DrawAspect="Content" ObjectID="_1438188894" r:id="rId471"/>
        </w:object>
      </w:r>
      <w:r w:rsidRPr="00F87319">
        <w:rPr>
          <w:szCs w:val="18"/>
        </w:rPr>
        <w:t xml:space="preserve">, </w:t>
      </w:r>
      <w:r w:rsidRPr="00F87319">
        <w:rPr>
          <w:position w:val="-8"/>
          <w:szCs w:val="18"/>
        </w:rPr>
        <w:object w:dxaOrig="200" w:dyaOrig="220">
          <v:shape id="_x0000_i1083" type="#_x0000_t75" style="width:9.7pt;height:10.3pt" o:ole="">
            <v:imagedata r:id="rId472" o:title=""/>
          </v:shape>
          <o:OLEObject Type="Embed" ProgID="Equation.DSMT4" ShapeID="_x0000_i1083" DrawAspect="Content" ObjectID="_1438188895" r:id="rId473"/>
        </w:object>
      </w:r>
      <w:r w:rsidRPr="00F87319">
        <w:rPr>
          <w:szCs w:val="18"/>
        </w:rPr>
        <w:t xml:space="preserve">, and </w:t>
      </w:r>
      <w:r w:rsidRPr="00F87319">
        <w:rPr>
          <w:position w:val="-6"/>
          <w:szCs w:val="18"/>
        </w:rPr>
        <w:object w:dxaOrig="160" w:dyaOrig="200">
          <v:shape id="_x0000_i1084" type="#_x0000_t75" style="width:8.45pt;height:9.7pt" o:ole="">
            <v:imagedata r:id="rId474" o:title=""/>
          </v:shape>
          <o:OLEObject Type="Embed" ProgID="Equation.DSMT4" ShapeID="_x0000_i1084" DrawAspect="Content" ObjectID="_1438188896" r:id="rId475"/>
        </w:object>
      </w:r>
      <w:r w:rsidRPr="00F87319">
        <w:rPr>
          <w:szCs w:val="18"/>
        </w:rPr>
        <w:t xml:space="preserve">, as well as proportional changes in atomic clock rates, this condition is always maintained.  In addition, another derivation of Maxwell’s equations </w:t>
      </w:r>
      <w:r w:rsidRPr="00F87319">
        <w:t>shows</w:t>
      </w:r>
      <w:r w:rsidRPr="00F87319">
        <w:rPr>
          <w:szCs w:val="18"/>
        </w:rPr>
        <w:t xml:space="preserve"> an almost infinite variation </w:t>
      </w:r>
      <w:proofErr w:type="gramStart"/>
      <w:r w:rsidRPr="00F87319">
        <w:rPr>
          <w:szCs w:val="18"/>
        </w:rPr>
        <w:t xml:space="preserve">in </w:t>
      </w:r>
      <w:proofErr w:type="gramEnd"/>
      <w:r w:rsidRPr="00F87319">
        <w:rPr>
          <w:position w:val="-6"/>
          <w:szCs w:val="18"/>
        </w:rPr>
        <w:object w:dxaOrig="180" w:dyaOrig="200">
          <v:shape id="_x0000_i1085" type="#_x0000_t75" style="width:9.1pt;height:9.7pt" o:ole="">
            <v:imagedata r:id="rId476" o:title=""/>
          </v:shape>
          <o:OLEObject Type="Embed" ProgID="Equation.DSMT4" ShapeID="_x0000_i1085" DrawAspect="Content" ObjectID="_1438188897" r:id="rId477"/>
        </w:object>
      </w:r>
      <w:r w:rsidRPr="00F87319">
        <w:rPr>
          <w:szCs w:val="18"/>
        </w:rPr>
        <w:t xml:space="preserve">, </w:t>
      </w:r>
      <w:r w:rsidRPr="00F87319">
        <w:rPr>
          <w:position w:val="-8"/>
          <w:szCs w:val="18"/>
        </w:rPr>
        <w:object w:dxaOrig="200" w:dyaOrig="220">
          <v:shape id="_x0000_i1086" type="#_x0000_t75" style="width:9.7pt;height:10.3pt" o:ole="">
            <v:imagedata r:id="rId478" o:title=""/>
          </v:shape>
          <o:OLEObject Type="Embed" ProgID="Equation.DSMT4" ShapeID="_x0000_i1086" DrawAspect="Content" ObjectID="_1438188898" r:id="rId479"/>
        </w:object>
      </w:r>
      <w:r w:rsidRPr="00F87319">
        <w:rPr>
          <w:szCs w:val="18"/>
        </w:rPr>
        <w:t xml:space="preserve">, and </w:t>
      </w:r>
      <w:r w:rsidRPr="00F87319">
        <w:rPr>
          <w:position w:val="-6"/>
          <w:szCs w:val="18"/>
        </w:rPr>
        <w:object w:dxaOrig="160" w:dyaOrig="200">
          <v:shape id="_x0000_i1087" type="#_x0000_t75" style="width:8.45pt;height:9.7pt" o:ole="">
            <v:imagedata r:id="rId474" o:title=""/>
          </v:shape>
          <o:OLEObject Type="Embed" ProgID="Equation.DSMT4" ShapeID="_x0000_i1087" DrawAspect="Content" ObjectID="_1438188899" r:id="rId480"/>
        </w:object>
      </w:r>
      <w:r w:rsidRPr="00F87319">
        <w:rPr>
          <w:szCs w:val="18"/>
        </w:rPr>
        <w:t xml:space="preserve"> is permitted in the system of units that Maxwell himself was using </w:t>
      </w:r>
      <w:hyperlink r:id="rId481" w:anchor="7a49" w:history="1">
        <w:r w:rsidRPr="00F87319">
          <w:rPr>
            <w:rStyle w:val="Hyperlink"/>
            <w:szCs w:val="18"/>
          </w:rPr>
          <w:t>[16</w:t>
        </w:r>
      </w:hyperlink>
      <w:r w:rsidRPr="00F87319">
        <w:rPr>
          <w:szCs w:val="18"/>
        </w:rPr>
        <w:t>].  The analysis here therefore indicates that Maxwell’s equations can be satisfied with a varying ZPE,</w:t>
      </w:r>
      <w:r w:rsidRPr="00F87319">
        <w:rPr>
          <w:position w:val="-6"/>
          <w:szCs w:val="18"/>
        </w:rPr>
        <w:object w:dxaOrig="180" w:dyaOrig="200">
          <v:shape id="_x0000_i1088" type="#_x0000_t75" style="width:9.1pt;height:9.7pt" o:ole="">
            <v:imagedata r:id="rId476" o:title=""/>
          </v:shape>
          <o:OLEObject Type="Embed" ProgID="Equation.DSMT4" ShapeID="_x0000_i1088" DrawAspect="Content" ObjectID="_1438188900" r:id="rId482"/>
        </w:object>
      </w:r>
      <w:proofErr w:type="gramStart"/>
      <w:r w:rsidRPr="00F87319">
        <w:rPr>
          <w:szCs w:val="18"/>
        </w:rPr>
        <w:t>,</w:t>
      </w:r>
      <w:r w:rsidRPr="00F87319">
        <w:rPr>
          <w:position w:val="-8"/>
          <w:szCs w:val="18"/>
        </w:rPr>
        <w:object w:dxaOrig="200" w:dyaOrig="220">
          <v:shape id="_x0000_i1089" type="#_x0000_t75" style="width:9.7pt;height:10.3pt" o:ole="">
            <v:imagedata r:id="rId478" o:title=""/>
          </v:shape>
          <o:OLEObject Type="Embed" ProgID="Equation.DSMT4" ShapeID="_x0000_i1089" DrawAspect="Content" ObjectID="_1438188901" r:id="rId483"/>
        </w:object>
      </w:r>
      <w:r w:rsidRPr="00F87319">
        <w:rPr>
          <w:szCs w:val="18"/>
        </w:rPr>
        <w:t>,</w:t>
      </w:r>
      <w:proofErr w:type="gramEnd"/>
      <w:r w:rsidRPr="00F87319">
        <w:rPr>
          <w:szCs w:val="18"/>
        </w:rPr>
        <w:t xml:space="preserve"> and </w:t>
      </w:r>
      <w:r w:rsidRPr="00F87319">
        <w:rPr>
          <w:position w:val="-6"/>
          <w:szCs w:val="18"/>
        </w:rPr>
        <w:object w:dxaOrig="160" w:dyaOrig="200">
          <v:shape id="_x0000_i1090" type="#_x0000_t75" style="width:8.45pt;height:9.7pt" o:ole="">
            <v:imagedata r:id="rId474" o:title=""/>
          </v:shape>
          <o:OLEObject Type="Embed" ProgID="Equation.DSMT4" ShapeID="_x0000_i1090" DrawAspect="Content" ObjectID="_1438188902" r:id="rId484"/>
        </w:object>
      </w:r>
      <w:r w:rsidRPr="00F87319">
        <w:rPr>
          <w:rStyle w:val="Emphasis"/>
          <w:bCs/>
          <w:i w:val="0"/>
          <w:szCs w:val="18"/>
        </w:rPr>
        <w:t>in a manner</w:t>
      </w:r>
      <w:r w:rsidRPr="00F87319">
        <w:rPr>
          <w:rStyle w:val="Emphasis"/>
          <w:bCs/>
          <w:szCs w:val="18"/>
        </w:rPr>
        <w:t xml:space="preserve"> </w:t>
      </w:r>
      <w:r w:rsidRPr="00F87319">
        <w:rPr>
          <w:szCs w:val="18"/>
        </w:rPr>
        <w:t>independent of relativity.</w:t>
      </w: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t>1.12. Einstein’s Two Postulates</w:t>
      </w:r>
    </w:p>
    <w:p w:rsidR="006D41BD" w:rsidRPr="00F87319" w:rsidRDefault="006D41BD" w:rsidP="006D41BD">
      <w:pPr>
        <w:rPr>
          <w:rFonts w:ascii="Book Antiqua" w:hAnsi="Book Antiqua"/>
        </w:rPr>
      </w:pPr>
    </w:p>
    <w:p w:rsidR="006D41BD" w:rsidRPr="00F87319" w:rsidRDefault="006D41BD" w:rsidP="006D41BD">
      <w:pPr>
        <w:pStyle w:val="NormPara"/>
        <w:ind w:firstLine="720"/>
        <w:rPr>
          <w:rStyle w:val="Emphasis"/>
          <w:i w:val="0"/>
          <w:szCs w:val="18"/>
        </w:rPr>
      </w:pPr>
      <w:r w:rsidRPr="00F87319">
        <w:rPr>
          <w:szCs w:val="18"/>
        </w:rPr>
        <w:t xml:space="preserve">Einstein's basic postulate, </w:t>
      </w:r>
      <w:r w:rsidRPr="00F87319">
        <w:t>from</w:t>
      </w:r>
      <w:r w:rsidRPr="00F87319">
        <w:rPr>
          <w:szCs w:val="18"/>
        </w:rPr>
        <w:t xml:space="preserve"> which the theory of relativity takes its name, is that there is no absolute frame of reference anywhere in the universe.  This appeared to be true for some time.  However, in 1964 the Cosmic Microwave Background Radiation (CMBR) was discovered by Penzias and Wilson.  In contrast with relativity theory, the physical reality of the CMBR has provided an absolute rest frame against which the actual velocity of the solar system, our galaxy, and our Local Group of galaxies can be measured. </w:t>
      </w:r>
      <w:r w:rsidRPr="00F87319">
        <w:rPr>
          <w:szCs w:val="18"/>
        </w:rPr>
        <w:lastRenderedPageBreak/>
        <w:t xml:space="preserve">In his book </w:t>
      </w:r>
      <w:r w:rsidRPr="00F87319">
        <w:rPr>
          <w:b/>
          <w:szCs w:val="18"/>
        </w:rPr>
        <w:t>Astrophysical Concepts</w:t>
      </w:r>
      <w:r w:rsidRPr="00F87319">
        <w:rPr>
          <w:szCs w:val="18"/>
        </w:rPr>
        <w:t xml:space="preserve">, Martin Harwit writes: </w:t>
      </w:r>
      <w:r w:rsidRPr="00F87319">
        <w:rPr>
          <w:rStyle w:val="Emphasis"/>
          <w:szCs w:val="18"/>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F87319">
        <w:rPr>
          <w:rStyle w:val="Emphasis"/>
          <w:i w:val="0"/>
          <w:szCs w:val="18"/>
        </w:rPr>
        <w:t>[17]</w:t>
      </w:r>
    </w:p>
    <w:p w:rsidR="006D41BD" w:rsidRPr="00F87319" w:rsidRDefault="006D41BD" w:rsidP="006D41BD">
      <w:pPr>
        <w:pStyle w:val="NormPara"/>
        <w:ind w:firstLine="720"/>
        <w:rPr>
          <w:rStyle w:val="Emphasis"/>
          <w:i w:val="0"/>
          <w:szCs w:val="18"/>
        </w:rPr>
      </w:pPr>
    </w:p>
    <w:p w:rsidR="006D41BD" w:rsidRPr="00F87319" w:rsidRDefault="006D41BD" w:rsidP="006D41BD">
      <w:pPr>
        <w:pStyle w:val="NormPara"/>
        <w:ind w:firstLine="548"/>
        <w:rPr>
          <w:szCs w:val="18"/>
        </w:rPr>
      </w:pPr>
      <w:r w:rsidRPr="00F87319">
        <w:rPr>
          <w:rStyle w:val="Emphasis"/>
          <w:i w:val="0"/>
          <w:szCs w:val="18"/>
        </w:rPr>
        <w:t xml:space="preserve">Using the CMBR, the velocity of our Solar System has been measured as 390 km/s towards the constellation of Leo, and our Milky Way galaxy is moving at 600 km/s in the direction of the Centaurus cluster. </w:t>
      </w:r>
      <w:r w:rsidRPr="00F87319">
        <w:rPr>
          <w:rStyle w:val="Emphasis"/>
          <w:szCs w:val="18"/>
        </w:rPr>
        <w:t xml:space="preserve"> </w:t>
      </w:r>
      <w:r w:rsidRPr="00F87319">
        <w:rPr>
          <w:szCs w:val="18"/>
        </w:rPr>
        <w:t xml:space="preserve">Harwit then goes on to salvage what he can for relativity by saying: </w:t>
      </w:r>
      <w:r w:rsidRPr="00F87319">
        <w:rPr>
          <w:rStyle w:val="Emphasis"/>
          <w:szCs w:val="18"/>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F87319">
        <w:rPr>
          <w:rStyle w:val="Emphasis"/>
          <w:i w:val="0"/>
          <w:szCs w:val="18"/>
        </w:rPr>
        <w:t>[17] Martin</w:t>
      </w:r>
      <w:r w:rsidRPr="00F87319">
        <w:rPr>
          <w:rStyle w:val="Emphasis"/>
          <w:szCs w:val="18"/>
        </w:rPr>
        <w:t xml:space="preserve"> </w:t>
      </w:r>
      <w:r w:rsidRPr="00F87319">
        <w:rPr>
          <w:szCs w:val="18"/>
        </w:rPr>
        <w:t>Harwit is correct.  The work based on the ZPE also shows that Einstein’s equations may be valid in the atomic frame of reference but not in the larger world.</w:t>
      </w:r>
    </w:p>
    <w:p w:rsidR="006D41BD" w:rsidRPr="00F87319" w:rsidRDefault="006D41BD" w:rsidP="006D41BD">
      <w:pPr>
        <w:pStyle w:val="NormPara"/>
        <w:ind w:firstLine="548"/>
        <w:rPr>
          <w:szCs w:val="18"/>
        </w:rPr>
      </w:pPr>
    </w:p>
    <w:p w:rsidR="006D41BD" w:rsidRPr="00F87319" w:rsidRDefault="006D41BD" w:rsidP="006D41BD">
      <w:pPr>
        <w:pStyle w:val="NormPara"/>
        <w:ind w:firstLine="450"/>
        <w:rPr>
          <w:szCs w:val="18"/>
        </w:rPr>
      </w:pPr>
      <w:r w:rsidRPr="00F87319">
        <w:rPr>
          <w:szCs w:val="18"/>
        </w:rPr>
        <w:t xml:space="preserve">Einstein’s second </w:t>
      </w:r>
      <w:r w:rsidRPr="00F87319">
        <w:t>basic</w:t>
      </w:r>
      <w:r w:rsidRPr="00F87319">
        <w:rPr>
          <w:szCs w:val="18"/>
        </w:rPr>
        <w:t xml:space="preserve"> postulate, stating that the speed of light is an absolute constant, is also called into doubt by the speed of light experiments that were discussed in Chapters 2 and 3.  Relativity cannot account for these variations in </w:t>
      </w:r>
      <w:r w:rsidRPr="00F87319">
        <w:rPr>
          <w:i/>
          <w:szCs w:val="18"/>
        </w:rPr>
        <w:t xml:space="preserve">c </w:t>
      </w:r>
      <w:r w:rsidRPr="00F87319">
        <w:rPr>
          <w:szCs w:val="18"/>
        </w:rPr>
        <w:t xml:space="preserve">and so declares them to be erroneous.  Einstein stated that the speed of light was the uppermost possible speed for anything in the universe.  A different approach to relativity, based on Galilean concepts, shows that although there is an upper maximum speed for the cosmos, it need not be the current speed of light.  This approach received prominence in “New Scientist” for 1 November 2008.  The cover page read </w:t>
      </w:r>
      <w:r w:rsidRPr="00F87319">
        <w:rPr>
          <w:rStyle w:val="Emphasis"/>
          <w:szCs w:val="18"/>
        </w:rPr>
        <w:t>“Why Einstein was wrong about relativity: the speed of light is nothing special.”</w:t>
      </w:r>
      <w:r w:rsidRPr="00F87319">
        <w:rPr>
          <w:szCs w:val="18"/>
        </w:rPr>
        <w:t xml:space="preserve">  The article on pages 28-31 carried the bolded comment “</w:t>
      </w:r>
      <w:r w:rsidRPr="00F87319">
        <w:rPr>
          <w:rStyle w:val="Emphasis"/>
          <w:szCs w:val="18"/>
        </w:rPr>
        <w:t>Not only is light not necessary in relativity—there's no room in the theory for it.”</w:t>
      </w:r>
      <w:r w:rsidRPr="00F87319">
        <w:rPr>
          <w:szCs w:val="18"/>
        </w:rPr>
        <w:t xml:space="preserve">  Then it goes on to state: “</w:t>
      </w:r>
      <w:r w:rsidRPr="00F87319">
        <w:rPr>
          <w:rStyle w:val="Emphasis"/>
          <w:szCs w:val="18"/>
        </w:rPr>
        <w:t xml:space="preserve">Light's special position in relativity is a historical accident.” </w:t>
      </w:r>
      <w:r w:rsidRPr="00F87319">
        <w:rPr>
          <w:szCs w:val="18"/>
        </w:rPr>
        <w:t xml:space="preserve">[18]  Thus the second basic postulate has also been shown to be problematical.  It is possible, however, that this upper maximum speed for the cosmos was the original speed of light, which then slowed </w:t>
      </w:r>
      <w:r w:rsidRPr="00F87319">
        <w:t>as</w:t>
      </w:r>
      <w:r w:rsidRPr="00F87319">
        <w:rPr>
          <w:szCs w:val="18"/>
        </w:rPr>
        <w:t xml:space="preserve"> the ZPE strength increased.</w:t>
      </w:r>
    </w:p>
    <w:p w:rsidR="006D41BD" w:rsidRPr="00F87319" w:rsidRDefault="006D41BD" w:rsidP="006D41BD">
      <w:pPr>
        <w:pStyle w:val="NormPara"/>
        <w:ind w:firstLine="450"/>
        <w:rPr>
          <w:szCs w:val="18"/>
        </w:rPr>
      </w:pPr>
    </w:p>
    <w:p w:rsidR="006D41BD" w:rsidRPr="00D818DD" w:rsidRDefault="006D41BD" w:rsidP="00252491">
      <w:pPr>
        <w:pStyle w:val="Heading2"/>
        <w:widowControl/>
        <w:numPr>
          <w:ilvl w:val="0"/>
          <w:numId w:val="39"/>
        </w:numPr>
        <w:spacing w:before="80" w:after="80" w:line="240" w:lineRule="atLeast"/>
        <w:rPr>
          <w:rFonts w:ascii="Book Antiqua" w:hAnsi="Book Antiqua"/>
          <w:b w:val="0"/>
          <w:sz w:val="20"/>
        </w:rPr>
      </w:pPr>
      <w:r w:rsidRPr="00D818DD">
        <w:rPr>
          <w:rFonts w:ascii="Book Antiqua" w:hAnsi="Book Antiqua"/>
          <w:b w:val="0"/>
          <w:sz w:val="20"/>
        </w:rPr>
        <w:t>13. That Famous Equation</w:t>
      </w:r>
    </w:p>
    <w:p w:rsidR="006D41BD" w:rsidRPr="00F87319" w:rsidRDefault="006D41BD" w:rsidP="006D41BD">
      <w:pPr>
        <w:rPr>
          <w:rFonts w:ascii="Book Antiqua" w:hAnsi="Book Antiqua"/>
        </w:rPr>
      </w:pPr>
    </w:p>
    <w:p w:rsidR="006D41BD" w:rsidRPr="00F87319" w:rsidRDefault="006D41BD" w:rsidP="006D41BD">
      <w:pPr>
        <w:pStyle w:val="NormPara"/>
        <w:ind w:firstLine="270"/>
        <w:rPr>
          <w:szCs w:val="18"/>
        </w:rPr>
      </w:pPr>
      <w:r w:rsidRPr="00F87319">
        <w:rPr>
          <w:rStyle w:val="superscript1"/>
          <w:rFonts w:eastAsia="SimSun"/>
          <w:szCs w:val="18"/>
        </w:rPr>
        <w:tab/>
      </w:r>
      <m:oMath>
        <m:r>
          <w:rPr>
            <w:rStyle w:val="superscript1"/>
            <w:rFonts w:ascii="Cambria Math" w:hAnsi="Cambria Math"/>
            <w:szCs w:val="18"/>
          </w:rPr>
          <m:t>E</m:t>
        </m:r>
        <m:r>
          <w:rPr>
            <w:rStyle w:val="superscript1"/>
            <w:rFonts w:ascii="Cambria Math"/>
            <w:szCs w:val="18"/>
          </w:rPr>
          <m:t xml:space="preserve"> = </m:t>
        </m:r>
        <m:r>
          <w:rPr>
            <w:rStyle w:val="superscript1"/>
            <w:rFonts w:ascii="Cambria Math" w:hAnsi="Cambria Math"/>
            <w:szCs w:val="18"/>
          </w:rPr>
          <m:t>m</m:t>
        </m:r>
        <m:sSup>
          <m:sSupPr>
            <m:ctrlPr>
              <w:rPr>
                <w:rStyle w:val="superscript1"/>
                <w:rFonts w:ascii="Cambria Math"/>
                <w:i/>
                <w:szCs w:val="18"/>
              </w:rPr>
            </m:ctrlPr>
          </m:sSupPr>
          <m:e>
            <m:r>
              <w:rPr>
                <w:rStyle w:val="superscript1"/>
                <w:rFonts w:ascii="Cambria Math" w:hAnsi="Cambria Math"/>
                <w:szCs w:val="18"/>
              </w:rPr>
              <m:t>c</m:t>
            </m:r>
          </m:e>
          <m:sup>
            <m:r>
              <w:rPr>
                <w:rStyle w:val="superscript1"/>
                <w:rFonts w:ascii="Cambria Math"/>
                <w:szCs w:val="18"/>
              </w:rPr>
              <m:t>2</m:t>
            </m:r>
          </m:sup>
        </m:sSup>
      </m:oMath>
      <w:r w:rsidRPr="00F87319">
        <w:rPr>
          <w:rStyle w:val="superscript1"/>
          <w:szCs w:val="18"/>
        </w:rPr>
        <w:t xml:space="preserve"> ,</w:t>
      </w:r>
      <w:r w:rsidRPr="00F87319">
        <w:rPr>
          <w:szCs w:val="18"/>
        </w:rPr>
        <w:t xml:space="preserve">, the equation associated with Einstein, is </w:t>
      </w:r>
      <w:r w:rsidRPr="00F87319">
        <w:t>probably</w:t>
      </w:r>
      <w:r w:rsidRPr="00F87319">
        <w:rPr>
          <w:szCs w:val="18"/>
        </w:rPr>
        <w:t xml:space="preserve"> one of the most famous equations in the world.  Interestingly, however, this equation did not originate with him.  It appears to have been scientific “politics” which led to the idea that the equation was his.  Many believe this famous equation is a triumph for relativity theory.  But </w:t>
      </w:r>
      <w:r w:rsidRPr="00F87319">
        <w:rPr>
          <w:position w:val="-6"/>
          <w:szCs w:val="18"/>
        </w:rPr>
        <w:object w:dxaOrig="660" w:dyaOrig="300">
          <v:shape id="_x0000_i1091" type="#_x0000_t75" style="width:33.3pt;height:15.15pt" o:ole="">
            <v:imagedata r:id="rId485" o:title=""/>
          </v:shape>
          <o:OLEObject Type="Embed" ProgID="Equation.DSMT4" ShapeID="_x0000_i1091" DrawAspect="Content" ObjectID="_1438188903" r:id="rId486"/>
        </w:object>
      </w:r>
      <w:r w:rsidRPr="00F87319">
        <w:rPr>
          <w:szCs w:val="18"/>
        </w:rPr>
        <w:t xml:space="preserve"> does not depend upon relativity </w:t>
      </w:r>
      <w:proofErr w:type="gramStart"/>
      <w:r w:rsidRPr="00F87319">
        <w:rPr>
          <w:szCs w:val="18"/>
        </w:rPr>
        <w:t>nor</w:t>
      </w:r>
      <w:proofErr w:type="gramEnd"/>
      <w:r w:rsidRPr="00F87319">
        <w:rPr>
          <w:szCs w:val="18"/>
        </w:rPr>
        <w:t xml:space="preserve"> does it need any relativistic concepts.  It can be obtained in a manner which is entirely independent of both, using simple classical physics.  Alfred O'Rahilly did this in </w:t>
      </w:r>
      <w:r w:rsidRPr="00F87319">
        <w:rPr>
          <w:rStyle w:val="Emphasis"/>
          <w:szCs w:val="18"/>
        </w:rPr>
        <w:t>Electromagnetic Theory: A Critical Examination of Fundamentals</w:t>
      </w:r>
      <w:r w:rsidRPr="00F87319">
        <w:rPr>
          <w:rStyle w:val="Emphasis"/>
          <w:i w:val="0"/>
          <w:szCs w:val="18"/>
        </w:rPr>
        <w:t xml:space="preserve"> </w:t>
      </w:r>
      <w:r w:rsidRPr="00F87319">
        <w:rPr>
          <w:szCs w:val="18"/>
        </w:rPr>
        <w:t>[19].  Others such as Thomas G. Barnes, late Emeritus Professor of Physics, University of Texas at El Paso, have similarly derived it [20].  In order to understand what happened, let us look at the events as they unfolded historically.</w:t>
      </w:r>
    </w:p>
    <w:p w:rsidR="006D41BD" w:rsidRPr="00F87319" w:rsidRDefault="006D41BD" w:rsidP="006D41BD">
      <w:pPr>
        <w:pStyle w:val="NormPara"/>
        <w:ind w:firstLine="270"/>
        <w:rPr>
          <w:szCs w:val="18"/>
        </w:rPr>
      </w:pPr>
    </w:p>
    <w:p w:rsidR="006D41BD" w:rsidRPr="00F87319" w:rsidRDefault="006D41BD" w:rsidP="006D41BD">
      <w:pPr>
        <w:pStyle w:val="NormPara"/>
        <w:ind w:firstLine="720"/>
        <w:rPr>
          <w:szCs w:val="18"/>
        </w:rPr>
      </w:pPr>
      <w:r w:rsidRPr="00F87319">
        <w:rPr>
          <w:szCs w:val="18"/>
        </w:rPr>
        <w:t xml:space="preserve">In 1881, J. J. Thomson was working with the mass of the electron in relation to its electromagnetic energy.  In his papers, he showed there was a relationship between electromagnetic energy and the masses of subatomic particles.  In 1900, before any ideas of relativity, the work of Henri Poincaré mathematically implied the form of the equation we are familiar with today.  Within a few years, physicists Wilhelm Wien in 1900, Max Abraham in 1902, and Hendrik Lorentz in 1904 were all working in this area, using a similar equation relating mass and energy.  Their equation was the same as the famous one, but, unlike Poincaré, often had a factor of </w:t>
      </w:r>
      <w:r w:rsidRPr="00F87319">
        <w:rPr>
          <w:position w:val="-10"/>
          <w:szCs w:val="18"/>
        </w:rPr>
        <w:object w:dxaOrig="340" w:dyaOrig="279">
          <v:shape id="_x0000_i1092" type="#_x0000_t75" style="width:17.55pt;height:14.5pt" o:ole="">
            <v:imagedata r:id="rId487" o:title=""/>
          </v:shape>
          <o:OLEObject Type="Embed" ProgID="Equation.DSMT4" ShapeID="_x0000_i1092" DrawAspect="Content" ObjectID="_1438188904" r:id="rId488"/>
        </w:object>
      </w:r>
      <w:r w:rsidRPr="00F87319">
        <w:rPr>
          <w:szCs w:val="18"/>
        </w:rPr>
        <w:t xml:space="preserve"> inserted.  Then, in </w:t>
      </w:r>
      <w:r w:rsidRPr="00F87319">
        <w:t>1904</w:t>
      </w:r>
      <w:r w:rsidRPr="00F87319">
        <w:rPr>
          <w:szCs w:val="18"/>
        </w:rPr>
        <w:t xml:space="preserve"> and 1905, F. Hasenöhrl published several papers which specifically derived a mass-energy conversion statement related </w:t>
      </w:r>
      <w:proofErr w:type="gramStart"/>
      <w:r w:rsidRPr="00F87319">
        <w:rPr>
          <w:szCs w:val="18"/>
        </w:rPr>
        <w:t xml:space="preserve">to </w:t>
      </w:r>
      <w:proofErr w:type="gramEnd"/>
      <w:r w:rsidRPr="00F87319">
        <w:rPr>
          <w:position w:val="-6"/>
          <w:szCs w:val="18"/>
        </w:rPr>
        <w:object w:dxaOrig="240" w:dyaOrig="300">
          <v:shape id="_x0000_i1093" type="#_x0000_t75" style="width:12.1pt;height:15.15pt" o:ole="">
            <v:imagedata r:id="rId489" o:title=""/>
          </v:shape>
          <o:OLEObject Type="Embed" ProgID="Equation.DSMT4" ShapeID="_x0000_i1093" DrawAspect="Content" ObjectID="_1438188905" r:id="rId490"/>
        </w:object>
      </w:r>
      <w:r w:rsidRPr="00F87319">
        <w:rPr>
          <w:szCs w:val="18"/>
        </w:rPr>
        <w:t xml:space="preserve">.  In the first paper [21], a factor of </w:t>
      </w:r>
      <w:r w:rsidRPr="00F87319">
        <w:rPr>
          <w:position w:val="-10"/>
          <w:szCs w:val="18"/>
        </w:rPr>
        <w:object w:dxaOrig="320" w:dyaOrig="279">
          <v:shape id="_x0000_i1094" type="#_x0000_t75" style="width:15.75pt;height:14.5pt" o:ole="">
            <v:imagedata r:id="rId491" o:title=""/>
          </v:shape>
          <o:OLEObject Type="Embed" ProgID="PowerPoint.Slide.12" ShapeID="_x0000_i1094" DrawAspect="Content" ObjectID="_1438188906" r:id="rId492"/>
        </w:object>
      </w:r>
      <w:r w:rsidRPr="00F87319">
        <w:rPr>
          <w:szCs w:val="18"/>
        </w:rPr>
        <w:t xml:space="preserve"> was employed, while his second paper [22] had the factor as the (then) more usual</w:t>
      </w:r>
      <w:r w:rsidRPr="00F87319">
        <w:rPr>
          <w:position w:val="-10"/>
          <w:szCs w:val="18"/>
        </w:rPr>
        <w:object w:dxaOrig="340" w:dyaOrig="279">
          <v:shape id="_x0000_i1095" type="#_x0000_t75" style="width:17.55pt;height:14.5pt" o:ole="">
            <v:imagedata r:id="rId493" o:title=""/>
          </v:shape>
          <o:OLEObject Type="Embed" ProgID="PowerPoint.Slide.12" ShapeID="_x0000_i1095" DrawAspect="Content" ObjectID="_1438188907" r:id="rId494"/>
        </w:object>
      </w:r>
      <w:r w:rsidRPr="00F87319">
        <w:rPr>
          <w:szCs w:val="18"/>
        </w:rPr>
        <w:t>.  If he had used a slightly modified approach in his calculation, he would have eliminated the fraction and the result would have been the equation as we know it today.  It was Max Planck who derived the exact equation from classical physics [23].  So Poincaré had essentially derived the relationship in 1900; Hasenöhrl had approximately derived it in 1904 and was awarded the Haitinger prize of the Austrian Academy of Sciences for it; and Planck derived it exactly in 1907.  All these pioneers achieved this without the help of relativity.</w:t>
      </w:r>
    </w:p>
    <w:p w:rsidR="006D41BD" w:rsidRPr="00F87319" w:rsidRDefault="006D41BD" w:rsidP="006D41BD">
      <w:pPr>
        <w:pStyle w:val="NormPara"/>
        <w:ind w:firstLine="720"/>
        <w:rPr>
          <w:szCs w:val="18"/>
        </w:rPr>
      </w:pPr>
    </w:p>
    <w:p w:rsidR="006D41BD" w:rsidRPr="00F87319" w:rsidRDefault="006D41BD" w:rsidP="006D41BD">
      <w:pPr>
        <w:pStyle w:val="NormPara"/>
        <w:ind w:firstLine="548"/>
        <w:rPr>
          <w:i/>
          <w:szCs w:val="18"/>
        </w:rPr>
      </w:pPr>
      <w:r w:rsidRPr="00F87319">
        <w:rPr>
          <w:szCs w:val="18"/>
        </w:rPr>
        <w:t xml:space="preserve">Einstein's derivation occurred in 1905 in a manner which was linked with relativity.  However, as a number of commentators have pointed out, Einstein's derivation was not exact, but was only an approximation.  Indeed, in 1907, Planck himself wrote a comment that said: </w:t>
      </w:r>
      <w:r w:rsidRPr="00F87319">
        <w:rPr>
          <w:i/>
          <w:szCs w:val="18"/>
        </w:rPr>
        <w:t xml:space="preserve">Einstein has already drawn essentially the same conclusion [Ann. Physik </w:t>
      </w:r>
      <w:r w:rsidRPr="00F87319">
        <w:rPr>
          <w:b/>
          <w:i/>
          <w:szCs w:val="18"/>
        </w:rPr>
        <w:t>18</w:t>
      </w:r>
      <w:r w:rsidRPr="00F87319">
        <w:rPr>
          <w:i/>
          <w:szCs w:val="18"/>
        </w:rPr>
        <w:t xml:space="preserve">: 639 (1905)] by application of the relativity principle to a special radiation process, however, under the assumption permissible only as a first approximation that the total energy is composed additively of its kinetic energy and its energy referred to a system with which it is at rest. </w:t>
      </w:r>
      <w:r w:rsidRPr="00F87319">
        <w:rPr>
          <w:szCs w:val="18"/>
        </w:rPr>
        <w:t>[24]</w:t>
      </w:r>
    </w:p>
    <w:p w:rsidR="006D41BD" w:rsidRPr="00F87319" w:rsidRDefault="006D41BD" w:rsidP="006D41BD">
      <w:pPr>
        <w:pStyle w:val="NormPara"/>
        <w:ind w:firstLine="270"/>
        <w:rPr>
          <w:rStyle w:val="Strong"/>
          <w:rFonts w:eastAsia="Lucida Sans Unicode"/>
          <w:b w:val="0"/>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lastRenderedPageBreak/>
        <w:t xml:space="preserve">Thus, an approximation is all that Einstein achieved; it was not an exact relationship.  In addition, the suggestion has been made that even this derivation of Einstein contained an </w:t>
      </w:r>
      <w:r w:rsidRPr="00F87319">
        <w:rPr>
          <w:bCs/>
        </w:rPr>
        <w:t>error</w:t>
      </w:r>
      <w:r w:rsidRPr="00F87319">
        <w:rPr>
          <w:rStyle w:val="Strong"/>
          <w:rFonts w:eastAsia="Lucida Sans Unicode"/>
          <w:b w:val="0"/>
          <w:szCs w:val="18"/>
        </w:rPr>
        <w:t xml:space="preserve"> which invalidated his procedure.  One such article by R.A. Herrmann points out that [25]: </w:t>
      </w:r>
      <w:r w:rsidRPr="00F87319">
        <w:rPr>
          <w:rStyle w:val="Strong"/>
          <w:rFonts w:eastAsia="Lucida Sans Unicode"/>
          <w:b w:val="0"/>
          <w:i/>
          <w:szCs w:val="18"/>
        </w:rPr>
        <w:t xml:space="preserve">Indeed, there is a fundamental problem with Einstein's derivation.  It mixes stationary and moving energy observations without taking into account the required relativistic alterations.  Thus, Einstein's derivation does not actually say anything concrete about what the complete energy change would be as viewed from just one [of the two] platform[s].  Indeed, actual analysis by Ives </w:t>
      </w:r>
      <w:r w:rsidRPr="00F87319">
        <w:rPr>
          <w:rStyle w:val="Strong"/>
          <w:rFonts w:eastAsia="Lucida Sans Unicode"/>
          <w:b w:val="0"/>
          <w:szCs w:val="18"/>
        </w:rPr>
        <w:t>[26]</w:t>
      </w:r>
      <w:r w:rsidRPr="00F87319">
        <w:rPr>
          <w:rStyle w:val="Strong"/>
          <w:rFonts w:eastAsia="Lucida Sans Unicode"/>
          <w:b w:val="0"/>
          <w:i/>
          <w:szCs w:val="18"/>
        </w:rPr>
        <w:t xml:space="preserve"> shows that Einstein forced this result to occur from some sort of prior knowledge and did not derive it. </w:t>
      </w:r>
      <w:r w:rsidRPr="00F87319">
        <w:rPr>
          <w:rStyle w:val="Strong"/>
          <w:rFonts w:eastAsia="Lucida Sans Unicode"/>
          <w:b w:val="0"/>
          <w:szCs w:val="18"/>
        </w:rPr>
        <w:t>[25]</w:t>
      </w:r>
    </w:p>
    <w:p w:rsidR="006D41BD" w:rsidRPr="00F87319" w:rsidRDefault="006D41BD" w:rsidP="006D41BD">
      <w:pPr>
        <w:pStyle w:val="NormPara"/>
        <w:ind w:firstLine="548"/>
        <w:rPr>
          <w:rStyle w:val="Strong"/>
          <w:rFonts w:eastAsia="Lucida Sans Unicode"/>
          <w:b w:val="0"/>
          <w:i/>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t>The aforementioned physicists working in the early part of the 20</w:t>
      </w:r>
      <w:r w:rsidRPr="00F87319">
        <w:rPr>
          <w:rStyle w:val="Strong"/>
          <w:rFonts w:eastAsia="Lucida Sans Unicode"/>
          <w:b w:val="0"/>
          <w:szCs w:val="18"/>
          <w:vertAlign w:val="superscript"/>
        </w:rPr>
        <w:t>th</w:t>
      </w:r>
      <w:r w:rsidRPr="00F87319">
        <w:rPr>
          <w:rStyle w:val="Strong"/>
          <w:rFonts w:eastAsia="Lucida Sans Unicode"/>
          <w:b w:val="0"/>
          <w:szCs w:val="18"/>
        </w:rPr>
        <w:t xml:space="preserve"> century were not the only ones fueling the discussion. Professor R.A. Herrmann [25] points out that: </w:t>
      </w:r>
    </w:p>
    <w:p w:rsidR="006D41BD" w:rsidRPr="00F87319" w:rsidRDefault="006D41BD" w:rsidP="006D41BD">
      <w:pPr>
        <w:pStyle w:val="NormPara"/>
        <w:spacing w:before="80"/>
        <w:ind w:firstLine="548"/>
        <w:rPr>
          <w:i/>
          <w:szCs w:val="18"/>
        </w:rPr>
      </w:pPr>
      <w:r w:rsidRPr="00F87319">
        <w:rPr>
          <w:rStyle w:val="Strong"/>
          <w:rFonts w:eastAsia="Lucida Sans Unicode"/>
          <w:b w:val="0"/>
          <w:i/>
          <w:szCs w:val="18"/>
        </w:rPr>
        <w:t>Olinto De Pretto published the expression</w:t>
      </w:r>
      <w:r w:rsidR="00BE70DC">
        <w:rPr>
          <w:rStyle w:val="Strong"/>
          <w:rFonts w:eastAsia="Lucida Sans Unicode"/>
          <w:b w:val="0"/>
          <w:i/>
          <w:szCs w:val="18"/>
        </w:rPr>
        <w:t xml:space="preserve"> </w:t>
      </w:r>
      <m:oMath>
        <m:r>
          <m:rPr>
            <m:sty m:val="bi"/>
          </m:rPr>
          <w:rPr>
            <w:rStyle w:val="Strong"/>
            <w:rFonts w:ascii="Cambria Math" w:eastAsia="Lucida Sans Unicode" w:hAnsi="Cambria Math"/>
            <w:szCs w:val="18"/>
          </w:rPr>
          <m:t>E = m</m:t>
        </m:r>
        <m:sSup>
          <m:sSupPr>
            <m:ctrlPr>
              <w:rPr>
                <w:rStyle w:val="Strong"/>
                <w:rFonts w:ascii="Cambria Math" w:eastAsia="Lucida Sans Unicode" w:hAnsi="Cambria Math"/>
                <w:b w:val="0"/>
                <w:i/>
                <w:szCs w:val="18"/>
              </w:rPr>
            </m:ctrlPr>
          </m:sSupPr>
          <m:e>
            <m:r>
              <m:rPr>
                <m:sty m:val="bi"/>
              </m:rPr>
              <w:rPr>
                <w:rStyle w:val="Strong"/>
                <w:rFonts w:ascii="Cambria Math" w:eastAsia="Lucida Sans Unicode" w:hAnsi="Cambria Math"/>
                <w:szCs w:val="18"/>
              </w:rPr>
              <m:t>c</m:t>
            </m:r>
          </m:e>
          <m:sup>
            <m:r>
              <m:rPr>
                <m:sty m:val="bi"/>
              </m:rPr>
              <w:rPr>
                <w:rStyle w:val="Strong"/>
                <w:rFonts w:ascii="Cambria Math" w:eastAsia="Lucida Sans Unicode" w:hAnsi="Cambria Math"/>
                <w:szCs w:val="18"/>
              </w:rPr>
              <m:t>2</m:t>
            </m:r>
          </m:sup>
        </m:sSup>
        <m:r>
          <m:rPr>
            <m:sty m:val="bi"/>
          </m:rPr>
          <w:rPr>
            <w:rStyle w:val="Strong"/>
            <w:rFonts w:ascii="Cambria Math" w:eastAsia="Lucida Sans Unicode" w:hAnsi="Cambria Math"/>
            <w:szCs w:val="18"/>
          </w:rPr>
          <m:t xml:space="preserve"> </m:t>
        </m:r>
      </m:oMath>
      <w:r w:rsidRPr="00F87319">
        <w:rPr>
          <w:rStyle w:val="Strong"/>
          <w:rFonts w:eastAsia="Lucida Sans Unicode"/>
          <w:b w:val="0"/>
          <w:i/>
          <w:szCs w:val="18"/>
        </w:rPr>
        <w:t xml:space="preserve">in the science magazine Atti (Atte) in 1903.  ...  There is considerable evidence that Einstein was aware of the De Pretto speculation and that this was an additional driving force behind his faulty attempt to derive this expression for radiation, at least.  There is also very strong evidence that Einstein never gave De Pretto any credit for his great insight.  ...  There is also no doubt in my mind that Einstein would have known of the last </w:t>
      </w:r>
      <w:r w:rsidRPr="00F87319">
        <w:rPr>
          <w:i/>
          <w:szCs w:val="18"/>
        </w:rPr>
        <w:t xml:space="preserve">Hasenöhrl paper since it appeared in the principle journal that Einstein used six months later to publish his own claimed (1905) derivation.  ...  Einstein would thus have been aware of Hasenöhrl's first paper as well.  Poincaré was a very well-known mathematician who had won the first Bolyai </w:t>
      </w:r>
      <w:r w:rsidRPr="00F87319">
        <w:rPr>
          <w:rStyle w:val="Strong"/>
          <w:rFonts w:eastAsia="Lucida Sans Unicode"/>
          <w:b w:val="0"/>
          <w:i/>
        </w:rPr>
        <w:t>prize</w:t>
      </w:r>
      <w:r w:rsidRPr="00F87319">
        <w:rPr>
          <w:i/>
          <w:szCs w:val="18"/>
        </w:rPr>
        <w:t>, a prize that Einstein did not win when nominated by Hilbert….</w:t>
      </w:r>
    </w:p>
    <w:p w:rsidR="006D41BD" w:rsidRPr="00F87319" w:rsidRDefault="006D41BD" w:rsidP="006D41BD">
      <w:pPr>
        <w:pStyle w:val="NormPara"/>
        <w:spacing w:before="80"/>
        <w:ind w:firstLine="274"/>
        <w:rPr>
          <w:i/>
          <w:szCs w:val="18"/>
        </w:rPr>
      </w:pPr>
    </w:p>
    <w:p w:rsidR="006D41BD" w:rsidRPr="00F87319" w:rsidRDefault="006D41BD" w:rsidP="006D41BD">
      <w:pPr>
        <w:pStyle w:val="NormPara"/>
        <w:spacing w:after="80"/>
        <w:ind w:firstLine="720"/>
        <w:rPr>
          <w:szCs w:val="18"/>
        </w:rPr>
      </w:pPr>
      <w:r w:rsidRPr="00F87319">
        <w:rPr>
          <w:rStyle w:val="Strong"/>
          <w:rFonts w:eastAsia="Lucida Sans Unicode"/>
          <w:b w:val="0"/>
          <w:i/>
          <w:szCs w:val="18"/>
        </w:rPr>
        <w:t>Although his radiation derivation of 1905 was incorrect, [Einstein] still considered himself as having priority over all those that suggested an inertial mass-energy equivalence….  In a paper written by Stark (Physikalische Zeitschrift 8 (1907):881) Stark stated that Planck gave the first derivation for</w:t>
      </w:r>
      <w:r w:rsidR="00BE70DC">
        <w:rPr>
          <w:rStyle w:val="Strong"/>
          <w:rFonts w:eastAsia="Lucida Sans Unicode"/>
          <w:b w:val="0"/>
          <w:i/>
          <w:szCs w:val="18"/>
        </w:rPr>
        <w:t xml:space="preserve"> </w:t>
      </w:r>
      <m:oMath>
        <m:r>
          <m:rPr>
            <m:sty m:val="bi"/>
          </m:rPr>
          <w:rPr>
            <w:rStyle w:val="Strong"/>
            <w:rFonts w:ascii="Cambria Math" w:eastAsia="Lucida Sans Unicode" w:hAnsi="Cambria Math"/>
            <w:szCs w:val="18"/>
          </w:rPr>
          <m:t>E = m</m:t>
        </m:r>
        <m:sSup>
          <m:sSupPr>
            <m:ctrlPr>
              <w:rPr>
                <w:rStyle w:val="Strong"/>
                <w:rFonts w:ascii="Cambria Math" w:eastAsia="Lucida Sans Unicode" w:hAnsi="Cambria Math"/>
                <w:b w:val="0"/>
                <w:i/>
                <w:szCs w:val="18"/>
              </w:rPr>
            </m:ctrlPr>
          </m:sSupPr>
          <m:e>
            <m:r>
              <m:rPr>
                <m:sty m:val="bi"/>
              </m:rPr>
              <w:rPr>
                <w:rStyle w:val="Strong"/>
                <w:rFonts w:ascii="Cambria Math" w:eastAsia="Lucida Sans Unicode" w:hAnsi="Cambria Math"/>
                <w:szCs w:val="18"/>
              </w:rPr>
              <m:t>c</m:t>
            </m:r>
          </m:e>
          <m:sup>
            <m:r>
              <m:rPr>
                <m:sty m:val="bi"/>
              </m:rPr>
              <w:rPr>
                <w:rStyle w:val="Strong"/>
                <w:rFonts w:ascii="Cambria Math" w:eastAsia="Lucida Sans Unicode" w:hAnsi="Cambria Math"/>
                <w:szCs w:val="18"/>
              </w:rPr>
              <m:t>2</m:t>
            </m:r>
          </m:sup>
        </m:sSup>
      </m:oMath>
      <w:r w:rsidRPr="00F87319">
        <w:rPr>
          <w:rStyle w:val="Strong"/>
          <w:rFonts w:eastAsia="Lucida Sans Unicode"/>
          <w:b w:val="0"/>
          <w:i/>
          <w:szCs w:val="18"/>
        </w:rPr>
        <w:t xml:space="preserve">.  Einstein wrote to Stark in 1908:  “I was rather disturbed that you did not acknowledge my priority with regard to the connection between inertial mass and energy. (17 Feb. 1908) (Albert Einstein, Vol. 2, J. Stached, Ed.)…. </w:t>
      </w:r>
      <w:r w:rsidRPr="00F87319">
        <w:rPr>
          <w:i/>
          <w:szCs w:val="18"/>
        </w:rPr>
        <w:t xml:space="preserve"> [T]oday proper credit is not being given to the contributions of Hasenöhrl, Poincaré, Planck and De Pretto. </w:t>
      </w:r>
      <w:r w:rsidRPr="00F87319">
        <w:rPr>
          <w:szCs w:val="18"/>
        </w:rPr>
        <w:t>[25]</w:t>
      </w:r>
    </w:p>
    <w:p w:rsidR="006D41BD" w:rsidRPr="00F87319" w:rsidRDefault="006D41BD" w:rsidP="006D41BD">
      <w:pPr>
        <w:pStyle w:val="NormPara"/>
        <w:spacing w:after="80"/>
        <w:ind w:firstLine="720"/>
        <w:rPr>
          <w:i/>
          <w:szCs w:val="18"/>
        </w:rPr>
      </w:pPr>
    </w:p>
    <w:p w:rsidR="006D41BD" w:rsidRPr="00F87319" w:rsidRDefault="006D41BD" w:rsidP="006D41BD">
      <w:pPr>
        <w:pStyle w:val="NormPara"/>
        <w:ind w:firstLine="720"/>
        <w:rPr>
          <w:szCs w:val="18"/>
        </w:rPr>
      </w:pPr>
      <w:r w:rsidRPr="00F87319">
        <w:rPr>
          <w:szCs w:val="18"/>
        </w:rPr>
        <w:t>The reason for this lack of credit can be laid at the feet of those who supported Einstein.  Among them was Max von Laue.  He sidelined the early physics pioneers by stating that the inertia of electromagnetic energy was known before their time.  Laue continued by saying that the credit for establishing the inertia of all forms of energy, the actual mass-energy equivalence of all matter, goes to Einstein, who was the first to understand this in relation to relativity [27].  With this enthusiastic support for both relativistic concepts and Einstein, it is no wonder that the scientific community generally attributed the equation to him as if it was his own unique achievement and a triumph for relativity.  The truth is, it is a derivation from classical physics.</w:t>
      </w:r>
    </w:p>
    <w:p w:rsidR="006D41BD" w:rsidRPr="00F87319" w:rsidRDefault="006D41BD" w:rsidP="006D41BD">
      <w:pPr>
        <w:pStyle w:val="NormPara"/>
        <w:ind w:firstLine="720"/>
        <w:rPr>
          <w:szCs w:val="18"/>
        </w:rPr>
      </w:pPr>
    </w:p>
    <w:p w:rsidR="006D41BD" w:rsidRDefault="006D41BD" w:rsidP="006D41BD">
      <w:pPr>
        <w:pStyle w:val="NormPara"/>
        <w:ind w:firstLine="720"/>
        <w:rPr>
          <w:szCs w:val="18"/>
        </w:rPr>
      </w:pPr>
      <w:r w:rsidRPr="00F87319">
        <w:rPr>
          <w:szCs w:val="18"/>
        </w:rPr>
        <w:t xml:space="preserve">It may be objected that Einstein's relativity has made predictions that proved correct.  The implication is that the whole theory must therefore be correct.  However, it is important to note that all the major predictions of relativity </w:t>
      </w:r>
      <w:r w:rsidRPr="00F87319">
        <w:t>also</w:t>
      </w:r>
      <w:r w:rsidRPr="00F87319">
        <w:rPr>
          <w:szCs w:val="18"/>
        </w:rPr>
        <w:t xml:space="preserve"> follow naturally and intuitively from classical physics using the ZPE approach.  Furthermore, this approach uses very much simpler mathematics.  Let us look at some of these predictions.</w:t>
      </w:r>
    </w:p>
    <w:p w:rsidR="00685A78" w:rsidRPr="00F87319" w:rsidRDefault="00685A78" w:rsidP="006D41BD">
      <w:pPr>
        <w:pStyle w:val="NormPara"/>
        <w:ind w:firstLine="720"/>
        <w:rPr>
          <w:szCs w:val="18"/>
        </w:rPr>
      </w:pPr>
    </w:p>
    <w:p w:rsidR="006D41BD" w:rsidRDefault="006D41BD" w:rsidP="00252491">
      <w:pPr>
        <w:pStyle w:val="ListParagraph"/>
        <w:numPr>
          <w:ilvl w:val="0"/>
          <w:numId w:val="40"/>
        </w:numPr>
        <w:spacing w:before="120" w:after="120" w:line="240" w:lineRule="atLeast"/>
        <w:jc w:val="both"/>
        <w:outlineLvl w:val="0"/>
        <w:rPr>
          <w:rFonts w:ascii="Book Antiqua" w:hAnsi="Book Antiqua"/>
          <w:b/>
        </w:rPr>
      </w:pPr>
      <w:r w:rsidRPr="00F87319">
        <w:rPr>
          <w:rFonts w:ascii="Book Antiqua" w:hAnsi="Book Antiqua"/>
          <w:b/>
        </w:rPr>
        <w:t>Some Predictions of Relativity</w:t>
      </w:r>
    </w:p>
    <w:p w:rsidR="00685A78" w:rsidRPr="00F87319" w:rsidRDefault="00685A78" w:rsidP="00685A78">
      <w:pPr>
        <w:pStyle w:val="ListParagraph"/>
        <w:spacing w:before="120" w:after="120" w:line="240" w:lineRule="atLeast"/>
        <w:ind w:left="360"/>
        <w:jc w:val="both"/>
        <w:outlineLvl w:val="0"/>
        <w:rPr>
          <w:rFonts w:ascii="Book Antiqua" w:hAnsi="Book Antiqua"/>
          <w:b/>
        </w:rPr>
      </w:pPr>
    </w:p>
    <w:p w:rsidR="006D41BD" w:rsidRPr="00F87319" w:rsidRDefault="006D41BD" w:rsidP="00252491">
      <w:pPr>
        <w:pStyle w:val="Heading2"/>
        <w:widowControl/>
        <w:numPr>
          <w:ilvl w:val="1"/>
          <w:numId w:val="4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Length contraction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Einstein’s theory of Special Relativity (SR) deals with the effects of velocities on moving objects.  These effects include length contraction and increases in atomic masses (including the resulting slowing of atomic clocks) as velocities become high.</w:t>
      </w:r>
    </w:p>
    <w:p w:rsidR="006D41BD" w:rsidRPr="00F87319" w:rsidRDefault="006D41BD" w:rsidP="006D41BD">
      <w:pPr>
        <w:pStyle w:val="NormPara"/>
        <w:ind w:firstLine="720"/>
        <w:rPr>
          <w:sz w:val="20"/>
        </w:rPr>
      </w:pPr>
      <w:r w:rsidRPr="00F87319">
        <w:rPr>
          <w:sz w:val="20"/>
        </w:rPr>
        <w:t xml:space="preserve">Incredibly for a theory that is so widely accepted, it seems that length contraction has never been seen directly in any experiment but has only been inferred.  Regarding the constancy of lengths in SR, Tom Van Flandern concludes in an article:  </w:t>
      </w:r>
      <w:r w:rsidRPr="00F87319">
        <w:rPr>
          <w:rStyle w:val="Emphasis"/>
          <w:sz w:val="20"/>
        </w:rPr>
        <w:t>“[T]he clear implication of our considerations here is that length contraction is not a physical shortening, but is merely an observational consequence of time desynchronization.  In SR, physical bodies do not actually change dimensions.”</w:t>
      </w:r>
      <w:hyperlink r:id="rId495" w:anchor="7a208" w:history="1">
        <w:r w:rsidRPr="00F87319">
          <w:rPr>
            <w:rStyle w:val="Hyperlink"/>
            <w:sz w:val="20"/>
          </w:rPr>
          <w:t>[28]</w:t>
        </w:r>
      </w:hyperlink>
      <w:r w:rsidRPr="00F87319">
        <w:rPr>
          <w:rStyle w:val="Emphasis"/>
          <w:sz w:val="20"/>
        </w:rPr>
        <w:t xml:space="preserve">  </w:t>
      </w:r>
      <w:r w:rsidRPr="00F87319">
        <w:rPr>
          <w:sz w:val="20"/>
        </w:rPr>
        <w:t>The whole idea of length-contraction is therefore unsubstantiated and has no experimental backing.</w:t>
      </w:r>
    </w:p>
    <w:p w:rsidR="001508F0" w:rsidRDefault="001508F0" w:rsidP="006D41BD">
      <w:pPr>
        <w:pStyle w:val="Heading2"/>
        <w:widowControl/>
        <w:spacing w:before="80" w:after="80" w:line="240" w:lineRule="atLeast"/>
        <w:rPr>
          <w:rFonts w:ascii="Book Antiqua" w:hAnsi="Book Antiqua" w:cs="Times New Roman"/>
          <w:b w:val="0"/>
          <w:sz w:val="20"/>
          <w:szCs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2.2. Atomic Mass Increases</w:t>
      </w:r>
      <w:r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contrast to ideas about length contraction, we have solid observational proof that accelerating an electron (or proton) through a linear accelerator results in an increase in its mass.  This has been hailed as proof that relativity is correct.  However, the SED approach predicts exactly the same effect as a result of the existence of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SED physics considers the Zero Point Energy itself as the agency that imparts mass to all subatomic particles.  For the last 100 years or so, all the equations of physicists describing the behavior of matter have started with massless charged point particles.  This picture of every subatomic particle being charged, but massless, posed the problem of how to impart mass to these point charges.  QED physicists are looking to the Higgs boson to do this. But even though a “Higgs-like particle” was found recently, its true nature may not fulfill physicists expectations.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However, SED physicists note that the electromagnetic waves of the ZPE impinge upon all these charged, massless particles, which Richard Feynman called “partons”.  This action of the ZPE causes them to jitter in a random manner similar to what we see in the Brownian motion of a dust particle bombarded by molecules of air.  Schrödinger referred to this “jitter motion” by its German equivalent word, </w:t>
      </w:r>
      <w:r w:rsidRPr="00F87319">
        <w:rPr>
          <w:i/>
          <w:iCs/>
          <w:sz w:val="20"/>
        </w:rPr>
        <w:t>Zitterbewegung</w:t>
      </w:r>
      <w:r w:rsidRPr="00F87319">
        <w:rPr>
          <w:sz w:val="20"/>
        </w:rPr>
        <w:t xml:space="preserve">.  Dirac pointed out that the </w:t>
      </w:r>
      <w:r w:rsidRPr="00F87319">
        <w:rPr>
          <w:i/>
          <w:iCs/>
          <w:sz w:val="20"/>
        </w:rPr>
        <w:t>Zitterbewegung</w:t>
      </w:r>
      <w:r w:rsidRPr="00F87319">
        <w:rPr>
          <w:iCs/>
          <w:sz w:val="20"/>
        </w:rPr>
        <w:t xml:space="preserve"> jitter </w:t>
      </w:r>
      <w:r w:rsidRPr="00F87319">
        <w:rPr>
          <w:sz w:val="20"/>
        </w:rPr>
        <w:t xml:space="preserve">occurs either at, or very close to, the speed of light.  This conclusion has been sustained by recent studies, and the term “ultra-relativistic” has been used to describe it [29, 30].  The physical reality of the </w:t>
      </w:r>
      <w:r w:rsidRPr="00F87319">
        <w:rPr>
          <w:i/>
          <w:sz w:val="20"/>
        </w:rPr>
        <w:t>Zitterbewegung</w:t>
      </w:r>
      <w:r w:rsidRPr="00F87319">
        <w:rPr>
          <w:sz w:val="20"/>
        </w:rPr>
        <w:t xml:space="preserve"> was demonstrated experimentally in 2010 with calcium ions by Roos and colleagues (Gerritsma was the lead author of the report) [31].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Hal Puthoff then explains what happens according to SED physics: </w:t>
      </w:r>
      <w:r w:rsidRPr="00F87319">
        <w:rPr>
          <w:i/>
          <w:iCs/>
          <w:sz w:val="20"/>
        </w:rPr>
        <w:t xml:space="preserve">“In this view the particle mass </w:t>
      </w:r>
      <w:r w:rsidRPr="00F87319">
        <w:rPr>
          <w:b/>
          <w:i/>
          <w:sz w:val="20"/>
        </w:rPr>
        <w:t>m</w:t>
      </w:r>
      <w:r w:rsidRPr="00F87319">
        <w:rPr>
          <w:sz w:val="20"/>
        </w:rPr>
        <w:t xml:space="preserve"> </w:t>
      </w:r>
      <w:r w:rsidRPr="00F87319">
        <w:rPr>
          <w:i/>
          <w:iCs/>
          <w:sz w:val="20"/>
        </w:rPr>
        <w:t>is of dynamical origin, originating in parton-motion response to the electromagnetic zeropoint fluctuations of the vacuum.  It is therefore simply a special case of the general proposition that the internal kinetic energy of a system contributes to the effective mass of that system.”</w:t>
      </w:r>
      <w:r w:rsidRPr="00F87319">
        <w:rPr>
          <w:sz w:val="20"/>
        </w:rPr>
        <w:t xml:space="preserve">[32]  As a result, it has been stated that, even if it is found to exist, </w:t>
      </w:r>
      <w:r w:rsidRPr="00F87319">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F87319">
        <w:rPr>
          <w:color w:val="FF0000"/>
          <w:sz w:val="20"/>
        </w:rPr>
        <w:t>[33]</w:t>
      </w:r>
    </w:p>
    <w:p w:rsidR="006D41BD" w:rsidRPr="00F87319" w:rsidRDefault="006D41BD" w:rsidP="006D41BD">
      <w:pPr>
        <w:pStyle w:val="NormPara"/>
        <w:ind w:firstLine="720"/>
        <w:rPr>
          <w:sz w:val="20"/>
        </w:rPr>
      </w:pPr>
      <w:r w:rsidRPr="00F87319">
        <w:rPr>
          <w:sz w:val="20"/>
        </w:rPr>
        <w:t xml:space="preserve">Mathematical calculations by SED physicists quantitatively support this view.  The formulations of Haisch, Rueda, and Puthoff show the parton’s atomic mass, </w:t>
      </w:r>
      <w:r w:rsidRPr="00F87319">
        <w:rPr>
          <w:i/>
          <w:sz w:val="20"/>
        </w:rPr>
        <w:t>m</w:t>
      </w:r>
      <w:r w:rsidRPr="00F87319">
        <w:rPr>
          <w:sz w:val="20"/>
        </w:rPr>
        <w:t>, of ZPE origin is given by the equation [34, 35]:</w:t>
      </w:r>
      <w:r w:rsidRPr="00F87319">
        <w:rPr>
          <w:sz w:val="20"/>
        </w:rPr>
        <w:tab/>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100" w:dyaOrig="580">
          <v:shape id="_x0000_i1096" type="#_x0000_t75" style="width:105.3pt;height:29.05pt" o:ole="">
            <v:imagedata r:id="rId496" o:title=""/>
          </v:shape>
          <o:OLEObject Type="Embed" ProgID="Equation.DSMT4" ShapeID="_x0000_i1096" DrawAspect="Content" ObjectID="_1438188908" r:id="rId49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 xml:space="preserve">In Eq. (14), </w:t>
      </w:r>
      <w:r w:rsidRPr="00F87319">
        <w:rPr>
          <w:position w:val="-6"/>
          <w:sz w:val="20"/>
        </w:rPr>
        <w:object w:dxaOrig="200" w:dyaOrig="200">
          <v:shape id="_x0000_i1097" type="#_x0000_t75" style="width:9.7pt;height:9.7pt" o:ole="">
            <v:imagedata r:id="rId498" o:title=""/>
          </v:shape>
          <o:OLEObject Type="Embed" ProgID="Equation.DSMT4" ShapeID="_x0000_i1097" DrawAspect="Content" ObjectID="_1438188909" r:id="rId499"/>
        </w:object>
      </w:r>
      <w:r w:rsidRPr="00F87319">
        <w:rPr>
          <w:sz w:val="20"/>
        </w:rPr>
        <w:t xml:space="preserve"> is the </w:t>
      </w:r>
      <w:r w:rsidRPr="00F87319">
        <w:rPr>
          <w:rStyle w:val="Emphasis"/>
          <w:sz w:val="20"/>
        </w:rPr>
        <w:t xml:space="preserve">Zitterbewegung </w:t>
      </w:r>
      <w:r w:rsidRPr="00F87319">
        <w:rPr>
          <w:sz w:val="20"/>
        </w:rPr>
        <w:t>oscillation frequency of the particle,</w:t>
      </w:r>
      <w:r w:rsidRPr="00F87319">
        <w:rPr>
          <w:position w:val="-6"/>
          <w:sz w:val="20"/>
        </w:rPr>
        <w:object w:dxaOrig="160" w:dyaOrig="200">
          <v:shape id="_x0000_i1098" type="#_x0000_t75" style="width:8.45pt;height:9.7pt" o:ole="">
            <v:imagedata r:id="rId500" o:title=""/>
          </v:shape>
          <o:OLEObject Type="Embed" ProgID="Equation.DSMT4" ShapeID="_x0000_i1098" DrawAspect="Content" ObjectID="_1438188910" r:id="rId501"/>
        </w:object>
      </w:r>
      <w:r w:rsidRPr="00F87319">
        <w:rPr>
          <w:sz w:val="20"/>
        </w:rPr>
        <w:t>is the speed of light,</w:t>
      </w:r>
      <w:r w:rsidRPr="00F87319">
        <w:rPr>
          <w:position w:val="-6"/>
          <w:sz w:val="20"/>
        </w:rPr>
        <w:object w:dxaOrig="180" w:dyaOrig="240">
          <v:shape id="_x0000_i1099" type="#_x0000_t75" style="width:9.1pt;height:12.1pt" o:ole="">
            <v:imagedata r:id="rId502" o:title=""/>
          </v:shape>
          <o:OLEObject Type="Embed" ProgID="Equation.DSMT4" ShapeID="_x0000_i1099" DrawAspect="Content" ObjectID="_1438188911" r:id="rId503"/>
        </w:object>
      </w:r>
      <w:r w:rsidRPr="00F87319">
        <w:rPr>
          <w:sz w:val="20"/>
        </w:rPr>
        <w:t>is Planck’s constant, and</w:t>
      </w:r>
      <w:r w:rsidRPr="00F87319">
        <w:rPr>
          <w:position w:val="-4"/>
          <w:sz w:val="20"/>
        </w:rPr>
        <w:object w:dxaOrig="180" w:dyaOrig="200">
          <v:shape id="_x0000_i1100" type="#_x0000_t75" style="width:9.1pt;height:9.7pt" o:ole="">
            <v:imagedata r:id="rId504" o:title=""/>
          </v:shape>
          <o:OLEObject Type="Embed" ProgID="Equation.DSMT4" ShapeID="_x0000_i1100" DrawAspect="Content" ObjectID="_1438188912" r:id="rId505"/>
        </w:object>
      </w:r>
      <w:r w:rsidRPr="00F87319">
        <w:rPr>
          <w:sz w:val="20"/>
        </w:rPr>
        <w:t>is the Abraham-Lorentz damping constant of the parton.  The proportionalities in (14) hold because the terms</w:t>
      </w:r>
      <w:r w:rsidRPr="00F87319">
        <w:rPr>
          <w:position w:val="-6"/>
          <w:sz w:val="20"/>
        </w:rPr>
        <w:object w:dxaOrig="480" w:dyaOrig="300">
          <v:shape id="_x0000_i1101" type="#_x0000_t75" style="width:24.2pt;height:15.15pt" o:ole="">
            <v:imagedata r:id="rId506" o:title=""/>
          </v:shape>
          <o:OLEObject Type="Embed" ProgID="Equation.DSMT4" ShapeID="_x0000_i1101" DrawAspect="Content" ObjectID="_1438188913" r:id="rId507"/>
        </w:object>
      </w:r>
      <w:r w:rsidRPr="00F87319">
        <w:rPr>
          <w:sz w:val="20"/>
        </w:rPr>
        <w:t>which make up the numerator can be shown to remain constant in a changing ZPE scenario, even though the individual terms are ZPE dependent [36, 37].  Analysis there shows that the angular frequency of the particle’s jitter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10"/>
          <w:sz w:val="20"/>
        </w:rPr>
        <w:object w:dxaOrig="800" w:dyaOrig="340">
          <v:shape id="_x0000_i1102" type="#_x0000_t75" style="width:39.95pt;height:17.55pt" o:ole="">
            <v:imagedata r:id="rId508" o:title=""/>
          </v:shape>
          <o:OLEObject Type="Embed" ProgID="Equation.DSMT4" ShapeID="_x0000_i1102" DrawAspect="Content" ObjectID="_1438188914" r:id="rId509"/>
        </w:object>
      </w:r>
      <w:r w:rsidRPr="00F87319">
        <w:rPr>
          <w:sz w:val="20"/>
        </w:rPr>
        <w:t xml:space="preserve"> ,</w:t>
      </w:r>
      <w:r w:rsidRPr="00F87319">
        <w:rPr>
          <w:sz w:val="20"/>
        </w:rPr>
        <w:tab/>
      </w:r>
      <w:r w:rsidRPr="00F87319">
        <w:rPr>
          <w:sz w:val="20"/>
        </w:rPr>
        <w:tab/>
      </w:r>
      <w:r w:rsidRPr="00F87319">
        <w:rPr>
          <w:sz w:val="20"/>
        </w:rPr>
        <w:tab/>
      </w:r>
      <w:r w:rsidRPr="00F87319">
        <w:rPr>
          <w:i/>
          <w:sz w:val="20"/>
        </w:rPr>
        <w:tab/>
      </w:r>
      <w:r w:rsidRPr="00F87319">
        <w:rPr>
          <w:i/>
          <w:sz w:val="20"/>
        </w:rPr>
        <w:tab/>
        <w:t>(15)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10"/>
          <w:sz w:val="20"/>
        </w:rPr>
        <w:object w:dxaOrig="200" w:dyaOrig="279">
          <v:shape id="_x0000_i1103" type="#_x0000_t75" style="width:9.7pt;height:14.5pt" o:ole="">
            <v:imagedata r:id="rId510" o:title=""/>
          </v:shape>
          <o:OLEObject Type="Embed" ProgID="Equation.DSMT4" ShapeID="_x0000_i1103" DrawAspect="Content" ObjectID="_1438188915" r:id="rId511"/>
        </w:object>
      </w:r>
      <w:r w:rsidRPr="00F87319">
        <w:rPr>
          <w:sz w:val="20"/>
        </w:rPr>
        <w:t xml:space="preserve">is the particle’s Compton frequency. From (14) it can be seen that energy, </w:t>
      </w:r>
      <w:r w:rsidRPr="00F87319">
        <w:rPr>
          <w:i/>
          <w:sz w:val="20"/>
        </w:rPr>
        <w:t>E</w:t>
      </w:r>
      <w:r w:rsidRPr="00F87319">
        <w:rPr>
          <w:sz w:val="20"/>
        </w:rPr>
        <w:t>, will be conserved with any change in ZPE strength since atomic masses are changing as the inverse square of the speed of light.  Thus, energy</w:t>
      </w:r>
      <w:r w:rsidRPr="00F87319">
        <w:rPr>
          <w:position w:val="-6"/>
          <w:sz w:val="20"/>
        </w:rPr>
        <w:object w:dxaOrig="660" w:dyaOrig="300">
          <v:shape id="_x0000_i1104" type="#_x0000_t75" style="width:33.3pt;height:15.15pt" o:ole="">
            <v:imagedata r:id="rId512" o:title=""/>
          </v:shape>
          <o:OLEObject Type="Embed" ProgID="Equation.DSMT4" ShapeID="_x0000_i1104" DrawAspect="Content" ObjectID="_1438188916" r:id="rId513"/>
        </w:object>
      </w:r>
      <w:r w:rsidRPr="00F87319">
        <w:rPr>
          <w:sz w:val="20"/>
        </w:rPr>
        <w:t xml:space="preserve"> will remain constant, and the equation is valid for SED physics with a changing ZPE.</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 xml:space="preserve">Since masses for all subatomic particles comes from the “jiggling” of these particles by the impacting waves of the ZPE, consider what happens with a particle in motion.  Because of its motion, the particle is running into more ZPE waves than when it is at rest.  An increase in particle mass is then the result.  The higher the velocity, the more “jiggling” occurs </w:t>
      </w:r>
      <w:r w:rsidRPr="00F87319">
        <w:rPr>
          <w:sz w:val="20"/>
        </w:rPr>
        <w:lastRenderedPageBreak/>
        <w:t>and the greater the resulting mass.  This has been mathematically quantified by SED physicists and yields the same results as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rate of ticking of atomic clocks is also implicated in this. The reason is that kinetic energy is conserved in atomic processes [37, 12].  Consequently, atomic particles must move more slowly as they gain mass.  If kinetic energy is </w:t>
      </w:r>
      <w:r w:rsidRPr="00F87319">
        <w:rPr>
          <w:i/>
          <w:sz w:val="20"/>
        </w:rPr>
        <w:t>E</w:t>
      </w:r>
      <w:r w:rsidRPr="00F87319">
        <w:rPr>
          <w:sz w:val="20"/>
        </w:rPr>
        <w:t>, then it can be written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500" w:dyaOrig="300">
          <v:shape id="_x0000_i1105" type="#_x0000_t75" style="width:75.05pt;height:15.15pt" o:ole="">
            <v:imagedata r:id="rId514" o:title=""/>
          </v:shape>
          <o:OLEObject Type="Embed" ProgID="Equation.DSMT4" ShapeID="_x0000_i1105" DrawAspect="Content" ObjectID="_1438188917" r:id="rId51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(16)</w:t>
      </w:r>
    </w:p>
    <w:p w:rsidR="006D41BD" w:rsidRPr="00F87319" w:rsidRDefault="006D41BD" w:rsidP="006D41BD">
      <w:pPr>
        <w:pStyle w:val="NormPara"/>
        <w:ind w:firstLine="270"/>
        <w:rPr>
          <w:sz w:val="20"/>
        </w:rPr>
      </w:pPr>
    </w:p>
    <w:p w:rsidR="006D41BD" w:rsidRPr="00F87319" w:rsidRDefault="006D41BD" w:rsidP="006D41BD">
      <w:pPr>
        <w:pStyle w:val="NormPara"/>
        <w:ind w:firstLine="270"/>
        <w:rPr>
          <w:sz w:val="20"/>
        </w:rPr>
      </w:pPr>
      <w:r w:rsidRPr="00F87319">
        <w:rPr>
          <w:sz w:val="20"/>
        </w:rPr>
        <w:t>As a result, since Eq. (14) shows that atomic masses</w:t>
      </w:r>
      <w:r w:rsidRPr="00F87319">
        <w:rPr>
          <w:position w:val="-6"/>
          <w:sz w:val="20"/>
        </w:rPr>
        <w:object w:dxaOrig="220" w:dyaOrig="200">
          <v:shape id="_x0000_i1106" type="#_x0000_t75" style="width:10.3pt;height:9.7pt" o:ole="">
            <v:imagedata r:id="rId516" o:title=""/>
          </v:shape>
          <o:OLEObject Type="Embed" ProgID="Equation.DSMT4" ShapeID="_x0000_i1106" DrawAspect="Content" ObjectID="_1438188918" r:id="rId517"/>
        </w:object>
      </w:r>
      <w:r w:rsidRPr="00F87319">
        <w:rPr>
          <w:sz w:val="20"/>
        </w:rPr>
        <w:t>are proportional to</w:t>
      </w:r>
      <w:r w:rsidRPr="00F87319">
        <w:rPr>
          <w:position w:val="-10"/>
          <w:sz w:val="20"/>
        </w:rPr>
        <w:object w:dxaOrig="440" w:dyaOrig="340">
          <v:shape id="_x0000_i1107" type="#_x0000_t75" style="width:21.8pt;height:17.55pt" o:ole="">
            <v:imagedata r:id="rId518" o:title=""/>
          </v:shape>
          <o:OLEObject Type="Embed" ProgID="Equation.DSMT4" ShapeID="_x0000_i1107" DrawAspect="Content" ObjectID="_1438188919" r:id="rId519"/>
        </w:object>
      </w:r>
      <w:r w:rsidRPr="00F87319">
        <w:rPr>
          <w:sz w:val="20"/>
        </w:rPr>
        <w:t xml:space="preserve">, </w:t>
      </w:r>
      <w:proofErr w:type="gramStart"/>
      <w:r w:rsidRPr="00F87319">
        <w:rPr>
          <w:sz w:val="20"/>
        </w:rPr>
        <w:t>then</w:t>
      </w:r>
      <w:proofErr w:type="gramEnd"/>
      <w:r w:rsidRPr="00F87319">
        <w:rPr>
          <w:sz w:val="20"/>
        </w:rPr>
        <w:t xml:space="preserve"> it follows that atomic velocities</w:t>
      </w:r>
      <w:r w:rsidRPr="00F87319">
        <w:rPr>
          <w:position w:val="-6"/>
          <w:sz w:val="20"/>
        </w:rPr>
        <w:object w:dxaOrig="180" w:dyaOrig="200">
          <v:shape id="_x0000_i1108" type="#_x0000_t75" style="width:9.1pt;height:9.7pt" o:ole="">
            <v:imagedata r:id="rId520" o:title=""/>
          </v:shape>
          <o:OLEObject Type="Embed" ProgID="Equation.DSMT4" ShapeID="_x0000_i1108" DrawAspect="Content" ObjectID="_1438188920" r:id="rId521"/>
        </w:object>
      </w:r>
      <w:r w:rsidRPr="00F87319">
        <w:rPr>
          <w:sz w:val="20"/>
        </w:rPr>
        <w:t>in Eq. (16) must go as</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20" w:dyaOrig="300">
          <v:shape id="_x0000_i1109" type="#_x0000_t75" style="width:30.85pt;height:15.15pt" o:ole="">
            <v:imagedata r:id="rId522" o:title=""/>
          </v:shape>
          <o:OLEObject Type="Embed" ProgID="Equation.DSMT4" ShapeID="_x0000_i1109" DrawAspect="Content" ObjectID="_1438188921" r:id="rId523"/>
        </w:object>
      </w:r>
      <w:r w:rsidRPr="00F87319">
        <w:rPr>
          <w:sz w:val="20"/>
        </w:rPr>
        <w:t xml:space="preserve">   </w:t>
      </w:r>
      <w:proofErr w:type="gramStart"/>
      <w:r w:rsidRPr="00F87319">
        <w:rPr>
          <w:sz w:val="20"/>
        </w:rPr>
        <w:t>so</w:t>
      </w:r>
      <w:proofErr w:type="gramEnd"/>
      <w:r w:rsidRPr="00F87319">
        <w:rPr>
          <w:sz w:val="20"/>
        </w:rPr>
        <w:t xml:space="preserve">   </w:t>
      </w:r>
      <w:r w:rsidRPr="00F87319">
        <w:rPr>
          <w:position w:val="-20"/>
          <w:sz w:val="20"/>
        </w:rPr>
        <w:object w:dxaOrig="800" w:dyaOrig="499">
          <v:shape id="_x0000_i1110" type="#_x0000_t75" style="width:39.95pt;height:24.8pt" o:ole="">
            <v:imagedata r:id="rId524" o:title=""/>
          </v:shape>
          <o:OLEObject Type="Embed" ProgID="Equation.DSMT4" ShapeID="_x0000_i1110" DrawAspect="Content" ObjectID="_1438188922" r:id="rId52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(17)</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Thus, subatomic particle velocities are proportional to the speed of light</w:t>
      </w:r>
      <w:r w:rsidRPr="00F87319">
        <w:rPr>
          <w:position w:val="-6"/>
          <w:sz w:val="20"/>
        </w:rPr>
        <w:object w:dxaOrig="160" w:dyaOrig="200">
          <v:shape id="_x0000_i1111" type="#_x0000_t75" style="width:8.45pt;height:9.7pt" o:ole="">
            <v:imagedata r:id="rId526" o:title=""/>
          </v:shape>
          <o:OLEObject Type="Embed" ProgID="Equation.DSMT4" ShapeID="_x0000_i1111" DrawAspect="Content" ObjectID="_1438188923" r:id="rId527"/>
        </w:object>
      </w:r>
      <w:r w:rsidRPr="00F87319">
        <w:rPr>
          <w:sz w:val="20"/>
        </w:rPr>
        <w:t>or to the inverse of the ZPE strength</w:t>
      </w:r>
      <w:r w:rsidRPr="00F87319">
        <w:rPr>
          <w:position w:val="-6"/>
          <w:sz w:val="20"/>
        </w:rPr>
        <w:object w:dxaOrig="220" w:dyaOrig="240">
          <v:shape id="_x0000_i1112" type="#_x0000_t75" style="width:10.3pt;height:12.1pt" o:ole="">
            <v:imagedata r:id="rId528" o:title=""/>
          </v:shape>
          <o:OLEObject Type="Embed" ProgID="Equation.DSMT4" ShapeID="_x0000_i1112" DrawAspect="Content" ObjectID="_1438188924" r:id="rId529"/>
        </w:object>
      </w:r>
      <w:r w:rsidRPr="00F87319">
        <w:rPr>
          <w:sz w:val="20"/>
        </w:rPr>
        <w:t>.  This velocity change affects the rate of atomic processes, including the orbit times for electrons and the rate of escape of particles from nuclear orbitals.  This means atomic time varies with changes in mass because the square of the velocity of subatomic particle is inversely proportional to the mass.  Thus, any increase in mass would result in a slowing of the atomic clock involved.  Therefore atomic frequencies</w:t>
      </w:r>
      <w:r w:rsidRPr="00F87319">
        <w:rPr>
          <w:position w:val="-10"/>
          <w:sz w:val="20"/>
        </w:rPr>
        <w:object w:dxaOrig="200" w:dyaOrig="279">
          <v:shape id="_x0000_i1113" type="#_x0000_t75" style="width:9.7pt;height:14.5pt" o:ole="">
            <v:imagedata r:id="rId530" o:title=""/>
          </v:shape>
          <o:OLEObject Type="Embed" ProgID="Equation.DSMT4" ShapeID="_x0000_i1113" DrawAspect="Content" ObjectID="_1438188925" r:id="rId531"/>
        </w:object>
      </w:r>
      <w:r w:rsidRPr="00F87319">
        <w:rPr>
          <w:sz w:val="20"/>
        </w:rPr>
        <w:t>bear the same dependencies as atomic velocities, so Eq. (17) may be written:</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1100" w:dyaOrig="499">
          <v:shape id="_x0000_i1114" type="#_x0000_t75" style="width:54.45pt;height:24.8pt" o:ole="">
            <v:imagedata r:id="rId532" o:title=""/>
          </v:shape>
          <o:OLEObject Type="Embed" ProgID="Equation.DSMT4" ShapeID="_x0000_i1114" DrawAspect="Content" ObjectID="_1438188926" r:id="rId53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(17A)</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It has been experimentally demonstrated that, after accelerating a short-half-life radioactive particle, the mass has increased and the rate of decay has slowed down.  This has been used to show Einstein’s theory of Special Relativity is right.  But exactly the same result is predicted from SED physics because there is increased jiggling of the parton that occurs with acceleration through the ZPE.</w:t>
      </w:r>
    </w:p>
    <w:p w:rsidR="006D41BD" w:rsidRPr="00F87319" w:rsidRDefault="006D41BD" w:rsidP="006D41BD">
      <w:pPr>
        <w:pStyle w:val="NormPara"/>
        <w:ind w:firstLine="72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2.3 Zero Point Energy and Mass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kinetic energy given to the particle by the jiggling imparted by the ZPE appears as its atomic mass. As a result, this mass depends on the strength of the ZPE.  Its mass describes the way the parton or electron behaves in its atomic environment.  This is described by Eq. (4).  In that equation, the damping constant </w:t>
      </w:r>
      <w:r w:rsidRPr="00F87319">
        <w:rPr>
          <w:position w:val="-4"/>
          <w:sz w:val="20"/>
        </w:rPr>
        <w:object w:dxaOrig="180" w:dyaOrig="200">
          <v:shape id="_x0000_i1115" type="#_x0000_t75" style="width:9.1pt;height:9.7pt" o:ole="">
            <v:imagedata r:id="rId534" o:title=""/>
          </v:shape>
          <o:OLEObject Type="Embed" ProgID="Equation.DSMT4" ShapeID="_x0000_i1115" DrawAspect="Content" ObjectID="_1438188927" r:id="rId535"/>
        </w:object>
      </w:r>
      <w:r w:rsidRPr="00F87319">
        <w:rPr>
          <w:sz w:val="20"/>
        </w:rPr>
        <w:t>appears.  It is made up of the following terms: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20" w:dyaOrig="580">
          <v:shape id="_x0000_i1116" type="#_x0000_t75" style="width:56.25pt;height:29.05pt" o:ole="">
            <v:imagedata r:id="rId536" o:title=""/>
          </v:shape>
          <o:OLEObject Type="Embed" ProgID="Equation.DSMT4" ShapeID="_x0000_i1116" DrawAspect="Content" ObjectID="_1438188928" r:id="rId53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In Eq. (18), there appears another form of mass,</w:t>
      </w:r>
      <w:r w:rsidRPr="00F87319">
        <w:rPr>
          <w:position w:val="-6"/>
          <w:sz w:val="20"/>
        </w:rPr>
        <w:object w:dxaOrig="279" w:dyaOrig="300">
          <v:shape id="_x0000_i1117" type="#_x0000_t75" style="width:14.5pt;height:15.15pt" o:ole="">
            <v:imagedata r:id="rId538" o:title=""/>
          </v:shape>
          <o:OLEObject Type="Embed" ProgID="Equation.DSMT4" ShapeID="_x0000_i1117" DrawAspect="Content" ObjectID="_1438188929" r:id="rId539"/>
        </w:object>
      </w:r>
      <w:proofErr w:type="gramStart"/>
      <w:r w:rsidRPr="00F87319">
        <w:rPr>
          <w:sz w:val="20"/>
        </w:rPr>
        <w:t>,</w:t>
      </w:r>
      <w:proofErr w:type="gramEnd"/>
      <w:r w:rsidRPr="00F87319">
        <w:rPr>
          <w:sz w:val="20"/>
        </w:rPr>
        <w:t xml:space="preserve"> which might be called the intrinsic mass.  Unlike atomic mass, intrinsic mass</w:t>
      </w:r>
      <w:r w:rsidRPr="00F87319">
        <w:rPr>
          <w:position w:val="-6"/>
          <w:sz w:val="20"/>
        </w:rPr>
        <w:object w:dxaOrig="279" w:dyaOrig="300">
          <v:shape id="_x0000_i1118" type="#_x0000_t75" style="width:14.5pt;height:15.15pt" o:ole="">
            <v:imagedata r:id="rId540" o:title=""/>
          </v:shape>
          <o:OLEObject Type="Embed" ProgID="Equation.DSMT4" ShapeID="_x0000_i1118" DrawAspect="Content" ObjectID="_1438188930" r:id="rId541"/>
        </w:object>
      </w:r>
      <w:r w:rsidRPr="00F87319">
        <w:rPr>
          <w:sz w:val="20"/>
        </w:rPr>
        <w:t xml:space="preserve">is due only to the charge which makes up the parton or electron.  In other words, the intrinsic mass </w:t>
      </w:r>
      <w:r w:rsidRPr="00F87319">
        <w:rPr>
          <w:position w:val="-6"/>
          <w:sz w:val="20"/>
        </w:rPr>
        <w:object w:dxaOrig="279" w:dyaOrig="300">
          <v:shape id="_x0000_i1119" type="#_x0000_t75" style="width:14.5pt;height:15.15pt" o:ole="">
            <v:imagedata r:id="rId542" o:title=""/>
          </v:shape>
          <o:OLEObject Type="Embed" ProgID="Equation.DSMT4" ShapeID="_x0000_i1119" DrawAspect="Content" ObjectID="_1438188931" r:id="rId543"/>
        </w:object>
      </w:r>
      <w:r w:rsidRPr="00F87319">
        <w:rPr>
          <w:sz w:val="20"/>
        </w:rPr>
        <w:t xml:space="preserve"> is purely electromagnetic in origin.  An approximation for this mass can be derived from the formula for Classical Electron </w:t>
      </w:r>
      <w:proofErr w:type="gramStart"/>
      <w:r w:rsidRPr="00F87319">
        <w:rPr>
          <w:sz w:val="20"/>
        </w:rPr>
        <w:t xml:space="preserve">Radius </w:t>
      </w:r>
      <w:proofErr w:type="gramEnd"/>
      <w:r w:rsidRPr="00F87319">
        <w:rPr>
          <w:position w:val="-10"/>
          <w:sz w:val="20"/>
        </w:rPr>
        <w:object w:dxaOrig="200" w:dyaOrig="279">
          <v:shape id="_x0000_i1120" type="#_x0000_t75" style="width:9.7pt;height:14.5pt" o:ole="">
            <v:imagedata r:id="rId544" o:title=""/>
          </v:shape>
          <o:OLEObject Type="Embed" ProgID="Equation.DSMT4" ShapeID="_x0000_i1120" DrawAspect="Content" ObjectID="_1438188932" r:id="rId545"/>
        </w:object>
      </w:r>
      <w:r w:rsidRPr="00F87319">
        <w:rPr>
          <w:sz w:val="20"/>
        </w:rPr>
        <w:t>, from which we get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lastRenderedPageBreak/>
        <w:tab/>
      </w:r>
      <m:oMath>
        <m:sSup>
          <m:sSupPr>
            <m:ctrlPr>
              <w:rPr>
                <w:rFonts w:ascii="Cambria Math" w:hAnsi="Cambria Math"/>
                <w:i/>
                <w:sz w:val="20"/>
              </w:rPr>
            </m:ctrlPr>
          </m:sSupPr>
          <m:e>
            <m:r>
              <w:rPr>
                <w:rFonts w:ascii="Cambria Math" w:hAnsi="Cambria Math"/>
                <w:sz w:val="20"/>
              </w:rPr>
              <m:t>m</m:t>
            </m:r>
          </m:e>
          <m:sup>
            <m:r>
              <w:rPr>
                <w:rFonts w:hAnsi="Cambria Math"/>
                <w:sz w:val="20"/>
              </w:rPr>
              <m:t>*</m:t>
            </m:r>
          </m:sup>
        </m:sSup>
        <m:r>
          <w:rPr>
            <w:rFonts w:ascii="Cambria Math"/>
            <w:sz w:val="20"/>
          </w:rPr>
          <m:t xml:space="preserve"> </m:t>
        </m:r>
        <m:r>
          <w:rPr>
            <w:rFonts w:hAnsi="Cambria Math"/>
            <w:sz w:val="20"/>
          </w:rPr>
          <m:t>≅</m:t>
        </m:r>
        <m:r>
          <w:rPr>
            <w:rFonts w:ascii="Cambria Math"/>
            <w:sz w:val="20"/>
          </w:rPr>
          <m:t xml:space="preserve"> </m:t>
        </m:r>
        <m:d>
          <m:dPr>
            <m:ctrlPr>
              <w:rPr>
                <w:rFonts w:ascii="Cambria Math" w:hAnsi="Cambria Math"/>
                <w:i/>
                <w:sz w:val="20"/>
              </w:rPr>
            </m:ctrlPr>
          </m:dPr>
          <m:e>
            <m:f>
              <m:fPr>
                <m:ctrlPr>
                  <w:rPr>
                    <w:rFonts w:ascii="Cambria Math" w:hAnsi="Cambria Math"/>
                    <w:i/>
                    <w:sz w:val="20"/>
                  </w:rPr>
                </m:ctrlPr>
              </m:fPr>
              <m:num>
                <m:sSup>
                  <m:sSupPr>
                    <m:ctrlPr>
                      <w:rPr>
                        <w:rFonts w:ascii="Cambria Math" w:hAnsi="Cambria Math"/>
                        <w:i/>
                        <w:sz w:val="20"/>
                      </w:rPr>
                    </m:ctrlPr>
                  </m:sSupPr>
                  <m:e>
                    <m:r>
                      <w:rPr>
                        <w:rFonts w:ascii="Cambria Math" w:hAnsi="Cambria Math"/>
                        <w:sz w:val="20"/>
                      </w:rPr>
                      <m:t>e</m:t>
                    </m:r>
                  </m:e>
                  <m:sup>
                    <m:r>
                      <w:rPr>
                        <w:rFonts w:ascii="Cambria Math"/>
                        <w:sz w:val="20"/>
                      </w:rPr>
                      <m:t>2</m:t>
                    </m:r>
                  </m:sup>
                </m:sSup>
              </m:num>
              <m:den>
                <m:r>
                  <w:rPr>
                    <w:rFonts w:ascii="Cambria Math" w:hAnsi="Cambria Math"/>
                    <w:sz w:val="20"/>
                  </w:rPr>
                  <m:t>ε</m:t>
                </m:r>
              </m:den>
            </m:f>
          </m:e>
        </m:d>
        <m:d>
          <m:dPr>
            <m:ctrlPr>
              <w:rPr>
                <w:rFonts w:ascii="Cambria Math" w:hAnsi="Cambria Math"/>
                <w:i/>
                <w:sz w:val="20"/>
              </w:rPr>
            </m:ctrlPr>
          </m:dPr>
          <m:e>
            <m:f>
              <m:fPr>
                <m:ctrlPr>
                  <w:rPr>
                    <w:rFonts w:ascii="Cambria Math" w:hAnsi="Cambria Math"/>
                    <w:i/>
                    <w:sz w:val="20"/>
                  </w:rPr>
                </m:ctrlPr>
              </m:fPr>
              <m:num>
                <m:r>
                  <w:rPr>
                    <w:rFonts w:ascii="Cambria Math"/>
                    <w:sz w:val="20"/>
                  </w:rPr>
                  <m:t>1</m:t>
                </m:r>
              </m:num>
              <m:den>
                <m:sSub>
                  <m:sSubPr>
                    <m:ctrlPr>
                      <w:rPr>
                        <w:rFonts w:ascii="Cambria Math" w:hAnsi="Cambria Math"/>
                        <w:i/>
                        <w:sz w:val="20"/>
                      </w:rPr>
                    </m:ctrlPr>
                  </m:sSubPr>
                  <m:e>
                    <m:r>
                      <w:rPr>
                        <w:rFonts w:ascii="Cambria Math" w:hAnsi="Cambria Math"/>
                        <w:sz w:val="20"/>
                      </w:rPr>
                      <m:t>r</m:t>
                    </m:r>
                  </m:e>
                  <m:sub>
                    <m:r>
                      <w:rPr>
                        <w:rFonts w:ascii="Cambria Math"/>
                        <w:sz w:val="20"/>
                      </w:rPr>
                      <m:t>0</m:t>
                    </m:r>
                  </m:sub>
                </m:sSub>
                <m:sSup>
                  <m:sSupPr>
                    <m:ctrlPr>
                      <w:rPr>
                        <w:rFonts w:ascii="Cambria Math" w:hAnsi="Cambria Math"/>
                        <w:i/>
                        <w:sz w:val="20"/>
                      </w:rPr>
                    </m:ctrlPr>
                  </m:sSupPr>
                  <m:e>
                    <m:r>
                      <w:rPr>
                        <w:rFonts w:ascii="Cambria Math" w:hAnsi="Cambria Math"/>
                        <w:sz w:val="20"/>
                      </w:rPr>
                      <m:t>c</m:t>
                    </m:r>
                  </m:e>
                  <m:sup>
                    <m:r>
                      <w:rPr>
                        <w:rFonts w:ascii="Cambria Math"/>
                        <w:sz w:val="20"/>
                      </w:rPr>
                      <m:t>2</m:t>
                    </m:r>
                  </m:sup>
                </m:sSup>
              </m:den>
            </m:f>
          </m:e>
        </m:d>
      </m:oMath>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(19)</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0"/>
        <w:rPr>
          <w:sz w:val="20"/>
        </w:rPr>
      </w:pPr>
      <w:r w:rsidRPr="00F87319">
        <w:rPr>
          <w:sz w:val="20"/>
        </w:rPr>
        <w:t xml:space="preserve">where </w:t>
      </w:r>
      <m:oMath>
        <m:r>
          <w:rPr>
            <w:rFonts w:ascii="Cambria Math" w:hAnsi="Cambria Math"/>
            <w:sz w:val="20"/>
          </w:rPr>
          <m:t>≅</m:t>
        </m:r>
      </m:oMath>
      <w:r w:rsidRPr="00F87319">
        <w:rPr>
          <w:sz w:val="20"/>
        </w:rPr>
        <w:t xml:space="preserve"> means “approximately equal to.”  A rigorous derivation results in the formula</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1160" w:dyaOrig="620">
          <v:shape id="_x0000_i1121" type="#_x0000_t75" style="width:57.5pt;height:30.85pt" o:ole="">
            <v:imagedata r:id="rId546" o:title=""/>
          </v:shape>
          <o:OLEObject Type="Embed" ProgID="Equation.DSMT4" ShapeID="_x0000_i1121" DrawAspect="Content" ObjectID="_1438188933" r:id="rId54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(20) </w:t>
      </w:r>
    </w:p>
    <w:p w:rsidR="006D41BD" w:rsidRPr="00F87319" w:rsidRDefault="006D41BD" w:rsidP="006D41BD">
      <w:pPr>
        <w:pStyle w:val="NormPara"/>
        <w:ind w:firstLine="0"/>
        <w:rPr>
          <w:sz w:val="20"/>
        </w:rPr>
      </w:pPr>
      <w:r w:rsidRPr="00F87319">
        <w:rPr>
          <w:sz w:val="20"/>
        </w:rPr>
        <w:t xml:space="preserve">Since it has been shown that </w:t>
      </w:r>
      <w:r w:rsidRPr="00F87319">
        <w:rPr>
          <w:position w:val="-10"/>
          <w:sz w:val="20"/>
        </w:rPr>
        <w:object w:dxaOrig="420" w:dyaOrig="340">
          <v:shape id="_x0000_i1122" type="#_x0000_t75" style="width:21.2pt;height:17.55pt" o:ole="">
            <v:imagedata r:id="rId548" o:title=""/>
          </v:shape>
          <o:OLEObject Type="Embed" ProgID="Equation.DSMT4" ShapeID="_x0000_i1122" DrawAspect="Content" ObjectID="_1438188934" r:id="rId549"/>
        </w:object>
      </w:r>
      <w:r w:rsidRPr="00F87319">
        <w:rPr>
          <w:sz w:val="20"/>
        </w:rPr>
        <w:t xml:space="preserve"> is a constant out to the limits of the universe, even with a changing ZPE [36, 38</w:t>
      </w:r>
      <w:r w:rsidRPr="00F87319">
        <w:rPr>
          <w:b/>
          <w:sz w:val="20"/>
        </w:rPr>
        <w:t>]</w:t>
      </w:r>
      <w:r w:rsidRPr="00F87319">
        <w:rPr>
          <w:sz w:val="20"/>
        </w:rPr>
        <w:t>,</w:t>
      </w:r>
      <w:r w:rsidRPr="00F87319">
        <w:rPr>
          <w:b/>
          <w:sz w:val="20"/>
        </w:rPr>
        <w:t xml:space="preserve"> </w:t>
      </w:r>
      <w:r w:rsidRPr="00F87319">
        <w:rPr>
          <w:sz w:val="20"/>
        </w:rPr>
        <w:t xml:space="preserve">then it follows that the intrinsic mass </w:t>
      </w:r>
      <w:r w:rsidRPr="00F87319">
        <w:rPr>
          <w:position w:val="-6"/>
          <w:sz w:val="20"/>
        </w:rPr>
        <w:object w:dxaOrig="279" w:dyaOrig="300">
          <v:shape id="_x0000_i1123" type="#_x0000_t75" style="width:14.5pt;height:15.15pt" o:ole="">
            <v:imagedata r:id="rId550" o:title=""/>
          </v:shape>
          <o:OLEObject Type="Embed" ProgID="Equation.DSMT4" ShapeID="_x0000_i1123" DrawAspect="Content" ObjectID="_1438188935" r:id="rId551"/>
        </w:object>
      </w:r>
      <w:r w:rsidRPr="00F87319">
        <w:rPr>
          <w:sz w:val="20"/>
        </w:rPr>
        <w:t xml:space="preserve"> is inversely proportional to both the radius of the parton or electron </w:t>
      </w:r>
      <w:r w:rsidRPr="00F87319">
        <w:rPr>
          <w:position w:val="-10"/>
          <w:sz w:val="20"/>
        </w:rPr>
        <w:object w:dxaOrig="200" w:dyaOrig="279">
          <v:shape id="_x0000_i1124" type="#_x0000_t75" style="width:9.7pt;height:14.5pt" o:ole="">
            <v:imagedata r:id="rId552" o:title=""/>
          </v:shape>
          <o:OLEObject Type="Embed" ProgID="Equation.DSMT4" ShapeID="_x0000_i1124" DrawAspect="Content" ObjectID="_1438188936" r:id="rId553"/>
        </w:object>
      </w:r>
      <w:r w:rsidRPr="00F87319">
        <w:rPr>
          <w:sz w:val="20"/>
        </w:rPr>
        <w:t xml:space="preserve"> and </w:t>
      </w:r>
      <w:proofErr w:type="gramStart"/>
      <w:r w:rsidRPr="00F87319">
        <w:rPr>
          <w:sz w:val="20"/>
        </w:rPr>
        <w:t xml:space="preserve">to </w:t>
      </w:r>
      <w:proofErr w:type="gramEnd"/>
      <w:r w:rsidRPr="00F87319">
        <w:rPr>
          <w:position w:val="-6"/>
          <w:sz w:val="20"/>
        </w:rPr>
        <w:object w:dxaOrig="240" w:dyaOrig="300">
          <v:shape id="_x0000_i1125" type="#_x0000_t75" style="width:12.1pt;height:15.15pt" o:ole="">
            <v:imagedata r:id="rId554" o:title=""/>
          </v:shape>
          <o:OLEObject Type="Embed" ProgID="Equation.DSMT4" ShapeID="_x0000_i1125" DrawAspect="Content" ObjectID="_1438188937" r:id="rId555"/>
        </w:objec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any changes in the charge radii of partons and electrons are due to changes in the strength of the ZPE, then as the ZPE increases, so, too, do their charge radii.  This is because the ZPE produces an inward pressure while an outward pressure is exerted by the presence of the charge itself.  As the ZPE increases, so does the electronic charge</w:t>
      </w:r>
      <w:r w:rsidRPr="00F87319">
        <w:rPr>
          <w:position w:val="-6"/>
          <w:sz w:val="20"/>
        </w:rPr>
        <w:object w:dxaOrig="160" w:dyaOrig="200">
          <v:shape id="_x0000_i1126" type="#_x0000_t75" style="width:8.45pt;height:9.7pt" o:ole="">
            <v:imagedata r:id="rId556" o:title=""/>
          </v:shape>
          <o:OLEObject Type="Embed" ProgID="Equation.DSMT4" ShapeID="_x0000_i1126" DrawAspect="Content" ObjectID="_1438188938" r:id="rId557"/>
        </w:object>
      </w:r>
      <w:r w:rsidRPr="00F87319">
        <w:rPr>
          <w:i/>
          <w:sz w:val="20"/>
        </w:rPr>
        <w:t>,</w:t>
      </w:r>
      <w:r w:rsidRPr="00F87319">
        <w:rPr>
          <w:sz w:val="20"/>
        </w:rPr>
        <w:t xml:space="preserve"> because </w:t>
      </w:r>
      <w:r w:rsidRPr="00F87319">
        <w:rPr>
          <w:position w:val="-10"/>
          <w:sz w:val="20"/>
        </w:rPr>
        <w:object w:dxaOrig="420" w:dyaOrig="340">
          <v:shape id="_x0000_i1127" type="#_x0000_t75" style="width:21.2pt;height:17.55pt" o:ole="">
            <v:imagedata r:id="rId548" o:title=""/>
          </v:shape>
          <o:OLEObject Type="Embed" ProgID="Equation.DSMT4" ShapeID="_x0000_i1127" DrawAspect="Content" ObjectID="_1438188939" r:id="rId558"/>
        </w:object>
      </w:r>
      <w:r w:rsidRPr="00F87319">
        <w:rPr>
          <w:sz w:val="20"/>
        </w:rPr>
        <w:t xml:space="preserve"> is a constant and </w:t>
      </w:r>
      <w:r w:rsidRPr="00F87319">
        <w:rPr>
          <w:position w:val="-6"/>
          <w:sz w:val="20"/>
        </w:rPr>
        <w:object w:dxaOrig="180" w:dyaOrig="200">
          <v:shape id="_x0000_i1128" type="#_x0000_t75" style="width:9.1pt;height:9.7pt" o:ole="">
            <v:imagedata r:id="rId559" o:title=""/>
          </v:shape>
          <o:OLEObject Type="Embed" ProgID="Equation.DSMT4" ShapeID="_x0000_i1128" DrawAspect="Content" ObjectID="_1438188940" r:id="rId560"/>
        </w:object>
      </w:r>
      <w:r w:rsidRPr="00F87319">
        <w:rPr>
          <w:sz w:val="20"/>
        </w:rPr>
        <w:t xml:space="preserve"> </w:t>
      </w:r>
      <w:r w:rsidRPr="00F87319">
        <w:rPr>
          <w:rStyle w:val="Emphasis"/>
          <w:i w:val="0"/>
          <w:sz w:val="20"/>
        </w:rPr>
        <w:t xml:space="preserve">is proportional to ZPE strength </w:t>
      </w:r>
      <w:r w:rsidRPr="00F87319">
        <w:rPr>
          <w:rStyle w:val="Emphasis"/>
          <w:sz w:val="20"/>
        </w:rPr>
        <w:t>U.</w:t>
      </w:r>
      <w:r w:rsidRPr="00F87319">
        <w:rPr>
          <w:sz w:val="20"/>
        </w:rPr>
        <w:t xml:space="preserve">  These opposing pressures result in the parton’s or electron’s sphere expanding until a balance is achieved and a stable radius for the sphere results.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An investigation of this effect was undertaken by Timothy Boyer in 1968 and Hal Puthoff in May of 2007.  Puthoff discussed several possible explanatory models [39].  The one which yielded results in accord with data was described in these terms.  </w:t>
      </w:r>
      <w:r w:rsidRPr="00F87319">
        <w:rPr>
          <w:i/>
          <w:sz w:val="20"/>
        </w:rPr>
        <w:t xml:space="preserve">“[T]he charge density is taken to be sufficiently dense in a vanishing-radius shell so as to result in the total absence of interior vacuum fluctuation fields as a singularity is approached.“ </w:t>
      </w:r>
      <w:r w:rsidRPr="00F87319">
        <w:rPr>
          <w:sz w:val="20"/>
        </w:rPr>
        <w:t xml:space="preserve"> Puthoff also found that </w:t>
      </w:r>
      <w:r w:rsidRPr="00F87319">
        <w:rPr>
          <w:i/>
          <w:sz w:val="20"/>
        </w:rPr>
        <w:t>“the outwardly-directed coulomb pressure [was] balanced by the inwardly-directed vacuum radiation pressure.”</w:t>
      </w:r>
      <w:r w:rsidRPr="00F87319">
        <w:rPr>
          <w:sz w:val="20"/>
        </w:rPr>
        <w:t xml:space="preserve">[39] </w:t>
      </w:r>
      <w:r w:rsidRPr="00F87319">
        <w:rPr>
          <w:i/>
          <w:sz w:val="20"/>
        </w:rPr>
        <w:t xml:space="preserve"> </w:t>
      </w:r>
      <w:r w:rsidRPr="00F87319">
        <w:rPr>
          <w:sz w:val="20"/>
        </w:rPr>
        <w:t xml:space="preserve">His equations show that the Coulomb energy component </w:t>
      </w:r>
      <w:r w:rsidRPr="00F87319">
        <w:rPr>
          <w:i/>
          <w:sz w:val="20"/>
        </w:rPr>
        <w:t>W</w:t>
      </w:r>
      <w:r w:rsidRPr="00F87319">
        <w:rPr>
          <w:sz w:val="20"/>
        </w:rPr>
        <w:t xml:space="preserv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280" w:dyaOrig="600">
          <v:shape id="_x0000_i1129" type="#_x0000_t75" style="width:63.55pt;height:30.25pt" o:ole="">
            <v:imagedata r:id="rId561" o:title=""/>
          </v:shape>
          <o:OLEObject Type="Embed" ProgID="Equation.DSMT4" ShapeID="_x0000_i1129" DrawAspect="Content" ObjectID="_1438188941" r:id="rId56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(21)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In a changing ZPE model, the quantity </w:t>
      </w:r>
      <w:r w:rsidRPr="00F87319">
        <w:rPr>
          <w:position w:val="-10"/>
          <w:sz w:val="20"/>
        </w:rPr>
        <w:object w:dxaOrig="420" w:dyaOrig="340">
          <v:shape id="_x0000_i1130" type="#_x0000_t75" style="width:21.2pt;height:17.55pt" o:ole="">
            <v:imagedata r:id="rId563" o:title=""/>
          </v:shape>
          <o:OLEObject Type="Embed" ProgID="Equation.DSMT4" ShapeID="_x0000_i1130" DrawAspect="Content" ObjectID="_1438188942" r:id="rId564"/>
        </w:object>
      </w:r>
      <w:r w:rsidRPr="00F87319">
        <w:rPr>
          <w:sz w:val="20"/>
        </w:rPr>
        <w:t xml:space="preserve"> is constant.  This means that the outwardly directed Coulomb energy is inversely proportional to the radius of the charged sphere or, in the case of partons and electrons, the charge radius.  Therefore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940" w:dyaOrig="540">
          <v:shape id="_x0000_i1131" type="#_x0000_t75" style="width:47.2pt;height:27.25pt" o:ole="">
            <v:imagedata r:id="rId565" o:title=""/>
          </v:shape>
          <o:OLEObject Type="Embed" ProgID="Equation.DSMT4" ShapeID="_x0000_i1131" DrawAspect="Content" ObjectID="_1438188943" r:id="rId56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(22)</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contrast, the inwardly directed energy of the vacuum is given by Puthoff’s equation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20" w:dyaOrig="580">
          <v:shape id="_x0000_i1132" type="#_x0000_t75" style="width:81.1pt;height:29.05pt" o:ole="">
            <v:imagedata r:id="rId567" o:title=""/>
          </v:shape>
          <o:OLEObject Type="Embed" ProgID="Equation.DSMT4" ShapeID="_x0000_i1132" DrawAspect="Content" ObjectID="_1438188944" r:id="rId56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r>
      <w:r w:rsidRPr="00F87319">
        <w:rPr>
          <w:sz w:val="20"/>
        </w:rPr>
        <w:t xml:space="preserve"> </w:t>
      </w:r>
      <w:r w:rsidRPr="00F87319">
        <w:rPr>
          <w:i/>
          <w:sz w:val="20"/>
        </w:rPr>
        <w:t>(23)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In Eq. (23), </w:t>
      </w:r>
      <w:r w:rsidRPr="00F87319">
        <w:rPr>
          <w:position w:val="-6"/>
          <w:sz w:val="20"/>
        </w:rPr>
        <w:object w:dxaOrig="200" w:dyaOrig="200">
          <v:shape id="_x0000_i1133" type="#_x0000_t75" style="width:9.7pt;height:9.7pt" o:ole="">
            <v:imagedata r:id="rId569" o:title=""/>
          </v:shape>
          <o:OLEObject Type="Embed" ProgID="Equation.DSMT4" ShapeID="_x0000_i1133" DrawAspect="Content" ObjectID="_1438188945" r:id="rId570"/>
        </w:object>
      </w:r>
      <w:r w:rsidRPr="00F87319">
        <w:rPr>
          <w:sz w:val="20"/>
        </w:rPr>
        <w:t xml:space="preserve"> is the oscillation frequency of the parton or electron.  Puthoff then goes on to calculate the result and shows that the outwardly directed Coulomb energy is balanced by the inwardly directed vacuum energy.  This leads to a stable radius for the electron of</w:t>
      </w:r>
      <w:r w:rsidRPr="00F87319">
        <w:rPr>
          <w:position w:val="-10"/>
          <w:sz w:val="20"/>
        </w:rPr>
        <w:object w:dxaOrig="200" w:dyaOrig="279">
          <v:shape id="_x0000_i1134" type="#_x0000_t75" style="width:9.7pt;height:14.5pt" o:ole="">
            <v:imagedata r:id="rId571" o:title=""/>
          </v:shape>
          <o:OLEObject Type="Embed" ProgID="Equation.DSMT4" ShapeID="_x0000_i1134" DrawAspect="Content" ObjectID="_1438188946" r:id="rId572"/>
        </w:object>
      </w:r>
      <w:r w:rsidRPr="00F87319">
        <w:rPr>
          <w:sz w:val="20"/>
        </w:rPr>
        <w:t>.  However, in our case, we have a changing ZPE strength to consider.  So (23) needs further investigation, as there are a number of terms dependent on the strength of the Zero Point Energy.  We note that, in (23)</w:t>
      </w: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980" w:dyaOrig="520">
          <v:shape id="_x0000_i1135" type="#_x0000_t75" style="width:99.25pt;height:26pt" o:ole="">
            <v:imagedata r:id="rId573" o:title=""/>
          </v:shape>
          <o:OLEObject Type="Embed" ProgID="Equation.DSMT4" ShapeID="_x0000_i1135" DrawAspect="Content" ObjectID="_1438188947" r:id="rId57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The last proportionality above follows from the fact that there is a frequency-cubed relationship between the strength of the ZPE and the oscillation frequency of the parton.  When these U-dependent proportionalities are substituted into (23), the following situation emerges: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3180" w:dyaOrig="560">
          <v:shape id="_x0000_i1136" type="#_x0000_t75" style="width:159.15pt;height:27.85pt" o:ole="">
            <v:imagedata r:id="rId575" o:title=""/>
          </v:shape>
          <o:OLEObject Type="Embed" ProgID="Equation.DSMT4" ShapeID="_x0000_i1136" DrawAspect="Content" ObjectID="_1438188948" r:id="rId57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(25) is integrated, we get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420" w:dyaOrig="520">
          <v:shape id="_x0000_i1137" type="#_x0000_t75" style="width:71.4pt;height:26pt" o:ole="">
            <v:imagedata r:id="rId577" o:title=""/>
          </v:shape>
          <o:OLEObject Type="Embed" ProgID="Equation.DSMT4" ShapeID="_x0000_i1137" DrawAspect="Content" ObjectID="_1438188949" r:id="rId578"/>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Because, as stated, the energies are balanced,</w:t>
      </w:r>
      <w:r w:rsidRPr="00F87319">
        <w:rPr>
          <w:position w:val="-10"/>
          <w:sz w:val="20"/>
        </w:rPr>
        <w:object w:dxaOrig="1100" w:dyaOrig="279">
          <v:shape id="_x0000_i1138" type="#_x0000_t75" style="width:54.45pt;height:14.5pt" o:ole="">
            <v:imagedata r:id="rId579" o:title=""/>
          </v:shape>
          <o:OLEObject Type="Embed" ProgID="Equation.DSMT4" ShapeID="_x0000_i1138" DrawAspect="Content" ObjectID="_1438188950" r:id="rId580"/>
        </w:object>
      </w:r>
      <w:proofErr w:type="gramStart"/>
      <w:r w:rsidRPr="00F87319">
        <w:rPr>
          <w:sz w:val="20"/>
        </w:rPr>
        <w:t>,</w:t>
      </w:r>
      <w:proofErr w:type="gramEnd"/>
      <w:r w:rsidRPr="00F87319">
        <w:rPr>
          <w:sz w:val="20"/>
        </w:rPr>
        <w:t xml:space="preserve"> therefore equating (26) and (22)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720" w:dyaOrig="540">
          <v:shape id="_x0000_i1139" type="#_x0000_t75" style="width:36.3pt;height:27.25pt" o:ole="">
            <v:imagedata r:id="rId581" o:title=""/>
          </v:shape>
          <o:OLEObject Type="Embed" ProgID="Equation.DSMT4" ShapeID="_x0000_i1139" DrawAspect="Content" ObjectID="_1438188951" r:id="rId58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(27)</w:t>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rPr>
          <w:sz w:val="20"/>
        </w:rPr>
      </w:pPr>
      <w:r w:rsidRPr="00F87319">
        <w:rPr>
          <w:sz w:val="20"/>
        </w:rPr>
        <w:t>and therefore</w:t>
      </w:r>
      <w:r w:rsidRPr="00F87319">
        <w:rPr>
          <w:sz w:val="20"/>
        </w:rPr>
        <w:tab/>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jc w:val="right"/>
        <w:rPr>
          <w:sz w:val="20"/>
        </w:rPr>
      </w:pPr>
      <w:r w:rsidRPr="00F87319">
        <w:rPr>
          <w:position w:val="-22"/>
          <w:sz w:val="20"/>
        </w:rPr>
        <w:object w:dxaOrig="1060" w:dyaOrig="520">
          <v:shape id="_x0000_i1140" type="#_x0000_t75" style="width:53.25pt;height:26pt" o:ole="">
            <v:imagedata r:id="rId583" o:title=""/>
          </v:shape>
          <o:OLEObject Type="Embed" ProgID="Equation.DSMT4" ShapeID="_x0000_i1140" DrawAspect="Content" ObjectID="_1438188952" r:id="rId584"/>
        </w:object>
      </w:r>
      <w:r w:rsidRPr="00F87319">
        <w:rPr>
          <w:sz w:val="20"/>
        </w:rPr>
        <w:t xml:space="preserve"> .</w:t>
      </w:r>
      <w:r w:rsidRPr="00F87319">
        <w:rPr>
          <w:sz w:val="20"/>
        </w:rPr>
        <w:tab/>
      </w:r>
      <w:r w:rsidRPr="00F87319">
        <w:rPr>
          <w:sz w:val="20"/>
        </w:rPr>
        <w:tab/>
      </w:r>
      <w:r w:rsidRPr="00F87319">
        <w:rPr>
          <w:sz w:val="20"/>
        </w:rPr>
        <w:tab/>
      </w:r>
      <w:r w:rsidRPr="00F87319">
        <w:rPr>
          <w:i/>
          <w:sz w:val="20"/>
        </w:rPr>
        <w:tab/>
        <w:t>(28)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So, from (20) we find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39" w:dyaOrig="300">
          <v:shape id="_x0000_i1141" type="#_x0000_t75" style="width:31.45pt;height:15.15pt" o:ole="">
            <v:imagedata r:id="rId585" o:title=""/>
          </v:shape>
          <o:OLEObject Type="Embed" ProgID="Equation.DSMT4" ShapeID="_x0000_i1141" DrawAspect="Content" ObjectID="_1438188953" r:id="rId5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Consequently, comparison with (14) reveals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460" w:dyaOrig="520">
          <v:shape id="_x0000_i1142" type="#_x0000_t75" style="width:72.6pt;height:26pt" o:ole="">
            <v:imagedata r:id="rId587" o:title=""/>
          </v:shape>
          <o:OLEObject Type="Embed" ProgID="Equation.DSMT4" ShapeID="_x0000_i1142" DrawAspect="Content" ObjectID="_1438188954" r:id="rId58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(30)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It follows, then, that for a situation with varying ZPE,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480" w:dyaOrig="300">
          <v:shape id="_x0000_i1143" type="#_x0000_t75" style="width:74.4pt;height:15.15pt" o:ole="">
            <v:imagedata r:id="rId589" o:title=""/>
          </v:shape>
          <o:OLEObject Type="Embed" ProgID="Equation.DSMT4" ShapeID="_x0000_i1143" DrawAspect="Content" ObjectID="_1438188955" r:id="rId590"/>
        </w:object>
      </w:r>
      <w:r w:rsidRPr="00F87319">
        <w:rPr>
          <w:sz w:val="20"/>
        </w:rPr>
        <w:t>,</w:t>
      </w:r>
      <w:r w:rsidRPr="00F87319">
        <w:rPr>
          <w:sz w:val="20"/>
        </w:rPr>
        <w:tab/>
      </w:r>
      <w:r w:rsidRPr="00F87319">
        <w:rPr>
          <w:sz w:val="20"/>
        </w:rPr>
        <w:tab/>
      </w:r>
      <w:r w:rsidRPr="00F87319">
        <w:rPr>
          <w:i/>
          <w:sz w:val="20"/>
        </w:rPr>
        <w:tab/>
      </w:r>
      <w:r w:rsidRPr="00F87319">
        <w:rPr>
          <w:i/>
          <w:sz w:val="20"/>
        </w:rPr>
        <w:tab/>
      </w:r>
      <w:r w:rsidRPr="00F87319">
        <w:rPr>
          <w:i/>
          <w:sz w:val="20"/>
        </w:rPr>
        <w:tab/>
        <w:t>(31)</w:t>
      </w: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6"/>
          <w:sz w:val="20"/>
        </w:rPr>
        <w:object w:dxaOrig="260" w:dyaOrig="240">
          <v:shape id="_x0000_i1144" type="#_x0000_t75" style="width:12.7pt;height:12.1pt" o:ole="">
            <v:imagedata r:id="rId591" o:title=""/>
          </v:shape>
          <o:OLEObject Type="Embed" ProgID="Equation.DSMT4" ShapeID="_x0000_i1144" DrawAspect="Content" ObjectID="_1438188956" r:id="rId592"/>
        </w:object>
      </w:r>
      <w:r w:rsidRPr="00F87319">
        <w:rPr>
          <w:sz w:val="20"/>
        </w:rPr>
        <w:t xml:space="preserve">is a constant bearing the dimensions of mass. Therefore, as previously stated, we have an intrinsic mass </w:t>
      </w:r>
      <w:r w:rsidRPr="00F87319">
        <w:rPr>
          <w:position w:val="-6"/>
          <w:sz w:val="20"/>
        </w:rPr>
        <w:object w:dxaOrig="279" w:dyaOrig="300">
          <v:shape id="_x0000_i1145" type="#_x0000_t75" style="width:14.5pt;height:15.15pt" o:ole="">
            <v:imagedata r:id="rId593" o:title=""/>
          </v:shape>
          <o:OLEObject Type="Embed" ProgID="Equation.DSMT4" ShapeID="_x0000_i1145" DrawAspect="Content" ObjectID="_1438188957" r:id="rId594"/>
        </w:object>
      </w:r>
      <w:r w:rsidRPr="00F87319">
        <w:rPr>
          <w:sz w:val="20"/>
        </w:rPr>
        <w:t>for an electron or parton which comes entirely from the presence of the charge.  In addition, there is the atomic mass</w:t>
      </w:r>
      <w:r w:rsidRPr="00F87319">
        <w:rPr>
          <w:position w:val="-6"/>
          <w:sz w:val="20"/>
        </w:rPr>
        <w:object w:dxaOrig="220" w:dyaOrig="200">
          <v:shape id="_x0000_i1146" type="#_x0000_t75" style="width:10.3pt;height:9.7pt" o:ole="">
            <v:imagedata r:id="rId595" o:title=""/>
          </v:shape>
          <o:OLEObject Type="Embed" ProgID="Equation.DSMT4" ShapeID="_x0000_i1146" DrawAspect="Content" ObjectID="_1438188958" r:id="rId596"/>
        </w:object>
      </w:r>
      <w:r w:rsidRPr="00F87319">
        <w:rPr>
          <w:sz w:val="20"/>
        </w:rPr>
        <w:t>which comes from the jiggling of this charged particle by the ZPE.</w:t>
      </w:r>
    </w:p>
    <w:p w:rsidR="00CF2274" w:rsidRPr="00F87319" w:rsidRDefault="00CF2274" w:rsidP="006D41BD">
      <w:pPr>
        <w:pStyle w:val="NormPara"/>
        <w:ind w:firstLine="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2.4 Introducing the Gravitational Constant, G</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Although data show that </w:t>
      </w:r>
      <w:r w:rsidRPr="00F87319">
        <w:rPr>
          <w:position w:val="-6"/>
          <w:sz w:val="20"/>
        </w:rPr>
        <w:object w:dxaOrig="220" w:dyaOrig="200">
          <v:shape id="_x0000_i1147" type="#_x0000_t75" style="width:10.3pt;height:9.7pt" o:ole="">
            <v:imagedata r:id="rId597" o:title=""/>
          </v:shape>
          <o:OLEObject Type="Embed" ProgID="Equation.DSMT4" ShapeID="_x0000_i1147" DrawAspect="Content" ObjectID="_1438188959" r:id="rId598"/>
        </w:object>
      </w:r>
      <w:r w:rsidRPr="00F87319">
        <w:rPr>
          <w:sz w:val="20"/>
        </w:rPr>
        <w:t xml:space="preserve"> and </w:t>
      </w:r>
      <w:r w:rsidRPr="00F87319">
        <w:rPr>
          <w:position w:val="-6"/>
          <w:sz w:val="20"/>
        </w:rPr>
        <w:object w:dxaOrig="279" w:dyaOrig="300">
          <v:shape id="_x0000_i1148" type="#_x0000_t75" style="width:14.5pt;height:15.15pt" o:ole="">
            <v:imagedata r:id="rId599" o:title=""/>
          </v:shape>
          <o:OLEObject Type="Embed" ProgID="Equation.DSMT4" ShapeID="_x0000_i1148" DrawAspect="Content" ObjectID="_1438188960" r:id="rId600"/>
        </w:object>
      </w:r>
      <w:r w:rsidRPr="00F87319">
        <w:rPr>
          <w:sz w:val="20"/>
        </w:rPr>
        <w:t xml:space="preserve"> have both varied through time, since they have varied inversely to each other, as shown above, their product remains a constant.  This has been so throughout the entire time that ZPE related </w:t>
      </w:r>
      <w:r w:rsidRPr="00F87319">
        <w:rPr>
          <w:sz w:val="20"/>
        </w:rPr>
        <w:lastRenderedPageBreak/>
        <w:t xml:space="preserve">quantities have been measured as varying.  Thus, the platinum-iridium standard kilogram bars, kept by the various Bureau of Standards, have not changed mass.  This is partly because atomic (and subatomic) masses are measured differently than larger masses.  In Eq. (31), the term </w:t>
      </w:r>
      <w:r w:rsidRPr="00F87319">
        <w:rPr>
          <w:position w:val="-6"/>
          <w:sz w:val="20"/>
        </w:rPr>
        <w:object w:dxaOrig="260" w:dyaOrig="240">
          <v:shape id="_x0000_i1149" type="#_x0000_t75" style="width:12.7pt;height:12.1pt" o:ole="">
            <v:imagedata r:id="rId601" o:title=""/>
          </v:shape>
          <o:OLEObject Type="Embed" ProgID="Equation.DSMT4" ShapeID="_x0000_i1149" DrawAspect="Content" ObjectID="_1438188961" r:id="rId602"/>
        </w:object>
      </w:r>
      <w:r w:rsidRPr="00F87319">
        <w:rPr>
          <w:sz w:val="20"/>
        </w:rPr>
        <w:t xml:space="preserve"> was defined as “a constant bearing the dimensions of mass.”  This constant is gravitational mass.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In February 1994, Haisch, Rueda, and Puthoff stated that an atomic particle’s inertial mass </w:t>
      </w:r>
      <w:r w:rsidRPr="00F87319">
        <w:rPr>
          <w:position w:val="-10"/>
          <w:sz w:val="20"/>
        </w:rPr>
        <w:object w:dxaOrig="260" w:dyaOrig="279">
          <v:shape id="_x0000_i1150" type="#_x0000_t75" style="width:12.7pt;height:14.5pt" o:ole="">
            <v:imagedata r:id="rId603" o:title=""/>
          </v:shape>
          <o:OLEObject Type="Embed" ProgID="Equation.DSMT4" ShapeID="_x0000_i1150" DrawAspect="Content" ObjectID="_1438188962" r:id="rId604"/>
        </w:object>
      </w:r>
      <w:r w:rsidRPr="00F87319">
        <w:rPr>
          <w:sz w:val="20"/>
        </w:rPr>
        <w:t xml:space="preserve"> (which is essentially the same as our atomic </w:t>
      </w:r>
      <w:proofErr w:type="gramStart"/>
      <w:r w:rsidRPr="00F87319">
        <w:rPr>
          <w:sz w:val="20"/>
        </w:rPr>
        <w:t xml:space="preserve">mass </w:t>
      </w:r>
      <w:proofErr w:type="gramEnd"/>
      <w:r w:rsidRPr="00F87319">
        <w:rPr>
          <w:position w:val="-6"/>
          <w:sz w:val="20"/>
        </w:rPr>
        <w:object w:dxaOrig="220" w:dyaOrig="200">
          <v:shape id="_x0000_i1151" type="#_x0000_t75" style="width:10.3pt;height:9.7pt" o:ole="">
            <v:imagedata r:id="rId605" o:title=""/>
          </v:shape>
          <o:OLEObject Type="Embed" ProgID="Equation.DSMT4" ShapeID="_x0000_i1151" DrawAspect="Content" ObjectID="_1438188963" r:id="rId606"/>
        </w:object>
      </w:r>
      <w:r w:rsidRPr="00F87319">
        <w:rPr>
          <w:sz w:val="20"/>
        </w:rPr>
        <w:t xml:space="preserve">) is related to the bare mass </w:t>
      </w:r>
      <w:r w:rsidRPr="00F87319">
        <w:rPr>
          <w:position w:val="-10"/>
          <w:sz w:val="20"/>
        </w:rPr>
        <w:object w:dxaOrig="279" w:dyaOrig="279">
          <v:shape id="_x0000_i1152" type="#_x0000_t75" style="width:14.5pt;height:14.5pt" o:ole="">
            <v:imagedata r:id="rId607" o:title=""/>
          </v:shape>
          <o:OLEObject Type="Embed" ProgID="Equation.DSMT4" ShapeID="_x0000_i1152" DrawAspect="Content" ObjectID="_1438188964" r:id="rId608"/>
        </w:object>
      </w:r>
      <w:r w:rsidRPr="00F87319">
        <w:rPr>
          <w:sz w:val="20"/>
        </w:rPr>
        <w:t xml:space="preserve"> (which is the same as our intrinsic mass</w:t>
      </w:r>
      <w:r w:rsidRPr="00F87319">
        <w:rPr>
          <w:position w:val="-6"/>
          <w:sz w:val="20"/>
        </w:rPr>
        <w:object w:dxaOrig="279" w:dyaOrig="300">
          <v:shape id="_x0000_i1153" type="#_x0000_t75" style="width:14.5pt;height:15.15pt" o:ole="">
            <v:imagedata r:id="rId609" o:title=""/>
          </v:shape>
          <o:OLEObject Type="Embed" ProgID="Equation.DSMT4" ShapeID="_x0000_i1153" DrawAspect="Content" ObjectID="_1438188965" r:id="rId610"/>
        </w:object>
      </w:r>
      <w:r w:rsidRPr="00F87319">
        <w:rPr>
          <w:sz w:val="20"/>
        </w:rPr>
        <w:t>) [40].  Their Eq. (111) is found on page 690 of their paper and is our Eq. (32) below:</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020" w:dyaOrig="620">
          <v:shape id="_x0000_i1154" type="#_x0000_t75" style="width:50.8pt;height:30.85pt" o:ole="">
            <v:imagedata r:id="rId611" o:title=""/>
          </v:shape>
          <o:OLEObject Type="Embed" ProgID="Equation.DSMT4" ShapeID="_x0000_i1154" DrawAspect="Content" ObjectID="_1438188966" r:id="rId61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(32)</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their Appendix A, they note the discrepancy of a factor of 2 between gravitational and inertial mass in the above equation.  To overcome the discrepancy in (32), the right hand side of the equation must be multiplied by 2, which results 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620">
          <v:shape id="_x0000_i1155" type="#_x0000_t75" style="width:50.8pt;height:30.85pt" o:ole="">
            <v:imagedata r:id="rId613" o:title=""/>
          </v:shape>
          <o:OLEObject Type="Embed" ProgID="Equation.DSMT4" ShapeID="_x0000_i1155" DrawAspect="Content" ObjectID="_1438188967" r:id="rId61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where </w:t>
      </w:r>
      <w:r w:rsidRPr="00F87319">
        <w:rPr>
          <w:i/>
          <w:sz w:val="20"/>
        </w:rPr>
        <w:t>α</w:t>
      </w:r>
      <w:r w:rsidRPr="00F87319">
        <w:rPr>
          <w:sz w:val="20"/>
        </w:rPr>
        <w:t xml:space="preserve"> is the fine structure constant given by</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920" w:dyaOrig="560">
          <v:shape id="_x0000_i1156" type="#_x0000_t75" style="width:46pt;height:27.85pt" o:ole="">
            <v:imagedata r:id="rId615" o:title=""/>
          </v:shape>
          <o:OLEObject Type="Embed" ProgID="Equation.DSMT4" ShapeID="_x0000_i1156" DrawAspect="Content" ObjectID="_1438188968" r:id="rId61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300" w:dyaOrig="320">
          <v:shape id="_x0000_i1157" type="#_x0000_t75" style="width:15.15pt;height:15.75pt" o:ole="">
            <v:imagedata r:id="rId617" o:title=""/>
          </v:shape>
          <o:OLEObject Type="Embed" ProgID="Equation.DSMT4" ShapeID="_x0000_i1157" DrawAspect="Content" ObjectID="_1438188969" r:id="rId618"/>
        </w:object>
      </w:r>
      <w:r w:rsidRPr="00F87319">
        <w:rPr>
          <w:sz w:val="20"/>
        </w:rPr>
        <w:t xml:space="preserve"> in (33)</w:t>
      </w:r>
      <w:r w:rsidRPr="00F87319">
        <w:rPr>
          <w:i/>
          <w:sz w:val="20"/>
          <w:vertAlign w:val="subscript"/>
        </w:rPr>
        <w:t xml:space="preserve"> </w:t>
      </w:r>
      <w:r w:rsidRPr="00F87319">
        <w:rPr>
          <w:sz w:val="20"/>
        </w:rPr>
        <w:t xml:space="preserve"> is the Planck mass given by</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20" w:dyaOrig="560">
          <v:shape id="_x0000_i1158" type="#_x0000_t75" style="width:46pt;height:27.85pt" o:ole="">
            <v:imagedata r:id="rId619" o:title=""/>
          </v:shape>
          <o:OLEObject Type="Embed" ProgID="Equation.DSMT4" ShapeID="_x0000_i1158" DrawAspect="Content" ObjectID="_1438188970" r:id="rId62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(35)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279" w:dyaOrig="320">
          <v:shape id="_x0000_i1159" type="#_x0000_t75" style="width:14.5pt;height:15.75pt" o:ole="">
            <v:imagedata r:id="rId621" o:title=""/>
          </v:shape>
          <o:OLEObject Type="Embed" ProgID="Equation.DSMT4" ShapeID="_x0000_i1159" DrawAspect="Content" ObjectID="_1438188971" r:id="rId622"/>
        </w:object>
      </w:r>
      <w:r w:rsidRPr="00F87319">
        <w:rPr>
          <w:sz w:val="20"/>
        </w:rPr>
        <w:t>is the Planck frequency.</w:t>
      </w:r>
    </w:p>
    <w:p w:rsidR="006D41BD" w:rsidRPr="00F87319" w:rsidRDefault="006D41BD" w:rsidP="006D41BD">
      <w:pPr>
        <w:pStyle w:val="NormPara"/>
        <w:ind w:firstLine="720"/>
        <w:rPr>
          <w:sz w:val="20"/>
        </w:rPr>
      </w:pPr>
      <w:r w:rsidRPr="00F87319">
        <w:rPr>
          <w:sz w:val="20"/>
        </w:rPr>
        <w:t xml:space="preserve">It can be shown that for our purposes here, we require the Compton </w:t>
      </w:r>
      <w:proofErr w:type="gramStart"/>
      <w:r w:rsidRPr="00F87319">
        <w:rPr>
          <w:sz w:val="20"/>
        </w:rPr>
        <w:t xml:space="preserve">frequency </w:t>
      </w:r>
      <w:proofErr w:type="gramEnd"/>
      <w:r w:rsidRPr="00F87319">
        <w:rPr>
          <w:position w:val="-10"/>
          <w:sz w:val="20"/>
        </w:rPr>
        <w:object w:dxaOrig="260" w:dyaOrig="279">
          <v:shape id="_x0000_i1160" type="#_x0000_t75" style="width:12.7pt;height:14.5pt" o:ole="">
            <v:imagedata r:id="rId623" o:title=""/>
          </v:shape>
          <o:OLEObject Type="Embed" ProgID="Equation.DSMT4" ShapeID="_x0000_i1160" DrawAspect="Content" ObjectID="_1438188972" r:id="rId624"/>
        </w:object>
      </w:r>
      <w:r w:rsidRPr="00F87319">
        <w:rPr>
          <w:sz w:val="20"/>
        </w:rPr>
        <w:t xml:space="preserve">, rather than the Planck frequency </w:t>
      </w:r>
      <w:r w:rsidRPr="00F87319">
        <w:rPr>
          <w:position w:val="-14"/>
          <w:sz w:val="20"/>
        </w:rPr>
        <w:object w:dxaOrig="279" w:dyaOrig="320">
          <v:shape id="_x0000_i1161" type="#_x0000_t75" style="width:14.5pt;height:15.75pt" o:ole="">
            <v:imagedata r:id="rId625" o:title=""/>
          </v:shape>
          <o:OLEObject Type="Embed" ProgID="Equation.DSMT4" ShapeID="_x0000_i1161" DrawAspect="Content" ObjectID="_1438188973" r:id="rId626"/>
        </w:object>
      </w:r>
      <w:r w:rsidRPr="00F87319">
        <w:rPr>
          <w:sz w:val="20"/>
        </w:rPr>
        <w:t>.  However, using the Planck frequency here has its advantages as it produces some mutually cancelling terms.  Therefore we note that</w:t>
      </w:r>
      <w:r w:rsidRPr="00F87319">
        <w:rPr>
          <w:position w:val="-14"/>
          <w:sz w:val="20"/>
        </w:rPr>
        <w:object w:dxaOrig="920" w:dyaOrig="320">
          <v:shape id="_x0000_i1162" type="#_x0000_t75" style="width:46pt;height:15.75pt" o:ole="">
            <v:imagedata r:id="rId627" o:title=""/>
          </v:shape>
          <o:OLEObject Type="Embed" ProgID="Equation.DSMT4" ShapeID="_x0000_i1162" DrawAspect="Content" ObjectID="_1438188974" r:id="rId628"/>
        </w:object>
      </w:r>
      <w:r w:rsidRPr="00F87319">
        <w:rPr>
          <w:sz w:val="20"/>
        </w:rPr>
        <w:t>.  Substitution of (34) and (35) in (33) then gives:</w:t>
      </w: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2160" w:dyaOrig="700">
          <v:shape id="_x0000_i1163" type="#_x0000_t75" style="width:108.3pt;height:35.1pt" o:ole="">
            <v:imagedata r:id="rId629" o:title=""/>
          </v:shape>
          <o:OLEObject Type="Embed" ProgID="Equation.DSMT4" ShapeID="_x0000_i1163" DrawAspect="Content" ObjectID="_1438188975" r:id="rId63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(36)</w:t>
      </w: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960" w:dyaOrig="620">
          <v:shape id="_x0000_i1164" type="#_x0000_t75" style="width:98pt;height:30.85pt" o:ole="">
            <v:imagedata r:id="rId631" o:title=""/>
          </v:shape>
          <o:OLEObject Type="Embed" ProgID="Equation.DSMT4" ShapeID="_x0000_i1164" DrawAspect="Content" ObjectID="_1438188976" r:id="rId63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We now substitute for the Planck </w:t>
      </w:r>
      <w:proofErr w:type="gramStart"/>
      <w:r w:rsidRPr="00F87319">
        <w:rPr>
          <w:sz w:val="20"/>
        </w:rPr>
        <w:t xml:space="preserve">frequency </w:t>
      </w:r>
      <w:proofErr w:type="gramEnd"/>
      <w:r w:rsidRPr="00F87319">
        <w:rPr>
          <w:position w:val="-14"/>
          <w:sz w:val="20"/>
        </w:rPr>
        <w:object w:dxaOrig="279" w:dyaOrig="320">
          <v:shape id="_x0000_i1165" type="#_x0000_t75" style="width:14.5pt;height:15.75pt" o:ole="">
            <v:imagedata r:id="rId633" o:title=""/>
          </v:shape>
          <o:OLEObject Type="Embed" ProgID="Equation.DSMT4" ShapeID="_x0000_i1165" DrawAspect="Content" ObjectID="_1438188977" r:id="rId634"/>
        </w:object>
      </w:r>
      <w:r w:rsidRPr="00F87319">
        <w:rPr>
          <w:sz w:val="20"/>
          <w:vertAlign w:val="subscript"/>
        </w:rPr>
        <w:t>,</w:t>
      </w:r>
      <w:r w:rsidRPr="00F87319">
        <w:rPr>
          <w:sz w:val="20"/>
        </w:rPr>
        <w:t xml:space="preserve"> as noted by Haisch, Rueda, and Puthoff as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1180" w:dyaOrig="700">
          <v:shape id="_x0000_i1166" type="#_x0000_t75" style="width:59.3pt;height:35.1pt" o:ole="">
            <v:imagedata r:id="rId635" o:title=""/>
          </v:shape>
          <o:OLEObject Type="Embed" ProgID="Equation.DSMT4" ShapeID="_x0000_i1166" DrawAspect="Content" ObjectID="_1438188978" r:id="rId636"/>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which means we can write that</w:t>
      </w:r>
      <w:r w:rsidRPr="00F87319">
        <w:rPr>
          <w:sz w:val="20"/>
        </w:rPr>
        <w:tab/>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3100" w:dyaOrig="600">
          <v:shape id="_x0000_i1167" type="#_x0000_t75" style="width:154.3pt;height:30.25pt" o:ole="">
            <v:imagedata r:id="rId637" o:title=""/>
          </v:shape>
          <o:OLEObject Type="Embed" ProgID="Equation.DSMT4" ShapeID="_x0000_i1167" DrawAspect="Content" ObjectID="_1438188979" r:id="rId63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terms are cancelled, the result is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40" w:dyaOrig="580">
          <v:shape id="_x0000_i1168" type="#_x0000_t75" style="width:81.7pt;height:29.05pt" o:ole="">
            <v:imagedata r:id="rId639" o:title=""/>
          </v:shape>
          <o:OLEObject Type="Embed" ProgID="Equation.DSMT4" ShapeID="_x0000_i1168" DrawAspect="Content" ObjectID="_1438188980" r:id="rId64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Alternatively, if we re-arrange the equation, we obtain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2140" w:dyaOrig="580">
          <v:shape id="_x0000_i1169" type="#_x0000_t75" style="width:107.1pt;height:29.05pt" o:ole="">
            <v:imagedata r:id="rId641" o:title=""/>
          </v:shape>
          <o:OLEObject Type="Embed" ProgID="Equation.DSMT4" ShapeID="_x0000_i1169" DrawAspect="Content" ObjectID="_1438188981" r:id="rId64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(41)</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proofErr w:type="gramStart"/>
      <w:r w:rsidRPr="00F87319">
        <w:rPr>
          <w:sz w:val="20"/>
        </w:rPr>
        <w:t xml:space="preserve">Since </w:t>
      </w:r>
      <w:r w:rsidRPr="00F87319">
        <w:rPr>
          <w:position w:val="-10"/>
          <w:sz w:val="20"/>
        </w:rPr>
        <w:object w:dxaOrig="420" w:dyaOrig="340">
          <v:shape id="_x0000_i1170" type="#_x0000_t75" style="width:21.2pt;height:17.55pt" o:ole="">
            <v:imagedata r:id="rId548" o:title=""/>
          </v:shape>
          <o:OLEObject Type="Embed" ProgID="Equation.DSMT4" ShapeID="_x0000_i1170" DrawAspect="Content" ObjectID="_1438188982" r:id="rId643"/>
        </w:object>
      </w:r>
      <w:r w:rsidRPr="00F87319">
        <w:rPr>
          <w:sz w:val="20"/>
        </w:rPr>
        <w:t xml:space="preserve"> , </w:t>
      </w:r>
      <w:r w:rsidRPr="00F87319">
        <w:rPr>
          <w:i/>
          <w:sz w:val="20"/>
        </w:rPr>
        <w:t>k</w:t>
      </w:r>
      <w:r w:rsidRPr="00F87319">
        <w:rPr>
          <w:i/>
          <w:sz w:val="20"/>
          <w:vertAlign w:val="superscript"/>
        </w:rPr>
        <w:t>2</w:t>
      </w:r>
      <w:r w:rsidRPr="00F87319">
        <w:rPr>
          <w:sz w:val="20"/>
        </w:rPr>
        <w:t xml:space="preserve"> and </w:t>
      </w:r>
      <w:r w:rsidRPr="00F87319">
        <w:rPr>
          <w:i/>
          <w:sz w:val="20"/>
        </w:rPr>
        <w:t>mm*</w:t>
      </w:r>
      <w:r w:rsidRPr="00F87319">
        <w:rPr>
          <w:sz w:val="20"/>
        </w:rPr>
        <w:t xml:space="preserve"> are all constants,  </w:t>
      </w:r>
      <w:r w:rsidRPr="00F87319">
        <w:rPr>
          <w:i/>
          <w:sz w:val="20"/>
        </w:rPr>
        <w:t>G</w:t>
      </w:r>
      <w:r w:rsidRPr="00F87319">
        <w:rPr>
          <w:sz w:val="20"/>
        </w:rPr>
        <w:t xml:space="preserve"> is necessarily also a constant.  Since </w:t>
      </w:r>
      <w:r w:rsidRPr="00F87319">
        <w:rPr>
          <w:position w:val="-6"/>
          <w:sz w:val="20"/>
        </w:rPr>
        <w:object w:dxaOrig="420" w:dyaOrig="300">
          <v:shape id="_x0000_i1171" type="#_x0000_t75" style="width:21.2pt;height:15.15pt" o:ole="">
            <v:imagedata r:id="rId644" o:title=""/>
          </v:shape>
          <o:OLEObject Type="Embed" ProgID="Equation.DSMT4" ShapeID="_x0000_i1171" DrawAspect="Content" ObjectID="_1438188983" r:id="rId645"/>
        </w:object>
      </w:r>
      <w:r w:rsidRPr="00F87319">
        <w:rPr>
          <w:sz w:val="20"/>
        </w:rPr>
        <w:t xml:space="preserve">is a constant and, by definition, is the same </w:t>
      </w:r>
      <w:proofErr w:type="gramStart"/>
      <w:r w:rsidRPr="00F87319">
        <w:rPr>
          <w:sz w:val="20"/>
        </w:rPr>
        <w:t xml:space="preserve">as </w:t>
      </w:r>
      <w:proofErr w:type="gramEnd"/>
      <w:r w:rsidRPr="00F87319">
        <w:rPr>
          <w:position w:val="-6"/>
          <w:sz w:val="20"/>
        </w:rPr>
        <w:object w:dxaOrig="340" w:dyaOrig="300">
          <v:shape id="_x0000_i1172" type="#_x0000_t75" style="width:17.55pt;height:15.15pt" o:ole="">
            <v:imagedata r:id="rId646" o:title=""/>
          </v:shape>
          <o:OLEObject Type="Embed" ProgID="Equation.DSMT4" ShapeID="_x0000_i1172" DrawAspect="Content" ObjectID="_1438188984" r:id="rId647"/>
        </w:object>
      </w:r>
      <w:r w:rsidRPr="00F87319">
        <w:rPr>
          <w:sz w:val="20"/>
        </w:rPr>
        <w:t xml:space="preserve">, then </w:t>
      </w:r>
      <w:r w:rsidRPr="00F87319">
        <w:rPr>
          <w:i/>
          <w:sz w:val="20"/>
        </w:rPr>
        <w:t>M</w:t>
      </w:r>
      <w:r w:rsidRPr="00F87319">
        <w:rPr>
          <w:sz w:val="20"/>
        </w:rPr>
        <w:t xml:space="preserve"> also is constant so that we have</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980" w:dyaOrig="240">
          <v:shape id="_x0000_i1173" type="#_x0000_t75" style="width:49pt;height:12.1pt" o:ole="">
            <v:imagedata r:id="rId648" o:title=""/>
          </v:shape>
          <o:OLEObject Type="Embed" ProgID="Equation.DSMT4" ShapeID="_x0000_i1173" DrawAspect="Content" ObjectID="_1438188985" r:id="rId64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(42)</w:t>
      </w:r>
    </w:p>
    <w:p w:rsidR="006D41BD" w:rsidRPr="00F87319" w:rsidRDefault="006D41BD" w:rsidP="006D41BD">
      <w:pPr>
        <w:pStyle w:val="NormPara"/>
        <w:ind w:firstLine="0"/>
        <w:rPr>
          <w:sz w:val="20"/>
        </w:rPr>
      </w:pPr>
      <w:r w:rsidRPr="00F87319">
        <w:rPr>
          <w:sz w:val="20"/>
        </w:rPr>
        <w:t>Therefore, orbit times of planets and other similar gravitational interactions will remain unchanged by changes in the ZPE.</w:t>
      </w:r>
    </w:p>
    <w:p w:rsidR="006D41BD" w:rsidRPr="00F87319" w:rsidRDefault="006D41BD" w:rsidP="006D41BD">
      <w:pPr>
        <w:pStyle w:val="NormPara"/>
        <w:ind w:firstLine="0"/>
        <w:rPr>
          <w:sz w:val="20"/>
        </w:rPr>
      </w:pPr>
    </w:p>
    <w:p w:rsidR="006D41BD" w:rsidRDefault="006D41BD" w:rsidP="00252491">
      <w:pPr>
        <w:pStyle w:val="Heading2"/>
        <w:widowControl/>
        <w:numPr>
          <w:ilvl w:val="0"/>
          <w:numId w:val="40"/>
        </w:numPr>
        <w:spacing w:before="80" w:after="80" w:line="240" w:lineRule="atLeast"/>
        <w:rPr>
          <w:rFonts w:ascii="Book Antiqua" w:hAnsi="Book Antiqua" w:cs="Times New Roman"/>
          <w:i w:val="0"/>
          <w:sz w:val="20"/>
          <w:szCs w:val="20"/>
        </w:rPr>
      </w:pPr>
      <w:r w:rsidRPr="00D818DD">
        <w:rPr>
          <w:rFonts w:ascii="Book Antiqua" w:hAnsi="Book Antiqua" w:cs="Times New Roman"/>
          <w:i w:val="0"/>
          <w:sz w:val="20"/>
          <w:szCs w:val="20"/>
        </w:rPr>
        <w:t>General Relativity, Gravity, and the ZPE</w:t>
      </w:r>
    </w:p>
    <w:p w:rsidR="00D818DD" w:rsidRPr="00D818DD" w:rsidRDefault="00D818DD" w:rsidP="00D818DD">
      <w:pPr>
        <w:pStyle w:val="ListParagraph"/>
        <w:numPr>
          <w:ilvl w:val="1"/>
          <w:numId w:val="14"/>
        </w:numPr>
        <w:rPr>
          <w:rFonts w:ascii="Book Antiqua" w:hAnsi="Book Antiqua"/>
          <w:i/>
          <w:sz w:val="20"/>
        </w:rPr>
      </w:pPr>
      <w:r w:rsidRPr="00D818DD">
        <w:rPr>
          <w:rFonts w:ascii="Book Antiqua" w:hAnsi="Book Antiqua"/>
          <w:i/>
          <w:sz w:val="20"/>
        </w:rPr>
        <w:t>Introduction</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It may be pointed out that the later General Theory of Relativity (GR) was based on Special Relativity (SR) and has many successes to its credit.  Because of this, it has been implied that Special Relativity has been validated by these developments.  But two points need be noted.  First, GR was built on SR by using only one-way mathematical transformations (not both ways as SR requires), and those transformations were relative to the local gravitational field.  Essentially, the local gravitational field had become a preferred reference frame, namely the centre-of-mass </w:t>
      </w:r>
      <w:hyperlink r:id="rId650" w:anchor="7a202" w:history="1">
        <w:r w:rsidRPr="00F87319">
          <w:rPr>
            <w:sz w:val="20"/>
          </w:rPr>
          <w:t>[41]</w:t>
        </w:r>
      </w:hyperlink>
      <w:r w:rsidRPr="00F87319">
        <w:rPr>
          <w:sz w:val="20"/>
        </w:rPr>
        <w:t>.  This means that GR is more in line with Lorentzian Relativity but is not really consistent with SR [41].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second point that needs noting is that Einstein’s Theory of General Relativity (GR) concerns the effects of gravity on objects and light.  Einstein considered gravity to be a bending of space-time, and this is still the standard theory today.  His theory is used to explain how the Global Positioning System clocks work in the gravitational field of the Earth.  However, GR requires complex mathematics and equations using 4-dimensional geometry to describe how a clock will slow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Furthermore, while it may be claimed that GR is a good mathematical model, this is not the same as explaining how gravitational forces originate.  The GR model is often presented using the “rubber sheet” analogy (Fig. 4).  In this analogy, the picture is often given of a heavy ball-bearing, that represents a massive body like the Earth or Sun, which deforms the surface of a rubber sheet (space-time) and causes it to curve.</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lastRenderedPageBreak/>
        <w:drawing>
          <wp:inline distT="0" distB="0" distL="0" distR="0">
            <wp:extent cx="3759576" cy="2609850"/>
            <wp:effectExtent l="19050" t="0" r="0" b="0"/>
            <wp:docPr id="319" name="il_fi" descr="http://www.nature.com/nature/journal/v445/n7127/images/445468b-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ture.com/nature/journal/v445/n7127/images/445468b-i1.0.jpg"/>
                    <pic:cNvPicPr>
                      <a:picLocks noChangeAspect="1" noChangeArrowheads="1"/>
                    </pic:cNvPicPr>
                  </pic:nvPicPr>
                  <pic:blipFill>
                    <a:blip r:embed="rId651" cstate="print"/>
                    <a:srcRect r="-198" b="10959"/>
                    <a:stretch>
                      <a:fillRect/>
                    </a:stretch>
                  </pic:blipFill>
                  <pic:spPr bwMode="auto">
                    <a:xfrm>
                      <a:off x="0" y="0"/>
                      <a:ext cx="3762708" cy="2612024"/>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left"/>
        <w:rPr>
          <w:szCs w:val="18"/>
        </w:rPr>
      </w:pPr>
    </w:p>
    <w:p w:rsidR="006D41BD" w:rsidRPr="00386DBA" w:rsidRDefault="006D41BD" w:rsidP="006D41BD">
      <w:pPr>
        <w:pStyle w:val="NormPara"/>
        <w:spacing w:before="80" w:after="80"/>
        <w:ind w:left="274" w:right="274" w:firstLine="0"/>
        <w:jc w:val="left"/>
        <w:rPr>
          <w:i/>
          <w:szCs w:val="18"/>
        </w:rPr>
      </w:pPr>
      <w:r w:rsidRPr="00386DBA">
        <w:rPr>
          <w:b/>
          <w:i/>
          <w:szCs w:val="18"/>
        </w:rPr>
        <w:t>Fig</w:t>
      </w:r>
      <w:r w:rsidR="00386DBA" w:rsidRPr="00386DBA">
        <w:rPr>
          <w:b/>
          <w:i/>
          <w:szCs w:val="18"/>
        </w:rPr>
        <w:t>ure</w:t>
      </w:r>
      <w:r w:rsidRPr="00386DBA">
        <w:rPr>
          <w:b/>
          <w:i/>
          <w:szCs w:val="18"/>
        </w:rPr>
        <w:t xml:space="preserve"> 4</w:t>
      </w:r>
      <w:r w:rsidR="00386DBA" w:rsidRPr="00386DBA">
        <w:rPr>
          <w:b/>
          <w:i/>
          <w:szCs w:val="18"/>
        </w:rPr>
        <w:t>:</w:t>
      </w:r>
      <w:r w:rsidRPr="00386DBA">
        <w:rPr>
          <w:i/>
          <w:szCs w:val="18"/>
        </w:rPr>
        <w:t xml:space="preserve">  The rubber sheet analogy of gravity; a massive body curves the fabric of space-time like a heavy metal ball on a rubber sheet.  General Relativity states that an approaching object or a photon of light is supposed to follow the curve of the sheet rather than travel in a straight line.</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The problems with both the mathematics and the physics of the analogy were mentioned in a conference in 2002 entitled </w:t>
      </w:r>
      <w:r w:rsidRPr="00E25399">
        <w:rPr>
          <w:rStyle w:val="Emphasis"/>
          <w:sz w:val="20"/>
        </w:rPr>
        <w:t>Pushing Gravity</w:t>
      </w:r>
      <w:r w:rsidRPr="00F87319">
        <w:rPr>
          <w:rStyle w:val="Emphasis"/>
          <w:sz w:val="20"/>
        </w:rPr>
        <w:t xml:space="preserve">, </w:t>
      </w:r>
      <w:r w:rsidRPr="00F87319">
        <w:rPr>
          <w:sz w:val="20"/>
        </w:rPr>
        <w:t>edited by Matthew R. Edwards,  and described as follows [41]:</w:t>
      </w:r>
    </w:p>
    <w:p w:rsidR="006D41BD" w:rsidRPr="00F87319" w:rsidRDefault="006D41BD" w:rsidP="006D41BD">
      <w:pPr>
        <w:pStyle w:val="NormPara"/>
        <w:ind w:firstLine="548"/>
        <w:rPr>
          <w:sz w:val="20"/>
        </w:rPr>
      </w:pPr>
    </w:p>
    <w:p w:rsidR="006D41BD" w:rsidRPr="00F87319" w:rsidRDefault="006D41BD" w:rsidP="006D41BD">
      <w:pPr>
        <w:pStyle w:val="NormPara"/>
        <w:spacing w:before="80" w:after="80"/>
        <w:ind w:firstLine="548"/>
        <w:rPr>
          <w:sz w:val="20"/>
        </w:rPr>
      </w:pPr>
      <w:r w:rsidRPr="00F87319">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manifold would have no reason to end its rest unless a force acted on it.  </w:t>
      </w:r>
      <w:r w:rsidRPr="00F87319">
        <w:rPr>
          <w:rStyle w:val="Strong"/>
          <w:rFonts w:eastAsia="Lucida Sans Unicode"/>
          <w:b w:val="0"/>
          <w:i/>
          <w:iCs/>
          <w:sz w:val="20"/>
        </w:rPr>
        <w:t>However successful this geometric interpretation may be as a mathematical model, it lacks physics and a causal mechanism.</w:t>
      </w:r>
      <w:r w:rsidRPr="00F87319">
        <w:rPr>
          <w:rStyle w:val="Emphasis"/>
          <w:sz w:val="20"/>
        </w:rPr>
        <w:t xml:space="preserve"> </w:t>
      </w:r>
      <w:r w:rsidRPr="00F87319">
        <w:rPr>
          <w:sz w:val="20"/>
        </w:rPr>
        <w:t>[p. 94]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360"/>
        <w:rPr>
          <w:color w:val="FF0000"/>
          <w:sz w:val="20"/>
        </w:rPr>
      </w:pPr>
      <w:r w:rsidRPr="00F87319">
        <w:rPr>
          <w:sz w:val="20"/>
        </w:rPr>
        <w:t xml:space="preserve">Others have also noticed this problem. For example, Haisch and his colleagues at the California Institute for Physics and Astrophysics (CIPA) present the situation like this:  </w:t>
      </w:r>
      <w:r w:rsidRPr="00F87319">
        <w:rPr>
          <w:i/>
          <w:sz w:val="20"/>
        </w:rPr>
        <w:t>“The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a geodesic) that a freely moving object will follow.  But if you constrain an object to follow some different path (or not to move at all) geometrodynamics does not tell you how or why a force arises.  …  Logically you wind up having to assume that a force arises because when you deviate from a geodesic you are accelerating, but that is exactly what you are trying to explain in the first place:  Why does a force arise when you accelerate?  …  [T]his merely takes us in a logical  full circle.”</w:t>
      </w:r>
      <w:r w:rsidRPr="00F87319">
        <w:rPr>
          <w:sz w:val="20"/>
        </w:rPr>
        <w:t>[42]</w:t>
      </w:r>
    </w:p>
    <w:p w:rsidR="006D41BD" w:rsidRPr="00F87319" w:rsidRDefault="006D41BD" w:rsidP="006D41BD">
      <w:pPr>
        <w:pStyle w:val="NormPara"/>
        <w:ind w:firstLine="36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Polarizable Vacuum and Gravity</w:t>
      </w:r>
    </w:p>
    <w:p w:rsidR="006D41BD" w:rsidRPr="00F87319" w:rsidRDefault="006D41BD" w:rsidP="006D41BD">
      <w:pPr>
        <w:pStyle w:val="NormPara"/>
        <w:ind w:firstLine="270"/>
        <w:rPr>
          <w:sz w:val="20"/>
        </w:rPr>
      </w:pPr>
    </w:p>
    <w:p w:rsidR="006D41BD" w:rsidRPr="00F87319" w:rsidRDefault="006D41BD" w:rsidP="006D41BD">
      <w:pPr>
        <w:pStyle w:val="NormPara"/>
        <w:ind w:firstLine="720"/>
        <w:rPr>
          <w:i/>
          <w:sz w:val="20"/>
        </w:rPr>
      </w:pPr>
      <w:r w:rsidRPr="00F87319">
        <w:rPr>
          <w:sz w:val="20"/>
        </w:rPr>
        <w:t xml:space="preserve">Puthoff, Haisch, and Rueda in an article entitled “Mass Medium” [43] help explain the SED approach to gravity in this context. </w:t>
      </w:r>
      <w:r w:rsidRPr="00F87319">
        <w:rPr>
          <w:i/>
          <w:sz w:val="20"/>
        </w:rPr>
        <w:t>“[We] can explain away gravity as an effect of electromagnetic forces.  Oscillating charges in a chunk of matter affect the charged virtual particles in the vacuum.”</w:t>
      </w:r>
      <w:r w:rsidRPr="00F87319">
        <w:rPr>
          <w:sz w:val="20"/>
        </w:rPr>
        <w:t xml:space="preserve">  This effectively causes the virtual particles in the vacuum to become polarized with a layer of positive charges attracting a layer of negative charges which then attracts a layer of positive charges, etc.  </w:t>
      </w:r>
      <w:r w:rsidRPr="00F87319">
        <w:rPr>
          <w:sz w:val="20"/>
        </w:rPr>
        <w:lastRenderedPageBreak/>
        <w:t xml:space="preserve">They go on: </w:t>
      </w:r>
      <w:r w:rsidRPr="00F87319">
        <w:rPr>
          <w:i/>
          <w:sz w:val="20"/>
        </w:rPr>
        <w:t xml:space="preserve"> “This polarized vacuum then exerts a force on the charges in another chunk of matter.  In this rather tortuous manner the two chunks of matter attract each other.  ‘This might explain why gravity is so weak,’ says Haisch.  ‘One mass does not pull directly on another mass but only through the intermediary of the vacuum.’”</w:t>
      </w:r>
    </w:p>
    <w:p w:rsidR="006D41BD" w:rsidRPr="00F87319" w:rsidRDefault="006D41BD" w:rsidP="006D41BD">
      <w:pPr>
        <w:pStyle w:val="NormPara"/>
        <w:ind w:firstLine="720"/>
        <w:rPr>
          <w:i/>
          <w:sz w:val="20"/>
        </w:rPr>
      </w:pPr>
    </w:p>
    <w:p w:rsidR="006D41BD" w:rsidRPr="00F87319" w:rsidRDefault="006D41BD" w:rsidP="006D41BD">
      <w:pPr>
        <w:pStyle w:val="NormPara"/>
        <w:ind w:firstLine="720"/>
        <w:rPr>
          <w:sz w:val="20"/>
        </w:rPr>
      </w:pPr>
      <w:r w:rsidRPr="00F87319">
        <w:rPr>
          <w:sz w:val="20"/>
        </w:rPr>
        <w:t>In these circumstances the sign of the charge does not matter.  The sign of the charge only affects the phase of the interaction.  If the initiating charge is positive, the first layer of the polarization will be negative.  If the initiating charge is negative, the first layer of the polarization will be positive.  In this way the vacuum polarization results in an attraction.  The calculations of Haisch and his colleagues show that this attraction has exactly the same characteristics as gravity.  Therefore, they conclude, gravity is due to the attraction exerted by the polarization of the virtual particles in the vacuum.</w:t>
      </w:r>
    </w:p>
    <w:p w:rsidR="00A64EAA" w:rsidRDefault="00A64EAA" w:rsidP="006D41BD">
      <w:pPr>
        <w:pStyle w:val="NormPara"/>
        <w:ind w:firstLine="720"/>
        <w:rPr>
          <w:sz w:val="20"/>
        </w:rPr>
      </w:pPr>
    </w:p>
    <w:p w:rsidR="006D41BD" w:rsidRPr="00F87319" w:rsidRDefault="006D41BD" w:rsidP="006D41BD">
      <w:pPr>
        <w:pStyle w:val="NormPara"/>
        <w:ind w:firstLine="720"/>
        <w:rPr>
          <w:sz w:val="20"/>
        </w:rPr>
      </w:pPr>
      <w:r w:rsidRPr="00F87319">
        <w:rPr>
          <w:sz w:val="20"/>
        </w:rPr>
        <w:t>Does this mean that a changing ZPE results in a change in gravity?  No, and there is a reason for this.  In a context where the ZPE is increasing with time, this picture of gravity as the result of vacuum polarization can be looked at in the following way.  There are two agents governing the polarization of the vacuum and its resulting attraction.  In the first case, there is the polarization of virtual particles by the mere presence of the charge on the parton or electron.  Since we have shown that the quantity</w:t>
      </w:r>
      <w:r w:rsidRPr="00F87319">
        <w:rPr>
          <w:position w:val="-10"/>
          <w:sz w:val="20"/>
        </w:rPr>
        <w:object w:dxaOrig="420" w:dyaOrig="340">
          <v:shape id="_x0000_i1174" type="#_x0000_t75" style="width:21.2pt;height:17.55pt" o:ole="">
            <v:imagedata r:id="rId164" o:title=""/>
          </v:shape>
          <o:OLEObject Type="Embed" ProgID="Equation.DSMT4" ShapeID="_x0000_i1174" DrawAspect="Content" ObjectID="_1438188986" r:id="rId652"/>
        </w:object>
      </w:r>
      <w:r w:rsidRPr="00F87319">
        <w:rPr>
          <w:sz w:val="20"/>
        </w:rPr>
        <w:t>is constant, then it follows that the polarization of the vacuum due to the charge on the parton (or electron) alone will be constant.  This means that the gravitational attraction from this source of polarization will be unchanged.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 as the ZPE increased, the number of virtual particles in any given volume also increased, and these particles slowed the ZPE in the same way they slowed light.  So the ZPE waves would be traveling more slowly and so could not accelerate the partons or electrons as rapidly when the waves hit.  The result is that the polarization from the acceleration will actually be less, proportional to </w:t>
      </w:r>
      <w:r w:rsidRPr="00F87319">
        <w:rPr>
          <w:i/>
          <w:sz w:val="20"/>
        </w:rPr>
        <w:t>c</w:t>
      </w:r>
      <w:r w:rsidRPr="00F87319">
        <w:rPr>
          <w:sz w:val="20"/>
        </w:rPr>
        <w:t>.  This proportionality therefore cancels out the increase in polarization that is due to an increasing ZPE strength.  The outcome is that this source of polarization remains constant and therefore gravity itself remains constant.</w:t>
      </w:r>
    </w:p>
    <w:p w:rsidR="006D41BD" w:rsidRPr="00F87319" w:rsidRDefault="006D41BD" w:rsidP="006D41BD">
      <w:pPr>
        <w:pStyle w:val="NormPara"/>
        <w:ind w:firstLine="720"/>
        <w:rPr>
          <w:sz w:val="20"/>
        </w:rPr>
      </w:pPr>
    </w:p>
    <w:p w:rsidR="006D41BD" w:rsidRDefault="006D41BD" w:rsidP="006D41BD">
      <w:pPr>
        <w:pStyle w:val="NormPara"/>
        <w:ind w:firstLine="720"/>
        <w:rPr>
          <w:sz w:val="20"/>
        </w:rPr>
      </w:pPr>
      <w:r w:rsidRPr="00F87319">
        <w:rPr>
          <w:sz w:val="20"/>
        </w:rPr>
        <w:t>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picture and the four forces of physics are unified.  The SED approach which gives the link between quantum phenomena and gravity is something that physicists have been striving to achieve for many years.</w:t>
      </w:r>
    </w:p>
    <w:p w:rsidR="00685A78" w:rsidRPr="00F87319" w:rsidRDefault="00685A78" w:rsidP="006D41BD">
      <w:pPr>
        <w:pStyle w:val="NormPara"/>
        <w:ind w:firstLine="72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Slowing of Light in Gravitational Fields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Relativity demands that light slows down in a gravitational field.  The same effect occurs on the ZPE model because of the local increase in ZPE strength around a large collection of particles.  In this context a comment about General Relativity (GR) by Sir Arthur Eddington in 1920 is of interest.</w:t>
      </w:r>
    </w:p>
    <w:p w:rsidR="006D41BD" w:rsidRPr="00F87319" w:rsidRDefault="006D41BD" w:rsidP="006D41BD">
      <w:pPr>
        <w:pStyle w:val="NormPara"/>
        <w:ind w:firstLine="548"/>
        <w:rPr>
          <w:rStyle w:val="Emphasis"/>
          <w:sz w:val="20"/>
        </w:rPr>
      </w:pPr>
    </w:p>
    <w:p w:rsidR="006D41BD" w:rsidRPr="00F87319" w:rsidRDefault="006D41BD" w:rsidP="006D41BD">
      <w:pPr>
        <w:pStyle w:val="NormPara"/>
        <w:spacing w:before="80" w:after="80"/>
        <w:ind w:firstLine="274"/>
        <w:rPr>
          <w:rStyle w:val="Emphasis"/>
          <w:sz w:val="20"/>
        </w:rPr>
      </w:pPr>
      <w:r w:rsidRPr="00F87319">
        <w:rPr>
          <w:rStyle w:val="Emphasis"/>
          <w:sz w:val="20"/>
        </w:rPr>
        <w:t xml:space="preserve">Light moves more slowly in a material medium than in a vacuum, the velocity being inversely proportional to the refractive index of the medium....  We can thus imitate the [GR] gravitational effect on light precisely, if we imagine the space round the Sun filled </w:t>
      </w:r>
      <w:r w:rsidRPr="00F87319">
        <w:rPr>
          <w:rStyle w:val="Emphasis"/>
          <w:sz w:val="20"/>
        </w:rPr>
        <w:lastRenderedPageBreak/>
        <w:t xml:space="preserve">with a refracting medium which gives the appropriate velocity of light.  To give the velocity </w:t>
      </w:r>
      <m:oMath>
        <m:r>
          <w:rPr>
            <w:rStyle w:val="Emphasis"/>
            <w:rFonts w:ascii="Cambria Math" w:hAnsi="Cambria Math"/>
            <w:sz w:val="20"/>
          </w:rPr>
          <m:t>c</m:t>
        </m:r>
        <m:r>
          <w:rPr>
            <w:rStyle w:val="Emphasis"/>
            <w:rFonts w:ascii="Cambria Math"/>
            <w:sz w:val="20"/>
          </w:rPr>
          <m:t xml:space="preserve">(1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the refractive index must be</w:t>
      </w:r>
    </w:p>
    <w:p w:rsidR="006D41BD" w:rsidRPr="00F87319" w:rsidRDefault="006D41BD" w:rsidP="006D41BD">
      <w:pPr>
        <w:pStyle w:val="NormPara"/>
        <w:spacing w:before="80" w:after="80"/>
        <w:ind w:firstLine="0"/>
        <w:rPr>
          <w:rStyle w:val="Emphasis"/>
          <w:i w:val="0"/>
          <w:sz w:val="20"/>
        </w:rPr>
      </w:pPr>
      <w:r w:rsidRPr="00F87319">
        <w:rPr>
          <w:rStyle w:val="Emphasis"/>
          <w:sz w:val="20"/>
        </w:rPr>
        <w:t xml:space="preserve"> </w:t>
      </w:r>
      <m:oMath>
        <m:r>
          <w:rPr>
            <w:rStyle w:val="Emphasis"/>
            <w:rFonts w:ascii="Cambria Math"/>
            <w:sz w:val="20"/>
          </w:rPr>
          <m:t xml:space="preserve">1/(1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  Any problem on the paths of rays near the Sun can now be solved by the methods of geometrical optics applied to the equivalent refracting medium. </w:t>
      </w:r>
      <w:r w:rsidRPr="00F87319">
        <w:rPr>
          <w:rStyle w:val="Emphasis"/>
          <w:i w:val="0"/>
          <w:sz w:val="20"/>
        </w:rPr>
        <w:t>[44]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548"/>
        <w:rPr>
          <w:sz w:val="20"/>
        </w:rPr>
      </w:pPr>
      <w:r w:rsidRPr="00F87319">
        <w:rPr>
          <w:sz w:val="20"/>
        </w:rPr>
        <w:t xml:space="preserve">Since then, others have discussed this proposal.  De Felice mentioned nine authors who have looked at this similarity between gravitation and an optical medium [45]. In fact, Hayden of the University of Connecticut (Physics) pointed out that the bending of starlight in the gravitational field of the Sun can be derived, and derived exactly, by this optical medium method </w:t>
      </w:r>
      <w:r w:rsidRPr="00F87319">
        <w:rPr>
          <w:rStyle w:val="Emphasis"/>
          <w:sz w:val="20"/>
        </w:rPr>
        <w:t xml:space="preserve">“with a few lines of high school algebra” </w:t>
      </w:r>
      <w:r w:rsidRPr="00F87319">
        <w:rPr>
          <w:rStyle w:val="Emphasis"/>
          <w:i w:val="0"/>
          <w:sz w:val="20"/>
        </w:rPr>
        <w:t>[46]</w:t>
      </w:r>
      <w:r w:rsidRPr="00F87319">
        <w:rPr>
          <w:sz w:val="20"/>
        </w:rPr>
        <w:t>.  Both ZPE and the secondary fields near massive bodies induced by atomic particle “jiggling” have been shown to be the precise optical medium required, and the purely mathematical modeling of relativity is not required.</w:t>
      </w:r>
    </w:p>
    <w:p w:rsidR="006D41BD" w:rsidRPr="00F87319" w:rsidRDefault="006D41BD" w:rsidP="006D41BD">
      <w:pPr>
        <w:pStyle w:val="NormPara"/>
        <w:ind w:firstLine="36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Relativity and Varying Constants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Equations used in relativity are consistent internally.  That is not the issue here.  There are also predictions which have come from these equations which are correct.  That being said, two things must also be mentioned.  First, SED physics combined with the real Zero Point Energy accounts for all these phenomena more intuitively and with more simple mathematics.  Second, in relativistic physics and the equations based on them, the speed of light is made equal to Planck’s constant and the Newtonian gravitational constant.  So it is often stated at the beginning of their papers that all are made equal to 1, so that</w:t>
      </w:r>
      <w:r w:rsidRPr="00F87319">
        <w:rPr>
          <w:position w:val="-6"/>
          <w:sz w:val="20"/>
        </w:rPr>
        <w:object w:dxaOrig="1020" w:dyaOrig="240">
          <v:shape id="_x0000_i1175" type="#_x0000_t75" style="width:50.8pt;height:12.1pt" o:ole="">
            <v:imagedata r:id="rId653" o:title=""/>
          </v:shape>
          <o:OLEObject Type="Embed" ProgID="Equation.DSMT4" ShapeID="_x0000_i1175" DrawAspect="Content" ObjectID="_1438188987" r:id="rId654"/>
        </w:object>
      </w:r>
      <w:r w:rsidRPr="00F87319">
        <w:rPr>
          <w:sz w:val="20"/>
        </w:rPr>
        <w:t>.  This may be convenient, but it does not mesh with the reality of the fact that both Planck’s constant and the speed of light have been measured as changing.</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However, if these “constants”</w:t>
      </w:r>
      <w:r w:rsidRPr="00F87319">
        <w:rPr>
          <w:i/>
          <w:sz w:val="20"/>
        </w:rPr>
        <w:t xml:space="preserve"> </w:t>
      </w:r>
      <w:r w:rsidRPr="00F87319">
        <w:rPr>
          <w:sz w:val="20"/>
        </w:rPr>
        <w:t xml:space="preserve">changed proportionally, the equations would still work.  In fact, </w:t>
      </w:r>
      <w:r w:rsidRPr="00F87319">
        <w:rPr>
          <w:i/>
          <w:sz w:val="20"/>
        </w:rPr>
        <w:t>c</w:t>
      </w:r>
      <w:r w:rsidRPr="00F87319">
        <w:rPr>
          <w:sz w:val="20"/>
        </w:rPr>
        <w:t xml:space="preserve"> and </w:t>
      </w:r>
      <w:r w:rsidRPr="00F87319">
        <w:rPr>
          <w:i/>
          <w:sz w:val="20"/>
        </w:rPr>
        <w:t>h</w:t>
      </w:r>
      <w:r w:rsidRPr="00F87319">
        <w:rPr>
          <w:sz w:val="20"/>
        </w:rPr>
        <w:t xml:space="preserve"> have been measured experimentally as changing inversely, so that the product </w:t>
      </w:r>
      <w:r w:rsidRPr="00F87319">
        <w:rPr>
          <w:position w:val="-6"/>
          <w:sz w:val="20"/>
        </w:rPr>
        <w:object w:dxaOrig="260" w:dyaOrig="240">
          <v:shape id="_x0000_i1176" type="#_x0000_t75" style="width:12.7pt;height:12.1pt" o:ole="">
            <v:imagedata r:id="rId655" o:title=""/>
          </v:shape>
          <o:OLEObject Type="Embed" ProgID="Equation.DSMT4" ShapeID="_x0000_i1176" DrawAspect="Content" ObjectID="_1438188988" r:id="rId656"/>
        </w:object>
      </w:r>
      <w:r w:rsidRPr="00F87319">
        <w:rPr>
          <w:sz w:val="20"/>
        </w:rPr>
        <w:t xml:space="preserve">is invariant.  The equations of relativity are not designed to cope with this.  There is also the problem that </w:t>
      </w:r>
      <w:r w:rsidRPr="00F87319">
        <w:rPr>
          <w:position w:val="-6"/>
          <w:sz w:val="20"/>
        </w:rPr>
        <w:object w:dxaOrig="1020" w:dyaOrig="240">
          <v:shape id="_x0000_i1177" type="#_x0000_t75" style="width:50.8pt;height:12.1pt" o:ole="">
            <v:imagedata r:id="rId657" o:title=""/>
          </v:shape>
          <o:OLEObject Type="Embed" ProgID="Equation.DSMT4" ShapeID="_x0000_i1177" DrawAspect="Content" ObjectID="_1438188989" r:id="rId658"/>
        </w:object>
      </w:r>
      <w:r w:rsidRPr="00F87319">
        <w:rPr>
          <w:sz w:val="20"/>
        </w:rPr>
        <w:t xml:space="preserve"> obscures the colossal mismatch in the magnitudes of these quantities as well as making it impossible to track any changes they might undergo in reality.</w:t>
      </w:r>
    </w:p>
    <w:p w:rsidR="006D41BD" w:rsidRPr="00F87319" w:rsidRDefault="006D41BD" w:rsidP="006D41BD">
      <w:pPr>
        <w:pStyle w:val="NormPara"/>
        <w:ind w:firstLine="720"/>
        <w:rPr>
          <w:sz w:val="20"/>
        </w:rPr>
      </w:pPr>
    </w:p>
    <w:p w:rsidR="006D41BD" w:rsidRDefault="006D41BD" w:rsidP="006D41BD">
      <w:pPr>
        <w:pStyle w:val="NormPara"/>
        <w:ind w:firstLine="720"/>
        <w:rPr>
          <w:sz w:val="20"/>
        </w:rPr>
      </w:pPr>
      <w:r w:rsidRPr="00F87319">
        <w:rPr>
          <w:sz w:val="20"/>
        </w:rPr>
        <w:t xml:space="preserve">At this point there is a choice:  go with the data or go with the theory.  It does no good scientifically to say that these changes in </w:t>
      </w:r>
      <m:oMath>
        <m:r>
          <w:rPr>
            <w:rFonts w:ascii="Cambria Math" w:hAnsi="Cambria Math"/>
            <w:sz w:val="20"/>
          </w:rPr>
          <m:t>c</m:t>
        </m:r>
      </m:oMath>
      <w:r w:rsidRPr="00F87319">
        <w:rPr>
          <w:sz w:val="20"/>
        </w:rPr>
        <w:t xml:space="preserve">, </w:t>
      </w:r>
      <m:oMath>
        <m:r>
          <w:rPr>
            <w:rFonts w:ascii="Cambria Math" w:hAnsi="Cambria Math"/>
            <w:sz w:val="20"/>
          </w:rPr>
          <m:t>h</m:t>
        </m:r>
      </m:oMath>
      <w:r w:rsidRPr="00F87319">
        <w:rPr>
          <w:sz w:val="20"/>
        </w:rPr>
        <w:t>, etc., which have been experimentally verified, do not agree with relativity, and so must be spurious.  The issue must be faced that these data in fact show that it is the theory of relativity that must be questioned.  In contrast, SED physics with the real ZPE produces results that accord with physical reality, while at the same time producing the major predictions of relativity.</w:t>
      </w:r>
    </w:p>
    <w:p w:rsidR="00685A78" w:rsidRPr="00F87319" w:rsidRDefault="00685A78" w:rsidP="006D41BD">
      <w:pPr>
        <w:pStyle w:val="NormPara"/>
        <w:ind w:firstLine="72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An Interim Suggestion</w:t>
      </w:r>
    </w:p>
    <w:p w:rsidR="006D41BD" w:rsidRPr="00F87319" w:rsidRDefault="006D41BD" w:rsidP="006D41BD">
      <w:pPr>
        <w:pStyle w:val="NormPara"/>
        <w:ind w:firstLine="270"/>
        <w:rPr>
          <w:sz w:val="20"/>
        </w:rPr>
      </w:pPr>
    </w:p>
    <w:p w:rsidR="006D41BD" w:rsidRPr="00F87319" w:rsidRDefault="006D41BD" w:rsidP="006D41BD">
      <w:pPr>
        <w:pStyle w:val="NormPara"/>
        <w:ind w:firstLine="270"/>
        <w:rPr>
          <w:color w:val="FF0000"/>
          <w:sz w:val="20"/>
        </w:rPr>
      </w:pPr>
      <w:r w:rsidRPr="00F87319">
        <w:rPr>
          <w:sz w:val="20"/>
        </w:rPr>
        <w:t xml:space="preserve">The conclusion is that the restrictions which Einstein's relativity places on our thinking should be relaxed and a new look taken at the ZPE alternative.  Louis de Broglie put the issue at stake somewhat more forcefully in 1962 in his book “New Perspectives in Physics”, which started the SED branch of physics.  He said: </w:t>
      </w:r>
      <w:r w:rsidRPr="00F87319">
        <w:rPr>
          <w:rStyle w:val="Emphasis"/>
          <w:sz w:val="20"/>
        </w:rPr>
        <w:t xml:space="preserve">Thus with every advance in our scientific knowledge new elements come up, often forcing us to recast our entire picture of physical reality.  No doubt, theorists would much prefer to perfect and amend their theories rather than be obliged to scrap them continually.  But this obligation is the condition and price of all scientific progress.” </w:t>
      </w:r>
      <w:r w:rsidRPr="00F87319">
        <w:rPr>
          <w:sz w:val="20"/>
        </w:rPr>
        <w:t>[9]</w:t>
      </w:r>
    </w:p>
    <w:p w:rsidR="006D41BD" w:rsidRPr="00F87319" w:rsidRDefault="006D41BD" w:rsidP="00D818DD">
      <w:pPr>
        <w:pStyle w:val="ListParagraph"/>
        <w:numPr>
          <w:ilvl w:val="0"/>
          <w:numId w:val="14"/>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Light in Gravitational Fields</w:t>
      </w:r>
    </w:p>
    <w:p w:rsidR="006D41BD" w:rsidRPr="00F87319" w:rsidRDefault="006D41BD" w:rsidP="006D41BD">
      <w:pPr>
        <w:pStyle w:val="ListParagraph"/>
        <w:spacing w:before="120" w:after="120" w:line="240" w:lineRule="atLeast"/>
        <w:ind w:left="274"/>
        <w:jc w:val="both"/>
        <w:outlineLvl w:val="0"/>
        <w:rPr>
          <w:rFonts w:ascii="Book Antiqua" w:hAnsi="Book Antiqua"/>
          <w:i/>
          <w:sz w:val="20"/>
        </w:rPr>
      </w:pPr>
    </w:p>
    <w:p w:rsidR="006D41BD" w:rsidRPr="00F87319" w:rsidRDefault="00D818DD" w:rsidP="006D41BD">
      <w:pPr>
        <w:pStyle w:val="Heading2"/>
        <w:widowControl/>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6D41BD" w:rsidRPr="00F87319">
        <w:rPr>
          <w:rFonts w:ascii="Book Antiqua" w:hAnsi="Book Antiqua" w:cs="Times New Roman"/>
          <w:b w:val="0"/>
          <w:sz w:val="20"/>
          <w:szCs w:val="20"/>
        </w:rPr>
        <w:t xml:space="preserve">.1. Introduction </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General Relativity first predicted the bending of light in large gravitational fields and then sought to explain it using the rubber sheet analogy as shown above.  If the alternative approach, outlined by Eddington, Einstein, and others is followed, the physical vacuum is considered to be an optical medium whose density increases near any massive object, </w:t>
      </w:r>
      <w:r w:rsidRPr="00F87319">
        <w:rPr>
          <w:sz w:val="20"/>
        </w:rPr>
        <w:lastRenderedPageBreak/>
        <w:t>providing a refraction.  The Zero Point Energy does supply the refractive medium that is needed.  This model also gives the same mathematical results obtained by General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As the ZPE jiggles the electrons and partons making up matter, these jiggled charged particles emit a secondary radiation which boosts the strength of the ZPE locally near massive objects.  As light waves enter this locally denser medium, they slow down.  However, those waves coming from behind are still traveling at the higher speed.  As a result of this higher speed, the wave-fronts “bunch up” as they encounter the interface between the less dense and the denser medium, and refraction occurs.  It is in this gravitational case that the locally denser ZPE slows the speed of light waves and simultaneously causes refraction or bending of the light path.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This is in contrast to the change in ZPE strength on a cosmos-wide scale where the slowing of light waves occurs simultaneously along the whole train of waves, which may stretch across the whole universe.  In this cosmological case, there is no refraction since there is no bunching up of the wave fronts.  But in the gravitational case, the bunching up occurs because of the local variation in ZPE strength.  Perhaps an analogy might be useful.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Imagine a large coiled spring on a moving belt.  Regardless of the speed of the belt, the distance between the coils remains the same—they are moving uniformly.  However, if some force at the front slowed the movement of our spring from the front, but the moving belt was still maintaining its original speed, the coils would start to bunch up near the front.  This is what is happening to the light waves near a massive object where the ZPE has increased locally.  It is this which produces the bending of light which we see near these objects.</w:t>
      </w:r>
    </w:p>
    <w:p w:rsidR="006D41BD" w:rsidRPr="00F87319" w:rsidRDefault="006D41BD" w:rsidP="006D41BD">
      <w:pPr>
        <w:pStyle w:val="NormPara"/>
        <w:ind w:firstLine="720"/>
        <w:rPr>
          <w:sz w:val="20"/>
        </w:rPr>
      </w:pPr>
    </w:p>
    <w:p w:rsidR="006D41BD" w:rsidRPr="00F87319" w:rsidRDefault="00D818DD" w:rsidP="006D41BD">
      <w:pPr>
        <w:pStyle w:val="Heading2"/>
        <w:widowControl/>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6D41BD" w:rsidRPr="00F87319">
        <w:rPr>
          <w:rFonts w:ascii="Book Antiqua" w:hAnsi="Book Antiqua" w:cs="Times New Roman"/>
          <w:b w:val="0"/>
          <w:sz w:val="20"/>
          <w:szCs w:val="20"/>
        </w:rPr>
        <w:t>.2. Bending of Light in Gravitational Fields</w:t>
      </w:r>
      <w:r w:rsidR="006D41BD"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As noted above, Eddington stated that </w:t>
      </w:r>
      <w:r w:rsidRPr="00F87319">
        <w:rPr>
          <w:rStyle w:val="Emphasis"/>
          <w:sz w:val="20"/>
        </w:rPr>
        <w:t xml:space="preserve">We can thus imitate the [GR] gravitational effect on light precisely, if we imagine the space round the Sun filled with a refracting medium which gives the appropriate velocity of light.  To give the velocity c(1 - 2µ/r), the refractive index must be 1/(1 - 2µ/r) </w:t>
      </w:r>
      <w:r w:rsidRPr="00F87319">
        <w:rPr>
          <w:rStyle w:val="Emphasis"/>
          <w:i w:val="0"/>
          <w:color w:val="FF0000"/>
          <w:sz w:val="20"/>
        </w:rPr>
        <w:t>[</w:t>
      </w:r>
      <w:r w:rsidRPr="00F87319">
        <w:rPr>
          <w:rStyle w:val="Emphasis"/>
          <w:i w:val="0"/>
          <w:sz w:val="20"/>
        </w:rPr>
        <w:t xml:space="preserve">44]  </w:t>
      </w:r>
      <w:r w:rsidRPr="00F87319">
        <w:rPr>
          <w:sz w:val="20"/>
        </w:rPr>
        <w:t>The effect of the locally increased strength of the ZPE  as an “</w:t>
      </w:r>
      <w:r w:rsidRPr="00F87319">
        <w:rPr>
          <w:i/>
          <w:sz w:val="20"/>
        </w:rPr>
        <w:t>equivalent refractive medium”</w:t>
      </w:r>
      <w:r w:rsidRPr="00F87319">
        <w:rPr>
          <w:sz w:val="20"/>
        </w:rPr>
        <w:t xml:space="preserve"> can be justified as follows.  The refractive index of a medium</w:t>
      </w:r>
      <w:r w:rsidRPr="00F87319">
        <w:rPr>
          <w:position w:val="-6"/>
          <w:sz w:val="20"/>
        </w:rPr>
        <w:object w:dxaOrig="180" w:dyaOrig="200">
          <v:shape id="_x0000_i1178" type="#_x0000_t75" style="width:9.1pt;height:9.7pt" o:ole="">
            <v:imagedata r:id="rId659" o:title=""/>
          </v:shape>
          <o:OLEObject Type="Embed" ProgID="Equation.DSMT4" ShapeID="_x0000_i1178" DrawAspect="Content" ObjectID="_1438188990" r:id="rId660"/>
        </w:object>
      </w:r>
      <w:r w:rsidRPr="00F87319">
        <w:rPr>
          <w:sz w:val="20"/>
        </w:rPr>
        <w:t>is given by the standard equation:</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520">
          <v:shape id="_x0000_i1179" type="#_x0000_t75" style="width:50.8pt;height:26pt" o:ole="">
            <v:imagedata r:id="rId661" o:title=""/>
          </v:shape>
          <o:OLEObject Type="Embed" ProgID="Equation.DSMT4" ShapeID="_x0000_i1179" DrawAspect="Content" ObjectID="_1438188991" r:id="rId662"/>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(43)</w:t>
      </w:r>
    </w:p>
    <w:p w:rsidR="006D41BD" w:rsidRPr="00F87319" w:rsidRDefault="006D41BD" w:rsidP="006D41BD">
      <w:pPr>
        <w:pStyle w:val="NormPara"/>
        <w:ind w:firstLine="720"/>
        <w:rPr>
          <w:sz w:val="20"/>
        </w:rPr>
      </w:pPr>
      <w:r w:rsidRPr="00F87319">
        <w:rPr>
          <w:sz w:val="20"/>
        </w:rPr>
        <w:t>Here</w:t>
      </w:r>
      <w:r w:rsidRPr="00F87319">
        <w:rPr>
          <w:position w:val="-6"/>
          <w:sz w:val="20"/>
        </w:rPr>
        <w:object w:dxaOrig="180" w:dyaOrig="200">
          <v:shape id="_x0000_i1180" type="#_x0000_t75" style="width:9.1pt;height:9.7pt" o:ole="">
            <v:imagedata r:id="rId663" o:title=""/>
          </v:shape>
          <o:OLEObject Type="Embed" ProgID="Equation.DSMT4" ShapeID="_x0000_i1180" DrawAspect="Content" ObjectID="_1438188992" r:id="rId664"/>
        </w:object>
      </w:r>
      <w:r w:rsidRPr="00F87319">
        <w:rPr>
          <w:sz w:val="20"/>
        </w:rPr>
        <w:t xml:space="preserve">is the refractive index of the denser medium the light has entered, </w:t>
      </w:r>
      <w:r w:rsidRPr="00F87319">
        <w:rPr>
          <w:position w:val="-10"/>
          <w:sz w:val="20"/>
        </w:rPr>
        <w:object w:dxaOrig="220" w:dyaOrig="279">
          <v:shape id="_x0000_i1181" type="#_x0000_t75" style="width:10.3pt;height:14.5pt" o:ole="">
            <v:imagedata r:id="rId665" o:title=""/>
          </v:shape>
          <o:OLEObject Type="Embed" ProgID="Equation.DSMT4" ShapeID="_x0000_i1181" DrawAspect="Content" ObjectID="_1438188993" r:id="rId666"/>
        </w:object>
      </w:r>
      <w:r w:rsidRPr="00F87319">
        <w:rPr>
          <w:sz w:val="20"/>
        </w:rPr>
        <w:t xml:space="preserve"> is the speed of light in a vacuum, and </w:t>
      </w:r>
      <w:r w:rsidRPr="00F87319">
        <w:rPr>
          <w:position w:val="-6"/>
          <w:sz w:val="20"/>
        </w:rPr>
        <w:object w:dxaOrig="160" w:dyaOrig="200">
          <v:shape id="_x0000_i1182" type="#_x0000_t75" style="width:8.45pt;height:9.7pt" o:ole="">
            <v:imagedata r:id="rId667" o:title=""/>
          </v:shape>
          <o:OLEObject Type="Embed" ProgID="Equation.DSMT4" ShapeID="_x0000_i1182" DrawAspect="Content" ObjectID="_1438188994" r:id="rId668"/>
        </w:object>
      </w:r>
      <w:r w:rsidRPr="00F87319">
        <w:rPr>
          <w:sz w:val="20"/>
        </w:rPr>
        <w:t xml:space="preserve"> is the speed of light in the denser medium.  “</w:t>
      </w:r>
      <w:r w:rsidRPr="00F87319">
        <w:rPr>
          <w:i/>
          <w:sz w:val="20"/>
        </w:rPr>
        <w:t>A</w:t>
      </w:r>
      <w:r w:rsidRPr="00F87319">
        <w:rPr>
          <w:sz w:val="20"/>
        </w:rPr>
        <w:t>” here simply represents the ratio of the velocities.  In this segment of the article, we are considering situations where</w:t>
      </w:r>
      <w:r w:rsidRPr="00F87319">
        <w:rPr>
          <w:position w:val="-6"/>
          <w:sz w:val="20"/>
        </w:rPr>
        <w:object w:dxaOrig="760" w:dyaOrig="240">
          <v:shape id="_x0000_i1183" type="#_x0000_t75" style="width:38.1pt;height:12.1pt" o:ole="">
            <v:imagedata r:id="rId669" o:title=""/>
          </v:shape>
          <o:OLEObject Type="Embed" ProgID="Equation.DSMT4" ShapeID="_x0000_i1183" DrawAspect="Content" ObjectID="_1438188995" r:id="rId670"/>
        </w:object>
      </w:r>
      <w:r w:rsidRPr="00F87319">
        <w:rPr>
          <w:sz w:val="20"/>
        </w:rPr>
        <w:t>.  1 has to be the upper limit since that is where the two speeds of light being measured are equal.  An alternative expression for (43) is to say that the speed of light in the medium is given by the speed of light in the vacuum divided by the refractive index, so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1100" w:dyaOrig="499">
          <v:shape id="_x0000_i1184" type="#_x0000_t75" style="width:54.45pt;height:24.8pt" o:ole="">
            <v:imagedata r:id="rId671" o:title=""/>
          </v:shape>
          <o:OLEObject Type="Embed" ProgID="Equation.DSMT4" ShapeID="_x0000_i1184" DrawAspect="Content" ObjectID="_1438188996" r:id="rId672"/>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(44)</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From Chapters 2 and 3 of this monograph, we have shown that light speed must vary in inverse proportion to both the permittivity and permeability of free space so that we can write as in Eq. (6) above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iCs/>
          <w:sz w:val="20"/>
        </w:rPr>
        <w:tab/>
      </w:r>
      <w:r w:rsidRPr="00F87319">
        <w:rPr>
          <w:iCs/>
          <w:position w:val="-20"/>
          <w:sz w:val="20"/>
        </w:rPr>
        <w:object w:dxaOrig="1120" w:dyaOrig="499">
          <v:shape id="_x0000_i1185" type="#_x0000_t75" style="width:56.25pt;height:24.8pt" o:ole="">
            <v:imagedata r:id="rId673" o:title=""/>
          </v:shape>
          <o:OLEObject Type="Embed" ProgID="Equation.DSMT4" ShapeID="_x0000_i1185" DrawAspect="Content" ObjectID="_1438188997" r:id="rId674"/>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Cs/>
          <w:sz w:val="20"/>
        </w:rPr>
        <w:tab/>
      </w:r>
      <w:r w:rsidRPr="00F87319">
        <w:rPr>
          <w:i/>
          <w:sz w:val="20"/>
        </w:rPr>
        <w:t>(45)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since we have shown that the speed of light is inversely related to the strength of the ZPE, then we can write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4"/>
          <w:sz w:val="20"/>
        </w:rPr>
        <w:object w:dxaOrig="1180" w:dyaOrig="540">
          <v:shape id="_x0000_i1186" type="#_x0000_t75" style="width:59.3pt;height:27.25pt" o:ole="">
            <v:imagedata r:id="rId675" o:title=""/>
          </v:shape>
          <o:OLEObject Type="Embed" ProgID="Equation.DSMT4" ShapeID="_x0000_i1186" DrawAspect="Content" ObjectID="_1438188998" r:id="rId67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(46)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 xml:space="preserve">Here we take </w:t>
      </w:r>
      <w:r w:rsidRPr="00F87319">
        <w:rPr>
          <w:position w:val="-10"/>
          <w:sz w:val="20"/>
        </w:rPr>
        <w:object w:dxaOrig="279" w:dyaOrig="279">
          <v:shape id="_x0000_i1187" type="#_x0000_t75" style="width:14.5pt;height:14.5pt" o:ole="">
            <v:imagedata r:id="rId677" o:title=""/>
          </v:shape>
          <o:OLEObject Type="Embed" ProgID="Equation.DSMT4" ShapeID="_x0000_i1187" DrawAspect="Content" ObjectID="_1438188999" r:id="rId678"/>
        </w:object>
      </w:r>
      <w:r w:rsidRPr="00F87319">
        <w:rPr>
          <w:sz w:val="20"/>
        </w:rPr>
        <w:t xml:space="preserve"> as the present energy density of the vacuum ZPE away from massive objects and </w:t>
      </w:r>
      <w:r w:rsidRPr="00F87319">
        <w:rPr>
          <w:i/>
          <w:sz w:val="20"/>
        </w:rPr>
        <w:t>U</w:t>
      </w:r>
      <w:r w:rsidRPr="00F87319">
        <w:rPr>
          <w:sz w:val="20"/>
        </w:rPr>
        <w:t xml:space="preserve"> as the (greater) energy density of the ZPE in the vicinity of such objects.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If we now look at Eddington's statement regarding refractive mediums [44], it requires the refractive index to be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rStyle w:val="Emphasis"/>
          <w:i w:val="0"/>
          <w:sz w:val="20"/>
        </w:rPr>
      </w:pPr>
      <w:r w:rsidRPr="00F87319">
        <w:rPr>
          <w:sz w:val="20"/>
        </w:rPr>
        <w:tab/>
      </w:r>
      <w:r w:rsidRPr="00F87319">
        <w:rPr>
          <w:position w:val="-24"/>
          <w:sz w:val="20"/>
        </w:rPr>
        <w:object w:dxaOrig="1420" w:dyaOrig="540">
          <v:shape id="_x0000_i1188" type="#_x0000_t75" style="width:71.4pt;height:27.25pt" o:ole="">
            <v:imagedata r:id="rId679" o:title=""/>
          </v:shape>
          <o:OLEObject Type="Embed" ProgID="Equation.DSMT4" ShapeID="_x0000_i1188" DrawAspect="Content" ObjectID="_1438189000" r:id="rId68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i w:val="0"/>
          <w:sz w:val="20"/>
        </w:rPr>
        <w:tab/>
      </w:r>
      <w:r w:rsidRPr="00F87319">
        <w:rPr>
          <w:rStyle w:val="Emphasis"/>
          <w:sz w:val="20"/>
        </w:rPr>
        <w:t>(47)</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rStyle w:val="Emphasis"/>
          <w:i w:val="0"/>
          <w:sz w:val="20"/>
        </w:rPr>
      </w:pPr>
      <w:r w:rsidRPr="00F87319">
        <w:rPr>
          <w:sz w:val="20"/>
        </w:rPr>
        <w:t xml:space="preserve">with the right-hand side following from the standard definition of refractive index as in Eq. (43).  Eddington's treatment actually indicates that quantity </w:t>
      </w:r>
      <w:r w:rsidRPr="00F87319">
        <w:rPr>
          <w:position w:val="-10"/>
          <w:sz w:val="20"/>
        </w:rPr>
        <w:object w:dxaOrig="360" w:dyaOrig="279">
          <v:shape id="_x0000_i1189" type="#_x0000_t75" style="width:18.75pt;height:14.5pt" o:ole="">
            <v:imagedata r:id="rId681" o:title=""/>
          </v:shape>
          <o:OLEObject Type="Embed" ProgID="Equation.DSMT4" ShapeID="_x0000_i1189" DrawAspect="Content" ObjectID="_1438189001" r:id="rId682"/>
        </w:object>
      </w:r>
      <w:r w:rsidRPr="00F87319">
        <w:rPr>
          <w:sz w:val="20"/>
        </w:rPr>
        <w:t xml:space="preserve"> </w:t>
      </w:r>
      <w:r w:rsidRPr="00F87319">
        <w:rPr>
          <w:rStyle w:val="Emphasis"/>
          <w:i w:val="0"/>
          <w:sz w:val="20"/>
        </w:rPr>
        <w:t xml:space="preserve">is the same </w:t>
      </w:r>
      <w:proofErr w:type="gramStart"/>
      <w:r w:rsidRPr="00F87319">
        <w:rPr>
          <w:rStyle w:val="Emphasis"/>
          <w:i w:val="0"/>
          <w:sz w:val="20"/>
        </w:rPr>
        <w:t xml:space="preserve">as </w:t>
      </w:r>
      <m:oMath>
        <w:proofErr w:type="gramEnd"/>
        <m:r>
          <w:rPr>
            <w:rStyle w:val="Emphasis"/>
            <w:rFonts w:ascii="Cambria Math" w:hAnsi="Cambria Math"/>
            <w:sz w:val="20"/>
          </w:rPr>
          <m:t>GM</m:t>
        </m:r>
        <m:r>
          <w:rPr>
            <w:rStyle w:val="Emphasis"/>
            <w:rFonts w:ascii="Cambria Math"/>
            <w:sz w:val="20"/>
          </w:rPr>
          <m:t>/</m:t>
        </m:r>
        <m:r>
          <w:rPr>
            <w:rStyle w:val="Emphasis"/>
            <w:rFonts w:ascii="Cambria Math" w:hAnsi="Cambria Math"/>
            <w:sz w:val="20"/>
          </w:rPr>
          <m:t>r</m:t>
        </m:r>
      </m:oMath>
      <w:r w:rsidRPr="00F87319">
        <w:rPr>
          <w:rStyle w:val="Emphasis"/>
          <w:i w:val="0"/>
          <w:sz w:val="20"/>
        </w:rPr>
        <w:t>.</w:t>
      </w:r>
    </w:p>
    <w:p w:rsidR="006D41BD" w:rsidRPr="00F87319" w:rsidRDefault="006D41BD" w:rsidP="006D41BD">
      <w:pPr>
        <w:pStyle w:val="NormPara"/>
        <w:ind w:firstLine="0"/>
        <w:rPr>
          <w:rStyle w:val="Emphasis"/>
          <w:i w:val="0"/>
          <w:sz w:val="20"/>
        </w:rPr>
      </w:pPr>
    </w:p>
    <w:p w:rsidR="006D41BD" w:rsidRPr="00F87319" w:rsidRDefault="006D41BD" w:rsidP="00252491">
      <w:pPr>
        <w:pStyle w:val="Heading2"/>
        <w:widowControl/>
        <w:numPr>
          <w:ilvl w:val="1"/>
          <w:numId w:val="33"/>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Three Requirements to be Fulfilled</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rStyle w:val="Emphasis"/>
          <w:i w:val="0"/>
          <w:sz w:val="20"/>
        </w:rPr>
        <w:t xml:space="preserve">For this condition in (47) to be satisfied, Eddington’s approach requires three things. </w:t>
      </w:r>
      <w:r w:rsidRPr="00F87319">
        <w:rPr>
          <w:rStyle w:val="Emphasis"/>
          <w:sz w:val="20"/>
        </w:rPr>
        <w:t xml:space="preserve"> </w:t>
      </w:r>
      <w:r w:rsidRPr="00F87319">
        <w:rPr>
          <w:sz w:val="20"/>
        </w:rPr>
        <w:t xml:space="preserve">First, there must be a key property of the physical vacuum that increases in density in the vicinity of massive objects.  Second, this vacuum property must mimic the behavior of the gravitational field strength, which is proportional to the inverse square of the distance from any massive object.  (That also implies this property must mimic the behavior of the gravitational potential </w:t>
      </w:r>
      <w:r w:rsidRPr="00F87319">
        <w:rPr>
          <w:position w:val="-10"/>
          <w:sz w:val="20"/>
        </w:rPr>
        <w:object w:dxaOrig="360" w:dyaOrig="279">
          <v:shape id="_x0000_i1190" type="#_x0000_t75" style="width:18.75pt;height:14.5pt" o:ole="">
            <v:imagedata r:id="rId683" o:title=""/>
          </v:shape>
          <o:OLEObject Type="Embed" ProgID="Equation.DSMT4" ShapeID="_x0000_i1190" DrawAspect="Content" ObjectID="_1438189002" r:id="rId684"/>
        </w:object>
      </w:r>
      <w:r w:rsidRPr="00F87319">
        <w:rPr>
          <w:sz w:val="20"/>
        </w:rPr>
        <w:t xml:space="preserve"> in Eddington’s approach above and so be proportional </w:t>
      </w:r>
      <w:proofErr w:type="gramStart"/>
      <w:r w:rsidRPr="00F87319">
        <w:rPr>
          <w:sz w:val="20"/>
        </w:rPr>
        <w:t xml:space="preserve">to </w:t>
      </w:r>
      <w:proofErr w:type="gramEnd"/>
      <w:r w:rsidRPr="00F87319">
        <w:rPr>
          <w:position w:val="-10"/>
          <w:sz w:val="20"/>
        </w:rPr>
        <w:object w:dxaOrig="320" w:dyaOrig="279">
          <v:shape id="_x0000_i1191" type="#_x0000_t75" style="width:15.75pt;height:14.5pt" o:ole="">
            <v:imagedata r:id="rId685" o:title=""/>
          </v:shape>
          <o:OLEObject Type="Embed" ProgID="Equation.DSMT4" ShapeID="_x0000_i1191" DrawAspect="Content" ObjectID="_1438189003" r:id="rId686"/>
        </w:object>
      </w:r>
      <w:r w:rsidRPr="00F87319">
        <w:rPr>
          <w:sz w:val="20"/>
        </w:rPr>
        <w:t xml:space="preserve">, where </w:t>
      </w:r>
      <w:r w:rsidRPr="00F87319">
        <w:rPr>
          <w:i/>
          <w:sz w:val="20"/>
        </w:rPr>
        <w:t>r</w:t>
      </w:r>
      <w:r w:rsidRPr="00F87319">
        <w:rPr>
          <w:sz w:val="20"/>
        </w:rPr>
        <w:t xml:space="preserve"> is the distance from the massive body.)  Third, this property of the vacuum must affect the speed of light in an inverse fashion in a way similar to a refractive medium.  Let us examine these points.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First, the behavior of the vacuum in the vicinity of massive bodies is in accord with the picture of the vacuum that Haisch, Puthoff, and their colleagues present [47-50].  As noted above, the all-pervasive ZPE has its density increased towards massive bodies due to the secondary fields emitted by the oscillating point-like charges that comprise all matter.  The more oscillating charges there are, the more secondary fields there are and hence the greater the total energy density of the ZPE in the vicinity of those charges.  This increase in the total energy density of the ZPE towards any massive object can thereby be shown to meet the first requirement for Eddington’s alternative model.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Second, the strength of these electromagnetic fields is proportional to the inverse square of the distance from their origin.  Furthermore, their potential falls off inversely as the distance from the massive body, so changes in the density of the ZPE medium mimics a gravitational potential.  Therefore the second set of requirements is also fulfilled.</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final condition requires the speed of light to slow down as the strength of the ZPE increases.  This has been shown above as well as in other articles [12, 37, 38, 51, 52], which also demonstrate an inverse relationship between the energy density of the ZPE and the speed of light.  Eddington noted that </w:t>
      </w:r>
      <w:r w:rsidRPr="00F87319">
        <w:rPr>
          <w:i/>
          <w:sz w:val="20"/>
        </w:rPr>
        <w:t xml:space="preserve">“the velocity [of light is] inversely proportional to the refractive index of the medium.” </w:t>
      </w:r>
      <w:r w:rsidRPr="00F87319">
        <w:rPr>
          <w:sz w:val="20"/>
        </w:rPr>
        <w:t>[44]</w:t>
      </w:r>
      <w:r w:rsidRPr="00F87319">
        <w:rPr>
          <w:i/>
          <w:sz w:val="20"/>
        </w:rPr>
        <w:t xml:space="preserve">  </w:t>
      </w:r>
      <w:r w:rsidRPr="00F87319">
        <w:rPr>
          <w:sz w:val="20"/>
        </w:rPr>
        <w:t xml:space="preserve">This result means that the increased strength of the ZPE due to the secondary fields of oscillating charges is behaving in the same way as his </w:t>
      </w:r>
      <w:r w:rsidRPr="00F87319">
        <w:rPr>
          <w:i/>
          <w:sz w:val="20"/>
        </w:rPr>
        <w:t>“equivalent refractive medium</w:t>
      </w:r>
      <w:r w:rsidRPr="00F87319">
        <w:rPr>
          <w:sz w:val="20"/>
        </w:rPr>
        <w:t>” requires.</w:t>
      </w:r>
    </w:p>
    <w:p w:rsidR="00A64EAA" w:rsidRDefault="00A64EAA" w:rsidP="006D41BD">
      <w:pPr>
        <w:pStyle w:val="NormPara"/>
        <w:ind w:firstLine="270"/>
        <w:rPr>
          <w:sz w:val="20"/>
        </w:rPr>
      </w:pPr>
    </w:p>
    <w:p w:rsidR="006D41BD" w:rsidRPr="00F87319" w:rsidRDefault="006D41BD" w:rsidP="006D41BD">
      <w:pPr>
        <w:pStyle w:val="NormPara"/>
        <w:ind w:firstLine="270"/>
        <w:rPr>
          <w:sz w:val="20"/>
        </w:rPr>
      </w:pPr>
      <w:r w:rsidRPr="00F87319">
        <w:rPr>
          <w:sz w:val="20"/>
        </w:rPr>
        <w:t>Therefore, Eddington's results can be obtained precisely since we now have</w:t>
      </w:r>
    </w:p>
    <w:p w:rsidR="006D41BD" w:rsidRPr="00F87319" w:rsidRDefault="006D41BD" w:rsidP="006D41BD">
      <w:pPr>
        <w:pStyle w:val="equation"/>
        <w:spacing w:before="80" w:after="80"/>
        <w:rPr>
          <w:i/>
          <w:sz w:val="20"/>
        </w:rPr>
      </w:pPr>
      <w:r w:rsidRPr="00F87319">
        <w:rPr>
          <w:sz w:val="20"/>
        </w:rPr>
        <w:tab/>
      </w:r>
      <w:r w:rsidRPr="00F87319">
        <w:rPr>
          <w:position w:val="-24"/>
          <w:sz w:val="20"/>
        </w:rPr>
        <w:object w:dxaOrig="1860" w:dyaOrig="540">
          <v:shape id="_x0000_i1192" type="#_x0000_t75" style="width:93.2pt;height:27.25pt" o:ole="">
            <v:imagedata r:id="rId687" o:title=""/>
          </v:shape>
          <o:OLEObject Type="Embed" ProgID="Equation.DSMT4" ShapeID="_x0000_i1192" DrawAspect="Content" ObjectID="_1438189004" r:id="rId68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sz w:val="20"/>
          <w:vertAlign w:val="subscript"/>
        </w:rPr>
        <w:tab/>
      </w:r>
      <w:r w:rsidRPr="00F87319">
        <w:rPr>
          <w:i/>
          <w:sz w:val="20"/>
        </w:rPr>
        <w:t>(48)</w:t>
      </w:r>
    </w:p>
    <w:p w:rsidR="006D41BD" w:rsidRPr="00F87319" w:rsidRDefault="006D41BD" w:rsidP="006D41BD">
      <w:pPr>
        <w:pStyle w:val="NormPara"/>
        <w:ind w:firstLine="270"/>
        <w:rPr>
          <w:sz w:val="20"/>
        </w:rPr>
      </w:pPr>
      <w:r w:rsidRPr="00F87319">
        <w:rPr>
          <w:sz w:val="20"/>
        </w:rPr>
        <w:t xml:space="preserve">Thus the effects of the increased ZPE strength, due to the secondary radiation emitted by oscillating particles, is the same as an equivalent refractive medium.  Because of this, the SED approach using the ZPE explains the same bending of </w:t>
      </w:r>
      <w:r w:rsidRPr="00F87319">
        <w:rPr>
          <w:sz w:val="20"/>
        </w:rPr>
        <w:lastRenderedPageBreak/>
        <w:t>light in a gravitational field as General Relativity.  However, unlike GR, it gives the mechanism whereby the bending of light occurs.  This approach also has the added advantage that it only needs simple mathematics.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GR had predicted the bending of light around massive astronomical objects and later realized this also involved the slowing of light there.  In addition, it also predicted the slowing of radar signals in these same fields.  This was verified in the 1960’s.  Irwin Shapiro confirmed this by analyzing radar signal returns from both Venus and Mercury [53].  However, just as the locally increased Zero Point Energy affects the light waves, it also affects radar signals.  It is the flip side of the effects of a refractive medium.  Both light and radar waves are forms of electromagnetic radiation.  Therefore, if light speed slows in these gravitational fields, radar signals will behave the same way.  This simultaneous slowing and bending of radar signals and light in the vicinity of massive objects are therefore twin results from an increased density of the ZPE.</w:t>
      </w:r>
    </w:p>
    <w:p w:rsidR="006D41BD" w:rsidRPr="00F87319" w:rsidRDefault="006D41BD" w:rsidP="006D41BD">
      <w:pPr>
        <w:pStyle w:val="NormPara"/>
        <w:ind w:firstLine="270"/>
        <w:rPr>
          <w:sz w:val="20"/>
        </w:rPr>
      </w:pPr>
    </w:p>
    <w:p w:rsidR="006D41BD" w:rsidRPr="00D818DD" w:rsidRDefault="006D41BD" w:rsidP="00252491">
      <w:pPr>
        <w:pStyle w:val="ListParagraph"/>
        <w:numPr>
          <w:ilvl w:val="0"/>
          <w:numId w:val="33"/>
        </w:numPr>
        <w:spacing w:before="120" w:after="120" w:line="240" w:lineRule="atLeast"/>
        <w:jc w:val="both"/>
        <w:outlineLvl w:val="0"/>
        <w:rPr>
          <w:rFonts w:ascii="Book Antiqua" w:hAnsi="Book Antiqua"/>
          <w:b/>
          <w:sz w:val="20"/>
        </w:rPr>
      </w:pPr>
      <w:r w:rsidRPr="00D818DD">
        <w:rPr>
          <w:rFonts w:ascii="Book Antiqua" w:hAnsi="Book Antiqua"/>
          <w:b/>
          <w:sz w:val="20"/>
        </w:rPr>
        <w:t>Atomic Clocks Slow in Gravitational Fields</w:t>
      </w:r>
    </w:p>
    <w:p w:rsidR="006D41BD" w:rsidRPr="00D818DD" w:rsidRDefault="006D41BD" w:rsidP="006D41BD">
      <w:pPr>
        <w:pStyle w:val="ListParagraph"/>
        <w:spacing w:before="120" w:after="120" w:line="240" w:lineRule="atLeast"/>
        <w:ind w:left="360"/>
        <w:jc w:val="both"/>
        <w:outlineLvl w:val="0"/>
        <w:rPr>
          <w:rFonts w:ascii="Book Antiqua" w:hAnsi="Book Antiqua"/>
          <w:b/>
          <w:sz w:val="20"/>
        </w:rPr>
      </w:pPr>
    </w:p>
    <w:p w:rsidR="006D41BD" w:rsidRPr="00F87319" w:rsidRDefault="006D41BD" w:rsidP="006D41BD">
      <w:pPr>
        <w:pStyle w:val="NormPara"/>
        <w:ind w:firstLine="720"/>
        <w:rPr>
          <w:sz w:val="20"/>
        </w:rPr>
      </w:pPr>
      <w:r w:rsidRPr="00F87319">
        <w:rPr>
          <w:sz w:val="20"/>
        </w:rPr>
        <w:t>The bending and slowing of light in a gravitational field were only two of the basic observational proofs of GR.  Einstein also proposed that the rate of ticking of atomic clocks would be slowed in gravitational fields.  This is inevitable with the SED approach using the ZPE as the mechanism.  This is because the “gravitational field” in which these atomic clocks are immersed comes from the secondary electromagnetic radiation emitted by oscillating charges that make up all matter.  The more charges there are to oscillate, the more secondary radiation will be emitted, and hence the greater the energy density of the ZPE in that vicinity.  This local increase in the energy density of the ZPE will cause a drop in the orbital frequency of subatomic particles as outlined in the discussion around Eq. (17A).  Thus the slowing of atomic clocks is not an unexpected result but a natural consequence of the SED approach.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atomic clocks associated with the Global Positioning System reveal that atomic clock frequencies do lessen somewhat in the Earth’s gravitational field. The exact equation has the form:</w:t>
      </w:r>
    </w:p>
    <w:p w:rsidR="006D41BD" w:rsidRPr="00F87319" w:rsidRDefault="006D41BD" w:rsidP="006D41BD">
      <w:pPr>
        <w:pStyle w:val="NormPara"/>
        <w:ind w:firstLine="720"/>
        <w:rPr>
          <w:sz w:val="20"/>
        </w:rPr>
      </w:pPr>
    </w:p>
    <w:p w:rsidR="006D41BD" w:rsidRPr="00F87319" w:rsidRDefault="006D41BD" w:rsidP="006D41BD">
      <w:pPr>
        <w:pStyle w:val="equation"/>
        <w:spacing w:before="40" w:after="80"/>
        <w:jc w:val="right"/>
        <w:rPr>
          <w:i/>
          <w:sz w:val="20"/>
        </w:rPr>
      </w:pPr>
      <w:r w:rsidRPr="00F87319">
        <w:rPr>
          <w:sz w:val="20"/>
        </w:rPr>
        <w:tab/>
      </w:r>
      <w:r w:rsidRPr="00F87319">
        <w:rPr>
          <w:position w:val="-10"/>
          <w:sz w:val="20"/>
        </w:rPr>
        <w:object w:dxaOrig="680" w:dyaOrig="279">
          <v:shape id="_x0000_i1193" type="#_x0000_t75" style="width:33.9pt;height:14.5pt" o:ole="">
            <v:imagedata r:id="rId689" o:title=""/>
          </v:shape>
          <o:OLEObject Type="Embed" ProgID="Equation.DSMT4" ShapeID="_x0000_i1193" DrawAspect="Content" ObjectID="_1438189005" r:id="rId69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10"/>
          <w:sz w:val="20"/>
        </w:rPr>
        <w:object w:dxaOrig="240" w:dyaOrig="279">
          <v:shape id="_x0000_i1194" type="#_x0000_t75" style="width:12.1pt;height:14.5pt" o:ole="">
            <v:imagedata r:id="rId691" o:title=""/>
          </v:shape>
          <o:OLEObject Type="Embed" ProgID="Equation.DSMT4" ShapeID="_x0000_i1194" DrawAspect="Content" ObjectID="_1438189006" r:id="rId692"/>
        </w:object>
      </w:r>
      <w:r w:rsidRPr="00F87319">
        <w:rPr>
          <w:sz w:val="20"/>
        </w:rPr>
        <w:t>is the original frequency and</w:t>
      </w:r>
      <w:r w:rsidRPr="00F87319">
        <w:rPr>
          <w:position w:val="-6"/>
          <w:sz w:val="20"/>
        </w:rPr>
        <w:object w:dxaOrig="760" w:dyaOrig="240">
          <v:shape id="_x0000_i1195" type="#_x0000_t75" style="width:38.1pt;height:12.1pt" o:ole="">
            <v:imagedata r:id="rId693" o:title=""/>
          </v:shape>
          <o:OLEObject Type="Embed" ProgID="Equation.DSMT4" ShapeID="_x0000_i1195" DrawAspect="Content" ObjectID="_1438189007" r:id="rId694"/>
        </w:object>
      </w:r>
      <w:r w:rsidRPr="00F87319">
        <w:rPr>
          <w:sz w:val="20"/>
        </w:rPr>
        <w:t xml:space="preserve">as defined above.  By way of explanation, we start with the intrinsic mass of the parton or electron </w:t>
      </w:r>
      <w:r w:rsidRPr="00F87319">
        <w:rPr>
          <w:position w:val="-6"/>
          <w:sz w:val="20"/>
        </w:rPr>
        <w:object w:dxaOrig="279" w:dyaOrig="300">
          <v:shape id="_x0000_i1196" type="#_x0000_t75" style="width:14.5pt;height:15.15pt" o:ole="">
            <v:imagedata r:id="rId695" o:title=""/>
          </v:shape>
          <o:OLEObject Type="Embed" ProgID="Equation.DSMT4" ShapeID="_x0000_i1196" DrawAspect="Content" ObjectID="_1438189008" r:id="rId696"/>
        </w:object>
      </w:r>
      <w:r w:rsidRPr="00F87319">
        <w:rPr>
          <w:sz w:val="20"/>
        </w:rPr>
        <w:t xml:space="preserve"> as discussed around Eq. (30).  There it is shown that the intrinsic mass of the parton decreases when the ZPE is stronger.  Using (29) and (44), the relationship may be expressed in terms of the quantity </w:t>
      </w:r>
      <w:r w:rsidRPr="00F87319">
        <w:rPr>
          <w:i/>
          <w:sz w:val="20"/>
        </w:rPr>
        <w:t>A</w:t>
      </w:r>
      <w:r w:rsidRPr="00F87319">
        <w:rPr>
          <w:sz w:val="20"/>
        </w:rPr>
        <w:t xml:space="preserve"> thus: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960" w:dyaOrig="340">
          <v:shape id="_x0000_i1197" type="#_x0000_t75" style="width:47.8pt;height:17.55pt" o:ole="">
            <v:imagedata r:id="rId697" o:title=""/>
          </v:shape>
          <o:OLEObject Type="Embed" ProgID="Equation.DSMT4" ShapeID="_x0000_i1197" DrawAspect="Content" ObjectID="_1438189009" r:id="rId69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 xml:space="preserve"> (50)</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NoSpacing"/>
        <w:spacing w:line="240" w:lineRule="atLeast"/>
        <w:ind w:firstLine="720"/>
        <w:jc w:val="both"/>
        <w:rPr>
          <w:rFonts w:ascii="Book Antiqua" w:hAnsi="Book Antiqua"/>
          <w:sz w:val="20"/>
        </w:rPr>
      </w:pPr>
      <w:r w:rsidRPr="00F87319">
        <w:rPr>
          <w:rFonts w:ascii="Book Antiqua" w:hAnsi="Book Antiqua"/>
          <w:sz w:val="20"/>
        </w:rPr>
        <w:t>The equations relating to the behavior of atomic masses</w:t>
      </w:r>
      <w:r w:rsidRPr="00F87319">
        <w:rPr>
          <w:rFonts w:ascii="Book Antiqua" w:hAnsi="Book Antiqua"/>
          <w:position w:val="-6"/>
          <w:sz w:val="20"/>
        </w:rPr>
        <w:object w:dxaOrig="220" w:dyaOrig="200">
          <v:shape id="_x0000_i1198" type="#_x0000_t75" style="width:10.3pt;height:9.7pt" o:ole="">
            <v:imagedata r:id="rId699" o:title=""/>
          </v:shape>
          <o:OLEObject Type="Embed" ProgID="Equation.DSMT4" ShapeID="_x0000_i1198" DrawAspect="Content" ObjectID="_1438189010" r:id="rId700"/>
        </w:object>
      </w:r>
      <w:r w:rsidRPr="00F87319">
        <w:rPr>
          <w:rFonts w:ascii="Book Antiqua" w:hAnsi="Book Antiqua"/>
          <w:sz w:val="20"/>
        </w:rPr>
        <w:t>are given in Eqs. (14) and (18).  If (18) is substituted in (14) above, it can be manipulated to show that:</w:t>
      </w:r>
    </w:p>
    <w:p w:rsidR="006D41BD" w:rsidRPr="00F87319" w:rsidRDefault="006D41BD" w:rsidP="006D41BD">
      <w:pPr>
        <w:pStyle w:val="NoSpacing"/>
        <w:spacing w:line="240" w:lineRule="atLeast"/>
        <w:ind w:firstLine="720"/>
        <w:jc w:val="both"/>
        <w:rPr>
          <w:rFonts w:ascii="Book Antiqua" w:hAnsi="Book Antiqua"/>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000" w:dyaOrig="580">
          <v:shape id="_x0000_i1199" type="#_x0000_t75" style="width:99.85pt;height:29.05pt" o:ole="">
            <v:imagedata r:id="rId701" o:title=""/>
          </v:shape>
          <o:OLEObject Type="Embed" ProgID="Equation.DSMT4" ShapeID="_x0000_i1199" DrawAspect="Content" ObjectID="_1438189011" r:id="rId70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(51)</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Applying (24), (46), and (50) to (51), the outcome is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00" w:dyaOrig="580">
          <v:shape id="_x0000_i1200" type="#_x0000_t75" style="width:44.75pt;height:29.05pt" o:ole="">
            <v:imagedata r:id="rId703" o:title=""/>
          </v:shape>
          <o:OLEObject Type="Embed" ProgID="Equation.DSMT4" ShapeID="_x0000_i1200" DrawAspect="Content" ObjectID="_1438189012" r:id="rId70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(52)</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proofErr w:type="gramStart"/>
      <w:r w:rsidRPr="00F87319">
        <w:rPr>
          <w:sz w:val="20"/>
        </w:rPr>
        <w:lastRenderedPageBreak/>
        <w:t xml:space="preserve">However, the behavior of </w:t>
      </w:r>
      <w:r w:rsidRPr="00F87319">
        <w:rPr>
          <w:position w:val="-10"/>
          <w:sz w:val="20"/>
        </w:rPr>
        <w:object w:dxaOrig="420" w:dyaOrig="340">
          <v:shape id="_x0000_i1201" type="#_x0000_t75" style="width:21.2pt;height:17.55pt" o:ole="">
            <v:imagedata r:id="rId705" o:title=""/>
          </v:shape>
          <o:OLEObject Type="Embed" ProgID="Equation.DSMT4" ShapeID="_x0000_i1201" DrawAspect="Content" ObjectID="_1438189013" r:id="rId706"/>
        </w:object>
      </w:r>
      <w:r w:rsidRPr="00F87319">
        <w:rPr>
          <w:sz w:val="20"/>
        </w:rPr>
        <w:t xml:space="preserve"> needs scrutiny at this point.</w:t>
      </w:r>
      <w:proofErr w:type="gramEnd"/>
      <w:r w:rsidRPr="00F87319">
        <w:rPr>
          <w:sz w:val="20"/>
        </w:rPr>
        <w:t xml:space="preserve">  </w:t>
      </w:r>
      <w:r w:rsidRPr="00F87319">
        <w:rPr>
          <w:position w:val="-10"/>
          <w:sz w:val="20"/>
        </w:rPr>
        <w:object w:dxaOrig="420" w:dyaOrig="340">
          <v:shape id="_x0000_i1202" type="#_x0000_t75" style="width:21.2pt;height:17.55pt" o:ole="">
            <v:imagedata r:id="rId707" o:title=""/>
          </v:shape>
          <o:OLEObject Type="Embed" ProgID="Equation.DSMT4" ShapeID="_x0000_i1202" DrawAspect="Content" ObjectID="_1438189014" r:id="rId708"/>
        </w:object>
      </w:r>
      <w:r w:rsidRPr="00F87319">
        <w:rPr>
          <w:sz w:val="20"/>
        </w:rPr>
        <w:t xml:space="preserve"> </w:t>
      </w:r>
      <w:proofErr w:type="gramStart"/>
      <w:r w:rsidRPr="00F87319">
        <w:rPr>
          <w:sz w:val="20"/>
        </w:rPr>
        <w:t>is  a</w:t>
      </w:r>
      <w:proofErr w:type="gramEnd"/>
      <w:r w:rsidRPr="00F87319">
        <w:rPr>
          <w:sz w:val="20"/>
        </w:rPr>
        <w:t xml:space="preserve"> constant with one exception. The electronic charge</w:t>
      </w:r>
      <w:r w:rsidRPr="00F87319">
        <w:rPr>
          <w:position w:val="-6"/>
          <w:sz w:val="20"/>
        </w:rPr>
        <w:object w:dxaOrig="160" w:dyaOrig="200">
          <v:shape id="_x0000_i1203" type="#_x0000_t75" style="width:8.45pt;height:9.7pt" o:ole="">
            <v:imagedata r:id="rId709" o:title=""/>
          </v:shape>
          <o:OLEObject Type="Embed" ProgID="Equation.DSMT4" ShapeID="_x0000_i1203" DrawAspect="Content" ObjectID="_1438189015" r:id="rId710"/>
        </w:object>
      </w:r>
      <w:r w:rsidRPr="00F87319">
        <w:rPr>
          <w:sz w:val="20"/>
        </w:rPr>
        <w:t>is not implicated in any changes due to secondary fields.  However, the increase in ZPE strength due to the secondary fields will inevitably increase the value of</w:t>
      </w:r>
      <w:r w:rsidRPr="00F87319">
        <w:rPr>
          <w:position w:val="-6"/>
          <w:sz w:val="20"/>
        </w:rPr>
        <w:object w:dxaOrig="180" w:dyaOrig="200">
          <v:shape id="_x0000_i1204" type="#_x0000_t75" style="width:9.1pt;height:9.7pt" o:ole="">
            <v:imagedata r:id="rId711" o:title=""/>
          </v:shape>
          <o:OLEObject Type="Embed" ProgID="Equation.DSMT4" ShapeID="_x0000_i1204" DrawAspect="Content" ObjectID="_1438189016" r:id="rId712"/>
        </w:object>
      </w:r>
      <w:r w:rsidRPr="00F87319">
        <w:rPr>
          <w:sz w:val="20"/>
        </w:rPr>
        <w:t xml:space="preserve">which decreases the magnitude of the </w:t>
      </w:r>
      <w:proofErr w:type="gramStart"/>
      <w:r w:rsidRPr="00F87319">
        <w:rPr>
          <w:sz w:val="20"/>
        </w:rPr>
        <w:t xml:space="preserve">ratio </w:t>
      </w:r>
      <w:proofErr w:type="gramEnd"/>
      <w:r w:rsidRPr="00F87319">
        <w:rPr>
          <w:position w:val="-10"/>
          <w:sz w:val="20"/>
        </w:rPr>
        <w:object w:dxaOrig="420" w:dyaOrig="340">
          <v:shape id="_x0000_i1205" type="#_x0000_t75" style="width:21.2pt;height:17.55pt" o:ole="">
            <v:imagedata r:id="rId713" o:title=""/>
          </v:shape>
          <o:OLEObject Type="Embed" ProgID="Equation.DSMT4" ShapeID="_x0000_i1205" DrawAspect="Content" ObjectID="_1438189017" r:id="rId714"/>
        </w:object>
      </w:r>
      <w:r w:rsidRPr="00F87319">
        <w:rPr>
          <w:sz w:val="20"/>
        </w:rPr>
        <w:t xml:space="preserve">.  Since </w:t>
      </w:r>
      <w:r w:rsidRPr="00F87319">
        <w:rPr>
          <w:position w:val="-6"/>
          <w:sz w:val="20"/>
        </w:rPr>
        <w:object w:dxaOrig="180" w:dyaOrig="200">
          <v:shape id="_x0000_i1206" type="#_x0000_t75" style="width:9.1pt;height:9.7pt" o:ole="">
            <v:imagedata r:id="rId715" o:title=""/>
          </v:shape>
          <o:OLEObject Type="Embed" ProgID="Equation.DSMT4" ShapeID="_x0000_i1206" DrawAspect="Content" ObjectID="_1438189018" r:id="rId716"/>
        </w:object>
      </w:r>
      <w:r w:rsidRPr="00F87319">
        <w:rPr>
          <w:sz w:val="20"/>
        </w:rPr>
        <w:t xml:space="preserve"> is proportional to</w:t>
      </w:r>
      <w:r w:rsidRPr="00F87319">
        <w:rPr>
          <w:position w:val="-6"/>
          <w:sz w:val="20"/>
        </w:rPr>
        <w:object w:dxaOrig="220" w:dyaOrig="240">
          <v:shape id="_x0000_i1207" type="#_x0000_t75" style="width:10.3pt;height:12.1pt" o:ole="">
            <v:imagedata r:id="rId717" o:title=""/>
          </v:shape>
          <o:OLEObject Type="Embed" ProgID="Equation.DSMT4" ShapeID="_x0000_i1207" DrawAspect="Content" ObjectID="_1438189019" r:id="rId718"/>
        </w:object>
      </w:r>
      <w:r w:rsidRPr="00F87319">
        <w:rPr>
          <w:sz w:val="20"/>
        </w:rPr>
        <w:t>, then from the definition given in (46) we have</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1200" w:dyaOrig="560">
          <v:shape id="_x0000_i1208" type="#_x0000_t75" style="width:59.9pt;height:27.85pt" o:ole="">
            <v:imagedata r:id="rId719" o:title=""/>
          </v:shape>
          <o:OLEObject Type="Embed" ProgID="Equation.DSMT4" ShapeID="_x0000_i1208" DrawAspect="Content" ObjectID="_1438189020" r:id="rId720"/>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39" w:dyaOrig="520">
          <v:shape id="_x0000_i1209" type="#_x0000_t75" style="width:31.45pt;height:26pt" o:ole="">
            <v:imagedata r:id="rId721" o:title=""/>
          </v:shape>
          <o:OLEObject Type="Embed" ProgID="Equation.DSMT4" ShapeID="_x0000_i1209" DrawAspect="Content" ObjectID="_1438189021" r:id="rId72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As a consequence, when (54) is substituted in (52) it emerges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80" w:dyaOrig="520">
          <v:shape id="_x0000_i1210" type="#_x0000_t75" style="width:33.9pt;height:26pt" o:ole="">
            <v:imagedata r:id="rId723" o:title=""/>
          </v:shape>
          <o:OLEObject Type="Embed" ProgID="Equation.DSMT4" ShapeID="_x0000_i1210" DrawAspect="Content" ObjectID="_1438189022" r:id="rId72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(55)</w:t>
      </w:r>
      <w:r w:rsidRPr="00F87319">
        <w:rPr>
          <w:sz w:val="20"/>
        </w:rPr>
        <w:t xml:space="preserve">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It has been shown above that kinetic energy is conserved in atomic orbits in the interval between redshift quantum changes.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999" w:dyaOrig="300">
          <v:shape id="_x0000_i1211" type="#_x0000_t75" style="width:50.2pt;height:15.15pt" o:ole="">
            <v:imagedata r:id="rId725" o:title=""/>
          </v:shape>
          <o:OLEObject Type="Embed" ProgID="Equation.DSMT4" ShapeID="_x0000_i1211" DrawAspect="Content" ObjectID="_1438189023" r:id="rId72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Therefore, putting the results of (55) in (56), we get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60" w:dyaOrig="520">
          <v:shape id="_x0000_i1212" type="#_x0000_t75" style="width:57.5pt;height:26pt" o:ole="">
            <v:imagedata r:id="rId727" o:title=""/>
          </v:shape>
          <o:OLEObject Type="Embed" ProgID="Equation.DSMT4" ShapeID="_x0000_i1212" DrawAspect="Content" ObjectID="_1438189024" r:id="rId72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(57)</w:t>
      </w:r>
    </w:p>
    <w:p w:rsidR="006D41BD" w:rsidRPr="00F87319" w:rsidRDefault="006D41BD" w:rsidP="006D41BD">
      <w:pPr>
        <w:pStyle w:val="equation"/>
        <w:spacing w:before="80" w:after="80"/>
        <w:rPr>
          <w:sz w:val="20"/>
        </w:rPr>
      </w:pPr>
    </w:p>
    <w:p w:rsidR="006D41BD" w:rsidRPr="00F87319" w:rsidRDefault="006D41BD" w:rsidP="006D41BD">
      <w:pPr>
        <w:pStyle w:val="NoSpacing"/>
        <w:spacing w:line="240" w:lineRule="atLeast"/>
        <w:jc w:val="both"/>
        <w:rPr>
          <w:rFonts w:ascii="Book Antiqua" w:hAnsi="Book Antiqua"/>
          <w:sz w:val="20"/>
        </w:rPr>
      </w:pPr>
      <w:r w:rsidRPr="00F87319">
        <w:rPr>
          <w:rFonts w:ascii="Book Antiqua" w:hAnsi="Book Antiqua"/>
          <w:sz w:val="20"/>
        </w:rPr>
        <w:t>This means that</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2"/>
          <w:sz w:val="20"/>
        </w:rPr>
        <w:object w:dxaOrig="980" w:dyaOrig="380">
          <v:shape id="_x0000_i1213" type="#_x0000_t75" style="width:49pt;height:18.75pt" o:ole="">
            <v:imagedata r:id="rId729" o:title=""/>
          </v:shape>
          <o:OLEObject Type="Embed" ProgID="Equation.DSMT4" ShapeID="_x0000_i1213" DrawAspect="Content" ObjectID="_1438189025" r:id="rId73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frequency of revolution of electrons in atomic orbits is directly determined by the orbit velocity</w:t>
      </w:r>
      <w:r w:rsidRPr="00F87319">
        <w:rPr>
          <w:position w:val="-6"/>
          <w:sz w:val="20"/>
        </w:rPr>
        <w:object w:dxaOrig="180" w:dyaOrig="200">
          <v:shape id="_x0000_i1214" type="#_x0000_t75" style="width:9.1pt;height:9.7pt" o:ole="">
            <v:imagedata r:id="rId731" o:title=""/>
          </v:shape>
          <o:OLEObject Type="Embed" ProgID="Equation.DSMT4" ShapeID="_x0000_i1214" DrawAspect="Content" ObjectID="_1438189026" r:id="rId732"/>
        </w:object>
      </w:r>
      <w:r w:rsidRPr="00F87319">
        <w:rPr>
          <w:sz w:val="20"/>
        </w:rPr>
        <w:t>.  Since this is directly related to the frequency of atomic clocks, then from (58) we have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80" w:dyaOrig="279">
          <v:shape id="_x0000_i1215" type="#_x0000_t75" style="width:33.9pt;height:14.5pt" o:ole="">
            <v:imagedata r:id="rId733" o:title=""/>
          </v:shape>
          <o:OLEObject Type="Embed" ProgID="Equation.DSMT4" ShapeID="_x0000_i1215" DrawAspect="Content" ObjectID="_1438189027" r:id="rId73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which was the required relationship in (49) above.  This indicates that atomic processes slow by a factor of </w:t>
      </w:r>
      <w:r w:rsidRPr="00F87319">
        <w:rPr>
          <w:i/>
          <w:sz w:val="20"/>
        </w:rPr>
        <w:t>A</w:t>
      </w:r>
      <w:r w:rsidRPr="00F87319">
        <w:rPr>
          <w:sz w:val="20"/>
        </w:rPr>
        <w:t xml:space="preserve"> in a gravitational field.  As a result, it can be demonstrated that all atomic frequencies, and therefore atomic clocks, will slow in accord with (59) and (49).  Alternatively, it can be stated with equal correctness that the time period</w:t>
      </w:r>
      <w:r w:rsidRPr="00F87319">
        <w:rPr>
          <w:position w:val="-6"/>
          <w:sz w:val="20"/>
        </w:rPr>
        <w:object w:dxaOrig="139" w:dyaOrig="220">
          <v:shape id="_x0000_i1216" type="#_x0000_t75" style="width:6.65pt;height:10.3pt" o:ole="">
            <v:imagedata r:id="rId735" o:title=""/>
          </v:shape>
          <o:OLEObject Type="Embed" ProgID="Equation.DSMT4" ShapeID="_x0000_i1216" DrawAspect="Content" ObjectID="_1438189028" r:id="rId736"/>
        </w:object>
      </w:r>
      <w:r w:rsidRPr="00F87319">
        <w:rPr>
          <w:sz w:val="20"/>
        </w:rPr>
        <w:t>between ticks on atomic clocks in these circumstances is lengthened in that gravitational field so that</w:t>
      </w: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499" w:dyaOrig="499">
          <v:shape id="_x0000_i1217" type="#_x0000_t75" style="width:24.8pt;height:24.8pt" o:ole="">
            <v:imagedata r:id="rId737" o:title=""/>
          </v:shape>
          <o:OLEObject Type="Embed" ProgID="Equation.DSMT4" ShapeID="_x0000_i1217" DrawAspect="Content" ObjectID="_1438189029" r:id="rId738"/>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(60)</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lastRenderedPageBreak/>
        <w:t>This prediction of GR can thereby be accounted for on using SED physics and the action of the ZPE in a relatively simple manner.  This occurs because the permittivity of the vacuum increases in gravitational fields due to the emission of secondary radiation by oscillating partons.  The key point, however, is that this is done without any increase in the strength of the electronic charge.  We can thus write that, in strong gravitational fields,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060" w:dyaOrig="600">
          <v:shape id="_x0000_i1218" type="#_x0000_t75" style="width:53.25pt;height:30.25pt" o:ole="">
            <v:imagedata r:id="rId739" o:title=""/>
          </v:shape>
          <o:OLEObject Type="Embed" ProgID="Equation.DSMT4" ShapeID="_x0000_i1218" DrawAspect="Content" ObjectID="_1438189030" r:id="rId74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(61)</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other words, since</w:t>
      </w:r>
      <w:r w:rsidRPr="00F87319">
        <w:rPr>
          <w:position w:val="-6"/>
          <w:sz w:val="20"/>
        </w:rPr>
        <w:object w:dxaOrig="760" w:dyaOrig="240">
          <v:shape id="_x0000_i1219" type="#_x0000_t75" style="width:38.1pt;height:12.1pt" o:ole="">
            <v:imagedata r:id="rId741" o:title=""/>
          </v:shape>
          <o:OLEObject Type="Embed" ProgID="Equation.DSMT4" ShapeID="_x0000_i1219" DrawAspect="Content" ObjectID="_1438189031" r:id="rId742"/>
        </w:object>
      </w:r>
      <w:r w:rsidRPr="00F87319">
        <w:rPr>
          <w:sz w:val="20"/>
        </w:rPr>
        <w:t xml:space="preserve">, then the ratio </w:t>
      </w:r>
      <w:r w:rsidRPr="00F87319">
        <w:rPr>
          <w:position w:val="-10"/>
          <w:sz w:val="20"/>
        </w:rPr>
        <w:object w:dxaOrig="420" w:dyaOrig="340">
          <v:shape id="_x0000_i1220" type="#_x0000_t75" style="width:21.2pt;height:17.55pt" o:ole="">
            <v:imagedata r:id="rId743" o:title=""/>
          </v:shape>
          <o:OLEObject Type="Embed" ProgID="Equation.DSMT4" ShapeID="_x0000_i1220" DrawAspect="Content" ObjectID="_1438189032" r:id="rId744"/>
        </w:object>
      </w:r>
      <w:r w:rsidRPr="00F87319">
        <w:rPr>
          <w:sz w:val="20"/>
        </w:rPr>
        <w:t xml:space="preserve"> becomes slightly less in a strong gravitational field because</w:t>
      </w:r>
      <w:r w:rsidRPr="00F87319">
        <w:rPr>
          <w:position w:val="-6"/>
          <w:sz w:val="20"/>
        </w:rPr>
        <w:object w:dxaOrig="180" w:dyaOrig="200">
          <v:shape id="_x0000_i1221" type="#_x0000_t75" style="width:9.1pt;height:9.7pt" o:ole="">
            <v:imagedata r:id="rId745" o:title=""/>
          </v:shape>
          <o:OLEObject Type="Embed" ProgID="Equation.DSMT4" ShapeID="_x0000_i1221" DrawAspect="Content" ObjectID="_1438189033" r:id="rId746"/>
        </w:object>
      </w:r>
      <w:r w:rsidRPr="00F87319">
        <w:rPr>
          <w:sz w:val="20"/>
        </w:rPr>
        <w:t xml:space="preserve">increases.  Apart from this exception, however, </w:t>
      </w:r>
      <w:r w:rsidRPr="00F87319">
        <w:rPr>
          <w:position w:val="-10"/>
          <w:sz w:val="20"/>
        </w:rPr>
        <w:object w:dxaOrig="420" w:dyaOrig="340">
          <v:shape id="_x0000_i1222" type="#_x0000_t75" style="width:21.2pt;height:17.55pt" o:ole="">
            <v:imagedata r:id="rId707" o:title=""/>
          </v:shape>
          <o:OLEObject Type="Embed" ProgID="Equation.DSMT4" ShapeID="_x0000_i1222" DrawAspect="Content" ObjectID="_1438189034" r:id="rId747"/>
        </w:object>
      </w:r>
      <w:r w:rsidRPr="00F87319">
        <w:rPr>
          <w:sz w:val="20"/>
        </w:rPr>
        <w:t xml:space="preserve"> has shown itself to be a constant.</w:t>
      </w:r>
    </w:p>
    <w:p w:rsidR="006D41BD" w:rsidRPr="00F87319" w:rsidRDefault="006D41BD" w:rsidP="006D41BD">
      <w:pPr>
        <w:pStyle w:val="NormPara"/>
        <w:ind w:firstLine="0"/>
        <w:rPr>
          <w:sz w:val="20"/>
        </w:rPr>
      </w:pPr>
    </w:p>
    <w:p w:rsidR="006D41BD" w:rsidRPr="00F87319" w:rsidRDefault="006D41BD" w:rsidP="00252491">
      <w:pPr>
        <w:pStyle w:val="ListParagraph"/>
        <w:numPr>
          <w:ilvl w:val="0"/>
          <w:numId w:val="33"/>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Fine Structure Constant</w:t>
      </w:r>
    </w:p>
    <w:p w:rsidR="006D41BD" w:rsidRPr="00F87319" w:rsidRDefault="006D41BD" w:rsidP="006D41BD">
      <w:pPr>
        <w:pStyle w:val="NormPara"/>
        <w:ind w:firstLine="270"/>
        <w:rPr>
          <w:sz w:val="20"/>
        </w:rPr>
      </w:pPr>
    </w:p>
    <w:p w:rsidR="006D41BD" w:rsidRPr="00F87319" w:rsidRDefault="006D41BD" w:rsidP="00BD495E">
      <w:pPr>
        <w:pStyle w:val="NormPara"/>
        <w:ind w:firstLine="720"/>
        <w:rPr>
          <w:sz w:val="20"/>
        </w:rPr>
      </w:pPr>
      <w:r w:rsidRPr="00F87319">
        <w:rPr>
          <w:sz w:val="20"/>
        </w:rPr>
        <w:t xml:space="preserve">In 1916, A. Sommerfeld introduced something we now call the fine structure constant </w:t>
      </w:r>
      <w:r w:rsidRPr="00F87319">
        <w:rPr>
          <w:position w:val="-6"/>
          <w:sz w:val="20"/>
        </w:rPr>
        <w:object w:dxaOrig="200" w:dyaOrig="200">
          <v:shape id="_x0000_i1223" type="#_x0000_t75" style="width:9.7pt;height:9.7pt" o:ole="">
            <v:imagedata r:id="rId748" o:title=""/>
          </v:shape>
          <o:OLEObject Type="Embed" ProgID="Equation.DSMT4" ShapeID="_x0000_i1223" DrawAspect="Content" ObjectID="_1438189035" r:id="rId749"/>
        </w:object>
      </w:r>
      <w:r w:rsidRPr="00F87319">
        <w:rPr>
          <w:sz w:val="20"/>
        </w:rPr>
        <w:t xml:space="preserve"> in order to explain why the energy levels of the hydrogen atom appear to be split.  These energy levels are indicated by the dark lines in the color spectrum.  It would be expected that an energy level from a given orbit would be represented by one dark line.  But this is not what Sommerfeld found.  The dark line was split into several different lines.  This was referred to as the fine structure of the spectral lines.  In all of his equations, while working with this, Sommerfeld found he had to deal with the speed of the electron in its orbit </w:t>
      </w:r>
      <w:r w:rsidRPr="00F87319">
        <w:rPr>
          <w:position w:val="-6"/>
          <w:sz w:val="20"/>
        </w:rPr>
        <w:object w:dxaOrig="180" w:dyaOrig="200">
          <v:shape id="_x0000_i1224" type="#_x0000_t75" style="width:9.1pt;height:9.7pt" o:ole="">
            <v:imagedata r:id="rId750" o:title=""/>
          </v:shape>
          <o:OLEObject Type="Embed" ProgID="Equation.DSMT4" ShapeID="_x0000_i1224" DrawAspect="Content" ObjectID="_1438189036" r:id="rId751"/>
        </w:object>
      </w:r>
      <w:r w:rsidRPr="00F87319">
        <w:rPr>
          <w:sz w:val="20"/>
        </w:rPr>
        <w:t>in the first Bohr orbit, divided by the speed of light</w:t>
      </w:r>
      <w:r w:rsidRPr="00F87319">
        <w:rPr>
          <w:position w:val="-6"/>
          <w:sz w:val="20"/>
        </w:rPr>
        <w:object w:dxaOrig="160" w:dyaOrig="200">
          <v:shape id="_x0000_i1225" type="#_x0000_t75" style="width:8.45pt;height:9.7pt" o:ole="">
            <v:imagedata r:id="rId752" o:title=""/>
          </v:shape>
          <o:OLEObject Type="Embed" ProgID="Equation.DSMT4" ShapeID="_x0000_i1225" DrawAspect="Content" ObjectID="_1438189037" r:id="rId753"/>
        </w:object>
      </w:r>
      <w:r w:rsidRPr="00F87319">
        <w:rPr>
          <w:sz w:val="20"/>
        </w:rPr>
        <w:t xml:space="preserve">.  So the fine structure constant </w:t>
      </w:r>
      <w:r w:rsidRPr="00F87319">
        <w:rPr>
          <w:position w:val="-6"/>
          <w:sz w:val="20"/>
        </w:rPr>
        <w:object w:dxaOrig="200" w:dyaOrig="200">
          <v:shape id="_x0000_i1226" type="#_x0000_t75" style="width:9.7pt;height:9.7pt" o:ole="">
            <v:imagedata r:id="rId754" o:title=""/>
          </v:shape>
          <o:OLEObject Type="Embed" ProgID="Equation.DSMT4" ShapeID="_x0000_i1226" DrawAspect="Content" ObjectID="_1438189038" r:id="rId755"/>
        </w:object>
      </w:r>
      <w:r w:rsidRPr="00F87319">
        <w:rPr>
          <w:sz w:val="20"/>
        </w:rPr>
        <w:t xml:space="preserve"> </w:t>
      </w:r>
      <w:proofErr w:type="gramStart"/>
      <w:r w:rsidRPr="00F87319">
        <w:rPr>
          <w:sz w:val="20"/>
        </w:rPr>
        <w:t xml:space="preserve">equals </w:t>
      </w:r>
      <w:proofErr w:type="gramEnd"/>
      <w:r w:rsidRPr="00F87319">
        <w:rPr>
          <w:position w:val="-10"/>
          <w:sz w:val="20"/>
        </w:rPr>
        <w:object w:dxaOrig="320" w:dyaOrig="279">
          <v:shape id="_x0000_i1227" type="#_x0000_t75" style="width:15.75pt;height:14.5pt" o:ole="">
            <v:imagedata r:id="rId756" o:title=""/>
          </v:shape>
          <o:OLEObject Type="Embed" ProgID="Equation.DSMT4" ShapeID="_x0000_i1227" DrawAspect="Content" ObjectID="_1438189039" r:id="rId757"/>
        </w:object>
      </w:r>
      <w:r w:rsidRPr="00F87319">
        <w:rPr>
          <w:sz w:val="20"/>
        </w:rPr>
        <w:t>.  Since it has been shown that orbit velocities are proportional to the speed of light, this means that the fine structure constant is a true constant.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Today the fine structure constant is defined as being a “coupling constant”, which measures the strength of the electromagnetic force that governs how electrically charged particles interact.  Its mathematical definition, however, remains unchanged. When today’s astronomers look at the spectral lines in distant galaxies, they are able to see the fine structure and, as a consequence, measure its value.  In this more complicated way, the fine structure constant</w:t>
      </w:r>
      <w:r w:rsidRPr="00F87319">
        <w:rPr>
          <w:position w:val="-6"/>
          <w:sz w:val="20"/>
        </w:rPr>
        <w:object w:dxaOrig="200" w:dyaOrig="200">
          <v:shape id="_x0000_i1228" type="#_x0000_t75" style="width:9.7pt;height:9.7pt" o:ole="">
            <v:imagedata r:id="rId758" o:title=""/>
          </v:shape>
          <o:OLEObject Type="Embed" ProgID="Equation.DSMT4" ShapeID="_x0000_i1228" DrawAspect="Content" ObjectID="_1438189040" r:id="rId759"/>
        </w:object>
      </w:r>
      <w:r w:rsidRPr="00F87319">
        <w:rPr>
          <w:sz w:val="20"/>
        </w:rPr>
        <w:t>is defined as [54]</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520" w:dyaOrig="600">
          <v:shape id="_x0000_i1229" type="#_x0000_t75" style="width:75.65pt;height:30.25pt" o:ole="">
            <v:imagedata r:id="rId760" o:title=""/>
          </v:shape>
          <o:OLEObject Type="Embed" ProgID="Equation.DSMT4" ShapeID="_x0000_i1229" DrawAspect="Content" ObjectID="_1438189041" r:id="rId76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Since both the product </w:t>
      </w:r>
      <w:r w:rsidRPr="00F87319">
        <w:rPr>
          <w:position w:val="-6"/>
          <w:sz w:val="20"/>
        </w:rPr>
        <w:object w:dxaOrig="260" w:dyaOrig="240">
          <v:shape id="_x0000_i1230" type="#_x0000_t75" style="width:12.7pt;height:12.1pt" o:ole="">
            <v:imagedata r:id="rId762" o:title=""/>
          </v:shape>
          <o:OLEObject Type="Embed" ProgID="Equation.DSMT4" ShapeID="_x0000_i1230" DrawAspect="Content" ObjectID="_1438189042" r:id="rId763"/>
        </w:object>
      </w:r>
      <w:r w:rsidRPr="00F87319">
        <w:rPr>
          <w:sz w:val="20"/>
        </w:rPr>
        <w:t>and the ratio</w:t>
      </w:r>
      <w:r w:rsidRPr="00F87319">
        <w:rPr>
          <w:position w:val="-8"/>
          <w:sz w:val="20"/>
        </w:rPr>
        <w:object w:dxaOrig="520" w:dyaOrig="320">
          <v:shape id="_x0000_i1231" type="#_x0000_t75" style="width:26pt;height:15.75pt" o:ole="">
            <v:imagedata r:id="rId764" o:title=""/>
          </v:shape>
          <o:OLEObject Type="Embed" ProgID="Equation.DSMT4" ShapeID="_x0000_i1231" DrawAspect="Content" ObjectID="_1438189043" r:id="rId765"/>
        </w:object>
      </w:r>
      <w:r w:rsidRPr="00F87319">
        <w:rPr>
          <w:sz w:val="20"/>
        </w:rPr>
        <w:t>are cosmologically constant, it might be assumed that the fine structure constant</w:t>
      </w:r>
      <w:r w:rsidRPr="00F87319">
        <w:rPr>
          <w:position w:val="-6"/>
          <w:sz w:val="20"/>
        </w:rPr>
        <w:object w:dxaOrig="200" w:dyaOrig="200">
          <v:shape id="_x0000_i1232" type="#_x0000_t75" style="width:9.7pt;height:9.7pt" o:ole="">
            <v:imagedata r:id="rId766" o:title=""/>
          </v:shape>
          <o:OLEObject Type="Embed" ProgID="Equation.DSMT4" ShapeID="_x0000_i1232" DrawAspect="Content" ObjectID="_1438189044" r:id="rId767"/>
        </w:object>
      </w:r>
      <w:r w:rsidRPr="00F87319">
        <w:rPr>
          <w:sz w:val="20"/>
        </w:rPr>
        <w:t>might also be invariant under all conditions as well. However, this has recently been called into question by observations at the frontiers of the cosmos.  In 2001, this quantity was suspected of being smaller in the early universe as a result of measurements made by John Webb and his associates [55].  Attention was also drawn to this issue in 2002 by Davies and his colleagues [56].  Davies has suggested that varying light speed may the culprit.  However, on the basis of the constancy of the product</w:t>
      </w:r>
      <w:r w:rsidRPr="00F87319">
        <w:rPr>
          <w:position w:val="-6"/>
          <w:sz w:val="20"/>
        </w:rPr>
        <w:object w:dxaOrig="260" w:dyaOrig="240">
          <v:shape id="_x0000_i1233" type="#_x0000_t75" style="width:12.7pt;height:12.1pt" o:ole="">
            <v:imagedata r:id="rId768" o:title=""/>
          </v:shape>
          <o:OLEObject Type="Embed" ProgID="Equation.DSMT4" ShapeID="_x0000_i1233" DrawAspect="Content" ObjectID="_1438189045" r:id="rId769"/>
        </w:object>
      </w:r>
      <w:r w:rsidRPr="00F87319">
        <w:rPr>
          <w:sz w:val="20"/>
        </w:rPr>
        <w:t>, this may be considered doubtful. In fact, in 2003, Carlip and Vaidya also disputed that interpretation, but on different grounds.  They went on to suggest that a change in the electronic charge</w:t>
      </w:r>
      <w:r w:rsidRPr="00F87319">
        <w:rPr>
          <w:position w:val="-6"/>
          <w:sz w:val="20"/>
        </w:rPr>
        <w:object w:dxaOrig="160" w:dyaOrig="200">
          <v:shape id="_x0000_i1234" type="#_x0000_t75" style="width:8.45pt;height:9.7pt" o:ole="">
            <v:imagedata r:id="rId770" o:title=""/>
          </v:shape>
          <o:OLEObject Type="Embed" ProgID="Equation.DSMT4" ShapeID="_x0000_i1234" DrawAspect="Content" ObjectID="_1438189046" r:id="rId771"/>
        </w:object>
      </w:r>
      <w:r w:rsidRPr="00F87319">
        <w:rPr>
          <w:sz w:val="20"/>
        </w:rPr>
        <w:t xml:space="preserve">would bring about the observed variation in the measured value of </w:t>
      </w:r>
      <w:r w:rsidRPr="00F87319">
        <w:rPr>
          <w:position w:val="-6"/>
          <w:sz w:val="20"/>
        </w:rPr>
        <w:object w:dxaOrig="200" w:dyaOrig="200">
          <v:shape id="_x0000_i1235" type="#_x0000_t75" style="width:9.7pt;height:9.7pt" o:ole="">
            <v:imagedata r:id="rId772" o:title=""/>
          </v:shape>
          <o:OLEObject Type="Embed" ProgID="Equation.DSMT4" ShapeID="_x0000_i1235" DrawAspect="Content" ObjectID="_1438189047" r:id="rId773"/>
        </w:object>
      </w:r>
      <w:r w:rsidRPr="00F87319">
        <w:rPr>
          <w:sz w:val="20"/>
        </w:rPr>
        <w:t xml:space="preserve"> [57]. The SED approach adopted here tends to discount that option also.  Nevertheless, in order to see the full range of options available on this matter, we need to examine again the behavior of the Zero Point Energy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change in the ZPE strength is due to secondary radiation emitted by charged particles which are being jiggled.  Therefore, the primary equation is (46) which we might re-write as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0"/>
          <w:sz w:val="20"/>
        </w:rPr>
        <w:object w:dxaOrig="740" w:dyaOrig="499">
          <v:shape id="_x0000_i1236" type="#_x0000_t75" style="width:36.9pt;height:24.8pt" o:ole="">
            <v:imagedata r:id="rId774" o:title=""/>
          </v:shape>
          <o:OLEObject Type="Embed" ProgID="Equation.DSMT4" ShapeID="_x0000_i1236" DrawAspect="Content" ObjectID="_1438189048" r:id="rId77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 value of</w:t>
      </w:r>
      <w:r w:rsidRPr="00F87319">
        <w:rPr>
          <w:position w:val="-10"/>
          <w:sz w:val="20"/>
        </w:rPr>
        <w:object w:dxaOrig="279" w:dyaOrig="279">
          <v:shape id="_x0000_i1237" type="#_x0000_t75" style="width:14.5pt;height:14.5pt" o:ole="">
            <v:imagedata r:id="rId776" o:title=""/>
          </v:shape>
          <o:OLEObject Type="Embed" ProgID="Equation.DSMT4" ShapeID="_x0000_i1237" DrawAspect="Content" ObjectID="_1438189049" r:id="rId777"/>
        </w:object>
      </w:r>
      <w:r w:rsidRPr="00F87319">
        <w:rPr>
          <w:sz w:val="20"/>
        </w:rPr>
        <w:t xml:space="preserve">in this equation represents the strength of the ZPE in the cosmos, un-boosted by secondary radiation.  </w:t>
      </w:r>
      <w:r w:rsidRPr="00F87319">
        <w:rPr>
          <w:position w:val="-6"/>
          <w:sz w:val="20"/>
        </w:rPr>
        <w:object w:dxaOrig="220" w:dyaOrig="240">
          <v:shape id="_x0000_i1238" type="#_x0000_t75" style="width:10.3pt;height:12.1pt" o:ole="">
            <v:imagedata r:id="rId778" o:title=""/>
          </v:shape>
          <o:OLEObject Type="Embed" ProgID="Equation.DSMT4" ShapeID="_x0000_i1238" DrawAspect="Content" ObjectID="_1438189050" r:id="rId779"/>
        </w:object>
      </w:r>
      <w:r w:rsidRPr="00F87319">
        <w:rPr>
          <w:sz w:val="20"/>
        </w:rPr>
        <w:t xml:space="preserve"> </w:t>
      </w:r>
      <w:proofErr w:type="gramStart"/>
      <w:r w:rsidRPr="00F87319">
        <w:rPr>
          <w:sz w:val="20"/>
        </w:rPr>
        <w:t>is</w:t>
      </w:r>
      <w:proofErr w:type="gramEnd"/>
      <w:r w:rsidRPr="00F87319">
        <w:rPr>
          <w:sz w:val="20"/>
        </w:rPr>
        <w:t xml:space="preserve"> the strength of the ZPE in a gravitational field.  Over time, the value of</w:t>
      </w:r>
      <w:r w:rsidRPr="00F87319">
        <w:rPr>
          <w:position w:val="-10"/>
          <w:sz w:val="20"/>
        </w:rPr>
        <w:object w:dxaOrig="279" w:dyaOrig="279">
          <v:shape id="_x0000_i1239" type="#_x0000_t75" style="width:14.5pt;height:14.5pt" o:ole="">
            <v:imagedata r:id="rId780" o:title=""/>
          </v:shape>
          <o:OLEObject Type="Embed" ProgID="Equation.DSMT4" ShapeID="_x0000_i1239" DrawAspect="Content" ObjectID="_1438189051" r:id="rId781"/>
        </w:object>
      </w:r>
      <w:r w:rsidRPr="00F87319">
        <w:rPr>
          <w:sz w:val="20"/>
        </w:rPr>
        <w:t>increased as the (un-boosted) strength of the ZPE increased.  Therefore, in the early days of the cosmos, any given quantity of secondary radiation that controlled the value of</w:t>
      </w:r>
      <w:r w:rsidRPr="00F87319">
        <w:rPr>
          <w:position w:val="-6"/>
          <w:sz w:val="20"/>
        </w:rPr>
        <w:object w:dxaOrig="220" w:dyaOrig="240">
          <v:shape id="_x0000_i1240" type="#_x0000_t75" style="width:10.3pt;height:12.1pt" o:ole="">
            <v:imagedata r:id="rId782" o:title=""/>
          </v:shape>
          <o:OLEObject Type="Embed" ProgID="Equation.DSMT4" ShapeID="_x0000_i1240" DrawAspect="Content" ObjectID="_1438189052" r:id="rId783"/>
        </w:object>
      </w:r>
      <w:r w:rsidRPr="00F87319">
        <w:rPr>
          <w:sz w:val="20"/>
        </w:rPr>
        <w:t xml:space="preserve"> would have had a relatively greater effect on the value of </w:t>
      </w:r>
      <w:r w:rsidRPr="00F87319">
        <w:rPr>
          <w:position w:val="-4"/>
          <w:sz w:val="20"/>
        </w:rPr>
        <w:object w:dxaOrig="220" w:dyaOrig="220">
          <v:shape id="_x0000_i1241" type="#_x0000_t75" style="width:10.3pt;height:10.3pt" o:ole="">
            <v:imagedata r:id="rId784" o:title=""/>
          </v:shape>
          <o:OLEObject Type="Embed" ProgID="Equation.DSMT4" ShapeID="_x0000_i1241" DrawAspect="Content" ObjectID="_1438189053" r:id="rId785"/>
        </w:object>
      </w:r>
      <w:r w:rsidRPr="00F87319">
        <w:rPr>
          <w:sz w:val="20"/>
        </w:rPr>
        <w:t xml:space="preserve"> in Eqs. (46) and (63) than now.  At this present time, the value of</w:t>
      </w:r>
      <w:r w:rsidRPr="00F87319">
        <w:rPr>
          <w:position w:val="-4"/>
          <w:sz w:val="20"/>
        </w:rPr>
        <w:object w:dxaOrig="220" w:dyaOrig="220">
          <v:shape id="_x0000_i1242" type="#_x0000_t75" style="width:10.3pt;height:10.3pt" o:ole="">
            <v:imagedata r:id="rId786" o:title=""/>
          </v:shape>
          <o:OLEObject Type="Embed" ProgID="Equation.DSMT4" ShapeID="_x0000_i1242" DrawAspect="Content" ObjectID="_1438189054" r:id="rId787"/>
        </w:object>
      </w:r>
      <w:r w:rsidRPr="00F87319">
        <w:rPr>
          <w:sz w:val="20"/>
        </w:rPr>
        <w:t xml:space="preserve">is close to one.  However, in the early days of the cosmos, in a gravitational field approximately the same as one now, </w:t>
      </w:r>
      <w:r w:rsidRPr="00F87319">
        <w:rPr>
          <w:position w:val="-4"/>
          <w:sz w:val="20"/>
        </w:rPr>
        <w:object w:dxaOrig="220" w:dyaOrig="220">
          <v:shape id="_x0000_i1243" type="#_x0000_t75" style="width:10.3pt;height:10.3pt" o:ole="">
            <v:imagedata r:id="rId788" o:title=""/>
          </v:shape>
          <o:OLEObject Type="Embed" ProgID="Equation.DSMT4" ShapeID="_x0000_i1243" DrawAspect="Content" ObjectID="_1438189055" r:id="rId789"/>
        </w:object>
      </w:r>
      <w:r w:rsidRPr="00F87319">
        <w:rPr>
          <w:sz w:val="20"/>
        </w:rPr>
        <w:t xml:space="preserve"> could have been significantly less.  So it is to the early cosmos that we must look to find the evidence any change in the fine structure constant.  In particular, the presence of the</w:t>
      </w:r>
      <w:r w:rsidRPr="00F87319">
        <w:rPr>
          <w:position w:val="-4"/>
          <w:sz w:val="20"/>
        </w:rPr>
        <w:object w:dxaOrig="300" w:dyaOrig="279">
          <v:shape id="_x0000_i1244" type="#_x0000_t75" style="width:15.15pt;height:14.5pt" o:ole="">
            <v:imagedata r:id="rId790" o:title=""/>
          </v:shape>
          <o:OLEObject Type="Embed" ProgID="Equation.DSMT4" ShapeID="_x0000_i1244" DrawAspect="Content" ObjectID="_1438189056" r:id="rId791"/>
        </w:object>
      </w:r>
      <w:r w:rsidRPr="00F87319">
        <w:rPr>
          <w:sz w:val="20"/>
        </w:rPr>
        <w:t>term in gravitational fields would cause a decrease in the value of the fine structure constant at large cosmic distances.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both</w:t>
      </w:r>
      <w:r w:rsidRPr="00F87319">
        <w:rPr>
          <w:position w:val="-6"/>
          <w:sz w:val="20"/>
        </w:rPr>
        <w:object w:dxaOrig="260" w:dyaOrig="240">
          <v:shape id="_x0000_i1245" type="#_x0000_t75" style="width:12.7pt;height:12.1pt" o:ole="">
            <v:imagedata r:id="rId792" o:title=""/>
          </v:shape>
          <o:OLEObject Type="Embed" ProgID="Equation.DSMT4" ShapeID="_x0000_i1245" DrawAspect="Content" ObjectID="_1438189057" r:id="rId793"/>
        </w:object>
      </w:r>
      <w:r w:rsidRPr="00F87319">
        <w:rPr>
          <w:sz w:val="20"/>
        </w:rPr>
        <w:t>and</w:t>
      </w:r>
      <w:r w:rsidRPr="00F87319">
        <w:rPr>
          <w:position w:val="-10"/>
          <w:sz w:val="20"/>
        </w:rPr>
        <w:object w:dxaOrig="380" w:dyaOrig="279">
          <v:shape id="_x0000_i1246" type="#_x0000_t75" style="width:18.75pt;height:14.5pt" o:ole="">
            <v:imagedata r:id="rId794" o:title=""/>
          </v:shape>
          <o:OLEObject Type="Embed" ProgID="Equation.DSMT4" ShapeID="_x0000_i1246" DrawAspect="Content" ObjectID="_1438189058" r:id="rId795"/>
        </w:object>
      </w:r>
      <w:r w:rsidRPr="00F87319">
        <w:rPr>
          <w:sz w:val="20"/>
        </w:rPr>
        <w:t>are invariant in (62), the only possibility for variation in</w:t>
      </w:r>
      <w:r w:rsidRPr="00F87319">
        <w:rPr>
          <w:position w:val="-6"/>
          <w:sz w:val="20"/>
        </w:rPr>
        <w:object w:dxaOrig="200" w:dyaOrig="200">
          <v:shape id="_x0000_i1247" type="#_x0000_t75" style="width:9.7pt;height:9.7pt" o:ole="">
            <v:imagedata r:id="rId796" o:title=""/>
          </v:shape>
          <o:OLEObject Type="Embed" ProgID="Equation.DSMT4" ShapeID="_x0000_i1247" DrawAspect="Content" ObjectID="_1438189059" r:id="rId797"/>
        </w:object>
      </w:r>
      <w:r w:rsidRPr="00F87319">
        <w:rPr>
          <w:sz w:val="20"/>
        </w:rPr>
        <w:t>comes from the behavior of the ratio</w:t>
      </w:r>
      <w:r w:rsidRPr="00F87319">
        <w:rPr>
          <w:position w:val="-10"/>
          <w:sz w:val="20"/>
        </w:rPr>
        <w:object w:dxaOrig="420" w:dyaOrig="340">
          <v:shape id="_x0000_i1248" type="#_x0000_t75" style="width:21.2pt;height:17.55pt" o:ole="">
            <v:imagedata r:id="rId798" o:title=""/>
          </v:shape>
          <o:OLEObject Type="Embed" ProgID="Equation.DSMT4" ShapeID="_x0000_i1248" DrawAspect="Content" ObjectID="_1438189060" r:id="rId799"/>
        </w:object>
      </w:r>
      <w:r w:rsidRPr="00F87319">
        <w:rPr>
          <w:sz w:val="20"/>
        </w:rPr>
        <w:t>. As noted above, this ratio seems to be constant cosmologically, but the prediction here is that it should vary in strong gravitational fields, so that from (61) we can write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6"/>
          <w:sz w:val="20"/>
        </w:rPr>
        <w:object w:dxaOrig="2380" w:dyaOrig="620">
          <v:shape id="_x0000_i1249" type="#_x0000_t75" style="width:119.2pt;height:30.85pt" o:ole="">
            <v:imagedata r:id="rId800" o:title=""/>
          </v:shape>
          <o:OLEObject Type="Embed" ProgID="Equation.DSMT4" ShapeID="_x0000_i1249" DrawAspect="Content" ObjectID="_1438189061" r:id="rId801"/>
        </w:object>
      </w:r>
      <w:r w:rsidRPr="00F87319">
        <w:rPr>
          <w:i/>
          <w:sz w:val="20"/>
        </w:rPr>
        <w:t>.</w:t>
      </w:r>
      <w:r w:rsidRPr="00F87319">
        <w:rPr>
          <w:i/>
          <w:sz w:val="20"/>
        </w:rPr>
        <w:tab/>
      </w:r>
      <w:r w:rsidRPr="00F87319">
        <w:rPr>
          <w:i/>
          <w:sz w:val="20"/>
        </w:rPr>
        <w:tab/>
      </w:r>
      <w:r w:rsidRPr="00F87319">
        <w:rPr>
          <w:i/>
          <w:sz w:val="20"/>
        </w:rPr>
        <w:tab/>
      </w:r>
      <w:r w:rsidRPr="00F87319">
        <w:rPr>
          <w:i/>
          <w:sz w:val="20"/>
        </w:rPr>
        <w:tab/>
      </w:r>
      <w:r w:rsidRPr="00F87319">
        <w:rPr>
          <w:sz w:val="20"/>
        </w:rPr>
        <w:tab/>
      </w:r>
      <w:r w:rsidRPr="002F259B">
        <w:rPr>
          <w:sz w:val="20"/>
        </w:rPr>
        <w:t>(64)</w:t>
      </w:r>
    </w:p>
    <w:p w:rsidR="006D41BD" w:rsidRPr="00F87319" w:rsidRDefault="006D41BD" w:rsidP="006D41BD">
      <w:pPr>
        <w:pStyle w:val="NormPara"/>
        <w:ind w:firstLine="0"/>
        <w:rPr>
          <w:sz w:val="20"/>
        </w:rPr>
      </w:pPr>
    </w:p>
    <w:p w:rsidR="00744408" w:rsidRDefault="006D41BD" w:rsidP="006D41BD">
      <w:pPr>
        <w:pStyle w:val="NormPara"/>
        <w:ind w:firstLine="0"/>
        <w:rPr>
          <w:sz w:val="20"/>
        </w:rPr>
      </w:pPr>
      <w:r w:rsidRPr="00F87319">
        <w:rPr>
          <w:sz w:val="20"/>
        </w:rPr>
        <w:t xml:space="preserve">Therefore, at great cosmic distances, where the ambient ZPE is lower, the value of the fine structure constant is expected to be marginally less than today.  This is in agreement with all the early work that Webb et al. did with the Keck telescope in Hawaii.  It might therefore be concluded that the observational evidence supports the SED approach. </w:t>
      </w:r>
    </w:p>
    <w:p w:rsidR="00744408" w:rsidRDefault="00744408" w:rsidP="006D41BD">
      <w:pPr>
        <w:pStyle w:val="NormPara"/>
        <w:ind w:firstLine="0"/>
        <w:rPr>
          <w:sz w:val="20"/>
        </w:rPr>
      </w:pPr>
    </w:p>
    <w:p w:rsidR="006D41BD" w:rsidRPr="00F87319" w:rsidRDefault="006D41BD" w:rsidP="00744408">
      <w:pPr>
        <w:pStyle w:val="NormPara"/>
        <w:ind w:firstLine="720"/>
        <w:rPr>
          <w:sz w:val="20"/>
        </w:rPr>
      </w:pPr>
      <w:r w:rsidRPr="00F87319">
        <w:rPr>
          <w:sz w:val="20"/>
        </w:rPr>
        <w:t xml:space="preserve"> However, </w:t>
      </w:r>
      <w:r w:rsidR="00744408">
        <w:rPr>
          <w:sz w:val="20"/>
        </w:rPr>
        <w:t>their early work</w:t>
      </w:r>
      <w:r w:rsidRPr="00F87319">
        <w:rPr>
          <w:sz w:val="20"/>
        </w:rPr>
        <w:t xml:space="preserve"> disagrees with their latest results from the Very Large Telescope in Chile [58].  As a result, questions have been raised about possible flaws in either the VLT or the Keck [58].  The alternative suggestion was that the fine structure constant varies in a north-south manner in space, but not in time.  Obviously, further work is needed.  Nevertheless, if later observations converge to agree with (64), this would favor a ZPE model over General Relativity.</w:t>
      </w:r>
    </w:p>
    <w:p w:rsidR="006D41BD" w:rsidRPr="00F87319" w:rsidRDefault="006D41BD" w:rsidP="006D41BD">
      <w:pPr>
        <w:pStyle w:val="NormPara"/>
        <w:ind w:firstLine="0"/>
        <w:rPr>
          <w:sz w:val="20"/>
        </w:rPr>
      </w:pPr>
    </w:p>
    <w:p w:rsidR="00A64EAA" w:rsidRDefault="006D41BD" w:rsidP="006D41BD">
      <w:pPr>
        <w:pStyle w:val="NormPara"/>
        <w:ind w:firstLine="720"/>
        <w:rPr>
          <w:sz w:val="20"/>
        </w:rPr>
      </w:pPr>
      <w:r w:rsidRPr="00F87319">
        <w:rPr>
          <w:sz w:val="20"/>
        </w:rPr>
        <w:t xml:space="preserve">We have therefore shown that three of the main predictions of Relativity are easily reproduced by the SED approach using simple mathematics and intuitive concepts.  The fourth prediction of Relativity concerns the advance of the perihelion </w:t>
      </w:r>
      <w:r w:rsidR="00BD495E" w:rsidRPr="00F87319">
        <w:rPr>
          <w:sz w:val="20"/>
        </w:rPr>
        <w:t>of</w:t>
      </w:r>
      <w:r w:rsidR="00744408">
        <w:rPr>
          <w:sz w:val="20"/>
        </w:rPr>
        <w:t xml:space="preserve"> the orbit of </w:t>
      </w:r>
      <w:r w:rsidRPr="00F87319">
        <w:rPr>
          <w:sz w:val="20"/>
        </w:rPr>
        <w:t>Mercury.</w:t>
      </w:r>
    </w:p>
    <w:p w:rsidR="00744408" w:rsidRPr="00F87319" w:rsidRDefault="00744408" w:rsidP="006D41BD">
      <w:pPr>
        <w:pStyle w:val="NormPara"/>
        <w:ind w:firstLine="720"/>
        <w:rPr>
          <w:sz w:val="20"/>
        </w:rPr>
      </w:pPr>
    </w:p>
    <w:p w:rsidR="006D41BD" w:rsidRDefault="00D818DD" w:rsidP="006D41BD">
      <w:pPr>
        <w:spacing w:before="120" w:after="120" w:line="240" w:lineRule="atLeast"/>
        <w:jc w:val="both"/>
        <w:outlineLvl w:val="0"/>
        <w:rPr>
          <w:rFonts w:ascii="Book Antiqua" w:hAnsi="Book Antiqua"/>
          <w:b/>
        </w:rPr>
      </w:pPr>
      <w:r>
        <w:rPr>
          <w:rFonts w:ascii="Book Antiqua" w:hAnsi="Book Antiqua"/>
          <w:b/>
        </w:rPr>
        <w:t>7</w:t>
      </w:r>
      <w:r w:rsidR="006D41BD" w:rsidRPr="00F87319">
        <w:rPr>
          <w:rFonts w:ascii="Book Antiqua" w:hAnsi="Book Antiqua"/>
          <w:b/>
        </w:rPr>
        <w:t>. The Perihelion Advance of Mercury</w:t>
      </w:r>
    </w:p>
    <w:p w:rsidR="004C0B55" w:rsidRPr="00F87319" w:rsidRDefault="004C0B55" w:rsidP="006D41BD">
      <w:pPr>
        <w:spacing w:before="120" w:after="120" w:line="240" w:lineRule="atLeast"/>
        <w:jc w:val="both"/>
        <w:outlineLvl w:val="0"/>
        <w:rPr>
          <w:rFonts w:ascii="Book Antiqua" w:hAnsi="Book Antiqua"/>
          <w:b/>
        </w:rPr>
      </w:pPr>
    </w:p>
    <w:p w:rsidR="006D41BD" w:rsidRPr="00F87319" w:rsidRDefault="007535B6" w:rsidP="006D41BD">
      <w:pPr>
        <w:pStyle w:val="Heading2"/>
        <w:spacing w:before="80" w:after="80" w:line="240" w:lineRule="atLeast"/>
        <w:rPr>
          <w:rFonts w:ascii="Book Antiqua" w:hAnsi="Book Antiqua" w:cs="Times New Roman"/>
          <w:b w:val="0"/>
          <w:sz w:val="20"/>
          <w:szCs w:val="20"/>
        </w:rPr>
      </w:pPr>
      <w:proofErr w:type="gramStart"/>
      <w:r>
        <w:rPr>
          <w:rFonts w:ascii="Book Antiqua" w:hAnsi="Book Antiqua" w:cs="Times New Roman"/>
          <w:b w:val="0"/>
          <w:sz w:val="20"/>
          <w:szCs w:val="20"/>
        </w:rPr>
        <w:t>7</w:t>
      </w:r>
      <w:r w:rsidR="006D41BD" w:rsidRPr="00F87319">
        <w:rPr>
          <w:rFonts w:ascii="Book Antiqua" w:hAnsi="Book Antiqua" w:cs="Times New Roman"/>
          <w:b w:val="0"/>
          <w:sz w:val="20"/>
          <w:szCs w:val="20"/>
        </w:rPr>
        <w:t>.1</w:t>
      </w:r>
      <w:r>
        <w:rPr>
          <w:rFonts w:ascii="Book Antiqua" w:hAnsi="Book Antiqua" w:cs="Times New Roman"/>
          <w:b w:val="0"/>
          <w:sz w:val="20"/>
          <w:szCs w:val="20"/>
        </w:rPr>
        <w:t xml:space="preserve"> </w:t>
      </w:r>
      <w:r w:rsidR="006D41BD" w:rsidRPr="00F87319">
        <w:rPr>
          <w:rFonts w:ascii="Book Antiqua" w:hAnsi="Book Antiqua" w:cs="Times New Roman"/>
          <w:b w:val="0"/>
          <w:sz w:val="20"/>
          <w:szCs w:val="20"/>
        </w:rPr>
        <w:t xml:space="preserve"> The</w:t>
      </w:r>
      <w:proofErr w:type="gramEnd"/>
      <w:r w:rsidR="006D41BD" w:rsidRPr="00F87319">
        <w:rPr>
          <w:rFonts w:ascii="Book Antiqua" w:hAnsi="Book Antiqua" w:cs="Times New Roman"/>
          <w:b w:val="0"/>
          <w:sz w:val="20"/>
          <w:szCs w:val="20"/>
        </w:rPr>
        <w:t xml:space="preserve"> Basic Formula for Perihelion Motion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The planet Mercury traces an elliptical path around the Sun.  The closest point of that ellipse to the Sun is called the perihelion.  However, Mercury does not trace exactly the same path each time.  Rather, the path swings around over time.  When the path is plotted out, it can be seen that the perihelion position rotates around the Sun, so Mercury’s orbit looks somewhat like </w:t>
      </w:r>
      <w:r w:rsidR="004C0B55">
        <w:rPr>
          <w:sz w:val="20"/>
        </w:rPr>
        <w:t xml:space="preserve">that depicted in </w:t>
      </w:r>
      <w:r w:rsidRPr="00F87319">
        <w:rPr>
          <w:sz w:val="20"/>
        </w:rPr>
        <w:t xml:space="preserve">Figure 5. </w:t>
      </w:r>
    </w:p>
    <w:p w:rsidR="006D41BD" w:rsidRPr="00F87319" w:rsidRDefault="000F3F37" w:rsidP="006D41BD">
      <w:pPr>
        <w:pStyle w:val="NormPara"/>
        <w:spacing w:before="120"/>
        <w:ind w:firstLine="0"/>
        <w:jc w:val="center"/>
        <w:rPr>
          <w:sz w:val="20"/>
        </w:rPr>
      </w:pPr>
      <w:r>
        <w:rPr>
          <w:noProof/>
        </w:rPr>
        <w:lastRenderedPageBreak/>
        <w:drawing>
          <wp:inline distT="0" distB="0" distL="0" distR="0">
            <wp:extent cx="2481351" cy="2289842"/>
            <wp:effectExtent l="19050" t="0" r="0" b="0"/>
            <wp:docPr id="343" name="Picture 343" descr="[Image: Rotation of&#10;        or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 Rotation of&#10;        orbits]"/>
                    <pic:cNvPicPr>
                      <a:picLocks noChangeAspect="1" noChangeArrowheads="1"/>
                    </pic:cNvPicPr>
                  </pic:nvPicPr>
                  <pic:blipFill>
                    <a:blip r:embed="rId802" cstate="print"/>
                    <a:srcRect/>
                    <a:stretch>
                      <a:fillRect/>
                    </a:stretch>
                  </pic:blipFill>
                  <pic:spPr bwMode="auto">
                    <a:xfrm>
                      <a:off x="0" y="0"/>
                      <a:ext cx="2481017" cy="2289533"/>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jc w:val="center"/>
        <w:rPr>
          <w:b/>
          <w:sz w:val="20"/>
        </w:rPr>
      </w:pPr>
    </w:p>
    <w:p w:rsidR="006D41BD" w:rsidRPr="00CF2274" w:rsidRDefault="006D41BD" w:rsidP="00E25399">
      <w:pPr>
        <w:pStyle w:val="NormPara"/>
        <w:spacing w:before="80" w:after="80"/>
        <w:ind w:left="274" w:right="274" w:firstLine="0"/>
        <w:jc w:val="center"/>
        <w:rPr>
          <w:i/>
          <w:szCs w:val="18"/>
        </w:rPr>
      </w:pPr>
      <w:r w:rsidRPr="00E25399">
        <w:rPr>
          <w:b/>
          <w:i/>
          <w:szCs w:val="18"/>
        </w:rPr>
        <w:t>Fig</w:t>
      </w:r>
      <w:r w:rsidR="00CF2274" w:rsidRPr="00E25399">
        <w:rPr>
          <w:b/>
          <w:i/>
          <w:szCs w:val="18"/>
        </w:rPr>
        <w:t>ure</w:t>
      </w:r>
      <w:r w:rsidRPr="00E25399">
        <w:rPr>
          <w:b/>
          <w:i/>
          <w:szCs w:val="18"/>
        </w:rPr>
        <w:t xml:space="preserve"> 5</w:t>
      </w:r>
      <w:r w:rsidR="00CF2274" w:rsidRPr="00E25399">
        <w:rPr>
          <w:b/>
          <w:i/>
          <w:szCs w:val="18"/>
        </w:rPr>
        <w:t>:</w:t>
      </w:r>
      <w:r w:rsidRPr="00CF2274">
        <w:rPr>
          <w:i/>
          <w:szCs w:val="18"/>
        </w:rPr>
        <w:t xml:space="preserve">  The perihelion advance of the planet Mercury.</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For all orbits that are essentially elliptical, the basic formula for the motion of the orbit perihelion is always the same since it is governed by the properties of motion of an astronomical body in an ellipse.  In 1999, the late Tom Van Flandern, an astronomer with the US Naval Observatory in Washington, noted that</w:t>
      </w:r>
    </w:p>
    <w:p w:rsidR="006D41BD" w:rsidRPr="00F87319" w:rsidRDefault="006D41BD" w:rsidP="006D41BD">
      <w:pPr>
        <w:pStyle w:val="NormPara"/>
        <w:spacing w:before="80" w:after="80"/>
        <w:ind w:firstLine="274"/>
        <w:rPr>
          <w:i/>
          <w:sz w:val="20"/>
        </w:rPr>
      </w:pPr>
      <w:r w:rsidRPr="00F87319">
        <w:rPr>
          <w:i/>
          <w:sz w:val="20"/>
        </w:rPr>
        <w:t>Perturbations that are themselves modulated by the size and shape of the elliptical orbit and by the speed of a body travelling along that ellipse generally change the perihelion motion by simple integer multiples of the basic form….  The nature of this basic form is such that parameter-free perturbations are mostly constrained to produce perihelion motions that are integer (or at worst, half-integer) multiples of it….  This basic form is:</w:t>
      </w:r>
    </w:p>
    <w:p w:rsidR="006D41BD" w:rsidRPr="00F87319" w:rsidRDefault="006D41BD" w:rsidP="006D41BD">
      <w:pPr>
        <w:pStyle w:val="equation"/>
        <w:spacing w:before="80" w:after="80"/>
        <w:jc w:val="right"/>
        <w:rPr>
          <w:i/>
          <w:sz w:val="20"/>
        </w:rPr>
      </w:pPr>
      <w:r w:rsidRPr="00F87319">
        <w:rPr>
          <w:sz w:val="20"/>
        </w:rPr>
        <w:tab/>
      </w:r>
      <w:r w:rsidRPr="00F87319">
        <w:rPr>
          <w:position w:val="-36"/>
          <w:sz w:val="20"/>
        </w:rPr>
        <w:object w:dxaOrig="1280" w:dyaOrig="660">
          <v:shape id="_x0000_i1250" type="#_x0000_t75" style="width:63.55pt;height:33.3pt" o:ole="">
            <v:imagedata r:id="rId803" o:title=""/>
          </v:shape>
          <o:OLEObject Type="Embed" ProgID="Equation.DSMT4" ShapeID="_x0000_i1250" DrawAspect="Content" ObjectID="_1438189062" r:id="rId80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(65)</w:t>
      </w:r>
    </w:p>
    <w:p w:rsidR="006D41BD" w:rsidRPr="00F87319" w:rsidRDefault="006D41BD" w:rsidP="006D41BD">
      <w:pPr>
        <w:pStyle w:val="NormPara"/>
        <w:spacing w:before="80"/>
        <w:ind w:firstLine="0"/>
        <w:rPr>
          <w:i/>
          <w:sz w:val="20"/>
        </w:rPr>
      </w:pPr>
      <w:r w:rsidRPr="00F87319">
        <w:rPr>
          <w:i/>
          <w:sz w:val="20"/>
        </w:rPr>
        <w:t xml:space="preserve">where </w:t>
      </w:r>
      <w:r w:rsidRPr="00F87319">
        <w:rPr>
          <w:i/>
          <w:position w:val="-10"/>
          <w:sz w:val="20"/>
        </w:rPr>
        <w:object w:dxaOrig="760" w:dyaOrig="279">
          <v:shape id="_x0000_i1251" type="#_x0000_t75" style="width:38.1pt;height:14.5pt" o:ole="">
            <v:imagedata r:id="rId805" o:title=""/>
          </v:shape>
          <o:OLEObject Type="Embed" ProgID="Equation.DSMT4" ShapeID="_x0000_i1251" DrawAspect="Content" ObjectID="_1438189063" r:id="rId806"/>
        </w:object>
      </w:r>
      <w:r w:rsidRPr="00F87319">
        <w:rPr>
          <w:i/>
          <w:sz w:val="20"/>
        </w:rPr>
        <w:t xml:space="preserve"> is the orbital mean motion of the planet, P is its orbital period,</w:t>
      </w:r>
      <w:r w:rsidRPr="00F87319">
        <w:rPr>
          <w:i/>
          <w:position w:val="-8"/>
          <w:sz w:val="20"/>
        </w:rPr>
        <w:object w:dxaOrig="200" w:dyaOrig="220">
          <v:shape id="_x0000_i1252" type="#_x0000_t75" style="width:9.7pt;height:10.3pt" o:ole="">
            <v:imagedata r:id="rId807" o:title=""/>
          </v:shape>
          <o:OLEObject Type="Embed" ProgID="Equation.DSMT4" ShapeID="_x0000_i1252" DrawAspect="Content" ObjectID="_1438189064" r:id="rId808"/>
        </w:object>
      </w:r>
      <w:r w:rsidRPr="00F87319">
        <w:rPr>
          <w:i/>
          <w:sz w:val="20"/>
        </w:rPr>
        <w:t>is the product of the gravitational constant and the mass of the Sun [GM], a is the semi-major axis (mean distance) of the orbit, e is orbital eccentricity, and c is the speed of light.  The observed perihelion advance for Mercury is three multiples of the basic form, 3N, to within the error of observations.</w:t>
      </w:r>
    </w:p>
    <w:p w:rsidR="006D41BD" w:rsidRPr="00F87319" w:rsidRDefault="006D41BD" w:rsidP="006D41BD">
      <w:pPr>
        <w:pStyle w:val="NormPara"/>
        <w:spacing w:before="80"/>
        <w:ind w:firstLine="0"/>
        <w:rPr>
          <w:i/>
          <w:sz w:val="20"/>
        </w:rPr>
      </w:pPr>
    </w:p>
    <w:p w:rsidR="006D41BD" w:rsidRPr="00F87319" w:rsidRDefault="006D41BD" w:rsidP="006D41BD">
      <w:pPr>
        <w:pStyle w:val="NormPara"/>
        <w:spacing w:after="80"/>
        <w:ind w:firstLine="360"/>
        <w:rPr>
          <w:color w:val="FF0000"/>
          <w:sz w:val="20"/>
        </w:rPr>
      </w:pPr>
      <w:r w:rsidRPr="00F87319">
        <w:rPr>
          <w:i/>
          <w:sz w:val="20"/>
        </w:rPr>
        <w:t>In GR, the correct multiplier of N is arrived at by combining three contributions.  The first is the effect of “time dilation”, which contributes</w:t>
      </w:r>
      <w:r w:rsidRPr="00F87319">
        <w:rPr>
          <w:i/>
          <w:position w:val="-6"/>
          <w:sz w:val="20"/>
        </w:rPr>
        <w:object w:dxaOrig="420" w:dyaOrig="240">
          <v:shape id="_x0000_i1253" type="#_x0000_t75" style="width:21.2pt;height:12.1pt" o:ole="">
            <v:imagedata r:id="rId809" o:title=""/>
          </v:shape>
          <o:OLEObject Type="Embed" ProgID="Equation.DSMT4" ShapeID="_x0000_i1253" DrawAspect="Content" ObjectID="_1438189065" r:id="rId810"/>
        </w:object>
      </w:r>
      <w:r w:rsidRPr="00F87319">
        <w:rPr>
          <w:i/>
          <w:sz w:val="20"/>
        </w:rPr>
        <w:t>.  The second is the effect of “space contraction”, which contributes</w:t>
      </w:r>
      <w:r w:rsidRPr="00F87319">
        <w:rPr>
          <w:i/>
          <w:position w:val="-6"/>
          <w:sz w:val="20"/>
        </w:rPr>
        <w:object w:dxaOrig="420" w:dyaOrig="240">
          <v:shape id="_x0000_i1254" type="#_x0000_t75" style="width:21.2pt;height:12.1pt" o:ole="">
            <v:imagedata r:id="rId811" o:title=""/>
          </v:shape>
          <o:OLEObject Type="Embed" ProgID="Equation.DSMT4" ShapeID="_x0000_i1254" DrawAspect="Content" ObjectID="_1438189066" r:id="rId812"/>
        </w:object>
      </w:r>
      <w:r w:rsidRPr="00F87319">
        <w:rPr>
          <w:i/>
          <w:sz w:val="20"/>
        </w:rPr>
        <w:t>.  The third is the effect of mass or momentum increase with speed, which contributes</w:t>
      </w:r>
      <w:r w:rsidRPr="00F87319">
        <w:rPr>
          <w:i/>
          <w:position w:val="-6"/>
          <w:sz w:val="20"/>
        </w:rPr>
        <w:object w:dxaOrig="460" w:dyaOrig="240">
          <v:shape id="_x0000_i1255" type="#_x0000_t75" style="width:23pt;height:12.1pt" o:ole="">
            <v:imagedata r:id="rId813" o:title=""/>
          </v:shape>
          <o:OLEObject Type="Embed" ProgID="Equation.DSMT4" ShapeID="_x0000_i1255" DrawAspect="Content" ObjectID="_1438189067" r:id="rId814"/>
        </w:object>
      </w:r>
      <w:r w:rsidRPr="00F87319">
        <w:rPr>
          <w:i/>
          <w:sz w:val="20"/>
        </w:rPr>
        <w:t>.  The sum of these three contributions gives the observed amount</w:t>
      </w:r>
      <w:r w:rsidRPr="00F87319">
        <w:rPr>
          <w:i/>
          <w:position w:val="-6"/>
          <w:sz w:val="20"/>
        </w:rPr>
        <w:object w:dxaOrig="420" w:dyaOrig="240">
          <v:shape id="_x0000_i1256" type="#_x0000_t75" style="width:21.2pt;height:12.1pt" o:ole="">
            <v:imagedata r:id="rId815" o:title=""/>
          </v:shape>
          <o:OLEObject Type="Embed" ProgID="Equation.DSMT4" ShapeID="_x0000_i1256" DrawAspect="Content" ObjectID="_1438189068" r:id="rId816"/>
        </w:object>
      </w:r>
      <w:r w:rsidRPr="00F87319">
        <w:rPr>
          <w:i/>
          <w:sz w:val="20"/>
        </w:rPr>
        <w:t>….  It is curious that Einstein required a combination of three effects, with one of them cancelling 40% of the contribution of the other two.</w:t>
      </w:r>
      <w:r w:rsidRPr="00F87319">
        <w:rPr>
          <w:sz w:val="20"/>
        </w:rPr>
        <w:t>[59]</w:t>
      </w:r>
    </w:p>
    <w:p w:rsidR="006D41BD" w:rsidRPr="00F87319" w:rsidRDefault="006D41BD" w:rsidP="006D41BD">
      <w:pPr>
        <w:pStyle w:val="NormPara"/>
        <w:spacing w:after="80"/>
        <w:ind w:firstLine="274"/>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Discerning an Alternative Approach</w:t>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By comparison with Einstein’s formulation, any approach using the ZPE has less room for maneuver.  There is no “time dilation” or “space contraction” which would affect perihelion motion.  Furthermore, Eq. (65) reveals that there can be no contribution to </w:t>
      </w:r>
      <w:r w:rsidRPr="00F87319">
        <w:rPr>
          <w:i/>
          <w:sz w:val="20"/>
        </w:rPr>
        <w:t>N</w:t>
      </w:r>
      <w:r w:rsidRPr="00F87319">
        <w:rPr>
          <w:sz w:val="20"/>
        </w:rPr>
        <w:t xml:space="preserve"> that results from any change in mass or change in momentum of the orbiting body, since that quantity does not enter the equation.  Also as noted above, </w:t>
      </w:r>
      <w:r w:rsidRPr="00F87319">
        <w:rPr>
          <w:i/>
          <w:sz w:val="20"/>
        </w:rPr>
        <w:t>GM</w:t>
      </w:r>
      <w:r w:rsidRPr="00F87319">
        <w:rPr>
          <w:sz w:val="20"/>
        </w:rPr>
        <w:t xml:space="preserve"> is a constant, so the term designated as </w:t>
      </w:r>
      <w:r w:rsidRPr="00F87319">
        <w:rPr>
          <w:position w:val="-8"/>
          <w:sz w:val="20"/>
        </w:rPr>
        <w:object w:dxaOrig="200" w:dyaOrig="220">
          <v:shape id="_x0000_i1257" type="#_x0000_t75" style="width:9.7pt;height:10.3pt" o:ole="">
            <v:imagedata r:id="rId817" o:title=""/>
          </v:shape>
          <o:OLEObject Type="Embed" ProgID="Equation.DSMT4" ShapeID="_x0000_i1257" DrawAspect="Content" ObjectID="_1438189069" r:id="rId818"/>
        </w:object>
      </w:r>
      <w:r w:rsidRPr="00F87319">
        <w:rPr>
          <w:sz w:val="20"/>
        </w:rPr>
        <w:t>in (65) is also constant.  This situation is in stark contrast to Einstein’s less constrained approach.  Nevertheless, on a qualitative basis it is possible to discern the outline of an answer from a suggestion first made in 1999 that appeared in the collection of the “Pushing Gravity” symposium papers of 2002. [60]  The symposium noted that if perchance the planets were immersed in a medium that increased in density towards the Sun, then</w:t>
      </w:r>
    </w:p>
    <w:p w:rsidR="006D41BD" w:rsidRPr="00F87319" w:rsidRDefault="006D41BD" w:rsidP="006D41BD">
      <w:pPr>
        <w:pStyle w:val="NormPara"/>
        <w:ind w:firstLine="548"/>
        <w:rPr>
          <w:sz w:val="20"/>
        </w:rPr>
      </w:pPr>
    </w:p>
    <w:p w:rsidR="006D41BD" w:rsidRPr="00F87319" w:rsidRDefault="006D41BD" w:rsidP="006D41BD">
      <w:pPr>
        <w:pStyle w:val="NormPara"/>
        <w:ind w:firstLine="548"/>
        <w:rPr>
          <w:i/>
          <w:sz w:val="20"/>
        </w:rPr>
      </w:pPr>
      <w:r w:rsidRPr="00F87319">
        <w:rPr>
          <w:i/>
          <w:sz w:val="20"/>
        </w:rPr>
        <w:lastRenderedPageBreak/>
        <w:t>[T]he elliptical motion of orbiting bodies is slowed most by [the medium] at perihelion, where that medium is densest, and slowed least at aphelion, where [the medium] is sparsest.  This velocity imbalance (relatively slower at perihelion, relatively faster at aphelion) rotates the ellipse forward, which is what an advance of perihelion means.</w:t>
      </w:r>
    </w:p>
    <w:p w:rsidR="006D41BD" w:rsidRPr="00F87319" w:rsidRDefault="006D41BD" w:rsidP="006D41BD">
      <w:pPr>
        <w:pStyle w:val="NormPara"/>
        <w:ind w:firstLine="548"/>
        <w:rPr>
          <w:i/>
          <w:sz w:val="20"/>
        </w:rPr>
      </w:pPr>
    </w:p>
    <w:p w:rsidR="006D41BD" w:rsidRPr="00F87319" w:rsidRDefault="006D41BD" w:rsidP="006D41BD">
      <w:pPr>
        <w:pStyle w:val="NormPara"/>
        <w:ind w:firstLine="548"/>
        <w:rPr>
          <w:sz w:val="20"/>
        </w:rPr>
      </w:pPr>
      <w:r w:rsidRPr="00F87319">
        <w:rPr>
          <w:sz w:val="20"/>
        </w:rPr>
        <w:t xml:space="preserve">This article indicated that if there was a Newtonian velocity slowing factor </w:t>
      </w:r>
      <w:r w:rsidRPr="00F87319">
        <w:rPr>
          <w:position w:val="-10"/>
          <w:sz w:val="20"/>
        </w:rPr>
        <w:object w:dxaOrig="440" w:dyaOrig="340">
          <v:shape id="_x0000_i1258" type="#_x0000_t75" style="width:21.8pt;height:17.55pt" o:ole="">
            <v:imagedata r:id="rId819" o:title=""/>
          </v:shape>
          <o:OLEObject Type="Embed" ProgID="Equation.DSMT4" ShapeID="_x0000_i1258" DrawAspect="Content" ObjectID="_1438189070" r:id="rId820"/>
        </w:object>
      </w:r>
      <w:r w:rsidRPr="00F87319">
        <w:rPr>
          <w:sz w:val="20"/>
        </w:rPr>
        <w:t xml:space="preserve"> for a body with actual orbital velocity</w:t>
      </w:r>
      <w:r w:rsidRPr="00F87319">
        <w:rPr>
          <w:position w:val="-6"/>
          <w:sz w:val="20"/>
        </w:rPr>
        <w:object w:dxaOrig="180" w:dyaOrig="200">
          <v:shape id="_x0000_i1259" type="#_x0000_t75" style="width:9.1pt;height:9.7pt" o:ole="">
            <v:imagedata r:id="rId821" o:title=""/>
          </v:shape>
          <o:OLEObject Type="Embed" ProgID="Equation.DSMT4" ShapeID="_x0000_i1259" DrawAspect="Content" ObjectID="_1438189071" r:id="rId822"/>
        </w:object>
      </w:r>
      <w:r w:rsidRPr="00F87319">
        <w:rPr>
          <w:sz w:val="20"/>
        </w:rPr>
        <w:t xml:space="preserve">, when </w:t>
      </w:r>
      <w:r w:rsidRPr="00F87319">
        <w:rPr>
          <w:position w:val="-10"/>
          <w:sz w:val="20"/>
        </w:rPr>
        <w:object w:dxaOrig="260" w:dyaOrig="279">
          <v:shape id="_x0000_i1260" type="#_x0000_t75" style="width:12.7pt;height:14.5pt" o:ole="">
            <v:imagedata r:id="rId823" o:title=""/>
          </v:shape>
          <o:OLEObject Type="Embed" ProgID="Equation.DSMT4" ShapeID="_x0000_i1260" DrawAspect="Content" ObjectID="_1438189072" r:id="rId824"/>
        </w:object>
      </w:r>
      <w:r w:rsidRPr="00F87319">
        <w:rPr>
          <w:sz w:val="20"/>
        </w:rPr>
        <w:t>is the equivalent velocity under Newtonian style forces, then the velocity of the orbiting body can be shown as</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600" w:dyaOrig="560">
          <v:shape id="_x0000_i1261" type="#_x0000_t75" style="width:30.25pt;height:27.85pt" o:ole="">
            <v:imagedata r:id="rId825" o:title=""/>
          </v:shape>
          <o:OLEObject Type="Embed" ProgID="Equation.DSMT4" ShapeID="_x0000_i1261" DrawAspect="Content" ObjectID="_1438189073" r:id="rId82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8"/>
          <w:sz w:val="20"/>
        </w:rPr>
        <w:object w:dxaOrig="440" w:dyaOrig="260">
          <v:shape id="_x0000_i1262" type="#_x0000_t75" style="width:21.8pt;height:12.7pt" o:ole="">
            <v:imagedata r:id="rId827" o:title=""/>
          </v:shape>
          <o:OLEObject Type="Embed" ProgID="Equation.DSMT4" ShapeID="_x0000_i1262" DrawAspect="Content" ObjectID="_1438189074" r:id="rId828"/>
        </w:object>
      </w:r>
      <w:r w:rsidRPr="00F87319">
        <w:rPr>
          <w:sz w:val="20"/>
        </w:rPr>
        <w:t xml:space="preserve">.  It was shown in the above symposium paper that this situation produced the required perihelion advance with the </w:t>
      </w:r>
      <w:r w:rsidRPr="00F87319">
        <w:rPr>
          <w:position w:val="-10"/>
          <w:sz w:val="20"/>
        </w:rPr>
        <w:object w:dxaOrig="440" w:dyaOrig="340">
          <v:shape id="_x0000_i1263" type="#_x0000_t75" style="width:21.8pt;height:17.55pt" o:ole="">
            <v:imagedata r:id="rId819" o:title=""/>
          </v:shape>
          <o:OLEObject Type="Embed" ProgID="Equation.DSMT4" ShapeID="_x0000_i1263" DrawAspect="Content" ObjectID="_1438189075" r:id="rId829"/>
        </w:object>
      </w:r>
      <w:r w:rsidRPr="00F87319">
        <w:rPr>
          <w:sz w:val="20"/>
        </w:rPr>
        <w:t xml:space="preserve"> slowing factor due to the velocity imbalance caused by the varying density of the medium.  This approach, using a single factor, reproduces exactly the observed perihelion advance, as shown below, without the messy juggling of the three factors that GR requires.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is definitely in line with SED physics and the increased energy density of the ZPE near the Sun, or any massive body.  Nevertheless, the question remains regarding how a planet in orbit could experience an imbalance of the Newtonian velocity as a result of changes in the density of the ZPE.  Because there are two ways of visualizing ZPE strength, there are also two ways of dealing with this question.  The first way is to consider the effects of virtual particles, whose numbers in the vacuum are dependent on the ZPE strength.  The second is related to the ZPE waves themselves.  Their numbers increase when the ZPE strength increases, and this has an effect on the de Broglie waves which are associated with all moving sub-atomic particles.</w:t>
      </w:r>
    </w:p>
    <w:p w:rsidR="006D41BD" w:rsidRPr="00F87319" w:rsidRDefault="006D41BD" w:rsidP="006D41BD">
      <w:pPr>
        <w:pStyle w:val="NormPara"/>
        <w:ind w:firstLine="720"/>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Effects of a Locally Stronger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In the first case, an increase in ZPE strength also means an increase in the numbers of virtual particles in the vacuum at any given instant.  In other words, regardless of the reason for a ZPE increase in strength, the vacuum becomes “thicker” with virtual particle pairs.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In the case under consideration here, the closer we get to the Sun, the greater the number of virtual particles in the vacuum at any given instant.  Mercury in its elliptical orbit moves very fast when close to the Sun, then significantly slower further away.  At the same time that it is going at its maximum speed, it is also entering and traveling through the area of greatest ZPE strength.  This means that it will encounter a much thicker cloud of virtual particles as it moves at high speed near the Sun, and then significantly fewer when further away.  As Mercury moves ballistically through a thick cloud of virtual particles when closest to the Sun, this generates a resistance.  This occurs because virtual particles are of equivalent size to the subatomic particles which make up all matter and produce a retarding effect on the planet's motion at the atomic level.  This is one way of looking at the imbalance induced in the Newtonian velocity.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second way of viewing the retardation of Mercury in its orbit is to consider the interaction that comes from the de Broglie waves associated with all moving sub-atomic particles.  As these matter waves associated with the orbiting planet propagate through the ZPE, the increase in energy density of the ZPE in the vicinity of the Sun will have its effects.  It is analogous to the way in which light waves are slowed by the greater number of ZPE waves when the ZPE strength is greater.  Therefore, as the de Broglie waves move through a denser (or sparser) ZPE, this slows down (or speeds up) the motion of the entire collection of waves that make up the orbiting planet.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If a particle moves through the ZPE with a velocity</w:t>
      </w:r>
      <w:r w:rsidRPr="00F87319">
        <w:rPr>
          <w:position w:val="-6"/>
          <w:sz w:val="20"/>
        </w:rPr>
        <w:object w:dxaOrig="180" w:dyaOrig="200">
          <v:shape id="_x0000_i1264" type="#_x0000_t75" style="width:9.1pt;height:9.7pt" o:ole="">
            <v:imagedata r:id="rId830" o:title=""/>
          </v:shape>
          <o:OLEObject Type="Embed" ProgID="Equation.DSMT4" ShapeID="_x0000_i1264" DrawAspect="Content" ObjectID="_1438189076" r:id="rId831"/>
        </w:object>
      </w:r>
      <w:r w:rsidRPr="00F87319">
        <w:rPr>
          <w:sz w:val="20"/>
        </w:rPr>
        <w:t>, it can be shown that</w:t>
      </w:r>
      <w:r w:rsidRPr="00F87319">
        <w:rPr>
          <w:position w:val="-6"/>
          <w:sz w:val="20"/>
        </w:rPr>
        <w:object w:dxaOrig="180" w:dyaOrig="200">
          <v:shape id="_x0000_i1265" type="#_x0000_t75" style="width:9.1pt;height:9.7pt" o:ole="">
            <v:imagedata r:id="rId832" o:title=""/>
          </v:shape>
          <o:OLEObject Type="Embed" ProgID="Equation.DSMT4" ShapeID="_x0000_i1265" DrawAspect="Content" ObjectID="_1438189077" r:id="rId833"/>
        </w:object>
      </w:r>
      <w:r w:rsidRPr="00F87319">
        <w:rPr>
          <w:sz w:val="20"/>
        </w:rPr>
        <w:t>is also the group velocity of the matter wave [61].  Therefore, a collection of particles, such as a planet made up of their wave equivalents, would also propagate through the ZPE with a velocity</w:t>
      </w:r>
      <w:r w:rsidRPr="00F87319">
        <w:rPr>
          <w:position w:val="-6"/>
          <w:sz w:val="20"/>
        </w:rPr>
        <w:object w:dxaOrig="180" w:dyaOrig="200">
          <v:shape id="_x0000_i1266" type="#_x0000_t75" style="width:9.1pt;height:9.7pt" o:ole="">
            <v:imagedata r:id="rId834" o:title=""/>
          </v:shape>
          <o:OLEObject Type="Embed" ProgID="Equation.DSMT4" ShapeID="_x0000_i1266" DrawAspect="Content" ObjectID="_1438189078" r:id="rId835"/>
        </w:object>
      </w:r>
      <w:r w:rsidRPr="00F87319">
        <w:rPr>
          <w:sz w:val="20"/>
        </w:rPr>
        <w:t xml:space="preserve">under ordinary circumstances.  However, the increase in the energy density </w:t>
      </w:r>
      <w:r w:rsidRPr="00F87319">
        <w:rPr>
          <w:sz w:val="20"/>
        </w:rPr>
        <w:lastRenderedPageBreak/>
        <w:t>of the ZPE slows the propagation speed of the matter waves in a manner inversely proportional to the energy density.  As a result, the velocity of the particles making up those waves must also slow since the group velocity of the waves and the particle velocity must remain synchronized [61].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outcome of this impedance to the motion of the planet, whether considered by either the particle or wave approach, is the same.  If the expected velocity is a Newtonian velocity</w:t>
      </w:r>
      <w:r w:rsidRPr="00F87319">
        <w:rPr>
          <w:position w:val="-10"/>
          <w:sz w:val="20"/>
        </w:rPr>
        <w:object w:dxaOrig="260" w:dyaOrig="279">
          <v:shape id="_x0000_i1267" type="#_x0000_t75" style="width:12.7pt;height:14.5pt" o:ole="">
            <v:imagedata r:id="rId836" o:title=""/>
          </v:shape>
          <o:OLEObject Type="Embed" ProgID="Equation.DSMT4" ShapeID="_x0000_i1267" DrawAspect="Content" ObjectID="_1438189079" r:id="rId837"/>
        </w:object>
      </w:r>
      <w:r w:rsidRPr="00F87319">
        <w:rPr>
          <w:sz w:val="20"/>
        </w:rPr>
        <w:t xml:space="preserve">, and the actual velocity </w:t>
      </w:r>
      <w:proofErr w:type="gramStart"/>
      <w:r w:rsidRPr="00F87319">
        <w:rPr>
          <w:sz w:val="20"/>
        </w:rPr>
        <w:t xml:space="preserve">is </w:t>
      </w:r>
      <w:proofErr w:type="gramEnd"/>
      <w:r w:rsidRPr="00F87319">
        <w:rPr>
          <w:position w:val="-6"/>
          <w:sz w:val="20"/>
        </w:rPr>
        <w:object w:dxaOrig="180" w:dyaOrig="200">
          <v:shape id="_x0000_i1268" type="#_x0000_t75" style="width:9.1pt;height:9.7pt" o:ole="">
            <v:imagedata r:id="rId838" o:title=""/>
          </v:shape>
          <o:OLEObject Type="Embed" ProgID="Equation.DSMT4" ShapeID="_x0000_i1268" DrawAspect="Content" ObjectID="_1438189080" r:id="rId839"/>
        </w:object>
      </w:r>
      <w:r w:rsidRPr="00F87319">
        <w:rPr>
          <w:sz w:val="20"/>
        </w:rPr>
        <w:t xml:space="preserve">, then the slowing factor is given by the ratio </w:t>
      </w:r>
      <w:r w:rsidRPr="00F87319">
        <w:rPr>
          <w:position w:val="-10"/>
          <w:sz w:val="20"/>
        </w:rPr>
        <w:object w:dxaOrig="440" w:dyaOrig="279">
          <v:shape id="_x0000_i1269" type="#_x0000_t75" style="width:21.8pt;height:14.5pt" o:ole="">
            <v:imagedata r:id="rId840" o:title=""/>
          </v:shape>
          <o:OLEObject Type="Embed" ProgID="Equation.DSMT4" ShapeID="_x0000_i1269" DrawAspect="Content" ObjectID="_1438189081" r:id="rId841"/>
        </w:object>
      </w:r>
      <w:r w:rsidRPr="00F87319">
        <w:rPr>
          <w:sz w:val="20"/>
        </w:rPr>
        <w:t xml:space="preserve">, which must then be proportional to the ratio of the ZPE energy density </w:t>
      </w:r>
      <w:r w:rsidRPr="00F87319">
        <w:rPr>
          <w:position w:val="-10"/>
          <w:sz w:val="20"/>
        </w:rPr>
        <w:object w:dxaOrig="499" w:dyaOrig="279">
          <v:shape id="_x0000_i1270" type="#_x0000_t75" style="width:24.8pt;height:14.5pt" o:ole="">
            <v:imagedata r:id="rId842" o:title=""/>
          </v:shape>
          <o:OLEObject Type="Embed" ProgID="Equation.DSMT4" ShapeID="_x0000_i1270" DrawAspect="Content" ObjectID="_1438189082" r:id="rId843"/>
        </w:object>
      </w:r>
      <w:r w:rsidRPr="00F87319">
        <w:rPr>
          <w:sz w:val="20"/>
        </w:rPr>
        <w:t>.  This can be written as</w:t>
      </w: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140" w:dyaOrig="540">
          <v:shape id="_x0000_i1271" type="#_x0000_t75" style="width:56.85pt;height:27.25pt" o:ole="">
            <v:imagedata r:id="rId844" o:title=""/>
          </v:shape>
          <o:OLEObject Type="Embed" ProgID="Equation.DSMT4" ShapeID="_x0000_i1271" DrawAspect="Content" ObjectID="_1438189083" r:id="rId845"/>
        </w:object>
      </w:r>
      <w:proofErr w:type="gramStart"/>
      <w:r w:rsidRPr="00F87319">
        <w:rPr>
          <w:sz w:val="20"/>
        </w:rPr>
        <w:t>,  therefore</w:t>
      </w:r>
      <w:proofErr w:type="gramEnd"/>
      <w:r w:rsidRPr="00F87319">
        <w:rPr>
          <w:sz w:val="20"/>
        </w:rPr>
        <w:t xml:space="preserve">  </w:t>
      </w:r>
      <w:r w:rsidRPr="00F87319">
        <w:rPr>
          <w:position w:val="-10"/>
          <w:sz w:val="20"/>
        </w:rPr>
        <w:object w:dxaOrig="760" w:dyaOrig="340">
          <v:shape id="_x0000_i1272" type="#_x0000_t75" style="width:38.1pt;height:17.55pt" o:ole="">
            <v:imagedata r:id="rId846" o:title=""/>
          </v:shape>
          <o:OLEObject Type="Embed" ProgID="Equation.DSMT4" ShapeID="_x0000_i1272" DrawAspect="Content" ObjectID="_1438189084" r:id="rId84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(67) has the same form as (66), which gave the necessary solution to the problem provided we make the identification that the slowing factor</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720" w:dyaOrig="560">
          <v:shape id="_x0000_i1273" type="#_x0000_t75" style="width:36.3pt;height:27.85pt" o:ole="">
            <v:imagedata r:id="rId848" o:title=""/>
          </v:shape>
          <o:OLEObject Type="Embed" ProgID="Equation.DSMT4" ShapeID="_x0000_i1273" DrawAspect="Content" ObjectID="_1438189085" r:id="rId849"/>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This then leads to the required solution in a way outlined by Van Flandern and which is reproduced here with the pertinent amendments and additions [62].</w:t>
      </w:r>
    </w:p>
    <w:p w:rsidR="006D41BD" w:rsidRPr="00F87319" w:rsidRDefault="006D41BD" w:rsidP="006D41BD">
      <w:pPr>
        <w:pStyle w:val="NormPara"/>
        <w:ind w:firstLine="0"/>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Perihelion Advance Formula</w:t>
      </w:r>
    </w:p>
    <w:p w:rsidR="006D41BD" w:rsidRPr="00F87319" w:rsidRDefault="006D41BD" w:rsidP="006D41BD">
      <w:pPr>
        <w:pStyle w:val="NormPara"/>
        <w:ind w:firstLine="270"/>
        <w:rPr>
          <w:sz w:val="20"/>
        </w:rPr>
      </w:pPr>
    </w:p>
    <w:p w:rsidR="006D41BD" w:rsidRPr="00F87319" w:rsidRDefault="006D41BD" w:rsidP="006D41BD">
      <w:pPr>
        <w:pStyle w:val="NormPara"/>
        <w:ind w:firstLine="360"/>
        <w:rPr>
          <w:sz w:val="20"/>
        </w:rPr>
      </w:pPr>
      <w:r w:rsidRPr="00F87319">
        <w:rPr>
          <w:sz w:val="20"/>
        </w:rPr>
        <w:t xml:space="preserve">The change in speed of an orbiting body due to the variation in the factor </w:t>
      </w:r>
      <w:r w:rsidRPr="00F87319">
        <w:rPr>
          <w:i/>
          <w:sz w:val="20"/>
        </w:rPr>
        <w:t>A</w:t>
      </w:r>
      <w:r w:rsidRPr="00F87319">
        <w:rPr>
          <w:sz w:val="20"/>
        </w:rPr>
        <w:t xml:space="preserve"> stimulates an extra force acting on the body along the velocity vector.  The formula for the change in Newtonian velocity is</w:t>
      </w:r>
    </w:p>
    <w:p w:rsidR="006D41BD" w:rsidRPr="00F87319" w:rsidRDefault="006D41BD" w:rsidP="006D41BD">
      <w:pPr>
        <w:pStyle w:val="NormPara"/>
        <w:ind w:firstLine="36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6"/>
          <w:sz w:val="20"/>
        </w:rPr>
        <w:object w:dxaOrig="1900" w:dyaOrig="420">
          <v:shape id="_x0000_i1274" type="#_x0000_t75" style="width:95pt;height:21.2pt" o:ole="">
            <v:imagedata r:id="rId850" o:title=""/>
          </v:shape>
          <o:OLEObject Type="Embed" ProgID="Equation.DSMT4" ShapeID="_x0000_i1274" DrawAspect="Content" ObjectID="_1438189086" r:id="rId85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(69)</w:t>
      </w:r>
    </w:p>
    <w:p w:rsidR="006D41BD" w:rsidRPr="00F87319" w:rsidRDefault="006D41BD" w:rsidP="006D41BD">
      <w:pPr>
        <w:pStyle w:val="NormPara"/>
        <w:ind w:firstLine="0"/>
        <w:rPr>
          <w:sz w:val="20"/>
        </w:rPr>
      </w:pPr>
      <w:r w:rsidRPr="00F87319">
        <w:rPr>
          <w:sz w:val="20"/>
        </w:rPr>
        <w:t>which follows from (67).  However, in the formula given in (65), the term</w:t>
      </w:r>
      <w:r w:rsidRPr="00F87319">
        <w:rPr>
          <w:position w:val="-10"/>
          <w:sz w:val="20"/>
        </w:rPr>
        <w:object w:dxaOrig="360" w:dyaOrig="279">
          <v:shape id="_x0000_i1275" type="#_x0000_t75" style="width:18.75pt;height:14.5pt" o:ole="">
            <v:imagedata r:id="rId852" o:title=""/>
          </v:shape>
          <o:OLEObject Type="Embed" ProgID="Equation.DSMT4" ShapeID="_x0000_i1275" DrawAspect="Content" ObjectID="_1438189087" r:id="rId853"/>
        </w:object>
      </w:r>
      <w:r w:rsidRPr="00F87319">
        <w:rPr>
          <w:sz w:val="20"/>
        </w:rPr>
        <w:t xml:space="preserve">is Eddington’s gravitational potential.  This involves the product </w:t>
      </w:r>
      <w:r w:rsidRPr="00F87319">
        <w:rPr>
          <w:i/>
          <w:sz w:val="20"/>
        </w:rPr>
        <w:t>GM</w:t>
      </w:r>
      <w:r w:rsidRPr="00F87319">
        <w:rPr>
          <w:sz w:val="20"/>
        </w:rPr>
        <w:t xml:space="preserve">, which, as discussed earlier, is invariant.  For an orbiting planet the quantity </w:t>
      </w:r>
      <w:r w:rsidRPr="00F87319">
        <w:rPr>
          <w:position w:val="-10"/>
          <w:sz w:val="20"/>
        </w:rPr>
        <w:object w:dxaOrig="600" w:dyaOrig="340">
          <v:shape id="_x0000_i1276" type="#_x0000_t75" style="width:30.25pt;height:17.55pt" o:ole="">
            <v:imagedata r:id="rId854" o:title=""/>
          </v:shape>
          <o:OLEObject Type="Embed" ProgID="Equation.DSMT4" ShapeID="_x0000_i1276" DrawAspect="Content" ObjectID="_1438189088" r:id="rId855"/>
        </w:object>
      </w:r>
      <w:r w:rsidRPr="00F87319">
        <w:rPr>
          <w:sz w:val="20"/>
        </w:rPr>
        <w:t xml:space="preserve"> equals </w:t>
      </w:r>
      <w:r w:rsidRPr="00F87319">
        <w:rPr>
          <w:position w:val="-10"/>
          <w:sz w:val="20"/>
        </w:rPr>
        <w:object w:dxaOrig="420" w:dyaOrig="340">
          <v:shape id="_x0000_i1277" type="#_x0000_t75" style="width:21.2pt;height:17.55pt" o:ole="">
            <v:imagedata r:id="rId856" o:title=""/>
          </v:shape>
          <o:OLEObject Type="Embed" ProgID="Equation.DSMT4" ShapeID="_x0000_i1277" DrawAspect="Content" ObjectID="_1438189089" r:id="rId857"/>
        </w:object>
      </w:r>
      <w:r w:rsidRPr="00F87319">
        <w:rPr>
          <w:sz w:val="20"/>
        </w:rPr>
        <w:t xml:space="preserve"> [63].  Therefore, </w:t>
      </w:r>
      <w:r w:rsidRPr="00F87319">
        <w:rPr>
          <w:position w:val="-10"/>
          <w:sz w:val="20"/>
        </w:rPr>
        <w:object w:dxaOrig="499" w:dyaOrig="279">
          <v:shape id="_x0000_i1278" type="#_x0000_t75" style="width:24.8pt;height:14.5pt" o:ole="">
            <v:imagedata r:id="rId858" o:title=""/>
          </v:shape>
          <o:OLEObject Type="Embed" ProgID="Equation.DSMT4" ShapeID="_x0000_i1278" DrawAspect="Content" ObjectID="_1438189090" r:id="rId859"/>
        </w:object>
      </w:r>
      <w:r w:rsidRPr="00F87319">
        <w:rPr>
          <w:sz w:val="20"/>
        </w:rPr>
        <w:t xml:space="preserve"> is proportional </w:t>
      </w:r>
      <w:proofErr w:type="gramStart"/>
      <w:r w:rsidRPr="00F87319">
        <w:rPr>
          <w:sz w:val="20"/>
        </w:rPr>
        <w:t xml:space="preserve">to </w:t>
      </w:r>
      <w:proofErr w:type="gramEnd"/>
      <w:r w:rsidRPr="00F87319">
        <w:rPr>
          <w:position w:val="-6"/>
          <w:sz w:val="20"/>
        </w:rPr>
        <w:object w:dxaOrig="260" w:dyaOrig="300">
          <v:shape id="_x0000_i1279" type="#_x0000_t75" style="width:12.7pt;height:15.15pt" o:ole="">
            <v:imagedata r:id="rId860" o:title=""/>
          </v:shape>
          <o:OLEObject Type="Embed" ProgID="Equation.DSMT4" ShapeID="_x0000_i1279" DrawAspect="Content" ObjectID="_1438189091" r:id="rId861"/>
        </w:object>
      </w:r>
      <w:r w:rsidRPr="00F87319">
        <w:rPr>
          <w:sz w:val="20"/>
        </w:rPr>
        <w:t xml:space="preserve">.  We can therefore substitute </w:t>
      </w:r>
      <w:r w:rsidRPr="00F87319">
        <w:rPr>
          <w:position w:val="-6"/>
          <w:sz w:val="20"/>
        </w:rPr>
        <w:object w:dxaOrig="260" w:dyaOrig="300">
          <v:shape id="_x0000_i1280" type="#_x0000_t75" style="width:12.7pt;height:15.15pt" o:ole="">
            <v:imagedata r:id="rId862" o:title=""/>
          </v:shape>
          <o:OLEObject Type="Embed" ProgID="Equation.DSMT4" ShapeID="_x0000_i1280" DrawAspect="Content" ObjectID="_1438189092" r:id="rId863"/>
        </w:object>
      </w:r>
      <w:r w:rsidRPr="00F87319">
        <w:rPr>
          <w:sz w:val="20"/>
        </w:rPr>
        <w:t xml:space="preserve"> for </w:t>
      </w:r>
      <w:r w:rsidRPr="00F87319">
        <w:rPr>
          <w:position w:val="-10"/>
          <w:sz w:val="20"/>
        </w:rPr>
        <w:object w:dxaOrig="499" w:dyaOrig="279">
          <v:shape id="_x0000_i1281" type="#_x0000_t75" style="width:24.8pt;height:14.5pt" o:ole="">
            <v:imagedata r:id="rId858" o:title=""/>
          </v:shape>
          <o:OLEObject Type="Embed" ProgID="Equation.DSMT4" ShapeID="_x0000_i1281" DrawAspect="Content" ObjectID="_1438189093" r:id="rId864"/>
        </w:object>
      </w:r>
      <w:r w:rsidRPr="00F87319">
        <w:rPr>
          <w:sz w:val="20"/>
        </w:rPr>
        <w:t xml:space="preserve"> in the expression for </w:t>
      </w:r>
      <w:r w:rsidRPr="00F87319">
        <w:rPr>
          <w:position w:val="-4"/>
          <w:sz w:val="20"/>
        </w:rPr>
        <w:object w:dxaOrig="300" w:dyaOrig="279">
          <v:shape id="_x0000_i1282" type="#_x0000_t75" style="width:15.15pt;height:14.5pt" o:ole="">
            <v:imagedata r:id="rId865" o:title=""/>
          </v:shape>
          <o:OLEObject Type="Embed" ProgID="Equation.DSMT4" ShapeID="_x0000_i1282" DrawAspect="Content" ObjectID="_1438189094" r:id="rId866"/>
        </w:object>
      </w:r>
      <w:r w:rsidRPr="00F87319">
        <w:rPr>
          <w:sz w:val="20"/>
        </w:rPr>
        <w:t xml:space="preserve"> and obtain the information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540" w:dyaOrig="580">
          <v:shape id="_x0000_i1283" type="#_x0000_t75" style="width:125.25pt;height:29.05pt" o:ole="">
            <v:imagedata r:id="rId867" o:title=""/>
          </v:shape>
          <o:OLEObject Type="Embed" ProgID="Equation.DSMT4" ShapeID="_x0000_i1283" DrawAspect="Content" ObjectID="_1438189095" r:id="rId86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 if the results from (70) are substituted in the expression in (69)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3480" w:dyaOrig="660">
          <v:shape id="_x0000_i1284" type="#_x0000_t75" style="width:174.25pt;height:33.3pt" o:ole="">
            <v:imagedata r:id="rId869" o:title=""/>
          </v:shape>
          <o:OLEObject Type="Embed" ProgID="Equation.DSMT4" ShapeID="_x0000_i1284" DrawAspect="Content" ObjectID="_1438189096" r:id="rId87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If we now take the time derivative </w:t>
      </w:r>
      <w:proofErr w:type="gramStart"/>
      <w:r w:rsidRPr="00F87319">
        <w:rPr>
          <w:sz w:val="20"/>
        </w:rPr>
        <w:t xml:space="preserve">of </w:t>
      </w:r>
      <w:proofErr w:type="gramEnd"/>
      <w:r w:rsidRPr="00F87319">
        <w:rPr>
          <w:position w:val="-10"/>
          <w:sz w:val="20"/>
        </w:rPr>
        <w:object w:dxaOrig="279" w:dyaOrig="279">
          <v:shape id="_x0000_i1285" type="#_x0000_t75" style="width:14.5pt;height:14.5pt" o:ole="">
            <v:imagedata r:id="rId871" o:title=""/>
          </v:shape>
          <o:OLEObject Type="Embed" ProgID="Equation.DSMT4" ShapeID="_x0000_i1285" DrawAspect="Content" ObjectID="_1438189097" r:id="rId872"/>
        </w:object>
      </w:r>
      <w:r w:rsidRPr="00F87319">
        <w:rPr>
          <w:sz w:val="20"/>
        </w:rPr>
        <w:t xml:space="preserve">, it will give us the extra acceleration needed to produce the required velocity changes.  Let us denote this tangential acceleration of the orbiting body by the quantity </w:t>
      </w:r>
      <w:r w:rsidRPr="00F87319">
        <w:rPr>
          <w:i/>
          <w:sz w:val="20"/>
        </w:rPr>
        <w:t>T</w:t>
      </w:r>
      <w:r w:rsidRPr="00F87319">
        <w:rPr>
          <w:sz w:val="20"/>
        </w:rPr>
        <w:t xml:space="preserve">.  This will allow us to compute the perturbing quantity </w:t>
      </w:r>
      <w:r w:rsidRPr="00F87319">
        <w:rPr>
          <w:i/>
          <w:sz w:val="20"/>
        </w:rPr>
        <w:t>T</w:t>
      </w:r>
      <w:r w:rsidRPr="00F87319">
        <w:rPr>
          <w:sz w:val="20"/>
        </w:rPr>
        <w:t xml:space="preserve">, which can then be introduced into the relevant celestial mechanics formulas to </w:t>
      </w:r>
      <w:r w:rsidRPr="00F87319">
        <w:rPr>
          <w:sz w:val="20"/>
        </w:rPr>
        <w:lastRenderedPageBreak/>
        <w:t>discover what effect it has on the motion of a body in an elliptical orbit. So if we differentiate</w:t>
      </w:r>
      <w:r w:rsidRPr="00F87319">
        <w:rPr>
          <w:position w:val="-6"/>
          <w:sz w:val="20"/>
        </w:rPr>
        <w:object w:dxaOrig="279" w:dyaOrig="240">
          <v:shape id="_x0000_i1286" type="#_x0000_t75" style="width:14.5pt;height:12.1pt" o:ole="">
            <v:imagedata r:id="rId873" o:title=""/>
          </v:shape>
          <o:OLEObject Type="Embed" ProgID="Equation.DSMT4" ShapeID="_x0000_i1286" DrawAspect="Content" ObjectID="_1438189098" r:id="rId874"/>
        </w:object>
      </w:r>
      <w:r w:rsidRPr="00F87319">
        <w:rPr>
          <w:sz w:val="20"/>
        </w:rPr>
        <w:t xml:space="preserve">with respect to time, we get an expres-sion for </w:t>
      </w:r>
      <w:r w:rsidRPr="00F87319">
        <w:rPr>
          <w:i/>
          <w:sz w:val="20"/>
        </w:rPr>
        <w:t>T</w:t>
      </w:r>
      <w:r w:rsidRPr="00F87319">
        <w:rPr>
          <w:sz w:val="20"/>
        </w:rPr>
        <w:t>.  If we further make</w:t>
      </w:r>
      <w:r w:rsidRPr="00F87319">
        <w:rPr>
          <w:position w:val="-6"/>
          <w:sz w:val="20"/>
        </w:rPr>
        <w:object w:dxaOrig="260" w:dyaOrig="300">
          <v:shape id="_x0000_i1287" type="#_x0000_t75" style="width:12.7pt;height:15.15pt" o:ole="">
            <v:imagedata r:id="rId875" o:title=""/>
          </v:shape>
          <o:OLEObject Type="Embed" ProgID="Equation.DSMT4" ShapeID="_x0000_i1287" DrawAspect="Content" ObjectID="_1438189099" r:id="rId876"/>
        </w:object>
      </w:r>
      <w:r w:rsidRPr="00F87319">
        <w:rPr>
          <w:sz w:val="20"/>
        </w:rPr>
        <w:t>the chief variable rather than</w:t>
      </w:r>
      <w:r w:rsidRPr="00F87319">
        <w:rPr>
          <w:position w:val="-6"/>
          <w:sz w:val="20"/>
        </w:rPr>
        <w:object w:dxaOrig="180" w:dyaOrig="200">
          <v:shape id="_x0000_i1288" type="#_x0000_t75" style="width:9.1pt;height:9.7pt" o:ole="">
            <v:imagedata r:id="rId877" o:title=""/>
          </v:shape>
          <o:OLEObject Type="Embed" ProgID="Equation.DSMT4" ShapeID="_x0000_i1288" DrawAspect="Content" ObjectID="_1438189100" r:id="rId878"/>
        </w:objec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2020" w:dyaOrig="660">
          <v:shape id="_x0000_i1289" type="#_x0000_t75" style="width:101.05pt;height:33.3pt" o:ole="">
            <v:imagedata r:id="rId879" o:title=""/>
          </v:shape>
          <o:OLEObject Type="Embed" ProgID="Equation.DSMT4" ShapeID="_x0000_i1289" DrawAspect="Content" ObjectID="_1438189101" r:id="rId88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Since we are interested in the primary results from (72), it is not necessary to make a distinction between</w:t>
      </w:r>
      <w:r w:rsidRPr="00F87319">
        <w:rPr>
          <w:position w:val="-6"/>
          <w:sz w:val="20"/>
        </w:rPr>
        <w:object w:dxaOrig="180" w:dyaOrig="200">
          <v:shape id="_x0000_i1290" type="#_x0000_t75" style="width:9.1pt;height:9.7pt" o:ole="">
            <v:imagedata r:id="rId881" o:title=""/>
          </v:shape>
          <o:OLEObject Type="Embed" ProgID="Equation.DSMT4" ShapeID="_x0000_i1290" DrawAspect="Content" ObjectID="_1438189102" r:id="rId882"/>
        </w:object>
      </w:r>
      <w:r w:rsidRPr="00F87319">
        <w:rPr>
          <w:sz w:val="20"/>
        </w:rPr>
        <w:t>and</w:t>
      </w:r>
      <w:r w:rsidRPr="00F87319">
        <w:rPr>
          <w:position w:val="-10"/>
          <w:sz w:val="20"/>
        </w:rPr>
        <w:object w:dxaOrig="260" w:dyaOrig="279">
          <v:shape id="_x0000_i1291" type="#_x0000_t75" style="width:12.7pt;height:14.5pt" o:ole="">
            <v:imagedata r:id="rId883" o:title=""/>
          </v:shape>
          <o:OLEObject Type="Embed" ProgID="Equation.DSMT4" ShapeID="_x0000_i1291" DrawAspect="Content" ObjectID="_1438189103" r:id="rId884"/>
        </w:object>
      </w:r>
      <w:r w:rsidRPr="00F87319">
        <w:rPr>
          <w:sz w:val="20"/>
        </w:rPr>
        <w:t>since that would only lead to higher order terms with diminishing effects.  Performing the necessary operations then leads to the result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40" w:dyaOrig="580">
          <v:shape id="_x0000_i1292" type="#_x0000_t75" style="width:56.85pt;height:29.05pt" o:ole="">
            <v:imagedata r:id="rId885" o:title=""/>
          </v:shape>
          <o:OLEObject Type="Embed" ProgID="Equation.DSMT4" ShapeID="_x0000_i1292" DrawAspect="Content" ObjectID="_1438189104" r:id="rId8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order to make it easier to deal with this derivative, we can substitute from the energy equation for elliptical orbits that gives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1180" w:dyaOrig="560">
          <v:shape id="_x0000_i1293" type="#_x0000_t75" style="width:59.3pt;height:27.85pt" o:ole="">
            <v:imagedata r:id="rId887" o:title=""/>
          </v:shape>
          <o:OLEObject Type="Embed" ProgID="Equation.DSMT4" ShapeID="_x0000_i1293" DrawAspect="Content" ObjectID="_1438189105" r:id="rId88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With this information in (74), the derivative can be seen to be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80" w:dyaOrig="580">
          <v:shape id="_x0000_i1294" type="#_x0000_t75" style="width:59.3pt;height:29.05pt" o:ole="">
            <v:imagedata r:id="rId889" o:title=""/>
          </v:shape>
          <o:OLEObject Type="Embed" ProgID="Equation.DSMT4" ShapeID="_x0000_i1294" DrawAspect="Content" ObjectID="_1438189106" r:id="rId89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(75)</w:t>
      </w:r>
    </w:p>
    <w:p w:rsidR="006D41BD" w:rsidRPr="00F87319" w:rsidRDefault="006D41BD" w:rsidP="006D41BD">
      <w:pPr>
        <w:pStyle w:val="NormPara"/>
        <w:ind w:firstLine="270"/>
        <w:rPr>
          <w:sz w:val="20"/>
        </w:rPr>
      </w:pPr>
    </w:p>
    <w:p w:rsidR="006D41BD" w:rsidRPr="00F87319" w:rsidRDefault="006D41BD" w:rsidP="006D41BD">
      <w:pPr>
        <w:pStyle w:val="NormPara"/>
        <w:rPr>
          <w:sz w:val="20"/>
        </w:rPr>
      </w:pPr>
      <w:r w:rsidRPr="00F87319">
        <w:rPr>
          <w:sz w:val="20"/>
        </w:rPr>
        <w:t>We now need to determine the new derivative for</w:t>
      </w:r>
      <w:r w:rsidRPr="00F87319">
        <w:rPr>
          <w:position w:val="-6"/>
          <w:sz w:val="20"/>
        </w:rPr>
        <w:object w:dxaOrig="160" w:dyaOrig="200">
          <v:shape id="_x0000_i1295" type="#_x0000_t75" style="width:8.45pt;height:9.7pt" o:ole="">
            <v:imagedata r:id="rId891" o:title=""/>
          </v:shape>
          <o:OLEObject Type="Embed" ProgID="Equation.DSMT4" ShapeID="_x0000_i1295" DrawAspect="Content" ObjectID="_1438189107" r:id="rId892"/>
        </w:object>
      </w:r>
      <w:r w:rsidRPr="00F87319">
        <w:rPr>
          <w:sz w:val="20"/>
        </w:rPr>
        <w:t xml:space="preserve">.  This can be found in Danby’s </w:t>
      </w:r>
      <w:r w:rsidRPr="00F87319">
        <w:rPr>
          <w:b/>
          <w:sz w:val="20"/>
        </w:rPr>
        <w:t>Fundamentals of Celestial Mechanics</w:t>
      </w:r>
      <w:r w:rsidRPr="00F87319">
        <w:rPr>
          <w:i/>
          <w:sz w:val="20"/>
        </w:rPr>
        <w:t xml:space="preserve"> </w:t>
      </w:r>
      <w:r w:rsidRPr="00F87319">
        <w:rPr>
          <w:sz w:val="20"/>
        </w:rPr>
        <w:t>[64].  The first equation, (6.2.10), gives a necessary definition.  The equation that is relevant to our purpose here is his Eq. (6.3.21) which states that</w:t>
      </w:r>
    </w:p>
    <w:p w:rsidR="006D41BD" w:rsidRPr="00F87319" w:rsidRDefault="006D41BD" w:rsidP="006D41BD">
      <w:pPr>
        <w:pStyle w:val="NormPara"/>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38"/>
          <w:sz w:val="20"/>
        </w:rPr>
        <w:object w:dxaOrig="1860" w:dyaOrig="720">
          <v:shape id="_x0000_i1296" type="#_x0000_t75" style="width:93.2pt;height:36.3pt" o:ole="">
            <v:imagedata r:id="rId893" o:title=""/>
          </v:shape>
          <o:OLEObject Type="Embed" ProgID="Equation.DSMT4" ShapeID="_x0000_i1296" DrawAspect="Content" ObjectID="_1438189108" r:id="rId89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where </w:t>
      </w:r>
      <w:r w:rsidRPr="00F87319">
        <w:rPr>
          <w:i/>
          <w:sz w:val="20"/>
        </w:rPr>
        <w:t>f</w:t>
      </w:r>
      <w:r w:rsidRPr="00F87319">
        <w:rPr>
          <w:sz w:val="20"/>
        </w:rPr>
        <w:t xml:space="preserve">  is the orbital true anomaly (the angle at the Sun between the perihelion and the orbiting body).  Making all these substitutions, we obtain the final expression for</w:t>
      </w:r>
      <w:r w:rsidRPr="00F87319">
        <w:rPr>
          <w:i/>
          <w:sz w:val="20"/>
        </w:rPr>
        <w:t xml:space="preserve"> T</w: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1980" w:dyaOrig="760">
          <v:shape id="_x0000_i1297" type="#_x0000_t75" style="width:99.25pt;height:38.1pt" o:ole="">
            <v:imagedata r:id="rId895" o:title=""/>
          </v:shape>
          <o:OLEObject Type="Embed" ProgID="Equation.DSMT4" ShapeID="_x0000_i1297" DrawAspect="Content" ObjectID="_1438189109" r:id="rId89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Danby’s Eqs. (11.7.2) and (11.7.4) show that perturbations of the semi-major axis </w:t>
      </w:r>
      <w:r w:rsidRPr="00F87319">
        <w:rPr>
          <w:i/>
          <w:sz w:val="20"/>
        </w:rPr>
        <w:t>a</w:t>
      </w:r>
      <w:r w:rsidRPr="00F87319">
        <w:rPr>
          <w:sz w:val="20"/>
        </w:rPr>
        <w:t xml:space="preserve"> and eccentricity </w:t>
      </w:r>
      <w:r w:rsidRPr="00F87319">
        <w:rPr>
          <w:i/>
          <w:sz w:val="20"/>
        </w:rPr>
        <w:t>e</w:t>
      </w:r>
      <w:r w:rsidRPr="00F87319">
        <w:rPr>
          <w:sz w:val="20"/>
        </w:rPr>
        <w:t xml:space="preserve"> are purely periodic and therefore always remain of small amplitude.  But Danby’s equation (11.7.3) also shows that the perihelion motion contains both small periodic and ever-increasing secular contributions.  Applying that equation, where his </w:t>
      </w:r>
      <w:r w:rsidRPr="00F87319">
        <w:rPr>
          <w:position w:val="-6"/>
          <w:sz w:val="20"/>
        </w:rPr>
        <w:object w:dxaOrig="200" w:dyaOrig="200">
          <v:shape id="_x0000_i1298" type="#_x0000_t75" style="width:9.7pt;height:9.7pt" o:ole="">
            <v:imagedata r:id="rId897" o:title=""/>
          </v:shape>
          <o:OLEObject Type="Embed" ProgID="Equation.DSMT4" ShapeID="_x0000_i1298" DrawAspect="Content" ObjectID="_1438189110" r:id="rId898"/>
        </w:object>
      </w:r>
      <w:r w:rsidRPr="00F87319">
        <w:rPr>
          <w:sz w:val="20"/>
        </w:rPr>
        <w:t xml:space="preserve"> is the longitude of the perihelion, and substituting for </w:t>
      </w:r>
      <w:r w:rsidRPr="00F87319">
        <w:rPr>
          <w:i/>
          <w:sz w:val="20"/>
        </w:rPr>
        <w:t>T</w: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3060" w:dyaOrig="760">
          <v:shape id="_x0000_i1299" type="#_x0000_t75" style="width:153.1pt;height:38.1pt" o:ole="">
            <v:imagedata r:id="rId899" o:title=""/>
          </v:shape>
          <o:OLEObject Type="Embed" ProgID="Equation.DSMT4" ShapeID="_x0000_i1299" DrawAspect="Content" ObjectID="_1438189111" r:id="rId90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periodic part gives rise to only small periodic variations that can be neglected here.  What is of interest here is the secular variation, which builds progressively with time.  It comes from the time average value </w:t>
      </w:r>
      <w:proofErr w:type="gramStart"/>
      <w:r w:rsidRPr="00F87319">
        <w:rPr>
          <w:sz w:val="20"/>
        </w:rPr>
        <w:t xml:space="preserve">of </w:t>
      </w:r>
      <w:proofErr w:type="gramEnd"/>
      <w:r w:rsidRPr="00F87319">
        <w:rPr>
          <w:position w:val="-10"/>
          <w:sz w:val="20"/>
        </w:rPr>
        <w:object w:dxaOrig="820" w:dyaOrig="340">
          <v:shape id="_x0000_i1300" type="#_x0000_t75" style="width:41.15pt;height:17.55pt" o:ole="">
            <v:imagedata r:id="rId901" o:title=""/>
          </v:shape>
          <o:OLEObject Type="Embed" ProgID="Equation.DSMT4" ShapeID="_x0000_i1300" DrawAspect="Content" ObjectID="_1438189112" r:id="rId902"/>
        </w:object>
      </w:r>
      <w:r w:rsidRPr="00F87319">
        <w:rPr>
          <w:sz w:val="20"/>
        </w:rPr>
        <w:t xml:space="preserve">.  Time averages over elliptical motion can be found by integrating over one revolution.  Using </w:t>
      </w:r>
      <w:r w:rsidRPr="00F87319">
        <w:rPr>
          <w:position w:val="-10"/>
          <w:sz w:val="20"/>
        </w:rPr>
        <w:object w:dxaOrig="480" w:dyaOrig="279">
          <v:shape id="_x0000_i1301" type="#_x0000_t75" style="width:24.2pt;height:14.5pt" o:ole="">
            <v:imagedata r:id="rId903" o:title=""/>
          </v:shape>
          <o:OLEObject Type="Embed" ProgID="Equation.DSMT4" ShapeID="_x0000_i1301" DrawAspect="Content" ObjectID="_1438189113" r:id="rId904"/>
        </w:object>
      </w:r>
      <w:r w:rsidRPr="00F87319">
        <w:rPr>
          <w:sz w:val="20"/>
        </w:rPr>
        <w:t xml:space="preserve"> from (76) coupled with </w:t>
      </w:r>
      <w:r w:rsidRPr="00F87319">
        <w:rPr>
          <w:position w:val="-10"/>
          <w:sz w:val="20"/>
        </w:rPr>
        <w:object w:dxaOrig="499" w:dyaOrig="279">
          <v:shape id="_x0000_i1302" type="#_x0000_t75" style="width:24.8pt;height:14.5pt" o:ole="">
            <v:imagedata r:id="rId905" o:title=""/>
          </v:shape>
          <o:OLEObject Type="Embed" ProgID="Equation.DSMT4" ShapeID="_x0000_i1302" DrawAspect="Content" ObjectID="_1438189114" r:id="rId906"/>
        </w:object>
      </w:r>
      <w:r w:rsidRPr="00F87319">
        <w:rPr>
          <w:sz w:val="20"/>
        </w:rPr>
        <w:t xml:space="preserve"> from Danby’s Eq. (6.3.3)</w:t>
      </w:r>
      <w:proofErr w:type="gramStart"/>
      <w:r w:rsidRPr="00F87319">
        <w:rPr>
          <w:sz w:val="20"/>
        </w:rPr>
        <w:t>,</w:t>
      </w:r>
      <w:proofErr w:type="gramEnd"/>
      <w:r w:rsidRPr="00F87319">
        <w:rPr>
          <w:sz w:val="20"/>
        </w:rPr>
        <w:t xml:space="preserve"> we discover that the required time average is given by the expression</w:t>
      </w:r>
      <w:r w:rsidRPr="00F87319">
        <w:rPr>
          <w:position w:val="-20"/>
          <w:sz w:val="20"/>
        </w:rPr>
        <w:object w:dxaOrig="1280" w:dyaOrig="499">
          <v:shape id="_x0000_i1303" type="#_x0000_t75" style="width:63.55pt;height:24.8pt" o:ole="">
            <v:imagedata r:id="rId907" o:title=""/>
          </v:shape>
          <o:OLEObject Type="Embed" ProgID="Equation.DSMT4" ShapeID="_x0000_i1303" DrawAspect="Content" ObjectID="_1438189115" r:id="rId908"/>
        </w:object>
      </w:r>
      <w:r w:rsidRPr="00F87319">
        <w:rPr>
          <w:i/>
          <w:sz w:val="20"/>
        </w:rPr>
        <w:t>.</w:t>
      </w:r>
      <w:r w:rsidRPr="00F87319">
        <w:rPr>
          <w:sz w:val="20"/>
        </w:rPr>
        <w:t xml:space="preserve">  If the orbit was circular, the average </w:t>
      </w:r>
      <w:proofErr w:type="gramStart"/>
      <w:r w:rsidRPr="00F87319">
        <w:rPr>
          <w:sz w:val="20"/>
        </w:rPr>
        <w:t xml:space="preserve">of </w:t>
      </w:r>
      <w:proofErr w:type="gramEnd"/>
      <w:r w:rsidRPr="00F87319">
        <w:rPr>
          <w:position w:val="-10"/>
          <w:sz w:val="20"/>
        </w:rPr>
        <w:object w:dxaOrig="880" w:dyaOrig="340">
          <v:shape id="_x0000_i1304" type="#_x0000_t75" style="width:44.15pt;height:17.55pt" o:ole="">
            <v:imagedata r:id="rId909" o:title=""/>
          </v:shape>
          <o:OLEObject Type="Embed" ProgID="Equation.DSMT4" ShapeID="_x0000_i1304" DrawAspect="Content" ObjectID="_1438189116" r:id="rId910"/>
        </w:object>
      </w:r>
      <w:r w:rsidRPr="00F87319">
        <w:rPr>
          <w:sz w:val="20"/>
        </w:rPr>
        <w:t xml:space="preserve">, while the average of </w:t>
      </w:r>
      <w:r w:rsidRPr="00F87319">
        <w:rPr>
          <w:position w:val="-10"/>
          <w:sz w:val="20"/>
        </w:rPr>
        <w:object w:dxaOrig="960" w:dyaOrig="340">
          <v:shape id="_x0000_i1305" type="#_x0000_t75" style="width:47.8pt;height:17.55pt" o:ole="">
            <v:imagedata r:id="rId911" o:title=""/>
          </v:shape>
          <o:OLEObject Type="Embed" ProgID="Equation.DSMT4" ShapeID="_x0000_i1305" DrawAspect="Content" ObjectID="_1438189117" r:id="rId912"/>
        </w:object>
      </w:r>
      <w:r w:rsidRPr="00F87319">
        <w:rPr>
          <w:sz w:val="20"/>
        </w:rPr>
        <w:t>.  If we deal with elliptical orbits, the additional dependence on eccentricity becomes relevant.  If we now substitute these results back into (78) and simplify by using Kepler’s law for elliptical motion that states that</w:t>
      </w:r>
      <w:r w:rsidRPr="00F87319">
        <w:rPr>
          <w:position w:val="-8"/>
          <w:sz w:val="20"/>
        </w:rPr>
        <w:object w:dxaOrig="720" w:dyaOrig="320">
          <v:shape id="_x0000_i1306" type="#_x0000_t75" style="width:36.3pt;height:15.75pt" o:ole="">
            <v:imagedata r:id="rId913" o:title=""/>
          </v:shape>
          <o:OLEObject Type="Embed" ProgID="Equation.DSMT4" ShapeID="_x0000_i1306" DrawAspect="Content" ObjectID="_1438189118" r:id="rId914"/>
        </w:object>
      </w:r>
      <w:r w:rsidRPr="00F87319">
        <w:rPr>
          <w:sz w:val="20"/>
        </w:rPr>
        <w:t>, we arrive at the final formula for perihelion motion, namely that the secular change in perihelion longitude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36"/>
          <w:sz w:val="20"/>
        </w:rPr>
        <w:object w:dxaOrig="1860" w:dyaOrig="660">
          <v:shape id="_x0000_i1307" type="#_x0000_t75" style="width:93.2pt;height:33.3pt" o:ole="">
            <v:imagedata r:id="rId915" o:title=""/>
          </v:shape>
          <o:OLEObject Type="Embed" ProgID="Equation.DSMT4" ShapeID="_x0000_i1307" DrawAspect="Content" ObjectID="_1438189119" r:id="rId91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 final equality of </w:t>
      </w:r>
      <w:r w:rsidRPr="00F87319">
        <w:rPr>
          <w:i/>
          <w:sz w:val="20"/>
        </w:rPr>
        <w:t>3N</w:t>
      </w:r>
      <w:r w:rsidRPr="00F87319">
        <w:rPr>
          <w:sz w:val="20"/>
        </w:rPr>
        <w:t xml:space="preserve"> comes from (65), which is equivalent to Danby’s Eq. (4.5.7).  When the numerical values of the various parameters are inserted in (79), the quantity </w:t>
      </w:r>
      <w:r w:rsidRPr="00F87319">
        <w:rPr>
          <w:i/>
          <w:sz w:val="20"/>
        </w:rPr>
        <w:t>3N</w:t>
      </w:r>
      <w:r w:rsidRPr="00F87319">
        <w:rPr>
          <w:sz w:val="20"/>
        </w:rPr>
        <w:t xml:space="preserve"> equals 42.98” per century, well within the 1% measurement error mentioned by Van Flandern [59].</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present result comes solely from the slowing factor presented here and can be derived exactly.  By contrast, the GR result comes from juggling three different components using Riemannian geometry and elaborate tensor calculus.  Under these circumstances, it appears that the predictions of GR can be reproduced more cleanly by considering a scenario based on the action of the ZPE.  This is the fourth major prediction of Relativity that the SED approach has reproduced simply using the presence of a real ZPE.</w:t>
      </w:r>
    </w:p>
    <w:p w:rsidR="006D41BD" w:rsidRPr="00F87319" w:rsidRDefault="006D41BD" w:rsidP="006D41BD">
      <w:pPr>
        <w:pStyle w:val="NormPara"/>
        <w:ind w:firstLine="274"/>
        <w:rPr>
          <w:sz w:val="20"/>
        </w:rPr>
      </w:pPr>
      <w:r w:rsidRPr="00F87319">
        <w:rPr>
          <w:sz w:val="20"/>
        </w:rPr>
        <w:t xml:space="preserve">  </w:t>
      </w: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“Frame Dragging”</w:t>
      </w:r>
    </w:p>
    <w:p w:rsidR="006D41BD" w:rsidRPr="00F87319" w:rsidRDefault="006D41BD" w:rsidP="006D41BD">
      <w:pPr>
        <w:pStyle w:val="ListParagraph"/>
        <w:spacing w:before="120" w:after="120" w:line="240" w:lineRule="atLeast"/>
        <w:ind w:left="274"/>
        <w:jc w:val="both"/>
        <w:outlineLvl w:val="0"/>
        <w:rPr>
          <w:rFonts w:ascii="Book Antiqua" w:hAnsi="Book Antiqua"/>
          <w:b/>
          <w:sz w:val="20"/>
        </w:rPr>
      </w:pPr>
    </w:p>
    <w:p w:rsidR="00992BB4" w:rsidRDefault="006D41BD" w:rsidP="00992BB4">
      <w:pPr>
        <w:pStyle w:val="NormPara"/>
        <w:ind w:firstLine="720"/>
        <w:rPr>
          <w:bCs/>
          <w:iCs/>
          <w:color w:val="000000"/>
          <w:sz w:val="20"/>
        </w:rPr>
      </w:pPr>
      <w:r w:rsidRPr="00F87319">
        <w:rPr>
          <w:bCs/>
          <w:iCs/>
          <w:color w:val="000000"/>
          <w:sz w:val="20"/>
        </w:rPr>
        <w:t xml:space="preserve">General Relativity predicts a number of other more minor effects.  One which has recently been verified as actually occurring is called </w:t>
      </w:r>
      <w:r w:rsidR="00992BB4">
        <w:rPr>
          <w:bCs/>
          <w:iCs/>
          <w:color w:val="000000"/>
          <w:sz w:val="20"/>
        </w:rPr>
        <w:t>“</w:t>
      </w:r>
      <w:r w:rsidRPr="00F87319">
        <w:rPr>
          <w:bCs/>
          <w:iCs/>
          <w:color w:val="000000"/>
          <w:sz w:val="20"/>
        </w:rPr>
        <w:t>frame dragging.</w:t>
      </w:r>
      <w:r w:rsidR="00992BB4">
        <w:rPr>
          <w:bCs/>
          <w:iCs/>
          <w:color w:val="000000"/>
          <w:sz w:val="20"/>
        </w:rPr>
        <w:t>” It may be explained this way. When you see a spinning top, the spin axis – the</w:t>
      </w:r>
      <w:r w:rsidR="00327C28">
        <w:rPr>
          <w:bCs/>
          <w:iCs/>
          <w:color w:val="000000"/>
          <w:sz w:val="20"/>
        </w:rPr>
        <w:t xml:space="preserve"> center of the uppermost part of the top </w:t>
      </w:r>
      <w:r w:rsidR="00992BB4">
        <w:rPr>
          <w:bCs/>
          <w:iCs/>
          <w:color w:val="000000"/>
          <w:sz w:val="20"/>
        </w:rPr>
        <w:t xml:space="preserve">– traces a circle if the spinning top is given a slight push.  It does not stay strictly vertical.  This motion of the spin axis is called precession.  In a strong gravitational field, we see the same thing happening to smaller spinning objects in space.  </w:t>
      </w:r>
      <w:r w:rsidR="00992BB4" w:rsidRPr="00F87319">
        <w:rPr>
          <w:bCs/>
          <w:iCs/>
          <w:color w:val="000000"/>
          <w:sz w:val="20"/>
        </w:rPr>
        <w:t xml:space="preserve">In other words, when a small, spinning object is in orbit about another massive object, a small torque is generated which causes the spin axis of the rotating body to precess. </w:t>
      </w:r>
      <w:r w:rsidR="00992BB4">
        <w:rPr>
          <w:bCs/>
          <w:iCs/>
          <w:color w:val="000000"/>
          <w:sz w:val="20"/>
        </w:rPr>
        <w:t xml:space="preserve">This is referred to as “frame dragging.”  </w:t>
      </w:r>
    </w:p>
    <w:p w:rsidR="00992BB4" w:rsidRDefault="00992BB4" w:rsidP="00992BB4">
      <w:pPr>
        <w:pStyle w:val="NormPara"/>
        <w:ind w:firstLine="720"/>
        <w:rPr>
          <w:bCs/>
          <w:iCs/>
          <w:color w:val="000000"/>
          <w:sz w:val="20"/>
        </w:rPr>
      </w:pPr>
    </w:p>
    <w:p w:rsidR="00992BB4" w:rsidRDefault="00992BB4" w:rsidP="00992BB4">
      <w:pPr>
        <w:pStyle w:val="NormPara"/>
        <w:ind w:firstLine="720"/>
        <w:rPr>
          <w:bCs/>
          <w:iCs/>
          <w:color w:val="000000"/>
          <w:sz w:val="20"/>
        </w:rPr>
      </w:pPr>
      <w:r>
        <w:rPr>
          <w:bCs/>
          <w:iCs/>
          <w:color w:val="000000"/>
          <w:sz w:val="20"/>
        </w:rPr>
        <w:t>This motion is predicted by General Relativity. It</w:t>
      </w:r>
      <w:r w:rsidRPr="00F87319">
        <w:rPr>
          <w:bCs/>
          <w:iCs/>
          <w:color w:val="000000"/>
          <w:sz w:val="20"/>
        </w:rPr>
        <w:t xml:space="preserve"> is also called the Lense-Thirring effect after the two physicists who noticed this outcome of Einstein’s equations</w:t>
      </w:r>
      <w:r>
        <w:rPr>
          <w:bCs/>
          <w:iCs/>
          <w:color w:val="000000"/>
          <w:sz w:val="20"/>
        </w:rPr>
        <w:t xml:space="preserve"> in 1918</w:t>
      </w:r>
      <w:r w:rsidRPr="00F87319">
        <w:rPr>
          <w:bCs/>
          <w:iCs/>
          <w:color w:val="000000"/>
          <w:sz w:val="20"/>
        </w:rPr>
        <w:t>.</w:t>
      </w:r>
      <w:r>
        <w:rPr>
          <w:bCs/>
          <w:iCs/>
          <w:color w:val="000000"/>
          <w:sz w:val="20"/>
        </w:rPr>
        <w:t xml:space="preserve"> In 1960, Schiff proposed testing for the effect using orbiting gyroscopes. </w:t>
      </w:r>
      <w:r w:rsidRPr="00F87319">
        <w:rPr>
          <w:bCs/>
          <w:iCs/>
          <w:color w:val="000000"/>
          <w:sz w:val="20"/>
        </w:rPr>
        <w:t xml:space="preserve">The technical GR definition </w:t>
      </w:r>
      <w:r>
        <w:rPr>
          <w:bCs/>
          <w:iCs/>
          <w:color w:val="000000"/>
          <w:sz w:val="20"/>
        </w:rPr>
        <w:t>states</w:t>
      </w:r>
      <w:r w:rsidRPr="00F87319">
        <w:rPr>
          <w:bCs/>
          <w:iCs/>
          <w:color w:val="000000"/>
          <w:sz w:val="20"/>
        </w:rPr>
        <w:t xml:space="preserve"> </w:t>
      </w:r>
      <w:r>
        <w:rPr>
          <w:bCs/>
          <w:iCs/>
          <w:color w:val="000000"/>
          <w:sz w:val="20"/>
        </w:rPr>
        <w:t xml:space="preserve">that </w:t>
      </w:r>
      <w:r w:rsidRPr="00F87319">
        <w:rPr>
          <w:bCs/>
          <w:iCs/>
          <w:color w:val="000000"/>
          <w:sz w:val="20"/>
        </w:rPr>
        <w:t xml:space="preserve">this effect </w:t>
      </w:r>
      <w:r>
        <w:rPr>
          <w:bCs/>
          <w:iCs/>
          <w:color w:val="000000"/>
          <w:sz w:val="20"/>
        </w:rPr>
        <w:t xml:space="preserve">occurs </w:t>
      </w:r>
      <w:r w:rsidRPr="00F87319">
        <w:rPr>
          <w:bCs/>
          <w:iCs/>
          <w:color w:val="000000"/>
          <w:sz w:val="20"/>
        </w:rPr>
        <w:t xml:space="preserve">when the </w:t>
      </w:r>
      <w:r w:rsidRPr="00A671E2">
        <w:rPr>
          <w:bCs/>
          <w:i/>
          <w:iCs/>
          <w:color w:val="000000"/>
          <w:sz w:val="20"/>
        </w:rPr>
        <w:t>“inertial frame for the axis of a rotating body is dragged by the curvature of space-time.”</w:t>
      </w:r>
      <w:r w:rsidRPr="00F87319">
        <w:rPr>
          <w:bCs/>
          <w:iCs/>
          <w:color w:val="000000"/>
          <w:sz w:val="20"/>
        </w:rPr>
        <w:t xml:space="preserve"> In GR, the curvature of space-time</w:t>
      </w:r>
      <w:r w:rsidR="00327C28">
        <w:rPr>
          <w:bCs/>
          <w:iCs/>
          <w:color w:val="000000"/>
          <w:sz w:val="20"/>
        </w:rPr>
        <w:t xml:space="preserve"> is caused by the presence of a mass; the </w:t>
      </w:r>
      <w:r w:rsidR="00DF24DE">
        <w:rPr>
          <w:bCs/>
          <w:iCs/>
          <w:color w:val="000000"/>
          <w:sz w:val="20"/>
        </w:rPr>
        <w:t>greater the mass is, t</w:t>
      </w:r>
      <w:r w:rsidR="00327C28">
        <w:rPr>
          <w:bCs/>
          <w:iCs/>
          <w:color w:val="000000"/>
          <w:sz w:val="20"/>
        </w:rPr>
        <w:t xml:space="preserve">he greater the curvature of space-time. </w:t>
      </w:r>
      <w:r w:rsidR="00DF24DE">
        <w:rPr>
          <w:bCs/>
          <w:iCs/>
          <w:color w:val="000000"/>
          <w:sz w:val="20"/>
        </w:rPr>
        <w:t xml:space="preserve">But space-time might </w:t>
      </w:r>
      <w:r w:rsidR="007E6DA9">
        <w:rPr>
          <w:bCs/>
          <w:iCs/>
          <w:color w:val="000000"/>
          <w:sz w:val="20"/>
        </w:rPr>
        <w:t xml:space="preserve">also </w:t>
      </w:r>
      <w:r w:rsidR="00DF24DE">
        <w:rPr>
          <w:bCs/>
          <w:iCs/>
          <w:color w:val="000000"/>
          <w:sz w:val="20"/>
        </w:rPr>
        <w:t>be considered to be “rubbery,”and so offer a resistance</w:t>
      </w:r>
      <w:r w:rsidR="007E6DA9">
        <w:rPr>
          <w:bCs/>
          <w:iCs/>
          <w:color w:val="000000"/>
          <w:sz w:val="20"/>
        </w:rPr>
        <w:t>,</w:t>
      </w:r>
      <w:r w:rsidR="00DF24DE">
        <w:rPr>
          <w:bCs/>
          <w:iCs/>
          <w:color w:val="000000"/>
          <w:sz w:val="20"/>
        </w:rPr>
        <w:t xml:space="preserve"> or ‘drag</w:t>
      </w:r>
      <w:r w:rsidR="007E6DA9">
        <w:rPr>
          <w:bCs/>
          <w:iCs/>
          <w:color w:val="000000"/>
          <w:sz w:val="20"/>
        </w:rPr>
        <w:t>,</w:t>
      </w:r>
      <w:r w:rsidR="00DF24DE">
        <w:rPr>
          <w:bCs/>
          <w:iCs/>
          <w:color w:val="000000"/>
          <w:sz w:val="20"/>
        </w:rPr>
        <w:t xml:space="preserve">’ or torque to the object spinning in its gravitational field. This causes the axis of this object to precess. The larger the massive object, the </w:t>
      </w:r>
      <w:r w:rsidRPr="00F87319">
        <w:rPr>
          <w:bCs/>
          <w:iCs/>
          <w:color w:val="000000"/>
          <w:sz w:val="20"/>
        </w:rPr>
        <w:t>greater the frame dragging (</w:t>
      </w:r>
      <w:r w:rsidR="00DF24DE">
        <w:rPr>
          <w:bCs/>
          <w:iCs/>
          <w:color w:val="000000"/>
          <w:sz w:val="20"/>
        </w:rPr>
        <w:t xml:space="preserve">and hence </w:t>
      </w:r>
      <w:r w:rsidRPr="00F87319">
        <w:rPr>
          <w:sz w:val="20"/>
        </w:rPr>
        <w:t>precession</w:t>
      </w:r>
      <w:r w:rsidRPr="00F87319">
        <w:rPr>
          <w:bCs/>
          <w:iCs/>
          <w:color w:val="000000"/>
          <w:sz w:val="20"/>
        </w:rPr>
        <w:t>) effect</w:t>
      </w:r>
    </w:p>
    <w:p w:rsidR="007E6DA9" w:rsidRDefault="007E6DA9" w:rsidP="00992BB4">
      <w:pPr>
        <w:pStyle w:val="NormPara"/>
        <w:ind w:firstLine="72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However, </w:t>
      </w:r>
      <w:r w:rsidRPr="00F87319">
        <w:rPr>
          <w:sz w:val="20"/>
        </w:rPr>
        <w:t>exactly</w:t>
      </w:r>
      <w:r w:rsidRPr="00F87319">
        <w:rPr>
          <w:bCs/>
          <w:iCs/>
          <w:color w:val="000000"/>
          <w:sz w:val="20"/>
        </w:rPr>
        <w:t xml:space="preserve"> the same effect occurs with the ZPE.  Instead of the words </w:t>
      </w:r>
      <w:r w:rsidRPr="00A671E2">
        <w:rPr>
          <w:bCs/>
          <w:i/>
          <w:iCs/>
          <w:color w:val="000000"/>
          <w:sz w:val="20"/>
        </w:rPr>
        <w:t>“curvature of space-time”</w:t>
      </w:r>
      <w:r w:rsidRPr="00A671E2">
        <w:rPr>
          <w:bCs/>
          <w:iCs/>
          <w:color w:val="000000"/>
          <w:sz w:val="20"/>
        </w:rPr>
        <w:t>,</w:t>
      </w:r>
      <w:r w:rsidRPr="00F87319">
        <w:rPr>
          <w:bCs/>
          <w:iCs/>
          <w:color w:val="000000"/>
          <w:sz w:val="20"/>
        </w:rPr>
        <w:t xml:space="preserve"> we can substitute the words </w:t>
      </w:r>
      <w:r w:rsidRPr="00A671E2">
        <w:rPr>
          <w:bCs/>
          <w:i/>
          <w:iCs/>
          <w:color w:val="000000"/>
          <w:sz w:val="20"/>
        </w:rPr>
        <w:t>“ZPE strength</w:t>
      </w:r>
      <w:r w:rsidR="007E6DA9">
        <w:rPr>
          <w:bCs/>
          <w:i/>
          <w:iCs/>
          <w:color w:val="000000"/>
          <w:sz w:val="20"/>
        </w:rPr>
        <w:t>.</w:t>
      </w:r>
      <w:r w:rsidRPr="00A671E2">
        <w:rPr>
          <w:bCs/>
          <w:i/>
          <w:iCs/>
          <w:color w:val="000000"/>
          <w:sz w:val="20"/>
        </w:rPr>
        <w:t>”</w:t>
      </w:r>
      <w:r w:rsidRPr="00F87319">
        <w:rPr>
          <w:bCs/>
          <w:iCs/>
          <w:color w:val="000000"/>
          <w:sz w:val="20"/>
        </w:rPr>
        <w:t xml:space="preserve"> The more massive the body, the stronger the ZPE </w:t>
      </w:r>
      <w:r w:rsidR="007E6DA9">
        <w:rPr>
          <w:bCs/>
          <w:iCs/>
          <w:color w:val="000000"/>
          <w:sz w:val="20"/>
        </w:rPr>
        <w:t xml:space="preserve">will be locally </w:t>
      </w:r>
      <w:r w:rsidRPr="00F87319">
        <w:rPr>
          <w:bCs/>
          <w:iCs/>
          <w:color w:val="000000"/>
          <w:sz w:val="20"/>
        </w:rPr>
        <w:t>due to secondary radiation emitted by the</w:t>
      </w:r>
      <w:r>
        <w:rPr>
          <w:bCs/>
          <w:iCs/>
          <w:color w:val="000000"/>
          <w:sz w:val="20"/>
        </w:rPr>
        <w:t>se</w:t>
      </w:r>
      <w:r w:rsidRPr="00F87319">
        <w:rPr>
          <w:bCs/>
          <w:iCs/>
          <w:color w:val="000000"/>
          <w:sz w:val="20"/>
        </w:rPr>
        <w:t xml:space="preserve"> oscillating charges.  The small spinning body is </w:t>
      </w:r>
      <w:r>
        <w:rPr>
          <w:bCs/>
          <w:iCs/>
          <w:color w:val="000000"/>
          <w:sz w:val="20"/>
        </w:rPr>
        <w:t xml:space="preserve">then </w:t>
      </w:r>
      <w:r w:rsidRPr="00F87319">
        <w:rPr>
          <w:bCs/>
          <w:iCs/>
          <w:color w:val="000000"/>
          <w:sz w:val="20"/>
        </w:rPr>
        <w:t>moving through the medium of the ZPE as it orbits the massive object</w:t>
      </w:r>
      <w:r>
        <w:rPr>
          <w:bCs/>
          <w:iCs/>
          <w:color w:val="000000"/>
          <w:sz w:val="20"/>
        </w:rPr>
        <w:t>.</w:t>
      </w:r>
      <w:r w:rsidRPr="00F87319">
        <w:rPr>
          <w:bCs/>
          <w:iCs/>
          <w:color w:val="000000"/>
          <w:sz w:val="20"/>
        </w:rPr>
        <w:t xml:space="preserve"> </w:t>
      </w:r>
      <w:r>
        <w:rPr>
          <w:bCs/>
          <w:iCs/>
          <w:color w:val="000000"/>
          <w:sz w:val="20"/>
        </w:rPr>
        <w:t xml:space="preserve">The </w:t>
      </w:r>
      <w:r w:rsidR="00075F78">
        <w:rPr>
          <w:bCs/>
          <w:iCs/>
          <w:color w:val="000000"/>
          <w:sz w:val="20"/>
        </w:rPr>
        <w:t xml:space="preserve">large amount of </w:t>
      </w:r>
      <w:r>
        <w:rPr>
          <w:bCs/>
          <w:iCs/>
          <w:color w:val="000000"/>
          <w:sz w:val="20"/>
        </w:rPr>
        <w:t>secondary radiation</w:t>
      </w:r>
      <w:r w:rsidRPr="00F87319">
        <w:rPr>
          <w:bCs/>
          <w:iCs/>
          <w:color w:val="000000"/>
          <w:sz w:val="20"/>
        </w:rPr>
        <w:t xml:space="preserve"> means that the number of virtual particles in a given volume is correspondingly larger</w:t>
      </w:r>
      <w:r w:rsidR="007E6DA9">
        <w:rPr>
          <w:bCs/>
          <w:iCs/>
          <w:color w:val="000000"/>
          <w:sz w:val="20"/>
        </w:rPr>
        <w:t xml:space="preserve">. </w:t>
      </w:r>
      <w:r w:rsidRPr="00F87319">
        <w:rPr>
          <w:bCs/>
          <w:iCs/>
          <w:color w:val="000000"/>
          <w:sz w:val="20"/>
        </w:rPr>
        <w:t xml:space="preserve">As a result, the small spinning body in its orbit is moving ballistically through </w:t>
      </w:r>
      <w:r w:rsidRPr="00F87319">
        <w:rPr>
          <w:bCs/>
          <w:iCs/>
          <w:color w:val="000000"/>
          <w:sz w:val="20"/>
        </w:rPr>
        <w:lastRenderedPageBreak/>
        <w:t xml:space="preserve">this thick cloud of virtual particles.  </w:t>
      </w:r>
      <w:r>
        <w:rPr>
          <w:bCs/>
          <w:iCs/>
          <w:color w:val="000000"/>
          <w:sz w:val="20"/>
        </w:rPr>
        <w:t>They</w:t>
      </w:r>
      <w:r w:rsidRPr="00F87319">
        <w:rPr>
          <w:bCs/>
          <w:iCs/>
          <w:color w:val="000000"/>
          <w:sz w:val="20"/>
        </w:rPr>
        <w:t xml:space="preserve"> generate a resistance which is equivalent to a small torque.  The effect of this torque is to cause a precession of the spin axis of the smaller object, in the same way that a small torque applied to a spinning top will cause it to precess.</w:t>
      </w:r>
    </w:p>
    <w:p w:rsidR="00992BB4" w:rsidRPr="00F87319" w:rsidRDefault="00992BB4" w:rsidP="00992BB4">
      <w:pPr>
        <w:pStyle w:val="NormPara"/>
        <w:ind w:firstLine="72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An experiment was done with the </w:t>
      </w:r>
      <w:r w:rsidRPr="00F87319">
        <w:rPr>
          <w:sz w:val="20"/>
        </w:rPr>
        <w:t>Gravity</w:t>
      </w:r>
      <w:r w:rsidRPr="00F87319">
        <w:rPr>
          <w:bCs/>
          <w:iCs/>
          <w:color w:val="000000"/>
          <w:sz w:val="20"/>
        </w:rPr>
        <w:t xml:space="preserve"> Probe B in polar orbit.  </w:t>
      </w:r>
      <w:r>
        <w:rPr>
          <w:bCs/>
          <w:iCs/>
          <w:color w:val="000000"/>
          <w:sz w:val="20"/>
        </w:rPr>
        <w:t>T</w:t>
      </w:r>
      <w:r w:rsidRPr="00F87319">
        <w:rPr>
          <w:bCs/>
          <w:iCs/>
          <w:color w:val="000000"/>
          <w:sz w:val="20"/>
        </w:rPr>
        <w:t xml:space="preserve">he space craft’s gyroscopes </w:t>
      </w:r>
      <w:r>
        <w:rPr>
          <w:bCs/>
          <w:iCs/>
          <w:color w:val="000000"/>
          <w:sz w:val="20"/>
        </w:rPr>
        <w:t xml:space="preserve">were </w:t>
      </w:r>
      <w:r w:rsidRPr="00F87319">
        <w:rPr>
          <w:bCs/>
          <w:iCs/>
          <w:color w:val="000000"/>
          <w:sz w:val="20"/>
        </w:rPr>
        <w:t xml:space="preserve">aligned to point precisely at the star IM Pegasi (HR 8703).  The deviations of the </w:t>
      </w:r>
      <w:r w:rsidRPr="00F87319">
        <w:rPr>
          <w:bCs/>
          <w:iCs/>
          <w:sz w:val="20"/>
        </w:rPr>
        <w:t>gyroscopes, due to precession, were noted.  The results were announced in June 2011 by C. W. F. Everitt et al [65].  The results agreed with GR theory to within 10%.  The LARES satellite, launched 13 February 2012, is</w:t>
      </w:r>
      <w:r w:rsidRPr="00F87319">
        <w:rPr>
          <w:bCs/>
          <w:iCs/>
          <w:color w:val="000000"/>
          <w:sz w:val="20"/>
        </w:rPr>
        <w:t xml:space="preserve"> hoped to give results to within 1%, though this accuracy may not be attained.</w:t>
      </w:r>
    </w:p>
    <w:p w:rsidR="00992BB4" w:rsidRPr="00F87319" w:rsidRDefault="00992BB4" w:rsidP="00992BB4">
      <w:pPr>
        <w:pStyle w:val="NormPara"/>
        <w:ind w:firstLine="27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These experimental results certainly confirm GR theory. However, </w:t>
      </w:r>
      <w:r w:rsidR="00075F78">
        <w:rPr>
          <w:bCs/>
          <w:iCs/>
          <w:color w:val="000000"/>
          <w:sz w:val="20"/>
        </w:rPr>
        <w:t xml:space="preserve">it also confirms </w:t>
      </w:r>
      <w:r w:rsidRPr="00F87319">
        <w:rPr>
          <w:bCs/>
          <w:iCs/>
          <w:color w:val="000000"/>
          <w:sz w:val="20"/>
        </w:rPr>
        <w:t>SED theory, usi</w:t>
      </w:r>
      <w:r w:rsidR="007E6DA9">
        <w:rPr>
          <w:bCs/>
          <w:iCs/>
          <w:color w:val="000000"/>
          <w:sz w:val="20"/>
        </w:rPr>
        <w:t>ng a real Zero Point Energy</w:t>
      </w:r>
      <w:r w:rsidR="00075F78">
        <w:rPr>
          <w:bCs/>
          <w:iCs/>
          <w:color w:val="000000"/>
          <w:sz w:val="20"/>
        </w:rPr>
        <w:t xml:space="preserve">. Furthermore it does so intuitively, </w:t>
      </w:r>
      <w:r w:rsidR="007E6DA9">
        <w:rPr>
          <w:bCs/>
          <w:iCs/>
          <w:color w:val="000000"/>
          <w:sz w:val="20"/>
        </w:rPr>
        <w:t>while</w:t>
      </w:r>
      <w:r w:rsidRPr="00F87319">
        <w:rPr>
          <w:bCs/>
          <w:iCs/>
          <w:color w:val="000000"/>
          <w:sz w:val="20"/>
        </w:rPr>
        <w:t xml:space="preserve"> avoid</w:t>
      </w:r>
      <w:r w:rsidR="007E6DA9">
        <w:rPr>
          <w:bCs/>
          <w:iCs/>
          <w:color w:val="000000"/>
          <w:sz w:val="20"/>
        </w:rPr>
        <w:t>ing</w:t>
      </w:r>
      <w:r w:rsidRPr="00F87319">
        <w:rPr>
          <w:bCs/>
          <w:iCs/>
          <w:color w:val="000000"/>
          <w:sz w:val="20"/>
        </w:rPr>
        <w:t xml:space="preserve"> the complicated dragging of </w:t>
      </w:r>
      <w:r>
        <w:rPr>
          <w:bCs/>
          <w:iCs/>
          <w:color w:val="000000"/>
          <w:sz w:val="20"/>
        </w:rPr>
        <w:t xml:space="preserve">a </w:t>
      </w:r>
      <w:r w:rsidRPr="00F87319">
        <w:rPr>
          <w:bCs/>
          <w:iCs/>
          <w:color w:val="000000"/>
          <w:sz w:val="20"/>
        </w:rPr>
        <w:t>rubbery space-time</w:t>
      </w:r>
      <w:r w:rsidR="00075F78">
        <w:rPr>
          <w:bCs/>
          <w:iCs/>
          <w:color w:val="000000"/>
          <w:sz w:val="20"/>
        </w:rPr>
        <w:t xml:space="preserve">. </w:t>
      </w:r>
      <w:r w:rsidRPr="00F87319">
        <w:rPr>
          <w:bCs/>
          <w:iCs/>
          <w:color w:val="000000"/>
          <w:sz w:val="20"/>
        </w:rPr>
        <w:t>This is a distinct advantage.</w:t>
      </w:r>
    </w:p>
    <w:p w:rsidR="006D41BD" w:rsidRPr="00F87319" w:rsidRDefault="006D41BD" w:rsidP="00992BB4">
      <w:pPr>
        <w:pStyle w:val="NormPara"/>
        <w:ind w:firstLine="720"/>
        <w:rPr>
          <w:bCs/>
          <w:iCs/>
          <w:color w:val="000000"/>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Gravitational Waves</w:t>
      </w:r>
    </w:p>
    <w:p w:rsidR="006D41BD" w:rsidRPr="00F87319" w:rsidRDefault="006D41BD" w:rsidP="006D41BD">
      <w:pPr>
        <w:pStyle w:val="NormPara"/>
        <w:ind w:firstLine="270"/>
        <w:rPr>
          <w:sz w:val="20"/>
        </w:rPr>
      </w:pPr>
    </w:p>
    <w:p w:rsidR="00833243" w:rsidRPr="00F87319" w:rsidRDefault="00833243" w:rsidP="00833243">
      <w:pPr>
        <w:pStyle w:val="NormPara"/>
        <w:ind w:firstLine="720"/>
        <w:rPr>
          <w:sz w:val="20"/>
        </w:rPr>
      </w:pPr>
      <w:r w:rsidRPr="00F87319">
        <w:rPr>
          <w:sz w:val="20"/>
        </w:rPr>
        <w:t xml:space="preserve">Our solar system is moving through space at about 12 miles per second (or 45,000 miles per hour) in the direction of Lamda Herculis.  This movement is rather like a boat on water.  In the same way that a boat has a bow shock-wave in front of it, so, too, </w:t>
      </w:r>
      <w:r>
        <w:rPr>
          <w:sz w:val="20"/>
        </w:rPr>
        <w:t>do the planets and sun in our solar system produce shock waves in their movements</w:t>
      </w:r>
      <w:r w:rsidRPr="00F87319">
        <w:rPr>
          <w:sz w:val="20"/>
        </w:rPr>
        <w:t xml:space="preserve">.  </w:t>
      </w:r>
      <w:r>
        <w:rPr>
          <w:sz w:val="20"/>
        </w:rPr>
        <w:t xml:space="preserve">As the Sun moves ‘forward,’ it </w:t>
      </w:r>
      <w:r w:rsidRPr="00F87319">
        <w:rPr>
          <w:sz w:val="20"/>
        </w:rPr>
        <w:t xml:space="preserve">effectively encounters more Zero Point Energy (ZPE) waves and the associated charged virtual particle pairs from this direction than if it had been at rest since it is “running into” them.  Thus the ZPE appears stronger in that direction than in the opposite direction.  Second, there will be a bow shock-wave from the additional ions and plasma particles that the </w:t>
      </w:r>
      <w:r>
        <w:rPr>
          <w:sz w:val="20"/>
        </w:rPr>
        <w:t xml:space="preserve">entire </w:t>
      </w:r>
      <w:r w:rsidRPr="00F87319">
        <w:rPr>
          <w:sz w:val="20"/>
        </w:rPr>
        <w:t>solar system encounters from that direction.  These ions and electrons will augment the charged virtual particle pairs that normally comprise the vacuum, and they, too, will make for a more “viscous” or “thicker” vacuum.</w:t>
      </w:r>
    </w:p>
    <w:p w:rsidR="00833243" w:rsidRPr="00F87319" w:rsidRDefault="00833243" w:rsidP="00833243">
      <w:pPr>
        <w:pStyle w:val="NormPara"/>
        <w:ind w:firstLine="720"/>
        <w:rPr>
          <w:sz w:val="20"/>
        </w:rPr>
      </w:pPr>
    </w:p>
    <w:p w:rsidR="00833243" w:rsidRPr="00F87319" w:rsidRDefault="00833243" w:rsidP="00833243">
      <w:pPr>
        <w:pStyle w:val="NormPara"/>
        <w:ind w:firstLine="720"/>
        <w:rPr>
          <w:sz w:val="20"/>
        </w:rPr>
      </w:pPr>
      <w:r w:rsidRPr="00F87319">
        <w:rPr>
          <w:sz w:val="20"/>
        </w:rPr>
        <w:t>The “bow waves” generated by the solar system motion through the virtual particle pairs inhabiting the vacuum will have their smaller counterparts with any orbiting body.  Since the waves are occurring in charged particles which are set in motion, these waves are effectively electromagnetic waves, but they will be of long wavelength.  Since this type of wave is generated by all orbiting bodies, it is the ZPE counterpart to the gravitational waves which relativity considers to be “disturbances of space-time”.  In the ZPE model, the disturbance of space-time is simply a disturbance of virtual particle pairs and/or the waves of the ZPE.</w:t>
      </w:r>
    </w:p>
    <w:p w:rsidR="006D41BD" w:rsidRPr="00F87319" w:rsidRDefault="006D41BD" w:rsidP="006D41BD">
      <w:pPr>
        <w:pStyle w:val="NormPara"/>
        <w:ind w:firstLine="720"/>
        <w:rPr>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Cyclic Variations in Atomic Clocks</w:t>
      </w:r>
    </w:p>
    <w:p w:rsidR="006D41BD" w:rsidRPr="00F87319" w:rsidRDefault="006D41BD" w:rsidP="006D41BD">
      <w:pPr>
        <w:jc w:val="both"/>
        <w:rPr>
          <w:rFonts w:ascii="Book Antiqua" w:hAnsi="Book Antiqua"/>
          <w:color w:val="7030A0"/>
        </w:rPr>
      </w:pPr>
    </w:p>
    <w:p w:rsidR="00835830" w:rsidRPr="004116F4" w:rsidRDefault="00835830" w:rsidP="00835830">
      <w:pPr>
        <w:pStyle w:val="NoSpacing"/>
        <w:ind w:firstLine="720"/>
        <w:jc w:val="both"/>
        <w:rPr>
          <w:rFonts w:ascii="Book Antiqua" w:hAnsi="Book Antiqua"/>
          <w:sz w:val="20"/>
        </w:rPr>
      </w:pPr>
      <w:r>
        <w:rPr>
          <w:rFonts w:ascii="Book Antiqua" w:hAnsi="Book Antiqua"/>
          <w:sz w:val="20"/>
        </w:rPr>
        <w:t xml:space="preserve">Pulsars are stars that send out electromagnetic pulses at very regular but extremely short intervals.  </w:t>
      </w:r>
      <w:r w:rsidRPr="004116F4">
        <w:rPr>
          <w:rFonts w:ascii="Book Antiqua" w:hAnsi="Book Antiqua"/>
          <w:sz w:val="20"/>
        </w:rPr>
        <w:t>In a paper published in 1995, Charles M Hill noted in his abstract that “</w:t>
      </w:r>
      <w:r w:rsidRPr="004116F4">
        <w:rPr>
          <w:rFonts w:ascii="Book Antiqua" w:hAnsi="Book Antiqua"/>
          <w:i/>
          <w:sz w:val="20"/>
        </w:rPr>
        <w:t>The pulse rates of some millisecond pulsars have long term stabilities that rival our best atomic clocks. Furthermore, the pulsars are not affected by the dynamics of our solar system, which produce cyclic variations in earth based atomic time standards</w:t>
      </w:r>
      <w:r w:rsidRPr="004116F4">
        <w:rPr>
          <w:rFonts w:ascii="Book Antiqua" w:hAnsi="Book Antiqua"/>
          <w:sz w:val="20"/>
        </w:rPr>
        <w:t xml:space="preserve">.” </w:t>
      </w:r>
      <w:r>
        <w:rPr>
          <w:rFonts w:ascii="Book Antiqua" w:hAnsi="Book Antiqua"/>
          <w:sz w:val="20"/>
        </w:rPr>
        <w:t>(</w:t>
      </w:r>
      <w:r w:rsidRPr="004116F4">
        <w:rPr>
          <w:rFonts w:ascii="Book Antiqua" w:hAnsi="Book Antiqua"/>
          <w:sz w:val="20"/>
        </w:rPr>
        <w:t>Problems posed by pulsars are discussed in Appendix D.</w:t>
      </w:r>
      <w:r>
        <w:rPr>
          <w:rFonts w:ascii="Book Antiqua" w:hAnsi="Book Antiqua"/>
          <w:sz w:val="20"/>
        </w:rPr>
        <w:t>)</w:t>
      </w:r>
      <w:r w:rsidRPr="004116F4">
        <w:rPr>
          <w:rFonts w:ascii="Book Antiqua" w:hAnsi="Book Antiqua"/>
          <w:sz w:val="20"/>
        </w:rPr>
        <w:t xml:space="preserve"> Hill goes on in his article to point out that the comparison between pulsars and atomic clocks shows </w:t>
      </w:r>
      <w:r w:rsidRPr="004116F4">
        <w:rPr>
          <w:rFonts w:ascii="Book Antiqua" w:hAnsi="Book Antiqua"/>
          <w:i/>
          <w:sz w:val="20"/>
        </w:rPr>
        <w:t>“... there is a diurnal variation about the average value … The cumulative effect produces an atomic clock reading that is “slow” by about 2.1 µs at 6 a.m. and “fast” by the same amount at 6 p.m. local time, and the effect can be significantly larger for atomic clocks aboard satellites. ... [the atomic] clock’s variable speed ... cycles daily with a small seasonal modulation</w:t>
      </w:r>
      <w:r w:rsidRPr="004116F4">
        <w:rPr>
          <w:rFonts w:ascii="Book Antiqua" w:hAnsi="Book Antiqua"/>
          <w:sz w:val="20"/>
        </w:rPr>
        <w:t>.” [66]</w:t>
      </w:r>
    </w:p>
    <w:p w:rsidR="00835830" w:rsidRPr="00F87319" w:rsidRDefault="00835830" w:rsidP="00835830">
      <w:pPr>
        <w:pStyle w:val="NoSpacing"/>
        <w:jc w:val="both"/>
        <w:rPr>
          <w:color w:val="7030A0"/>
        </w:rPr>
      </w:pPr>
    </w:p>
    <w:p w:rsidR="00835830" w:rsidRPr="005324A0" w:rsidRDefault="00835830" w:rsidP="00835830">
      <w:pPr>
        <w:pStyle w:val="NoSpacing"/>
        <w:ind w:firstLine="720"/>
        <w:jc w:val="both"/>
        <w:rPr>
          <w:rFonts w:ascii="Book Antiqua" w:hAnsi="Book Antiqua"/>
          <w:sz w:val="20"/>
        </w:rPr>
      </w:pPr>
      <w:r>
        <w:rPr>
          <w:rFonts w:ascii="Book Antiqua" w:hAnsi="Book Antiqua"/>
          <w:sz w:val="20"/>
        </w:rPr>
        <w:t>The explanation given in General Relativity is quite complicated.  In contrast, the</w:t>
      </w:r>
      <w:r w:rsidRPr="005324A0">
        <w:rPr>
          <w:rFonts w:ascii="Book Antiqua" w:hAnsi="Book Antiqua"/>
          <w:sz w:val="20"/>
        </w:rPr>
        <w:t xml:space="preserve"> explanation that the ZPE offers is </w:t>
      </w:r>
      <w:r>
        <w:rPr>
          <w:rFonts w:ascii="Book Antiqua" w:hAnsi="Book Antiqua"/>
          <w:sz w:val="20"/>
        </w:rPr>
        <w:t>not</w:t>
      </w:r>
      <w:r w:rsidRPr="005324A0">
        <w:rPr>
          <w:rFonts w:ascii="Book Antiqua" w:hAnsi="Book Antiqua"/>
          <w:sz w:val="20"/>
        </w:rPr>
        <w:t xml:space="preserve">. The presence of the ZPE dictates that there will be the manifestation of virtual particle pairs in the vacuum. The stronger the ZPE, the more particle pairs per unit volume flashing in and out of existence. </w:t>
      </w:r>
      <w:r>
        <w:rPr>
          <w:rFonts w:ascii="Book Antiqua" w:hAnsi="Book Antiqua"/>
          <w:sz w:val="20"/>
        </w:rPr>
        <w:t>In addition</w:t>
      </w:r>
      <w:r w:rsidRPr="005324A0">
        <w:rPr>
          <w:rFonts w:ascii="Book Antiqua" w:hAnsi="Book Antiqua"/>
          <w:sz w:val="20"/>
        </w:rPr>
        <w:t xml:space="preserve">, the stronger the ZPE, the more electromagnetic waves there are per unit volume. </w:t>
      </w:r>
      <w:r>
        <w:rPr>
          <w:rFonts w:ascii="Book Antiqua" w:hAnsi="Book Antiqua"/>
          <w:sz w:val="20"/>
        </w:rPr>
        <w:t>This means</w:t>
      </w:r>
      <w:r w:rsidRPr="005324A0">
        <w:rPr>
          <w:rFonts w:ascii="Book Antiqua" w:hAnsi="Book Antiqua"/>
          <w:sz w:val="20"/>
        </w:rPr>
        <w:t xml:space="preserve"> that as the earth</w:t>
      </w:r>
      <w:r>
        <w:rPr>
          <w:rFonts w:ascii="Book Antiqua" w:hAnsi="Book Antiqua"/>
          <w:sz w:val="20"/>
        </w:rPr>
        <w:t>,</w:t>
      </w:r>
      <w:r w:rsidRPr="005324A0">
        <w:rPr>
          <w:rFonts w:ascii="Book Antiqua" w:hAnsi="Book Antiqua"/>
          <w:sz w:val="20"/>
        </w:rPr>
        <w:t xml:space="preserve"> or any planet</w:t>
      </w:r>
      <w:r>
        <w:rPr>
          <w:rFonts w:ascii="Book Antiqua" w:hAnsi="Book Antiqua"/>
          <w:sz w:val="20"/>
        </w:rPr>
        <w:t>,</w:t>
      </w:r>
      <w:r w:rsidRPr="005324A0">
        <w:rPr>
          <w:rFonts w:ascii="Book Antiqua" w:hAnsi="Book Antiqua"/>
          <w:sz w:val="20"/>
        </w:rPr>
        <w:t xml:space="preserve"> moves in its orbit, it is effectively “running into” the ZPE waves and virtual particles, creating something like a bow-wave</w:t>
      </w:r>
      <w:r>
        <w:rPr>
          <w:rFonts w:ascii="Book Antiqua" w:hAnsi="Book Antiqua"/>
          <w:sz w:val="20"/>
        </w:rPr>
        <w:t xml:space="preserve">, as </w:t>
      </w:r>
      <w:r>
        <w:rPr>
          <w:rFonts w:ascii="Book Antiqua" w:hAnsi="Book Antiqua"/>
          <w:sz w:val="20"/>
        </w:rPr>
        <w:lastRenderedPageBreak/>
        <w:t>mentioned above</w:t>
      </w:r>
      <w:r w:rsidRPr="005324A0">
        <w:rPr>
          <w:rFonts w:ascii="Book Antiqua" w:hAnsi="Book Antiqua"/>
          <w:sz w:val="20"/>
        </w:rPr>
        <w:t xml:space="preserve">. In other words, the ZPE and virtual particle density is slightly higher on the leading edge of the planet in its orbit and is marginally lower on the trailing edge. The “denser” ZPE at the leading edge of the planet means that atomic clocks will be </w:t>
      </w:r>
      <w:r>
        <w:rPr>
          <w:rFonts w:ascii="Book Antiqua" w:hAnsi="Book Antiqua"/>
          <w:sz w:val="20"/>
        </w:rPr>
        <w:t xml:space="preserve">slightly </w:t>
      </w:r>
      <w:r w:rsidRPr="005324A0">
        <w:rPr>
          <w:rFonts w:ascii="Book Antiqua" w:hAnsi="Book Antiqua"/>
          <w:sz w:val="20"/>
        </w:rPr>
        <w:t>slowed against the pulsar standard, while the trailing edge will have a lower ZPE density and so atomic clocks</w:t>
      </w:r>
      <w:r>
        <w:rPr>
          <w:rFonts w:ascii="Book Antiqua" w:hAnsi="Book Antiqua"/>
          <w:sz w:val="20"/>
        </w:rPr>
        <w:t xml:space="preserve"> will run slightly faster</w:t>
      </w:r>
      <w:r w:rsidRPr="005324A0">
        <w:rPr>
          <w:rFonts w:ascii="Book Antiqua" w:hAnsi="Book Antiqua"/>
          <w:sz w:val="20"/>
        </w:rPr>
        <w:t xml:space="preserve">. </w:t>
      </w:r>
    </w:p>
    <w:p w:rsidR="00835830" w:rsidRDefault="00835830" w:rsidP="00835830">
      <w:pPr>
        <w:pStyle w:val="NoSpacing"/>
        <w:rPr>
          <w:rFonts w:ascii="Book Antiqua" w:hAnsi="Book Antiqua"/>
          <w:sz w:val="20"/>
        </w:rPr>
      </w:pPr>
    </w:p>
    <w:p w:rsidR="00835830" w:rsidRPr="004116F4" w:rsidRDefault="00835830" w:rsidP="00835830">
      <w:pPr>
        <w:pStyle w:val="NoSpacing"/>
        <w:ind w:firstLine="720"/>
        <w:jc w:val="both"/>
        <w:rPr>
          <w:rFonts w:ascii="Book Antiqua" w:hAnsi="Book Antiqua"/>
          <w:sz w:val="20"/>
        </w:rPr>
      </w:pPr>
      <w:r>
        <w:rPr>
          <w:rFonts w:ascii="Book Antiqua" w:hAnsi="Book Antiqua"/>
          <w:sz w:val="20"/>
        </w:rPr>
        <w:t>Anywhere on earth, a</w:t>
      </w:r>
      <w:r w:rsidRPr="004116F4">
        <w:rPr>
          <w:rFonts w:ascii="Book Antiqua" w:hAnsi="Book Antiqua"/>
          <w:sz w:val="20"/>
        </w:rPr>
        <w:t xml:space="preserve">t 6 a.m. local time, </w:t>
      </w:r>
      <w:r>
        <w:rPr>
          <w:rFonts w:ascii="Book Antiqua" w:hAnsi="Book Antiqua"/>
          <w:sz w:val="20"/>
        </w:rPr>
        <w:t>that part of earth is</w:t>
      </w:r>
      <w:r w:rsidRPr="004116F4">
        <w:rPr>
          <w:rFonts w:ascii="Book Antiqua" w:hAnsi="Book Antiqua"/>
          <w:sz w:val="20"/>
        </w:rPr>
        <w:t xml:space="preserve"> on the leading edge of its orbit and so the slightly denser ZPE means atomic clocks will be slower than normal. On the other hand, at the 6 p.m. side of the planet </w:t>
      </w:r>
      <w:r>
        <w:rPr>
          <w:rFonts w:ascii="Book Antiqua" w:hAnsi="Book Antiqua"/>
          <w:sz w:val="20"/>
        </w:rPr>
        <w:t>that area is on</w:t>
      </w:r>
      <w:r w:rsidRPr="004116F4">
        <w:rPr>
          <w:rFonts w:ascii="Book Antiqua" w:hAnsi="Book Antiqua"/>
          <w:sz w:val="20"/>
        </w:rPr>
        <w:t xml:space="preserve"> the trailing edge</w:t>
      </w:r>
      <w:r>
        <w:rPr>
          <w:rFonts w:ascii="Book Antiqua" w:hAnsi="Book Antiqua"/>
          <w:sz w:val="20"/>
        </w:rPr>
        <w:t>,</w:t>
      </w:r>
      <w:r w:rsidRPr="004116F4">
        <w:rPr>
          <w:rFonts w:ascii="Book Antiqua" w:hAnsi="Book Antiqua"/>
          <w:sz w:val="20"/>
        </w:rPr>
        <w:t xml:space="preserve"> with a lower ZPE density</w:t>
      </w:r>
      <w:r>
        <w:rPr>
          <w:rFonts w:ascii="Book Antiqua" w:hAnsi="Book Antiqua"/>
          <w:sz w:val="20"/>
        </w:rPr>
        <w:t>,</w:t>
      </w:r>
      <w:r w:rsidRPr="004116F4">
        <w:rPr>
          <w:rFonts w:ascii="Book Antiqua" w:hAnsi="Book Antiqua"/>
          <w:sz w:val="20"/>
        </w:rPr>
        <w:t xml:space="preserve"> and so the atomic clocks are marginally faster than the pulsar standard. This is what has been picked up and mentioned in Charles Hill’s article.</w:t>
      </w:r>
    </w:p>
    <w:p w:rsidR="00835830" w:rsidRPr="004116F4" w:rsidRDefault="00835830" w:rsidP="00835830">
      <w:pPr>
        <w:pStyle w:val="NoSpacing"/>
        <w:jc w:val="both"/>
        <w:rPr>
          <w:rFonts w:ascii="Book Antiqua" w:hAnsi="Book Antiqua"/>
          <w:sz w:val="20"/>
        </w:rPr>
      </w:pPr>
    </w:p>
    <w:p w:rsidR="00835830" w:rsidRPr="004116F4" w:rsidRDefault="00835830" w:rsidP="00835830">
      <w:pPr>
        <w:pStyle w:val="NoSpacing"/>
        <w:ind w:firstLine="720"/>
        <w:jc w:val="both"/>
        <w:rPr>
          <w:rFonts w:ascii="Book Antiqua" w:hAnsi="Book Antiqua"/>
          <w:sz w:val="20"/>
        </w:rPr>
      </w:pPr>
      <w:r w:rsidRPr="004116F4">
        <w:rPr>
          <w:rFonts w:ascii="Book Antiqua" w:hAnsi="Book Antiqua"/>
          <w:sz w:val="20"/>
        </w:rPr>
        <w:t xml:space="preserve">The article also mentioned the “small seasonal modulation.” This is expected due to the eccentricity of the earth’s orbit which means that, at perihelion, the earth is closer to the sun and hence in a slightly more dense ZPE medium. The earth and every planet </w:t>
      </w:r>
      <w:r>
        <w:rPr>
          <w:rFonts w:ascii="Book Antiqua" w:hAnsi="Book Antiqua"/>
          <w:sz w:val="20"/>
        </w:rPr>
        <w:t>are</w:t>
      </w:r>
      <w:r w:rsidRPr="004116F4">
        <w:rPr>
          <w:rFonts w:ascii="Book Antiqua" w:hAnsi="Book Antiqua"/>
          <w:sz w:val="20"/>
        </w:rPr>
        <w:t xml:space="preserve"> moving ballistically through this swarm of waves and particles that make up the vacuum. In the case of the earth, the denser ZPE closer to the sun means that the atomic clocks should be slightly slower in January than they are in July. There will also be an effect due to the direction of motion of the solar system as in one part of the year the earth will be leading the sun in this motion and in the other half it will be trailing. The final result on atomic clocks of orbital and solar system motion will be a combination of both motions. Some of this has been picked up by variations in the decay rates of a few short-half-life radioactive isotopes which are also a form of atomic clock.  </w:t>
      </w:r>
    </w:p>
    <w:p w:rsidR="006D41BD" w:rsidRPr="00F87319" w:rsidRDefault="006D41BD" w:rsidP="006D41BD">
      <w:pPr>
        <w:pStyle w:val="NormPara"/>
        <w:ind w:firstLine="720"/>
        <w:rPr>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Speed of Gravity</w:t>
      </w:r>
    </w:p>
    <w:p w:rsidR="00121E59" w:rsidRDefault="00121E59" w:rsidP="00121E59">
      <w:pPr>
        <w:pStyle w:val="yiv1214125739msonospacing"/>
        <w:ind w:firstLine="720"/>
        <w:jc w:val="both"/>
      </w:pPr>
      <w:r>
        <w:rPr>
          <w:rFonts w:ascii="Book Antiqua" w:hAnsi="Book Antiqua"/>
          <w:sz w:val="20"/>
          <w:szCs w:val="20"/>
        </w:rPr>
        <w:t xml:space="preserve">One important matter that arises in any discussion of this nature is the speed of gravity. According to Relativity, it is the same as the speed of light. However, Dr. Thomas Van Flandern pointed out some inconsistencies in that position [67]. In his analyses, he presented data which suggested that the speed of gravity is as high as </w:t>
      </w:r>
      <m:oMath>
        <m:r>
          <w:rPr>
            <w:rFonts w:ascii="Cambria Math" w:hAnsi="Cambria Math"/>
            <w:sz w:val="20"/>
            <w:szCs w:val="20"/>
          </w:rPr>
          <m:t xml:space="preserve">2 x </m:t>
        </m:r>
        <m:sSup>
          <m:sSupPr>
            <m:ctrlPr>
              <w:rPr>
                <w:rFonts w:ascii="Cambria Math" w:hAnsi="Cambria Math"/>
                <w:i/>
                <w:sz w:val="20"/>
                <w:szCs w:val="20"/>
              </w:rPr>
            </m:ctrlPr>
          </m:sSupPr>
          <m:e>
            <m:r>
              <w:rPr>
                <w:rFonts w:ascii="Cambria Math" w:hAnsi="Cambria Math"/>
                <w:sz w:val="20"/>
                <w:szCs w:val="20"/>
              </w:rPr>
              <m:t>10</m:t>
            </m:r>
          </m:e>
          <m:sup>
            <m:r>
              <w:rPr>
                <w:rFonts w:ascii="Cambria Math" w:hAnsi="Cambria Math"/>
                <w:sz w:val="20"/>
                <w:szCs w:val="20"/>
              </w:rPr>
              <m:t>10</m:t>
            </m:r>
          </m:sup>
        </m:sSup>
        <m:r>
          <w:rPr>
            <w:rFonts w:ascii="Cambria Math" w:hAnsi="Cambria Math"/>
            <w:sz w:val="20"/>
            <w:szCs w:val="20"/>
          </w:rPr>
          <m:t xml:space="preserve"> </m:t>
        </m:r>
      </m:oMath>
      <w:r>
        <w:rPr>
          <w:rFonts w:ascii="Book Antiqua" w:hAnsi="Book Antiqua"/>
          <w:sz w:val="20"/>
          <w:szCs w:val="20"/>
        </w:rPr>
        <w:t xml:space="preserve"> times faster than the current speed of light. In the ZPE model, this suggested speed is close to the original speed of light. </w:t>
      </w:r>
    </w:p>
    <w:p w:rsidR="00121E59" w:rsidRDefault="00121E59" w:rsidP="00121E59">
      <w:pPr>
        <w:pStyle w:val="yiv1214125739msonospacing"/>
        <w:ind w:firstLine="720"/>
        <w:jc w:val="both"/>
      </w:pPr>
      <w:r>
        <w:rPr>
          <w:rFonts w:ascii="Book Antiqua" w:hAnsi="Book Antiqua"/>
          <w:sz w:val="20"/>
          <w:szCs w:val="20"/>
        </w:rPr>
        <w:t xml:space="preserve">It has been stated that General Relativity considers gravity waves to be “disturbances of space-time” or “ripples in space-time.” In a ZPE context, the disturbance of space-time is essentially a disturbance of charged virtual particle pairs and/or the waves of the ZPE. Because the particles in motion are charged, the resulting waves are electromagnetic waves, but they will be of long wavelength compared with most of the electromagnetic spectrum. </w:t>
      </w:r>
    </w:p>
    <w:p w:rsidR="0039145B" w:rsidRDefault="00121E59" w:rsidP="00121E59">
      <w:pPr>
        <w:pStyle w:val="yiv1214125739msonospacing"/>
        <w:ind w:firstLine="720"/>
        <w:jc w:val="both"/>
        <w:rPr>
          <w:rFonts w:ascii="Book Antiqua" w:hAnsi="Book Antiqua"/>
          <w:sz w:val="20"/>
          <w:szCs w:val="20"/>
        </w:rPr>
      </w:pPr>
      <w:r>
        <w:rPr>
          <w:rFonts w:ascii="Book Antiqua" w:hAnsi="Book Antiqua"/>
          <w:sz w:val="20"/>
          <w:szCs w:val="20"/>
        </w:rPr>
        <w:t>Long wavelengths can penetrate a fog of particles much more easily than short wavelengths. For example, astronomers use infra-red wavelengths to penetrate dense molecular clouds which are opaque to wavelengths in the visible range.</w:t>
      </w:r>
      <w:r w:rsidR="008744C2">
        <w:rPr>
          <w:rFonts w:ascii="Book Antiqua" w:hAnsi="Book Antiqua"/>
          <w:sz w:val="20"/>
          <w:szCs w:val="20"/>
        </w:rPr>
        <w:t xml:space="preserve"> Another example: m</w:t>
      </w:r>
      <w:r w:rsidR="0039145B">
        <w:rPr>
          <w:rFonts w:ascii="Book Antiqua" w:hAnsi="Book Antiqua"/>
          <w:sz w:val="20"/>
          <w:szCs w:val="20"/>
        </w:rPr>
        <w:t>otorists often use longer wave-length yellow lights to help them drive on foggy roads.</w:t>
      </w:r>
    </w:p>
    <w:p w:rsidR="00121E59" w:rsidRDefault="00121E59" w:rsidP="00121E59">
      <w:pPr>
        <w:pStyle w:val="yiv1214125739msonospacing"/>
        <w:ind w:firstLine="720"/>
        <w:jc w:val="both"/>
      </w:pPr>
      <w:r>
        <w:rPr>
          <w:rFonts w:ascii="Book Antiqua" w:hAnsi="Book Antiqua"/>
          <w:sz w:val="20"/>
          <w:szCs w:val="20"/>
        </w:rPr>
        <w:t xml:space="preserve"> In the present instance, the “fog” is made up of virtual particles. Visible light photons take time to negotiate this maze of virtual particles as they are absorbed and re-emitted by them. But the very long wavelengths associated with gravity waves may only have limited interaction. For that reason, they could be much faster than photons in the usual range of wavelengths from radio to gamma rays. Indeed, their speed might approximate to the original speed of light in the early days of our cosmos before the ZPE built up to its present strength. </w:t>
      </w: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w:t>
      </w:r>
    </w:p>
    <w:p w:rsidR="00BD495E" w:rsidRPr="00F87319" w:rsidRDefault="00BD495E" w:rsidP="006D41BD">
      <w:pPr>
        <w:pStyle w:val="NormPara"/>
        <w:ind w:firstLine="270"/>
        <w:rPr>
          <w:bCs/>
          <w:sz w:val="20"/>
        </w:rPr>
      </w:pPr>
    </w:p>
    <w:p w:rsidR="006D41BD" w:rsidRPr="00F87319" w:rsidRDefault="006D41BD" w:rsidP="006D41BD">
      <w:pPr>
        <w:pStyle w:val="NormPara"/>
        <w:ind w:firstLine="270"/>
        <w:rPr>
          <w:bCs/>
          <w:sz w:val="20"/>
        </w:rPr>
      </w:pPr>
      <w:r w:rsidRPr="00F87319">
        <w:rPr>
          <w:bCs/>
          <w:sz w:val="20"/>
        </w:rPr>
        <w:t xml:space="preserve">A gravitational lens occurs when </w:t>
      </w:r>
      <w:r w:rsidRPr="00F87319">
        <w:rPr>
          <w:sz w:val="20"/>
        </w:rPr>
        <w:t>there</w:t>
      </w:r>
      <w:r w:rsidRPr="00F87319">
        <w:rPr>
          <w:bCs/>
          <w:sz w:val="20"/>
        </w:rPr>
        <w:t xml:space="preserve"> is a large concentration of matter between a galaxy (or a star) and the Earth.  This concentration of mass appears to bend the light from the background object as it comes to us in the same way as a lens would. This principle is illustrated in Figure 6A.</w:t>
      </w:r>
    </w:p>
    <w:p w:rsidR="006D41BD" w:rsidRDefault="006D41BD" w:rsidP="006D41BD">
      <w:pPr>
        <w:pStyle w:val="NormPara"/>
        <w:ind w:firstLine="270"/>
        <w:rPr>
          <w:b/>
          <w:sz w:val="20"/>
        </w:rPr>
      </w:pPr>
    </w:p>
    <w:p w:rsidR="000870DB" w:rsidRPr="00F87319" w:rsidRDefault="000870DB" w:rsidP="000870DB">
      <w:pPr>
        <w:pStyle w:val="NormPara"/>
        <w:ind w:firstLine="720"/>
        <w:rPr>
          <w:bCs/>
          <w:sz w:val="20"/>
        </w:rPr>
      </w:pPr>
      <w:r w:rsidRPr="00F87319">
        <w:rPr>
          <w:bCs/>
          <w:sz w:val="20"/>
        </w:rPr>
        <w:t xml:space="preserve">The explanation for this effect </w:t>
      </w:r>
      <w:r w:rsidRPr="00F87319">
        <w:rPr>
          <w:sz w:val="20"/>
        </w:rPr>
        <w:t>coming</w:t>
      </w:r>
      <w:r w:rsidRPr="00F87319">
        <w:rPr>
          <w:bCs/>
          <w:sz w:val="20"/>
        </w:rPr>
        <w:t xml:space="preserve"> from General Relativity is that mass bends light due to gravitation.  The greater the mass, the more it ‘bends’ space-time; in the illustration of the rubber sheet a greater mass would show a </w:t>
      </w:r>
      <w:r w:rsidRPr="00F87319">
        <w:rPr>
          <w:bCs/>
          <w:sz w:val="20"/>
        </w:rPr>
        <w:lastRenderedPageBreak/>
        <w:t>deeper “well.” The curve produced by the deformation is what would actually be felt to be responsible f</w:t>
      </w:r>
      <w:r w:rsidRPr="00F87319">
        <w:rPr>
          <w:sz w:val="20"/>
        </w:rPr>
        <w:t>or the bending of the light. GR had predicted this effect, and so</w:t>
      </w:r>
      <w:r w:rsidRPr="00F87319">
        <w:rPr>
          <w:bCs/>
          <w:sz w:val="20"/>
        </w:rPr>
        <w:t xml:space="preserve"> the scientists started looking for it.</w:t>
      </w:r>
    </w:p>
    <w:p w:rsidR="000870DB" w:rsidRPr="00F87319" w:rsidRDefault="000870DB" w:rsidP="006D41BD">
      <w:pPr>
        <w:pStyle w:val="NormPara"/>
        <w:ind w:firstLine="270"/>
        <w:rPr>
          <w:b/>
          <w:sz w:val="20"/>
        </w:rPr>
      </w:pPr>
    </w:p>
    <w:p w:rsidR="006D41BD" w:rsidRPr="00F87319" w:rsidRDefault="006D41BD" w:rsidP="006D41BD">
      <w:pPr>
        <w:pStyle w:val="NormPara"/>
        <w:ind w:firstLine="0"/>
        <w:jc w:val="center"/>
        <w:rPr>
          <w:bCs/>
          <w:sz w:val="20"/>
        </w:rPr>
      </w:pPr>
      <w:r w:rsidRPr="00F87319">
        <w:rPr>
          <w:bCs/>
          <w:noProof/>
          <w:sz w:val="20"/>
        </w:rPr>
        <w:drawing>
          <wp:inline distT="0" distB="0" distL="0" distR="0">
            <wp:extent cx="4099592" cy="2335946"/>
            <wp:effectExtent l="19050" t="0" r="0" b="0"/>
            <wp:docPr id="1766" name="il_fi" descr="http://imagine.gsfc.nasa.gov/Images/news/lens_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ine.gsfc.nasa.gov/Images/news/lens_fig1.gif"/>
                    <pic:cNvPicPr>
                      <a:picLocks noChangeAspect="1" noChangeArrowheads="1"/>
                    </pic:cNvPicPr>
                  </pic:nvPicPr>
                  <pic:blipFill>
                    <a:blip r:embed="rId917" cstate="print"/>
                    <a:srcRect/>
                    <a:stretch>
                      <a:fillRect/>
                    </a:stretch>
                  </pic:blipFill>
                  <pic:spPr bwMode="auto">
                    <a:xfrm>
                      <a:off x="0" y="0"/>
                      <a:ext cx="4114074" cy="2344198"/>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bCs/>
          <w:i/>
          <w:sz w:val="20"/>
        </w:rPr>
      </w:pPr>
    </w:p>
    <w:p w:rsidR="006D41BD" w:rsidRDefault="006D41BD" w:rsidP="00285DFD">
      <w:pPr>
        <w:pStyle w:val="NormPara"/>
        <w:ind w:firstLine="0"/>
        <w:jc w:val="center"/>
        <w:rPr>
          <w:bCs/>
          <w:i/>
          <w:szCs w:val="18"/>
        </w:rPr>
      </w:pPr>
      <w:r w:rsidRPr="00CF2274">
        <w:rPr>
          <w:b/>
          <w:bCs/>
          <w:i/>
          <w:szCs w:val="18"/>
        </w:rPr>
        <w:t>Figure 6A:</w:t>
      </w:r>
      <w:r w:rsidRPr="00CF2274">
        <w:rPr>
          <w:bCs/>
          <w:i/>
          <w:szCs w:val="18"/>
        </w:rPr>
        <w:t xml:space="preserve"> The principle of gravitational lensing.</w:t>
      </w:r>
    </w:p>
    <w:p w:rsidR="00CF2274" w:rsidRPr="00CF2274" w:rsidRDefault="00CF2274" w:rsidP="00CF2274">
      <w:pPr>
        <w:pStyle w:val="NormPara"/>
        <w:ind w:firstLine="0"/>
        <w:jc w:val="left"/>
        <w:rPr>
          <w:bCs/>
          <w:i/>
          <w:szCs w:val="18"/>
        </w:rPr>
      </w:pPr>
    </w:p>
    <w:p w:rsidR="006D41BD" w:rsidRPr="00F87319" w:rsidRDefault="006D41BD" w:rsidP="006D41BD">
      <w:pPr>
        <w:pStyle w:val="NormPara"/>
        <w:spacing w:before="80" w:after="80"/>
        <w:ind w:left="274" w:right="274" w:firstLine="0"/>
        <w:jc w:val="center"/>
        <w:rPr>
          <w:b/>
          <w:i/>
          <w:sz w:val="20"/>
        </w:rPr>
      </w:pPr>
      <w:r w:rsidRPr="00F87319">
        <w:rPr>
          <w:bCs/>
          <w:noProof/>
          <w:sz w:val="20"/>
        </w:rPr>
        <w:drawing>
          <wp:inline distT="0" distB="0" distL="0" distR="0">
            <wp:extent cx="4033674" cy="2727831"/>
            <wp:effectExtent l="19050" t="0" r="4926" b="0"/>
            <wp:docPr id="1774" name="il_fi" descr="galaxy%20cluster%20lens%20NASA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galaxy%20cluster%20lens%20NASAweb"/>
                    <pic:cNvPicPr>
                      <a:picLocks noChangeAspect="1" noChangeArrowheads="1"/>
                    </pic:cNvPicPr>
                  </pic:nvPicPr>
                  <pic:blipFill>
                    <a:blip r:embed="rId918" cstate="print"/>
                    <a:srcRect l="10001"/>
                    <a:stretch>
                      <a:fillRect/>
                    </a:stretch>
                  </pic:blipFill>
                  <pic:spPr bwMode="auto">
                    <a:xfrm>
                      <a:off x="0" y="0"/>
                      <a:ext cx="4049132" cy="2738285"/>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i/>
          <w:sz w:val="20"/>
        </w:rPr>
      </w:pPr>
    </w:p>
    <w:p w:rsidR="006D41BD" w:rsidRPr="00CF2274" w:rsidRDefault="006D41BD" w:rsidP="00285DFD">
      <w:pPr>
        <w:pStyle w:val="NormPara"/>
        <w:spacing w:before="80" w:after="80"/>
        <w:ind w:left="274" w:right="274" w:firstLine="0"/>
        <w:jc w:val="center"/>
        <w:rPr>
          <w:i/>
          <w:szCs w:val="18"/>
        </w:rPr>
      </w:pPr>
      <w:r w:rsidRPr="00285DFD">
        <w:rPr>
          <w:b/>
          <w:i/>
          <w:szCs w:val="18"/>
        </w:rPr>
        <w:t>Fig</w:t>
      </w:r>
      <w:r w:rsidR="00CF2274" w:rsidRPr="00285DFD">
        <w:rPr>
          <w:b/>
          <w:i/>
          <w:szCs w:val="18"/>
        </w:rPr>
        <w:t>utre</w:t>
      </w:r>
      <w:r w:rsidRPr="00285DFD">
        <w:rPr>
          <w:b/>
          <w:i/>
          <w:szCs w:val="18"/>
        </w:rPr>
        <w:t xml:space="preserve"> 6B</w:t>
      </w:r>
      <w:r w:rsidR="00CF2274" w:rsidRPr="00285DFD">
        <w:rPr>
          <w:b/>
          <w:i/>
          <w:szCs w:val="18"/>
        </w:rPr>
        <w:t>:</w:t>
      </w:r>
      <w:r w:rsidR="00CF2274">
        <w:rPr>
          <w:i/>
          <w:szCs w:val="18"/>
        </w:rPr>
        <w:t xml:space="preserve"> </w:t>
      </w:r>
      <w:r w:rsidRPr="00CF2274">
        <w:rPr>
          <w:i/>
          <w:szCs w:val="18"/>
        </w:rPr>
        <w:t>An example of “Gravitational lensing” by massive objects.</w:t>
      </w:r>
    </w:p>
    <w:p w:rsidR="006D41BD" w:rsidRPr="00F87319" w:rsidRDefault="006D41BD" w:rsidP="006D41BD">
      <w:pPr>
        <w:pStyle w:val="NormPara"/>
        <w:spacing w:before="80" w:after="80"/>
        <w:ind w:left="274" w:right="274" w:firstLine="0"/>
        <w:rPr>
          <w:i/>
          <w:sz w:val="20"/>
        </w:rPr>
      </w:pPr>
    </w:p>
    <w:p w:rsidR="006D41BD" w:rsidRPr="00F87319" w:rsidRDefault="006D41BD" w:rsidP="006D41BD">
      <w:pPr>
        <w:pStyle w:val="NormPara"/>
        <w:ind w:firstLine="720"/>
        <w:rPr>
          <w:color w:val="000000"/>
          <w:sz w:val="20"/>
        </w:rPr>
      </w:pPr>
      <w:r w:rsidRPr="00F87319">
        <w:rPr>
          <w:bCs/>
          <w:sz w:val="20"/>
        </w:rPr>
        <w:t>GR would expect the bending of light wherever there is a strong gravitational pull.  The problem is that there are far too few gravitationally lensed objects compared with what would be expected from GR. In addition, among these few, there are contrary examples where the object bending the light does not seem to have enough mass to accomplish that gravitationally. Therefore</w:t>
      </w:r>
      <w:r w:rsidRPr="00F87319">
        <w:rPr>
          <w:color w:val="000000"/>
          <w:sz w:val="20"/>
        </w:rPr>
        <w:t xml:space="preserve">, dark matter is invoked as an answer to this problem. </w:t>
      </w:r>
    </w:p>
    <w:p w:rsidR="006D41BD" w:rsidRPr="00F87319" w:rsidRDefault="006D41BD" w:rsidP="006D41BD">
      <w:pPr>
        <w:pStyle w:val="NormPara"/>
        <w:ind w:firstLine="720"/>
        <w:rPr>
          <w:color w:val="000000"/>
          <w:sz w:val="20"/>
        </w:rPr>
      </w:pPr>
    </w:p>
    <w:p w:rsidR="006D41BD" w:rsidRDefault="006D41BD" w:rsidP="006D41BD">
      <w:pPr>
        <w:pStyle w:val="NormPara"/>
        <w:ind w:firstLine="720"/>
        <w:rPr>
          <w:color w:val="000000"/>
          <w:sz w:val="20"/>
        </w:rPr>
      </w:pPr>
      <w:r w:rsidRPr="00F87319">
        <w:rPr>
          <w:color w:val="000000"/>
          <w:sz w:val="20"/>
        </w:rPr>
        <w:t>Fig</w:t>
      </w:r>
      <w:r w:rsidR="00CF2274">
        <w:rPr>
          <w:color w:val="000000"/>
          <w:sz w:val="20"/>
        </w:rPr>
        <w:t>ure</w:t>
      </w:r>
      <w:r w:rsidRPr="00F87319">
        <w:rPr>
          <w:color w:val="000000"/>
          <w:sz w:val="20"/>
        </w:rPr>
        <w:t xml:space="preserve"> 7 shows two images from the </w:t>
      </w:r>
      <w:r w:rsidRPr="00F87319">
        <w:rPr>
          <w:sz w:val="20"/>
        </w:rPr>
        <w:t>Hubble</w:t>
      </w:r>
      <w:r w:rsidRPr="00F87319">
        <w:rPr>
          <w:color w:val="000000"/>
          <w:sz w:val="20"/>
        </w:rPr>
        <w:t xml:space="preserve"> Space Telescope published by NASA, JPL, the Goddard </w:t>
      </w:r>
      <w:r w:rsidRPr="00F87319">
        <w:rPr>
          <w:sz w:val="20"/>
        </w:rPr>
        <w:t>Space</w:t>
      </w:r>
      <w:r w:rsidRPr="00F87319">
        <w:rPr>
          <w:color w:val="000000"/>
          <w:sz w:val="20"/>
        </w:rPr>
        <w:t xml:space="preserve"> Flight </w:t>
      </w:r>
      <w:r w:rsidRPr="00F87319">
        <w:rPr>
          <w:sz w:val="20"/>
        </w:rPr>
        <w:t>Center,</w:t>
      </w:r>
      <w:r w:rsidRPr="00F87319">
        <w:rPr>
          <w:color w:val="000000"/>
          <w:sz w:val="20"/>
        </w:rPr>
        <w:t xml:space="preserve"> and ESA.  The left hand image </w:t>
      </w:r>
      <w:r w:rsidR="000870DB">
        <w:rPr>
          <w:color w:val="000000"/>
          <w:sz w:val="20"/>
        </w:rPr>
        <w:t>is</w:t>
      </w:r>
      <w:r w:rsidRPr="00F87319">
        <w:rPr>
          <w:color w:val="000000"/>
          <w:sz w:val="20"/>
        </w:rPr>
        <w:t xml:space="preserve"> what has been referred to as the “dark matter ring” around cluster Cl 0024 + 17.  </w:t>
      </w:r>
    </w:p>
    <w:p w:rsidR="00685A78" w:rsidRPr="00F87319" w:rsidRDefault="00685A78" w:rsidP="006D41BD">
      <w:pPr>
        <w:pStyle w:val="NormPara"/>
        <w:ind w:firstLine="720"/>
        <w:rPr>
          <w:color w:val="000000"/>
          <w:sz w:val="20"/>
        </w:rPr>
      </w:pPr>
    </w:p>
    <w:tbl>
      <w:tblPr>
        <w:tblStyle w:val="TableGrid"/>
        <w:tblW w:w="0" w:type="auto"/>
        <w:jc w:val="center"/>
        <w:tblLook w:val="04A0"/>
      </w:tblPr>
      <w:tblGrid>
        <w:gridCol w:w="5556"/>
        <w:gridCol w:w="5226"/>
      </w:tblGrid>
      <w:tr w:rsidR="006D41BD" w:rsidRPr="00F87319" w:rsidTr="00E25399">
        <w:trPr>
          <w:trHeight w:val="3043"/>
          <w:jc w:val="center"/>
        </w:trPr>
        <w:tc>
          <w:tcPr>
            <w:tcW w:w="3393" w:type="dxa"/>
          </w:tcPr>
          <w:p w:rsidR="006D41BD" w:rsidRPr="00F87319" w:rsidRDefault="006D41BD" w:rsidP="00BD495E">
            <w:pPr>
              <w:pStyle w:val="NormPara"/>
              <w:ind w:firstLine="0"/>
              <w:jc w:val="left"/>
              <w:rPr>
                <w:color w:val="000000"/>
                <w:sz w:val="20"/>
              </w:rPr>
            </w:pPr>
            <w:r w:rsidRPr="00F87319">
              <w:rPr>
                <w:noProof/>
                <w:color w:val="000000"/>
                <w:sz w:val="20"/>
              </w:rPr>
              <w:lastRenderedPageBreak/>
              <w:drawing>
                <wp:inline distT="0" distB="0" distL="0" distR="0">
                  <wp:extent cx="3367228" cy="3152775"/>
                  <wp:effectExtent l="19050" t="0" r="4622" b="0"/>
                  <wp:docPr id="1768" name="il_fi" descr="http://www.universesite.co.uk/pictures/darkmat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site.co.uk/pictures/darkmatter2.jpg"/>
                          <pic:cNvPicPr>
                            <a:picLocks noChangeAspect="1" noChangeArrowheads="1"/>
                          </pic:cNvPicPr>
                        </pic:nvPicPr>
                        <pic:blipFill>
                          <a:blip r:embed="rId919" cstate="print"/>
                          <a:srcRect l="3528" t="6648" r="3165" b="19885"/>
                          <a:stretch>
                            <a:fillRect/>
                          </a:stretch>
                        </pic:blipFill>
                        <pic:spPr bwMode="auto">
                          <a:xfrm>
                            <a:off x="0" y="0"/>
                            <a:ext cx="3377511" cy="3162403"/>
                          </a:xfrm>
                          <a:prstGeom prst="rect">
                            <a:avLst/>
                          </a:prstGeom>
                          <a:noFill/>
                          <a:ln w="9525">
                            <a:noFill/>
                            <a:miter lim="800000"/>
                            <a:headEnd/>
                            <a:tailEnd/>
                          </a:ln>
                        </pic:spPr>
                      </pic:pic>
                    </a:graphicData>
                  </a:graphic>
                </wp:inline>
              </w:drawing>
            </w:r>
          </w:p>
        </w:tc>
        <w:tc>
          <w:tcPr>
            <w:tcW w:w="3319" w:type="dxa"/>
          </w:tcPr>
          <w:p w:rsidR="006D41BD" w:rsidRPr="00F87319" w:rsidRDefault="006D41BD" w:rsidP="00BD495E">
            <w:pPr>
              <w:pStyle w:val="NormPara"/>
              <w:ind w:firstLine="0"/>
              <w:jc w:val="left"/>
              <w:rPr>
                <w:color w:val="000000"/>
                <w:sz w:val="20"/>
              </w:rPr>
            </w:pPr>
            <w:r w:rsidRPr="00F87319">
              <w:rPr>
                <w:noProof/>
                <w:color w:val="000000"/>
                <w:sz w:val="20"/>
              </w:rPr>
              <w:drawing>
                <wp:inline distT="0" distB="0" distL="0" distR="0">
                  <wp:extent cx="3150382" cy="3155479"/>
                  <wp:effectExtent l="19050" t="0" r="11918" b="0"/>
                  <wp:docPr id="1769" name="Picture 7" descr="the effects of gravitational len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effects of gravitational lensing"/>
                          <pic:cNvPicPr>
                            <a:picLocks noChangeAspect="1" noChangeArrowheads="1"/>
                          </pic:cNvPicPr>
                        </pic:nvPicPr>
                        <pic:blipFill>
                          <a:blip r:embed="rId920" cstate="print"/>
                          <a:srcRect l="8105" r="11632" b="1797"/>
                          <a:stretch>
                            <a:fillRect/>
                          </a:stretch>
                        </pic:blipFill>
                        <pic:spPr bwMode="auto">
                          <a:xfrm rot="-5400000">
                            <a:off x="0" y="0"/>
                            <a:ext cx="3167945" cy="3173070"/>
                          </a:xfrm>
                          <a:prstGeom prst="rect">
                            <a:avLst/>
                          </a:prstGeom>
                          <a:noFill/>
                          <a:ln w="9525">
                            <a:noFill/>
                            <a:miter lim="800000"/>
                            <a:headEnd/>
                            <a:tailEnd/>
                          </a:ln>
                        </pic:spPr>
                      </pic:pic>
                    </a:graphicData>
                  </a:graphic>
                </wp:inline>
              </w:drawing>
            </w:r>
          </w:p>
        </w:tc>
      </w:tr>
    </w:tbl>
    <w:p w:rsidR="006D41BD" w:rsidRPr="00F87319" w:rsidRDefault="006D41BD" w:rsidP="006D41BD">
      <w:pPr>
        <w:pStyle w:val="NormPara"/>
        <w:ind w:firstLine="0"/>
        <w:rPr>
          <w:szCs w:val="18"/>
        </w:rPr>
      </w:pPr>
    </w:p>
    <w:p w:rsidR="006D41BD" w:rsidRPr="00CF2274" w:rsidRDefault="006D41BD" w:rsidP="00CF2274">
      <w:pPr>
        <w:pStyle w:val="NormPara"/>
        <w:ind w:firstLine="0"/>
        <w:jc w:val="left"/>
        <w:rPr>
          <w:i/>
          <w:color w:val="000000"/>
          <w:szCs w:val="18"/>
        </w:rPr>
      </w:pPr>
      <w:r w:rsidRPr="00CF2274">
        <w:rPr>
          <w:b/>
          <w:i/>
          <w:szCs w:val="18"/>
        </w:rPr>
        <w:t>Fig</w:t>
      </w:r>
      <w:r w:rsidR="00CF2274" w:rsidRPr="00CF2274">
        <w:rPr>
          <w:b/>
          <w:i/>
          <w:szCs w:val="18"/>
        </w:rPr>
        <w:t>ure</w:t>
      </w:r>
      <w:r w:rsidRPr="00CF2274">
        <w:rPr>
          <w:b/>
          <w:i/>
          <w:szCs w:val="18"/>
        </w:rPr>
        <w:t xml:space="preserve"> 7.  Left</w:t>
      </w:r>
      <w:r w:rsidRPr="00CF2274">
        <w:rPr>
          <w:i/>
          <w:szCs w:val="18"/>
        </w:rPr>
        <w:t xml:space="preserve">—The “dark matter” ring (the outer blue ring) around galaxy cluster Cl 0024 + 17.  </w:t>
      </w:r>
      <w:r w:rsidRPr="00CF2274">
        <w:rPr>
          <w:b/>
          <w:i/>
          <w:szCs w:val="18"/>
        </w:rPr>
        <w:t>Right—</w:t>
      </w:r>
      <w:r w:rsidRPr="00CF2274">
        <w:rPr>
          <w:i/>
          <w:szCs w:val="18"/>
        </w:rPr>
        <w:t xml:space="preserve">Lensing arcs around galaxy cluster Abell 2218.  </w:t>
      </w:r>
    </w:p>
    <w:p w:rsidR="006D41BD" w:rsidRDefault="006D41BD" w:rsidP="006D41BD">
      <w:pPr>
        <w:pStyle w:val="NormPara"/>
        <w:ind w:firstLine="0"/>
        <w:rPr>
          <w:color w:val="000000"/>
          <w:sz w:val="20"/>
        </w:rPr>
      </w:pPr>
    </w:p>
    <w:p w:rsidR="000870DB" w:rsidRPr="00F87319" w:rsidRDefault="000870DB" w:rsidP="000870DB">
      <w:pPr>
        <w:pStyle w:val="NormPara"/>
        <w:ind w:firstLine="720"/>
        <w:rPr>
          <w:color w:val="000000"/>
          <w:sz w:val="20"/>
        </w:rPr>
      </w:pPr>
      <w:r w:rsidRPr="00F87319">
        <w:rPr>
          <w:color w:val="000000"/>
          <w:sz w:val="20"/>
        </w:rPr>
        <w:t xml:space="preserve">The right hand image shows the lensing arcs around the galaxy cluster Abell 2218.  In the case of the right hand image, there is indeed a strong gravitational component to the lensing.  However, GR calculations reveal that there must also be “dark matter” to the extent of 400 trillion solar masses to give the observed effects. </w:t>
      </w:r>
    </w:p>
    <w:p w:rsidR="000870DB" w:rsidRPr="00F87319" w:rsidRDefault="000870DB" w:rsidP="000870DB">
      <w:pPr>
        <w:pStyle w:val="NormPara"/>
        <w:ind w:firstLine="720"/>
        <w:rPr>
          <w:color w:val="000000"/>
          <w:sz w:val="20"/>
        </w:rPr>
      </w:pPr>
    </w:p>
    <w:p w:rsidR="000870DB" w:rsidRDefault="000870DB" w:rsidP="000870DB">
      <w:pPr>
        <w:pStyle w:val="NormPara"/>
        <w:ind w:firstLine="720"/>
        <w:rPr>
          <w:color w:val="000000"/>
          <w:sz w:val="20"/>
        </w:rPr>
      </w:pPr>
      <w:r w:rsidRPr="00F87319">
        <w:rPr>
          <w:sz w:val="20"/>
        </w:rPr>
        <w:t xml:space="preserve">SED physics with the ZPE agrees that a strong gravitational field is needed.  But that is not enough – as the GR folk have acknowledged in their invention of dark matter.  </w:t>
      </w:r>
      <w:r w:rsidRPr="00F87319">
        <w:rPr>
          <w:color w:val="000000"/>
          <w:sz w:val="20"/>
        </w:rPr>
        <w:t xml:space="preserve">Plasma also bends light.  This can be established by looking at the plasma in the near vicinity of the Sun.  </w:t>
      </w:r>
      <w:r w:rsidRPr="00F87319">
        <w:rPr>
          <w:sz w:val="20"/>
        </w:rPr>
        <w:t>Starlight which goes through this layer is strongly bent as noted by E. H. Dowdye in “Gravitational Light Bending…” [68].</w:t>
      </w:r>
      <w:r w:rsidRPr="00F87319">
        <w:rPr>
          <w:color w:val="000000"/>
          <w:sz w:val="20"/>
        </w:rPr>
        <w:t xml:space="preserve">  In both the cases in Fig. 7, we are looking end on at the plasma filament in which the clusters were immersed.  These filaments were pinched to form the clusters, and </w:t>
      </w:r>
      <w:r w:rsidR="00292D51">
        <w:rPr>
          <w:color w:val="000000"/>
          <w:sz w:val="20"/>
        </w:rPr>
        <w:t xml:space="preserve">this </w:t>
      </w:r>
      <w:r w:rsidRPr="00F87319">
        <w:rPr>
          <w:color w:val="000000"/>
          <w:sz w:val="20"/>
        </w:rPr>
        <w:t>will enhance the lensing effect of the mass already present.  The lensing effects are seen most strongly around the outer edge of the filament since that is where the “double layer” in the plasma filament occurs (the outer blue circle in the left figure and the more defined circle in the right.</w:t>
      </w:r>
    </w:p>
    <w:p w:rsidR="00846979" w:rsidRPr="00F87319" w:rsidRDefault="00846979" w:rsidP="000870DB">
      <w:pPr>
        <w:pStyle w:val="NormPara"/>
        <w:ind w:firstLine="720"/>
        <w:rPr>
          <w:color w:val="000000"/>
          <w:sz w:val="20"/>
        </w:rPr>
      </w:pPr>
    </w:p>
    <w:p w:rsidR="006D41BD" w:rsidRPr="00F87319" w:rsidRDefault="00BD495E" w:rsidP="00BD495E">
      <w:pPr>
        <w:pStyle w:val="NormPara"/>
        <w:ind w:firstLine="720"/>
        <w:rPr>
          <w:color w:val="000000"/>
          <w:sz w:val="20"/>
        </w:rPr>
      </w:pPr>
      <w:r w:rsidRPr="00F87319">
        <w:rPr>
          <w:color w:val="000000"/>
          <w:sz w:val="20"/>
        </w:rPr>
        <w:t xml:space="preserve">This double layer is where the charge difference is concentrated and where the change in plasma density is greatest.  This allows the plasma filament to form images around this outer edge, which pinches in where the cluster is.  Thus light comes to us after traveling down the length of the plasma cylinder, or going through its pinched region, which in some cases will give rise to arc-like distortions.  Up until now, these </w:t>
      </w:r>
      <w:r w:rsidRPr="00F87319">
        <w:rPr>
          <w:sz w:val="20"/>
        </w:rPr>
        <w:t>images</w:t>
      </w:r>
      <w:r w:rsidRPr="00F87319">
        <w:rPr>
          <w:color w:val="000000"/>
          <w:sz w:val="20"/>
        </w:rPr>
        <w:t xml:space="preserve"> have been interpreted in terms of gravitational physics instead of plasma physics</w:t>
      </w:r>
      <w:r w:rsidR="006D41BD" w:rsidRPr="00F87319">
        <w:rPr>
          <w:color w:val="000000"/>
          <w:sz w:val="20"/>
        </w:rPr>
        <w:t>.</w:t>
      </w:r>
    </w:p>
    <w:p w:rsidR="00BD495E" w:rsidRPr="00F87319" w:rsidRDefault="00BD495E" w:rsidP="00BD495E">
      <w:pPr>
        <w:pStyle w:val="NormPara"/>
        <w:ind w:firstLine="720"/>
        <w:rPr>
          <w:color w:val="000000"/>
          <w:sz w:val="20"/>
        </w:rPr>
      </w:pPr>
    </w:p>
    <w:p w:rsidR="000870DB" w:rsidRPr="00F87319" w:rsidRDefault="000870DB" w:rsidP="000870DB">
      <w:pPr>
        <w:pStyle w:val="NormPara"/>
        <w:ind w:firstLine="720"/>
        <w:rPr>
          <w:sz w:val="20"/>
        </w:rPr>
      </w:pPr>
      <w:r w:rsidRPr="00F87319">
        <w:rPr>
          <w:color w:val="000000"/>
          <w:sz w:val="20"/>
        </w:rPr>
        <w:t>Studies from the gravitational lensing effects have resulted in the explanation that what is seen in objects such as shown in Figure 8 is a dark matter ‘filament’ connected two galaxy clusters. The blue shading and yellow contours in Figure 8 indicate the density of matter. The clusters are 2.7 billion light years away from us, and appear close together because of our line of sight. In actual fact they are separated by a considerable distance, so we are almost looking directly down the long axis of a plasma filament. It is this relative position which has allowed the lensing effect</w:t>
      </w:r>
      <w:r w:rsidR="00292D51">
        <w:rPr>
          <w:color w:val="000000"/>
          <w:sz w:val="20"/>
        </w:rPr>
        <w:t xml:space="preserve"> of the plasma filament</w:t>
      </w:r>
      <w:r w:rsidRPr="00F87319">
        <w:rPr>
          <w:color w:val="000000"/>
          <w:sz w:val="20"/>
        </w:rPr>
        <w:t xml:space="preserve"> to </w:t>
      </w:r>
      <w:r w:rsidR="00292D51">
        <w:rPr>
          <w:color w:val="000000"/>
          <w:sz w:val="20"/>
        </w:rPr>
        <w:t>be prominent</w:t>
      </w:r>
      <w:r w:rsidRPr="00F87319">
        <w:rPr>
          <w:sz w:val="20"/>
        </w:rPr>
        <w:t xml:space="preserve"> [69]. </w:t>
      </w:r>
    </w:p>
    <w:p w:rsidR="006D41BD" w:rsidRPr="00F87319" w:rsidRDefault="006D41BD" w:rsidP="006D41BD">
      <w:pPr>
        <w:pStyle w:val="NormPara"/>
        <w:ind w:firstLine="270"/>
        <w:rPr>
          <w:sz w:val="20"/>
        </w:rPr>
      </w:pPr>
    </w:p>
    <w:p w:rsidR="006D41BD" w:rsidRPr="00F87319" w:rsidRDefault="006D41BD" w:rsidP="006D41BD">
      <w:pPr>
        <w:pStyle w:val="NormPara"/>
        <w:ind w:firstLine="0"/>
        <w:jc w:val="center"/>
        <w:rPr>
          <w:color w:val="000000"/>
          <w:sz w:val="20"/>
        </w:rPr>
      </w:pPr>
      <w:r w:rsidRPr="00F87319">
        <w:rPr>
          <w:noProof/>
          <w:color w:val="333333"/>
          <w:sz w:val="20"/>
        </w:rPr>
        <w:lastRenderedPageBreak/>
        <w:drawing>
          <wp:inline distT="0" distB="0" distL="0" distR="0">
            <wp:extent cx="4443000" cy="3095625"/>
            <wp:effectExtent l="19050" t="0" r="0" b="0"/>
            <wp:docPr id="1770" name="Picture 284" descr="Image: C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 Clusters"/>
                    <pic:cNvPicPr>
                      <a:picLocks noChangeAspect="1" noChangeArrowheads="1"/>
                    </pic:cNvPicPr>
                  </pic:nvPicPr>
                  <pic:blipFill>
                    <a:blip r:embed="rId921" cstate="print"/>
                    <a:srcRect t="5543" r="-22" b="7537"/>
                    <a:stretch>
                      <a:fillRect/>
                    </a:stretch>
                  </pic:blipFill>
                  <pic:spPr bwMode="auto">
                    <a:xfrm>
                      <a:off x="0" y="0"/>
                      <a:ext cx="4452420" cy="3102188"/>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270"/>
        <w:rPr>
          <w:color w:val="000000"/>
          <w:sz w:val="20"/>
        </w:rPr>
      </w:pPr>
    </w:p>
    <w:p w:rsidR="006D41BD" w:rsidRPr="00CF2274" w:rsidRDefault="006D41BD" w:rsidP="00CF2274">
      <w:pPr>
        <w:pStyle w:val="NormPara"/>
        <w:ind w:firstLine="0"/>
        <w:jc w:val="left"/>
        <w:rPr>
          <w:i/>
          <w:color w:val="000000"/>
          <w:szCs w:val="18"/>
        </w:rPr>
      </w:pPr>
      <w:r w:rsidRPr="00CF2274">
        <w:rPr>
          <w:b/>
          <w:i/>
          <w:color w:val="000000"/>
          <w:szCs w:val="18"/>
        </w:rPr>
        <w:t>Fig</w:t>
      </w:r>
      <w:r w:rsidR="00CF2274" w:rsidRPr="00CF2274">
        <w:rPr>
          <w:b/>
          <w:i/>
          <w:color w:val="000000"/>
          <w:szCs w:val="18"/>
        </w:rPr>
        <w:t>ure</w:t>
      </w:r>
      <w:r w:rsidRPr="00CF2274">
        <w:rPr>
          <w:b/>
          <w:i/>
          <w:color w:val="000000"/>
          <w:szCs w:val="18"/>
        </w:rPr>
        <w:t xml:space="preserve"> 8</w:t>
      </w:r>
      <w:r w:rsidR="00CF2274" w:rsidRPr="00CF2274">
        <w:rPr>
          <w:b/>
          <w:i/>
          <w:color w:val="000000"/>
          <w:szCs w:val="18"/>
        </w:rPr>
        <w:t>:</w:t>
      </w:r>
      <w:r w:rsidRPr="00CF2274">
        <w:rPr>
          <w:i/>
          <w:color w:val="000000"/>
          <w:szCs w:val="18"/>
        </w:rPr>
        <w:t xml:space="preserve"> A “dark matter filament” connecting galaxy clusters Abell 222 and 223 has been deduced from a study of its gravitational lensing effect. </w:t>
      </w:r>
    </w:p>
    <w:p w:rsidR="006D41BD" w:rsidRPr="00F87319" w:rsidRDefault="006D41BD" w:rsidP="006D41BD">
      <w:pPr>
        <w:pStyle w:val="NormPara"/>
        <w:ind w:firstLine="0"/>
        <w:rPr>
          <w:sz w:val="20"/>
        </w:rPr>
      </w:pPr>
    </w:p>
    <w:p w:rsidR="006D41BD" w:rsidRPr="00F87319" w:rsidRDefault="006D41BD" w:rsidP="006D41BD">
      <w:pPr>
        <w:pStyle w:val="NormPara"/>
        <w:ind w:firstLine="540"/>
        <w:rPr>
          <w:sz w:val="20"/>
        </w:rPr>
      </w:pPr>
      <w:r w:rsidRPr="00F87319">
        <w:rPr>
          <w:sz w:val="20"/>
        </w:rPr>
        <w:t xml:space="preserve">“Dark matter” and “missing mass” were originally introduced because, in the gravitational model, galaxies were observed to have rotation rates that could only be accounted for if there were large dark matter halos around the galaxies.  However, lab experiments in plasma physics have shown that these rotation rates are the natural results of the interactions between plasma filaments that form galaxies.[70]  Plasma physics, coupled with the SED approach, show that missing mass and dark matter are unnecessary in explaining what we see in space.  </w:t>
      </w:r>
    </w:p>
    <w:p w:rsidR="006D41BD" w:rsidRPr="00F87319" w:rsidRDefault="006D41BD" w:rsidP="006D41BD">
      <w:pPr>
        <w:pStyle w:val="NormPara"/>
        <w:ind w:firstLine="540"/>
        <w:rPr>
          <w:color w:val="000000"/>
          <w:sz w:val="20"/>
        </w:rPr>
      </w:pP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 and Our Galaxy’s Center</w:t>
      </w:r>
    </w:p>
    <w:p w:rsidR="006D41BD" w:rsidRPr="00F87319" w:rsidRDefault="006D41BD" w:rsidP="006D41BD">
      <w:pPr>
        <w:pStyle w:val="NormPara"/>
        <w:ind w:firstLine="270"/>
        <w:rPr>
          <w:sz w:val="20"/>
        </w:rPr>
      </w:pPr>
    </w:p>
    <w:p w:rsidR="006D41BD" w:rsidRPr="00F87319" w:rsidRDefault="006D41BD" w:rsidP="006D41BD">
      <w:pPr>
        <w:pStyle w:val="NormPara"/>
        <w:ind w:firstLine="540"/>
        <w:rPr>
          <w:sz w:val="20"/>
        </w:rPr>
      </w:pPr>
      <w:r w:rsidRPr="00F87319">
        <w:rPr>
          <w:sz w:val="20"/>
        </w:rPr>
        <w:t>At the center of our galaxy, and most other galaxies, there is a fast-spinning disk with polar jets.  In the gravitational model, the rate of spin of the disk, and the rate that stars orbit the center, suggests that there must be a super-massive black hole there, exerting tremendous gravitational force.  In our galaxy, this object is called Sagittarius A* (abbreviated to Sag A* and pronounced “A Star”).  Some 28 stars have been tracked as they orbit around this central object.  See for example the orbit of star S2 in Fig. 9.</w:t>
      </w:r>
    </w:p>
    <w:p w:rsidR="006D41BD" w:rsidRDefault="006D41BD" w:rsidP="006D41BD">
      <w:pPr>
        <w:pStyle w:val="NormPara"/>
        <w:ind w:firstLine="540"/>
        <w:rPr>
          <w:sz w:val="20"/>
        </w:rPr>
      </w:pPr>
    </w:p>
    <w:p w:rsidR="000870DB" w:rsidRPr="00F87319" w:rsidRDefault="000870DB" w:rsidP="000870DB">
      <w:pPr>
        <w:pStyle w:val="NormPara"/>
        <w:ind w:firstLine="548"/>
        <w:rPr>
          <w:sz w:val="20"/>
        </w:rPr>
      </w:pPr>
      <w:r w:rsidRPr="00F87319">
        <w:rPr>
          <w:sz w:val="20"/>
        </w:rPr>
        <w:t>The orbits of these stars have shapes and revolution times which suggest a point-like black hole of about 3 million times the mass of the Sun.  It would be expected that with a super-massive black hole, at least some of these orbiting stars would be gravitationally lensed.  Despite diligent search, no evidence for such lensing has been found [71].  This indicates that the object at the center of our galaxy may not be a black hole.  E. H. Dowdye, Jr. expresses it this way:</w:t>
      </w:r>
    </w:p>
    <w:p w:rsidR="000870DB" w:rsidRPr="00F87319" w:rsidRDefault="000870DB" w:rsidP="000870DB">
      <w:pPr>
        <w:pStyle w:val="NormPara"/>
        <w:ind w:firstLine="548"/>
        <w:rPr>
          <w:sz w:val="20"/>
        </w:rPr>
      </w:pPr>
    </w:p>
    <w:p w:rsidR="000870DB" w:rsidRPr="00F87319" w:rsidRDefault="000870DB" w:rsidP="000870DB">
      <w:pPr>
        <w:pStyle w:val="NormPara"/>
        <w:spacing w:before="80" w:after="80"/>
        <w:ind w:firstLine="548"/>
        <w:rPr>
          <w:sz w:val="20"/>
        </w:rPr>
      </w:pPr>
      <w:r w:rsidRPr="00F87319">
        <w:rPr>
          <w:i/>
          <w:sz w:val="20"/>
        </w:rPr>
        <w:t xml:space="preserve">Moreover, the events taking place at the center of our galaxy [have been] under intense observations by astrophysicists since 1992.  …  This highly studied region, known as Sagittarius A*, is thought to contain a super massive black hole, a most likely candidate for gravitational lensing.  The past two decades of intense observation in this region have revealed not a shred of evidence for any gravitational lensing. </w:t>
      </w:r>
      <w:r w:rsidRPr="00F87319">
        <w:rPr>
          <w:sz w:val="20"/>
        </w:rPr>
        <w:t>[71]</w:t>
      </w:r>
    </w:p>
    <w:p w:rsidR="000870DB" w:rsidRPr="00F87319" w:rsidRDefault="000870DB" w:rsidP="006D41BD">
      <w:pPr>
        <w:pStyle w:val="NormPara"/>
        <w:ind w:firstLine="540"/>
        <w:rPr>
          <w:sz w:val="20"/>
        </w:rPr>
      </w:pPr>
    </w:p>
    <w:p w:rsidR="006D41BD" w:rsidRPr="00F87319" w:rsidRDefault="006D41BD" w:rsidP="006D41BD">
      <w:pPr>
        <w:pStyle w:val="NormPara"/>
        <w:spacing w:before="120"/>
        <w:ind w:firstLine="0"/>
        <w:jc w:val="center"/>
        <w:rPr>
          <w:sz w:val="20"/>
        </w:rPr>
      </w:pPr>
      <w:r w:rsidRPr="00F87319">
        <w:rPr>
          <w:noProof/>
          <w:sz w:val="20"/>
        </w:rPr>
        <w:lastRenderedPageBreak/>
        <w:drawing>
          <wp:inline distT="0" distB="0" distL="0" distR="0">
            <wp:extent cx="4364039" cy="2771775"/>
            <wp:effectExtent l="19050" t="0" r="0" b="0"/>
            <wp:docPr id="1772" name="Picture 19" descr="Description: http://hera.ph1.uni-koeln.de/~heintzma/U1/b4/Sg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hera.ph1.uni-koeln.de/~heintzma/U1/b4/SgrA_1.jpg"/>
                    <pic:cNvPicPr>
                      <a:picLocks noChangeAspect="1" noChangeArrowheads="1"/>
                    </pic:cNvPicPr>
                  </pic:nvPicPr>
                  <pic:blipFill>
                    <a:blip r:embed="rId922" cstate="print"/>
                    <a:srcRect t="2652" b="4730"/>
                    <a:stretch>
                      <a:fillRect/>
                    </a:stretch>
                  </pic:blipFill>
                  <pic:spPr bwMode="auto">
                    <a:xfrm>
                      <a:off x="0" y="0"/>
                      <a:ext cx="4372376" cy="2777070"/>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sz w:val="20"/>
        </w:rPr>
      </w:pPr>
    </w:p>
    <w:p w:rsidR="006D41BD" w:rsidRPr="00CF2274" w:rsidRDefault="006D41BD" w:rsidP="006D41BD">
      <w:pPr>
        <w:pStyle w:val="NormPara"/>
        <w:spacing w:before="80" w:after="80"/>
        <w:ind w:right="274" w:firstLine="0"/>
        <w:jc w:val="left"/>
        <w:rPr>
          <w:i/>
          <w:szCs w:val="18"/>
        </w:rPr>
      </w:pPr>
      <w:r w:rsidRPr="00CF2274">
        <w:rPr>
          <w:b/>
          <w:i/>
          <w:szCs w:val="18"/>
        </w:rPr>
        <w:t>Fig</w:t>
      </w:r>
      <w:r w:rsidR="00CF2274" w:rsidRPr="00CF2274">
        <w:rPr>
          <w:b/>
          <w:i/>
          <w:szCs w:val="18"/>
        </w:rPr>
        <w:t xml:space="preserve">ure </w:t>
      </w:r>
      <w:r w:rsidRPr="00CF2274">
        <w:rPr>
          <w:b/>
          <w:i/>
          <w:szCs w:val="18"/>
        </w:rPr>
        <w:t>9</w:t>
      </w:r>
      <w:r w:rsidR="00CF2274" w:rsidRPr="00CF2274">
        <w:rPr>
          <w:b/>
          <w:i/>
          <w:szCs w:val="18"/>
        </w:rPr>
        <w:t>:</w:t>
      </w:r>
      <w:r w:rsidRPr="00CF2274">
        <w:rPr>
          <w:i/>
          <w:szCs w:val="18"/>
        </w:rPr>
        <w:t xml:space="preserve">  The orbit of the star S2 around the object at the center of our Galaxy, Sagittarius A*.  This is one of 28 stars whose orbits have been tracked around Sag A* without any gravitational lensing effect being noted.</w:t>
      </w:r>
    </w:p>
    <w:p w:rsidR="006D41BD" w:rsidRPr="00F87319" w:rsidRDefault="006D41BD" w:rsidP="006D41BD">
      <w:pPr>
        <w:pStyle w:val="NormPara"/>
        <w:spacing w:before="80" w:after="80"/>
        <w:ind w:left="270" w:right="274" w:firstLine="0"/>
        <w:jc w:val="left"/>
        <w:rPr>
          <w:szCs w:val="18"/>
        </w:rPr>
      </w:pPr>
    </w:p>
    <w:p w:rsidR="006D41BD" w:rsidRPr="00F87319" w:rsidRDefault="006D41BD" w:rsidP="006D41BD">
      <w:pPr>
        <w:pStyle w:val="NormPara"/>
        <w:spacing w:before="80" w:after="80"/>
        <w:ind w:firstLine="274"/>
        <w:rPr>
          <w:sz w:val="20"/>
        </w:rPr>
      </w:pPr>
      <w:r w:rsidRPr="00F87319">
        <w:rPr>
          <w:sz w:val="20"/>
        </w:rPr>
        <w:t>The only viable alternative to a black hole comes from plasma physics, where spinning disks and polar jets are an everyday occurrence with objects like plasmoids (see Figure 10).  Plasmoids occur at the focus of electric currents and magnetic fields.</w:t>
      </w:r>
      <w:r w:rsidR="00291AD1">
        <w:rPr>
          <w:sz w:val="20"/>
        </w:rPr>
        <w:t xml:space="preserve"> Since the center of our galaxy is the focus of such fields, a large plasmoid is expected to occur there.</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3199377" cy="1466850"/>
            <wp:effectExtent l="19050" t="0" r="1023" b="0"/>
            <wp:docPr id="1514" name="il_fi" descr="Description: http://dev.holoscience.com/news/img/Galactic%20Center%20Plasm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dev.holoscience.com/news/img/Galactic%20Center%20Plasmoid.jpg"/>
                    <pic:cNvPicPr>
                      <a:picLocks noChangeAspect="1" noChangeArrowheads="1"/>
                    </pic:cNvPicPr>
                  </pic:nvPicPr>
                  <pic:blipFill>
                    <a:blip r:embed="rId923" cstate="print"/>
                    <a:srcRect t="20390" r="-119" b="13568"/>
                    <a:stretch>
                      <a:fillRect/>
                    </a:stretch>
                  </pic:blipFill>
                  <pic:spPr bwMode="auto">
                    <a:xfrm>
                      <a:off x="0" y="0"/>
                      <a:ext cx="3199377" cy="1466850"/>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sz w:val="20"/>
        </w:rPr>
      </w:pPr>
    </w:p>
    <w:p w:rsidR="006D41BD" w:rsidRPr="00CF2274" w:rsidRDefault="006D41BD" w:rsidP="00E25399">
      <w:pPr>
        <w:pStyle w:val="NormPara"/>
        <w:ind w:firstLine="0"/>
        <w:jc w:val="center"/>
        <w:rPr>
          <w:i/>
          <w:szCs w:val="18"/>
        </w:rPr>
      </w:pPr>
      <w:r w:rsidRPr="00CF2274">
        <w:rPr>
          <w:b/>
          <w:i/>
          <w:szCs w:val="18"/>
        </w:rPr>
        <w:t>Fig</w:t>
      </w:r>
      <w:r w:rsidR="00CF2274" w:rsidRPr="00CF2274">
        <w:rPr>
          <w:b/>
          <w:i/>
          <w:szCs w:val="18"/>
        </w:rPr>
        <w:t>ure</w:t>
      </w:r>
      <w:r w:rsidRPr="00CF2274">
        <w:rPr>
          <w:b/>
          <w:i/>
          <w:szCs w:val="18"/>
        </w:rPr>
        <w:t xml:space="preserve"> 10</w:t>
      </w:r>
      <w:r w:rsidR="00CF2274" w:rsidRPr="00CF2274">
        <w:rPr>
          <w:b/>
          <w:i/>
          <w:szCs w:val="18"/>
        </w:rPr>
        <w:t>:</w:t>
      </w:r>
      <w:r w:rsidRPr="00CF2274">
        <w:rPr>
          <w:i/>
          <w:szCs w:val="18"/>
        </w:rPr>
        <w:t xml:space="preserve">  A spherical plasmoid with polar jets.</w:t>
      </w:r>
    </w:p>
    <w:p w:rsidR="004E34C6" w:rsidRDefault="004E34C6" w:rsidP="006D41BD">
      <w:pPr>
        <w:pStyle w:val="NormPara"/>
        <w:ind w:firstLine="0"/>
        <w:jc w:val="left"/>
        <w:rPr>
          <w:szCs w:val="18"/>
        </w:rPr>
      </w:pPr>
    </w:p>
    <w:p w:rsidR="000870DB" w:rsidRPr="00F87319" w:rsidRDefault="000870DB" w:rsidP="000870DB">
      <w:pPr>
        <w:pStyle w:val="NormPara"/>
        <w:spacing w:before="80" w:after="80"/>
        <w:ind w:firstLine="720"/>
        <w:rPr>
          <w:i/>
          <w:sz w:val="20"/>
        </w:rPr>
      </w:pPr>
      <w:r w:rsidRPr="00F87319">
        <w:rPr>
          <w:sz w:val="20"/>
        </w:rPr>
        <w:t>In describing a plasmoid, Wal Thornhill has stated [72]: “</w:t>
      </w:r>
      <w:r w:rsidRPr="00F87319">
        <w:rPr>
          <w:i/>
          <w:sz w:val="20"/>
        </w:rPr>
        <w:t>In the powerful magnetic field of a plasmoid, charged particles are constrained to accelerate continuously in the complex pattern of the plasmoid.  Like electrons and protons in particle accelerators on Earth, the apparent masses of those particles become enormous as they approach the speed of light.  The plasmoid is “quiet” while storing electromagnetic energy.  The persistent high-energy flux comes from synchrotron radiation from the circulating charged particles in the plasmoid.”</w:t>
      </w:r>
    </w:p>
    <w:p w:rsidR="000870DB" w:rsidRPr="00F87319" w:rsidRDefault="000870DB" w:rsidP="000870DB">
      <w:pPr>
        <w:pStyle w:val="NormPara"/>
        <w:ind w:firstLine="720"/>
        <w:rPr>
          <w:sz w:val="20"/>
        </w:rPr>
      </w:pPr>
    </w:p>
    <w:p w:rsidR="00846979" w:rsidRPr="00F87319" w:rsidRDefault="000870DB" w:rsidP="00846979">
      <w:pPr>
        <w:pStyle w:val="NormPara"/>
        <w:ind w:firstLine="0"/>
        <w:rPr>
          <w:sz w:val="20"/>
        </w:rPr>
      </w:pPr>
      <w:r w:rsidRPr="00F87319">
        <w:rPr>
          <w:sz w:val="20"/>
        </w:rPr>
        <w:t xml:space="preserve">Evidence indicates that such fields and currents exist at galaxy centers as part of the current circuit in every galaxy.  (See Fig. 11.)  Thus plasmoids are expected there. In plasma physics, the rate of spin of the disk, and the behavior of the polar jets, is entirely dependent upon the strength of the current.  If the same applies at the center of our Galaxy, </w:t>
      </w:r>
      <w:r w:rsidR="00846979" w:rsidRPr="00F87319">
        <w:rPr>
          <w:sz w:val="20"/>
        </w:rPr>
        <w:t xml:space="preserve">then gravity need not enter the picture.  This means that the “black-hole” may not exist either, a conclusion reinforced by the absence </w:t>
      </w:r>
      <w:r w:rsidR="00846979" w:rsidRPr="00F87319">
        <w:rPr>
          <w:sz w:val="20"/>
        </w:rPr>
        <w:lastRenderedPageBreak/>
        <w:t>of lensing effects from Sag. A*.  Rather the galaxy center is a place of strong electric currents and magnetic fields, as well as strong electric charges.</w:t>
      </w:r>
    </w:p>
    <w:p w:rsidR="000870DB" w:rsidRPr="00F87319" w:rsidRDefault="000870DB" w:rsidP="000870DB">
      <w:pPr>
        <w:pStyle w:val="NormPara"/>
        <w:ind w:firstLine="720"/>
        <w:rPr>
          <w:sz w:val="20"/>
        </w:rPr>
      </w:pPr>
    </w:p>
    <w:p w:rsidR="006D41BD" w:rsidRPr="00F87319" w:rsidRDefault="006D41BD" w:rsidP="006D41BD">
      <w:pPr>
        <w:pStyle w:val="NormPara"/>
        <w:spacing w:before="80" w:after="80"/>
        <w:ind w:right="274" w:firstLine="0"/>
        <w:jc w:val="center"/>
        <w:rPr>
          <w:sz w:val="20"/>
        </w:rPr>
      </w:pPr>
      <w:r w:rsidRPr="00F87319">
        <w:rPr>
          <w:noProof/>
          <w:sz w:val="20"/>
        </w:rPr>
        <w:drawing>
          <wp:inline distT="0" distB="0" distL="0" distR="0">
            <wp:extent cx="3663277" cy="2219325"/>
            <wp:effectExtent l="19050" t="0" r="0" b="0"/>
            <wp:docPr id="33" name="il_fi" descr="http://www.thunderbolts.info/tpod/2005/images05/050113seeing-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5/images05/050113seeing-circuits.jpg"/>
                    <pic:cNvPicPr>
                      <a:picLocks noChangeAspect="1" noChangeArrowheads="1"/>
                    </pic:cNvPicPr>
                  </pic:nvPicPr>
                  <pic:blipFill>
                    <a:blip r:embed="rId924" cstate="print"/>
                    <a:srcRect/>
                    <a:stretch>
                      <a:fillRect/>
                    </a:stretch>
                  </pic:blipFill>
                  <pic:spPr bwMode="auto">
                    <a:xfrm>
                      <a:off x="0" y="0"/>
                      <a:ext cx="3663277" cy="2219325"/>
                    </a:xfrm>
                    <a:prstGeom prst="rect">
                      <a:avLst/>
                    </a:prstGeom>
                    <a:noFill/>
                    <a:ln w="9525">
                      <a:noFill/>
                      <a:miter lim="800000"/>
                      <a:headEnd/>
                      <a:tailEnd/>
                    </a:ln>
                  </pic:spPr>
                </pic:pic>
              </a:graphicData>
            </a:graphic>
          </wp:inline>
        </w:drawing>
      </w:r>
    </w:p>
    <w:p w:rsidR="006D41BD" w:rsidRPr="00F87319" w:rsidRDefault="006D41BD" w:rsidP="006D41BD">
      <w:pPr>
        <w:pStyle w:val="NoSpacing"/>
        <w:rPr>
          <w:rFonts w:ascii="Book Antiqua" w:hAnsi="Book Antiqua"/>
          <w:sz w:val="20"/>
        </w:rPr>
      </w:pPr>
    </w:p>
    <w:p w:rsidR="006D41BD" w:rsidRPr="00CF2274" w:rsidRDefault="006D41BD" w:rsidP="006D41BD">
      <w:pPr>
        <w:pStyle w:val="NoSpacing"/>
        <w:rPr>
          <w:rFonts w:ascii="Book Antiqua" w:hAnsi="Book Antiqua"/>
          <w:i/>
          <w:sz w:val="18"/>
          <w:szCs w:val="18"/>
        </w:rPr>
      </w:pPr>
      <w:r w:rsidRPr="00CF2274">
        <w:rPr>
          <w:rFonts w:ascii="Book Antiqua" w:hAnsi="Book Antiqua"/>
          <w:b/>
          <w:i/>
          <w:sz w:val="18"/>
          <w:szCs w:val="18"/>
        </w:rPr>
        <w:t>Fig</w:t>
      </w:r>
      <w:r w:rsidR="00CF2274" w:rsidRPr="00CF2274">
        <w:rPr>
          <w:rFonts w:ascii="Book Antiqua" w:hAnsi="Book Antiqua"/>
          <w:b/>
          <w:i/>
          <w:sz w:val="18"/>
          <w:szCs w:val="18"/>
        </w:rPr>
        <w:t>ure</w:t>
      </w:r>
      <w:r w:rsidRPr="00CF2274">
        <w:rPr>
          <w:rFonts w:ascii="Book Antiqua" w:hAnsi="Book Antiqua"/>
          <w:b/>
          <w:i/>
          <w:sz w:val="18"/>
          <w:szCs w:val="18"/>
        </w:rPr>
        <w:t xml:space="preserve"> 11</w:t>
      </w:r>
      <w:r w:rsidR="00CF2274" w:rsidRPr="00CF2274">
        <w:rPr>
          <w:rFonts w:ascii="Book Antiqua" w:hAnsi="Book Antiqua"/>
          <w:b/>
          <w:i/>
          <w:sz w:val="18"/>
          <w:szCs w:val="18"/>
        </w:rPr>
        <w:t>:</w:t>
      </w:r>
      <w:r w:rsidRPr="00CF2274">
        <w:rPr>
          <w:rFonts w:ascii="Book Antiqua" w:hAnsi="Book Antiqua"/>
          <w:i/>
          <w:sz w:val="18"/>
          <w:szCs w:val="18"/>
        </w:rPr>
        <w:t xml:space="preserve">  A typical circuit for a galaxy</w:t>
      </w:r>
      <w:r w:rsidR="000870DB" w:rsidRPr="00CF2274">
        <w:rPr>
          <w:rFonts w:ascii="Book Antiqua" w:hAnsi="Book Antiqua"/>
          <w:i/>
          <w:sz w:val="18"/>
          <w:szCs w:val="18"/>
        </w:rPr>
        <w:t xml:space="preserve"> as detected for the</w:t>
      </w:r>
      <w:r w:rsidR="002B474C" w:rsidRPr="00CF2274">
        <w:rPr>
          <w:rFonts w:ascii="Book Antiqua" w:hAnsi="Book Antiqua"/>
          <w:i/>
          <w:sz w:val="18"/>
          <w:szCs w:val="18"/>
        </w:rPr>
        <w:t xml:space="preserve"> starburst</w:t>
      </w:r>
      <w:r w:rsidR="000870DB" w:rsidRPr="00CF2274">
        <w:rPr>
          <w:rFonts w:ascii="Book Antiqua" w:hAnsi="Book Antiqua"/>
          <w:i/>
          <w:sz w:val="18"/>
          <w:szCs w:val="18"/>
        </w:rPr>
        <w:t xml:space="preserve"> galaxy M</w:t>
      </w:r>
      <w:r w:rsidR="002B474C" w:rsidRPr="00CF2274">
        <w:rPr>
          <w:rFonts w:ascii="Book Antiqua" w:hAnsi="Book Antiqua"/>
          <w:i/>
          <w:sz w:val="18"/>
          <w:szCs w:val="18"/>
        </w:rPr>
        <w:t>82 (inset)</w:t>
      </w:r>
      <w:r w:rsidRPr="00CF2274">
        <w:rPr>
          <w:rFonts w:ascii="Book Antiqua" w:hAnsi="Book Antiqua"/>
          <w:i/>
          <w:sz w:val="18"/>
          <w:szCs w:val="18"/>
        </w:rPr>
        <w:t>.  The current comes in via the spiral arms and exits at the core where strong currents, high voltages and hence a plasmoid exist.  The current exits via the jets and circles around back into the spiral arms.</w:t>
      </w:r>
    </w:p>
    <w:p w:rsidR="006D41BD"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equation for an orbiting star around the central plasmoid must consider both the electric and magnetic effects as well as gravity.  Anthony Peratt has done this.  The motion of a solid object in such an environment is completely described by his second equation in “Evolution of a Plasma Universe” [70]:</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color w:val="000000"/>
          <w:sz w:val="20"/>
        </w:rPr>
      </w:pPr>
      <w:r w:rsidRPr="00F87319">
        <w:rPr>
          <w:color w:val="000000"/>
          <w:sz w:val="20"/>
        </w:rPr>
        <w:tab/>
      </w:r>
      <w:r w:rsidRPr="00F87319">
        <w:rPr>
          <w:color w:val="000000"/>
          <w:position w:val="-20"/>
          <w:sz w:val="20"/>
        </w:rPr>
        <w:object w:dxaOrig="2600" w:dyaOrig="499">
          <v:shape id="_x0000_i1308" type="#_x0000_t75" style="width:129.5pt;height:24.8pt" o:ole="">
            <v:imagedata r:id="rId925" o:title=""/>
          </v:shape>
          <o:OLEObject Type="Embed" ProgID="Equation.DSMT4" ShapeID="_x0000_i1308" DrawAspect="Content" ObjectID="_1438189120" r:id="rId926"/>
        </w:object>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i/>
          <w:color w:val="000000"/>
          <w:sz w:val="20"/>
        </w:rPr>
        <w:t>(80)</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0"/>
        <w:rPr>
          <w:color w:val="000000"/>
          <w:sz w:val="20"/>
        </w:rPr>
      </w:pPr>
      <w:r w:rsidRPr="00F87319">
        <w:rPr>
          <w:color w:val="000000"/>
          <w:sz w:val="20"/>
        </w:rPr>
        <w:t xml:space="preserve">In his equation reproduced as (80) here, </w:t>
      </w:r>
      <w:r w:rsidRPr="00F87319">
        <w:rPr>
          <w:color w:val="000000"/>
          <w:position w:val="-6"/>
          <w:sz w:val="20"/>
        </w:rPr>
        <w:object w:dxaOrig="220" w:dyaOrig="200">
          <v:shape id="_x0000_i1309" type="#_x0000_t75" style="width:10.3pt;height:9.7pt" o:ole="">
            <v:imagedata r:id="rId927" o:title=""/>
          </v:shape>
          <o:OLEObject Type="Embed" ProgID="Equation.DSMT4" ShapeID="_x0000_i1309" DrawAspect="Content" ObjectID="_1438189121" r:id="rId928"/>
        </w:object>
      </w:r>
      <w:r w:rsidRPr="00F87319">
        <w:rPr>
          <w:color w:val="000000"/>
          <w:sz w:val="20"/>
        </w:rPr>
        <w:t>is the mass of the object, which has a velocity</w:t>
      </w:r>
      <w:r w:rsidRPr="00F87319">
        <w:rPr>
          <w:color w:val="000000"/>
          <w:position w:val="-6"/>
          <w:sz w:val="20"/>
        </w:rPr>
        <w:object w:dxaOrig="180" w:dyaOrig="200">
          <v:shape id="_x0000_i1310" type="#_x0000_t75" style="width:9.1pt;height:9.7pt" o:ole="">
            <v:imagedata r:id="rId929" o:title=""/>
          </v:shape>
          <o:OLEObject Type="Embed" ProgID="Equation.DSMT4" ShapeID="_x0000_i1310" DrawAspect="Content" ObjectID="_1438189122" r:id="rId930"/>
        </w:object>
      </w:r>
      <w:r w:rsidRPr="00F87319">
        <w:rPr>
          <w:color w:val="000000"/>
          <w:sz w:val="20"/>
        </w:rPr>
        <w:t>and carries an electric charge</w:t>
      </w:r>
      <w:r w:rsidRPr="00F87319">
        <w:rPr>
          <w:color w:val="000000"/>
          <w:position w:val="-10"/>
          <w:sz w:val="20"/>
        </w:rPr>
        <w:object w:dxaOrig="160" w:dyaOrig="240">
          <v:shape id="_x0000_i1311" type="#_x0000_t75" style="width:8.45pt;height:12.1pt" o:ole="">
            <v:imagedata r:id="rId931" o:title=""/>
          </v:shape>
          <o:OLEObject Type="Embed" ProgID="Equation.DSMT4" ShapeID="_x0000_i1311" DrawAspect="Content" ObjectID="_1438189123" r:id="rId932"/>
        </w:object>
      </w:r>
      <w:r w:rsidRPr="00F87319">
        <w:rPr>
          <w:color w:val="000000"/>
          <w:sz w:val="20"/>
        </w:rPr>
        <w:t xml:space="preserve">.  The electric field strength and magnetic induction are </w:t>
      </w:r>
      <w:r w:rsidRPr="00F87319">
        <w:rPr>
          <w:color w:val="000000"/>
          <w:position w:val="-4"/>
          <w:sz w:val="20"/>
        </w:rPr>
        <w:object w:dxaOrig="180" w:dyaOrig="260">
          <v:shape id="_x0000_i1312" type="#_x0000_t75" style="width:9.1pt;height:12.7pt" o:ole="">
            <v:imagedata r:id="rId933" o:title=""/>
          </v:shape>
          <o:OLEObject Type="Embed" ProgID="Equation.DSMT4" ShapeID="_x0000_i1312" DrawAspect="Content" ObjectID="_1438189124" r:id="rId934"/>
        </w:object>
      </w:r>
      <w:r w:rsidRPr="00F87319">
        <w:rPr>
          <w:color w:val="000000"/>
          <w:sz w:val="20"/>
        </w:rPr>
        <w:t xml:space="preserve"> and </w:t>
      </w:r>
      <w:r w:rsidRPr="00F87319">
        <w:rPr>
          <w:color w:val="000000"/>
          <w:position w:val="-4"/>
          <w:sz w:val="20"/>
        </w:rPr>
        <w:object w:dxaOrig="200" w:dyaOrig="260">
          <v:shape id="_x0000_i1313" type="#_x0000_t75" style="width:9.7pt;height:12.7pt" o:ole="">
            <v:imagedata r:id="rId935" o:title=""/>
          </v:shape>
          <o:OLEObject Type="Embed" ProgID="Equation.DSMT4" ShapeID="_x0000_i1313" DrawAspect="Content" ObjectID="_1438189125" r:id="rId936"/>
        </w:object>
      </w:r>
      <w:r w:rsidRPr="00F87319">
        <w:rPr>
          <w:color w:val="000000"/>
          <w:sz w:val="20"/>
        </w:rPr>
        <w:t xml:space="preserve"> respectively.  The term</w:t>
      </w:r>
      <w:r w:rsidRPr="00F87319">
        <w:rPr>
          <w:color w:val="000000"/>
          <w:position w:val="-8"/>
          <w:sz w:val="20"/>
        </w:rPr>
        <w:object w:dxaOrig="279" w:dyaOrig="220">
          <v:shape id="_x0000_i1314" type="#_x0000_t75" style="width:14.5pt;height:10.3pt" o:ole="">
            <v:imagedata r:id="rId937" o:title=""/>
          </v:shape>
          <o:OLEObject Type="Embed" ProgID="Equation.DSMT4" ShapeID="_x0000_i1314" DrawAspect="Content" ObjectID="_1438189126" r:id="rId938"/>
        </w:object>
      </w:r>
      <w:r w:rsidRPr="00F87319">
        <w:rPr>
          <w:color w:val="000000"/>
          <w:sz w:val="20"/>
        </w:rPr>
        <w:t>is due to the viscosity of the medium, and</w:t>
      </w:r>
      <w:r w:rsidRPr="00F87319">
        <w:rPr>
          <w:color w:val="000000"/>
          <w:position w:val="-10"/>
          <w:sz w:val="20"/>
        </w:rPr>
        <w:object w:dxaOrig="220" w:dyaOrig="279">
          <v:shape id="_x0000_i1315" type="#_x0000_t75" style="width:10.3pt;height:14.5pt" o:ole="">
            <v:imagedata r:id="rId939" o:title=""/>
          </v:shape>
          <o:OLEObject Type="Embed" ProgID="Equation.DSMT4" ShapeID="_x0000_i1315" DrawAspect="Content" ObjectID="_1438189127" r:id="rId940"/>
        </w:object>
      </w:r>
      <w:r w:rsidRPr="00F87319">
        <w:rPr>
          <w:color w:val="000000"/>
          <w:sz w:val="20"/>
        </w:rPr>
        <w:t xml:space="preserve">is the sum of all other forces acting.  In the case being considered here, </w:t>
      </w:r>
      <w:proofErr w:type="gramStart"/>
      <w:r w:rsidRPr="00F87319">
        <w:rPr>
          <w:color w:val="000000"/>
          <w:sz w:val="20"/>
        </w:rPr>
        <w:t xml:space="preserve">the </w:t>
      </w:r>
      <w:r w:rsidRPr="00F87319">
        <w:rPr>
          <w:color w:val="000000"/>
          <w:position w:val="-8"/>
          <w:sz w:val="20"/>
        </w:rPr>
        <w:object w:dxaOrig="279" w:dyaOrig="220">
          <v:shape id="_x0000_i1316" type="#_x0000_t75" style="width:14.5pt;height:10.3pt" o:ole="">
            <v:imagedata r:id="rId941" o:title=""/>
          </v:shape>
          <o:OLEObject Type="Embed" ProgID="Equation.DSMT4" ShapeID="_x0000_i1316" DrawAspect="Content" ObjectID="_1438189128" r:id="rId942"/>
        </w:object>
      </w:r>
      <w:r w:rsidRPr="00F87319">
        <w:rPr>
          <w:color w:val="000000"/>
          <w:sz w:val="20"/>
        </w:rPr>
        <w:t>and</w:t>
      </w:r>
      <w:proofErr w:type="gramEnd"/>
      <w:r w:rsidRPr="00F87319">
        <w:rPr>
          <w:color w:val="000000"/>
          <w:sz w:val="20"/>
        </w:rPr>
        <w:t xml:space="preserve"> </w:t>
      </w:r>
      <w:r w:rsidRPr="00F87319">
        <w:rPr>
          <w:color w:val="000000"/>
          <w:position w:val="-10"/>
          <w:sz w:val="20"/>
        </w:rPr>
        <w:object w:dxaOrig="200" w:dyaOrig="279">
          <v:shape id="_x0000_i1317" type="#_x0000_t75" style="width:9.7pt;height:14.5pt" o:ole="">
            <v:imagedata r:id="rId943" o:title=""/>
          </v:shape>
          <o:OLEObject Type="Embed" ProgID="Equation.DSMT4" ShapeID="_x0000_i1317" DrawAspect="Content" ObjectID="_1438189129" r:id="rId944"/>
        </w:object>
      </w:r>
      <w:r w:rsidRPr="00F87319">
        <w:rPr>
          <w:color w:val="000000"/>
          <w:sz w:val="20"/>
        </w:rPr>
        <w:t>terms may be omitted, and only the gravitational and electromagnetic forces need to be considered.  If Sag. A* is not a black hole, then the</w:t>
      </w:r>
      <w:r w:rsidRPr="00F87319">
        <w:rPr>
          <w:color w:val="000000"/>
          <w:position w:val="-10"/>
          <w:sz w:val="20"/>
        </w:rPr>
        <w:object w:dxaOrig="320" w:dyaOrig="240">
          <v:shape id="_x0000_i1318" type="#_x0000_t75" style="width:15.75pt;height:12.1pt" o:ole="">
            <v:imagedata r:id="rId945" o:title=""/>
          </v:shape>
          <o:OLEObject Type="Embed" ProgID="Equation.DSMT4" ShapeID="_x0000_i1318" DrawAspect="Content" ObjectID="_1438189130" r:id="rId946"/>
        </w:object>
      </w:r>
      <w:r w:rsidRPr="00F87319">
        <w:rPr>
          <w:color w:val="000000"/>
          <w:sz w:val="20"/>
        </w:rPr>
        <w:t xml:space="preserve">term will be negligible compared with the electromagnetic terms.  This would mean that the electric and magnetic forces, given </w:t>
      </w:r>
      <w:proofErr w:type="gramStart"/>
      <w:r w:rsidRPr="00F87319">
        <w:rPr>
          <w:color w:val="000000"/>
          <w:sz w:val="20"/>
        </w:rPr>
        <w:t xml:space="preserve">by </w:t>
      </w:r>
      <w:proofErr w:type="gramEnd"/>
      <w:r w:rsidRPr="00F87319">
        <w:rPr>
          <w:color w:val="000000"/>
          <w:position w:val="-16"/>
          <w:sz w:val="20"/>
        </w:rPr>
        <w:object w:dxaOrig="960" w:dyaOrig="400">
          <v:shape id="_x0000_i1319" type="#_x0000_t75" style="width:47.8pt;height:19.95pt" o:ole="">
            <v:imagedata r:id="rId947" o:title=""/>
          </v:shape>
          <o:OLEObject Type="Embed" ProgID="Equation.DSMT4" ShapeID="_x0000_i1319" DrawAspect="Content" ObjectID="_1438189131" r:id="rId948"/>
        </w:object>
      </w:r>
      <w:r w:rsidRPr="00F87319">
        <w:rPr>
          <w:color w:val="000000"/>
          <w:sz w:val="20"/>
        </w:rPr>
        <w:t xml:space="preserve">, must be imparting an acceleration to the nearby stars equivalent to that of a 3 million solar mass black hole.  Plasma physics has already concluded that galaxy rotation rates are governed by electric and magnetic forces.  Therefore, it would come as no great surprise that stars in galaxy centers, where these </w:t>
      </w:r>
      <w:r w:rsidRPr="00F87319">
        <w:rPr>
          <w:sz w:val="20"/>
        </w:rPr>
        <w:t>forces</w:t>
      </w:r>
      <w:r w:rsidRPr="00F87319">
        <w:rPr>
          <w:color w:val="000000"/>
          <w:sz w:val="20"/>
        </w:rPr>
        <w:t xml:space="preserve"> are focused, are doing the same thing.</w:t>
      </w:r>
    </w:p>
    <w:p w:rsidR="006D41BD" w:rsidRPr="00F87319" w:rsidRDefault="006D41BD" w:rsidP="006D41BD">
      <w:pPr>
        <w:pStyle w:val="NormPara"/>
        <w:ind w:firstLine="0"/>
        <w:rPr>
          <w:color w:val="000000"/>
          <w:sz w:val="20"/>
        </w:rPr>
      </w:pP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Conclusion</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540"/>
        <w:rPr>
          <w:color w:val="000000"/>
          <w:sz w:val="20"/>
        </w:rPr>
      </w:pPr>
      <w:r w:rsidRPr="00F87319">
        <w:rPr>
          <w:color w:val="000000"/>
          <w:sz w:val="20"/>
        </w:rPr>
        <w:t xml:space="preserve">Although quantum physics gained the upper hand in terms of popularity, the investigation of the real Zero Point Energy, started by Planck in 1911, later led to the establishment of SED physics.  Ongoing research in this topic has given intuitive solutions, with simple mathematics, to problems posed by both quantum and cosmological phenomena. This chapter, among a number of other sources, has shown that SED physics using the ZPE can also predict a wide range of phenomena that earlier was considered the exclusive province of Relativity theory. </w:t>
      </w:r>
    </w:p>
    <w:p w:rsidR="006D41BD" w:rsidRPr="00F87319" w:rsidRDefault="006D41BD" w:rsidP="006D41BD">
      <w:pPr>
        <w:pStyle w:val="NormPara"/>
        <w:ind w:firstLine="540"/>
        <w:rPr>
          <w:color w:val="000000"/>
          <w:sz w:val="20"/>
        </w:rPr>
      </w:pPr>
    </w:p>
    <w:p w:rsidR="006D41BD" w:rsidRPr="00F87319" w:rsidRDefault="006D41BD" w:rsidP="006D41BD">
      <w:pPr>
        <w:pStyle w:val="NormPara"/>
        <w:ind w:firstLine="540"/>
        <w:rPr>
          <w:color w:val="000000"/>
          <w:sz w:val="20"/>
        </w:rPr>
      </w:pPr>
      <w:r w:rsidRPr="00F87319">
        <w:rPr>
          <w:color w:val="000000"/>
          <w:sz w:val="20"/>
        </w:rPr>
        <w:t xml:space="preserve">Relativity is the concept that everything is, literally, relative, and that there is no absolute frame of reference in the universe.  The discovery of the Cosmic Microwave Background Radiation provided that absolute frame of reference, and </w:t>
      </w:r>
      <w:r w:rsidRPr="00F87319">
        <w:rPr>
          <w:color w:val="000000"/>
          <w:sz w:val="20"/>
        </w:rPr>
        <w:lastRenderedPageBreak/>
        <w:t>this has negated one premise upon which relativity theory is based.  Instead, the Zero Point Energy provides an alternative explanation for relativistic phenomena. Indeed, the ZPE seems to be the common factor linking quantum mechanics with Relativity and gravity.  When this is combined with the evidence that the ZPE has changed through time, explanations for a number of discrepant data also open up.</w:t>
      </w:r>
      <w:r w:rsidRPr="00F87319">
        <w:rPr>
          <w:sz w:val="20"/>
        </w:rPr>
        <w:t xml:space="preserve"> The SED approach to Relativity thereby seems to deserve some serious consideration.</w:t>
      </w:r>
    </w:p>
    <w:p w:rsidR="006D41BD" w:rsidRPr="00F87319" w:rsidRDefault="006D41BD" w:rsidP="006D41BD">
      <w:pPr>
        <w:pStyle w:val="Els-body-text"/>
        <w:rPr>
          <w:rFonts w:ascii="Book Antiqua" w:hAnsi="Book Antiqua"/>
          <w:sz w:val="16"/>
          <w:szCs w:val="16"/>
        </w:rPr>
      </w:pPr>
    </w:p>
    <w:p w:rsidR="006D41BD" w:rsidRPr="00F87319" w:rsidRDefault="006D41BD" w:rsidP="006D41BD">
      <w:pPr>
        <w:pStyle w:val="ListParagraph"/>
        <w:spacing w:before="120" w:after="120" w:line="240" w:lineRule="atLeast"/>
        <w:ind w:left="0"/>
        <w:outlineLvl w:val="0"/>
        <w:rPr>
          <w:rFonts w:ascii="Book Antiqua" w:hAnsi="Book Antiqua"/>
          <w:b/>
          <w:sz w:val="20"/>
        </w:rPr>
      </w:pPr>
      <w:r w:rsidRPr="00F87319">
        <w:rPr>
          <w:rFonts w:ascii="Book Antiqua" w:hAnsi="Book Antiqua"/>
          <w:b/>
          <w:sz w:val="20"/>
        </w:rPr>
        <w:t xml:space="preserve">References </w:t>
      </w:r>
      <w:r w:rsidRPr="00F87319">
        <w:rPr>
          <w:rFonts w:ascii="Book Antiqua" w:hAnsi="Book Antiqua"/>
          <w:i/>
          <w:sz w:val="20"/>
        </w:rPr>
        <w:t>– All URL’s retrieved 9/13/12</w:t>
      </w:r>
    </w:p>
    <w:p w:rsidR="006D41BD" w:rsidRPr="00F87319" w:rsidRDefault="006D41BD" w:rsidP="006D41BD">
      <w:pPr>
        <w:pStyle w:val="reference"/>
        <w:ind w:left="450" w:hanging="450"/>
        <w:jc w:val="left"/>
        <w:rPr>
          <w:szCs w:val="16"/>
        </w:rPr>
      </w:pPr>
      <w:r w:rsidRPr="00F87319">
        <w:rPr>
          <w:szCs w:val="16"/>
        </w:rPr>
        <w:t>[1]</w:t>
      </w:r>
      <w:r w:rsidRPr="00F87319">
        <w:rPr>
          <w:szCs w:val="16"/>
        </w:rPr>
        <w:tab/>
        <w:t xml:space="preserve">Example graphs from the Michelson-Morley report, </w:t>
      </w:r>
      <w:hyperlink r:id="rId949" w:history="1">
        <w:r w:rsidRPr="00F87319">
          <w:rPr>
            <w:rStyle w:val="Hyperlink"/>
            <w:szCs w:val="16"/>
          </w:rPr>
          <w:t>http://spiff. rit.edu/classes/phys314/lectures/mm_result/mm_result.html</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[2]</w:t>
      </w:r>
      <w:r w:rsidRPr="00F87319">
        <w:rPr>
          <w:szCs w:val="16"/>
        </w:rPr>
        <w:tab/>
        <w:t xml:space="preserve">A. A. Michelson, </w:t>
      </w:r>
      <w:r w:rsidRPr="00F87319">
        <w:rPr>
          <w:i/>
          <w:szCs w:val="16"/>
        </w:rPr>
        <w:t>American Journal of Science</w:t>
      </w:r>
      <w:r w:rsidRPr="00F87319">
        <w:rPr>
          <w:szCs w:val="16"/>
        </w:rPr>
        <w:t xml:space="preserve"> </w:t>
      </w:r>
      <w:r w:rsidRPr="00F87319">
        <w:rPr>
          <w:b/>
          <w:szCs w:val="16"/>
        </w:rPr>
        <w:t>22</w:t>
      </w:r>
      <w:r w:rsidRPr="00F87319">
        <w:rPr>
          <w:szCs w:val="16"/>
        </w:rPr>
        <w:t>: 120-129 (1881).</w:t>
      </w:r>
    </w:p>
    <w:p w:rsidR="006D41BD" w:rsidRPr="00F87319" w:rsidRDefault="006D41BD" w:rsidP="006D41BD">
      <w:pPr>
        <w:pStyle w:val="reference"/>
        <w:ind w:left="450" w:hanging="450"/>
        <w:jc w:val="left"/>
        <w:rPr>
          <w:szCs w:val="16"/>
        </w:rPr>
      </w:pPr>
      <w:r w:rsidRPr="00F87319">
        <w:rPr>
          <w:szCs w:val="16"/>
        </w:rPr>
        <w:t>[3]</w:t>
      </w:r>
      <w:r w:rsidRPr="00F87319">
        <w:rPr>
          <w:szCs w:val="16"/>
        </w:rPr>
        <w:tab/>
        <w:t xml:space="preserve">H. A. Lorentz, </w:t>
      </w:r>
      <w:r w:rsidRPr="00F87319">
        <w:rPr>
          <w:i/>
          <w:szCs w:val="16"/>
        </w:rPr>
        <w:t>Lectures on Theoretical Physics,</w:t>
      </w:r>
      <w:r w:rsidRPr="00F87319">
        <w:rPr>
          <w:szCs w:val="16"/>
        </w:rPr>
        <w:t xml:space="preserve"> Vol. III, pp. 208-211 (Macmillan &amp; Co., London, 1931), contains summary and citation of 1904 paper.</w:t>
      </w:r>
    </w:p>
    <w:p w:rsidR="006D41BD" w:rsidRPr="00F87319" w:rsidRDefault="006D41BD" w:rsidP="006D41BD">
      <w:pPr>
        <w:pStyle w:val="reference"/>
        <w:ind w:left="450" w:hanging="450"/>
        <w:jc w:val="left"/>
        <w:rPr>
          <w:szCs w:val="16"/>
        </w:rPr>
      </w:pPr>
      <w:r w:rsidRPr="00F87319">
        <w:rPr>
          <w:szCs w:val="16"/>
        </w:rPr>
        <w:t>[4]</w:t>
      </w:r>
      <w:r w:rsidRPr="00F87319">
        <w:rPr>
          <w:szCs w:val="16"/>
        </w:rPr>
        <w:tab/>
        <w:t xml:space="preserve">R. T. Cahill, </w:t>
      </w:r>
      <w:r w:rsidRPr="00F87319">
        <w:rPr>
          <w:rStyle w:val="Emphasis"/>
          <w:szCs w:val="16"/>
        </w:rPr>
        <w:t>Progress in Physics</w:t>
      </w:r>
      <w:r w:rsidRPr="00F87319">
        <w:rPr>
          <w:szCs w:val="16"/>
        </w:rPr>
        <w:t>,</w:t>
      </w:r>
      <w:r w:rsidRPr="00F87319">
        <w:rPr>
          <w:rStyle w:val="Strong"/>
          <w:rFonts w:eastAsia="Lucida Sans Unicode"/>
          <w:szCs w:val="16"/>
        </w:rPr>
        <w:t xml:space="preserve"> 4</w:t>
      </w:r>
      <w:r w:rsidRPr="00F87319">
        <w:rPr>
          <w:szCs w:val="16"/>
        </w:rPr>
        <w:t>: 73-92 (2006).</w:t>
      </w:r>
    </w:p>
    <w:p w:rsidR="006D41BD" w:rsidRPr="00F87319" w:rsidRDefault="006D41BD" w:rsidP="006D41BD">
      <w:pPr>
        <w:pStyle w:val="reference"/>
        <w:ind w:left="450" w:hanging="450"/>
        <w:jc w:val="left"/>
        <w:rPr>
          <w:szCs w:val="16"/>
        </w:rPr>
      </w:pPr>
      <w:r w:rsidRPr="00F87319">
        <w:rPr>
          <w:szCs w:val="16"/>
        </w:rPr>
        <w:t>[5]</w:t>
      </w:r>
      <w:r w:rsidRPr="00F87319">
        <w:rPr>
          <w:szCs w:val="16"/>
        </w:rPr>
        <w:tab/>
        <w:t xml:space="preserve">M. Planck, </w:t>
      </w:r>
      <w:r w:rsidRPr="00F87319">
        <w:rPr>
          <w:i/>
          <w:iCs/>
          <w:szCs w:val="16"/>
        </w:rPr>
        <w:t xml:space="preserve">Verhandlungen der Deutschen Physikalischen Gesellschaft </w:t>
      </w:r>
      <w:r w:rsidRPr="00F87319">
        <w:rPr>
          <w:b/>
          <w:bCs/>
          <w:szCs w:val="16"/>
        </w:rPr>
        <w:t>13</w:t>
      </w:r>
      <w:r w:rsidRPr="00F87319">
        <w:rPr>
          <w:bCs/>
          <w:szCs w:val="16"/>
        </w:rPr>
        <w:t xml:space="preserve">: 138 </w:t>
      </w:r>
      <w:r w:rsidRPr="00F87319">
        <w:rPr>
          <w:szCs w:val="16"/>
        </w:rPr>
        <w:t>(1911).</w:t>
      </w:r>
    </w:p>
    <w:p w:rsidR="006D41BD" w:rsidRPr="00F87319" w:rsidRDefault="006D41BD" w:rsidP="006D41BD">
      <w:pPr>
        <w:pStyle w:val="reference"/>
        <w:ind w:left="450" w:hanging="450"/>
        <w:jc w:val="left"/>
        <w:rPr>
          <w:szCs w:val="16"/>
        </w:rPr>
      </w:pPr>
      <w:r w:rsidRPr="00F87319">
        <w:rPr>
          <w:szCs w:val="16"/>
        </w:rPr>
        <w:t>[6]</w:t>
      </w:r>
      <w:r w:rsidRPr="00F87319">
        <w:rPr>
          <w:szCs w:val="16"/>
        </w:rPr>
        <w:tab/>
        <w:t xml:space="preserve">A. Einstein, O. Stern, </w:t>
      </w:r>
      <w:r w:rsidRPr="00F87319">
        <w:rPr>
          <w:i/>
          <w:szCs w:val="16"/>
        </w:rPr>
        <w:t>Ann. Physik</w:t>
      </w:r>
      <w:r w:rsidRPr="00F87319">
        <w:rPr>
          <w:szCs w:val="16"/>
        </w:rPr>
        <w:t xml:space="preserve"> </w:t>
      </w:r>
      <w:r w:rsidRPr="00F87319">
        <w:rPr>
          <w:b/>
          <w:bCs/>
          <w:szCs w:val="16"/>
        </w:rPr>
        <w:t>40</w:t>
      </w:r>
      <w:r w:rsidRPr="00F87319">
        <w:rPr>
          <w:szCs w:val="16"/>
        </w:rPr>
        <w:t>: 551 (1913).</w:t>
      </w:r>
    </w:p>
    <w:p w:rsidR="006D41BD" w:rsidRPr="00F87319" w:rsidRDefault="006D41BD" w:rsidP="006D41BD">
      <w:pPr>
        <w:pStyle w:val="reference"/>
        <w:ind w:left="450" w:hanging="450"/>
        <w:jc w:val="left"/>
        <w:rPr>
          <w:szCs w:val="16"/>
        </w:rPr>
      </w:pPr>
      <w:r w:rsidRPr="00F87319">
        <w:rPr>
          <w:color w:val="000000"/>
          <w:szCs w:val="16"/>
        </w:rPr>
        <w:t>[7]</w:t>
      </w:r>
      <w:r w:rsidRPr="00F87319">
        <w:rPr>
          <w:color w:val="000000"/>
          <w:szCs w:val="16"/>
        </w:rPr>
        <w:tab/>
      </w:r>
      <w:r w:rsidRPr="00F87319">
        <w:rPr>
          <w:szCs w:val="16"/>
        </w:rPr>
        <w:t xml:space="preserve">W. Nernst, </w:t>
      </w:r>
      <w:r w:rsidRPr="00F87319">
        <w:rPr>
          <w:i/>
          <w:szCs w:val="16"/>
        </w:rPr>
        <w:t>Verhandlungen der Deutschen Physikalischen  Gesellschaft</w:t>
      </w:r>
      <w:r w:rsidRPr="00F87319">
        <w:rPr>
          <w:szCs w:val="16"/>
        </w:rPr>
        <w:t xml:space="preserve"> </w:t>
      </w:r>
      <w:r w:rsidRPr="00F87319">
        <w:rPr>
          <w:b/>
          <w:bCs/>
          <w:szCs w:val="16"/>
        </w:rPr>
        <w:t>4</w:t>
      </w:r>
      <w:r w:rsidRPr="00F87319">
        <w:rPr>
          <w:szCs w:val="16"/>
        </w:rPr>
        <w:t>: 83-116 (1916).</w:t>
      </w:r>
    </w:p>
    <w:p w:rsidR="006D41BD" w:rsidRPr="00F87319" w:rsidRDefault="006D41BD" w:rsidP="006D41BD">
      <w:pPr>
        <w:pStyle w:val="reference"/>
        <w:ind w:left="450" w:hanging="450"/>
        <w:jc w:val="left"/>
        <w:rPr>
          <w:szCs w:val="16"/>
        </w:rPr>
      </w:pPr>
      <w:r w:rsidRPr="00F87319">
        <w:rPr>
          <w:szCs w:val="16"/>
        </w:rPr>
        <w:t>[8]</w:t>
      </w:r>
      <w:r w:rsidRPr="00F87319">
        <w:rPr>
          <w:szCs w:val="16"/>
        </w:rPr>
        <w:tab/>
        <w:t xml:space="preserve">T. Kuhn, </w:t>
      </w:r>
      <w:r w:rsidRPr="00F87319">
        <w:rPr>
          <w:i/>
          <w:szCs w:val="16"/>
        </w:rPr>
        <w:t>Black Body theory and the Quantum Discontinuity: 1894-1912</w:t>
      </w:r>
      <w:r w:rsidRPr="00F87319">
        <w:rPr>
          <w:szCs w:val="16"/>
        </w:rPr>
        <w:t xml:space="preserve"> (Oxford University Press, Oxford, 1978).</w:t>
      </w:r>
    </w:p>
    <w:p w:rsidR="006D41BD" w:rsidRPr="00F87319" w:rsidRDefault="006D41BD" w:rsidP="006D41BD">
      <w:pPr>
        <w:pStyle w:val="reference"/>
        <w:ind w:left="450" w:hanging="450"/>
        <w:jc w:val="left"/>
        <w:rPr>
          <w:szCs w:val="16"/>
        </w:rPr>
      </w:pPr>
      <w:r w:rsidRPr="00F87319">
        <w:rPr>
          <w:szCs w:val="16"/>
        </w:rPr>
        <w:t>[9]</w:t>
      </w:r>
      <w:r w:rsidRPr="00F87319">
        <w:rPr>
          <w:szCs w:val="16"/>
        </w:rPr>
        <w:tab/>
        <w:t xml:space="preserve">L. de Broglie, </w:t>
      </w:r>
      <w:r w:rsidRPr="00F87319">
        <w:rPr>
          <w:i/>
          <w:szCs w:val="16"/>
        </w:rPr>
        <w:t>New Perspectives in Physics</w:t>
      </w:r>
      <w:r w:rsidRPr="00F87319">
        <w:rPr>
          <w:szCs w:val="16"/>
        </w:rPr>
        <w:t xml:space="preserve"> (Basic Books Publishing Co., New York, 1962).</w:t>
      </w:r>
    </w:p>
    <w:p w:rsidR="006D41BD" w:rsidRPr="00F87319" w:rsidRDefault="006D41BD" w:rsidP="006D41BD">
      <w:pPr>
        <w:pStyle w:val="reference"/>
        <w:ind w:left="450" w:hanging="450"/>
        <w:jc w:val="left"/>
        <w:rPr>
          <w:szCs w:val="16"/>
        </w:rPr>
      </w:pPr>
      <w:r w:rsidRPr="00F87319">
        <w:rPr>
          <w:szCs w:val="16"/>
        </w:rPr>
        <w:t>[10]</w:t>
      </w:r>
      <w:r w:rsidRPr="00F87319">
        <w:rPr>
          <w:szCs w:val="16"/>
        </w:rPr>
        <w:tab/>
        <w:t xml:space="preserve">U. Mohideen, A. Roy, </w:t>
      </w:r>
      <w:r w:rsidRPr="00F87319">
        <w:rPr>
          <w:i/>
          <w:szCs w:val="16"/>
        </w:rPr>
        <w:t>Phys. Rev. Lett</w:t>
      </w:r>
      <w:r w:rsidRPr="00F87319">
        <w:rPr>
          <w:szCs w:val="16"/>
        </w:rPr>
        <w:t xml:space="preserve">. </w:t>
      </w:r>
      <w:r w:rsidRPr="00F87319">
        <w:rPr>
          <w:b/>
          <w:bCs/>
          <w:szCs w:val="16"/>
        </w:rPr>
        <w:t>81</w:t>
      </w:r>
      <w:r w:rsidRPr="00F87319">
        <w:rPr>
          <w:szCs w:val="16"/>
        </w:rPr>
        <w:t>: 4549 (1998).</w:t>
      </w:r>
    </w:p>
    <w:p w:rsidR="006D41BD" w:rsidRPr="00F87319" w:rsidRDefault="006D41BD" w:rsidP="006D41BD">
      <w:pPr>
        <w:pStyle w:val="reference"/>
        <w:ind w:left="450" w:hanging="450"/>
        <w:jc w:val="left"/>
        <w:rPr>
          <w:szCs w:val="16"/>
        </w:rPr>
      </w:pPr>
      <w:r w:rsidRPr="00F87319">
        <w:rPr>
          <w:szCs w:val="16"/>
        </w:rPr>
        <w:t>[11]</w:t>
      </w:r>
      <w:r w:rsidRPr="00F87319">
        <w:rPr>
          <w:szCs w:val="16"/>
        </w:rPr>
        <w:tab/>
        <w:t xml:space="preserve">T. H. Boyer, </w:t>
      </w:r>
      <w:r w:rsidRPr="00F87319">
        <w:rPr>
          <w:i/>
          <w:iCs/>
          <w:szCs w:val="16"/>
        </w:rPr>
        <w:t>Scientific American</w:t>
      </w:r>
      <w:r w:rsidRPr="00F87319">
        <w:rPr>
          <w:szCs w:val="16"/>
        </w:rPr>
        <w:t>, pp. 70-78 (Aug 1985).</w:t>
      </w:r>
    </w:p>
    <w:p w:rsidR="006D41BD" w:rsidRPr="00F87319" w:rsidRDefault="006D41BD" w:rsidP="006D41BD">
      <w:pPr>
        <w:pStyle w:val="reference"/>
        <w:ind w:left="450" w:hanging="450"/>
        <w:jc w:val="left"/>
        <w:rPr>
          <w:szCs w:val="16"/>
        </w:rPr>
      </w:pPr>
      <w:r w:rsidRPr="00F87319">
        <w:rPr>
          <w:szCs w:val="16"/>
        </w:rPr>
        <w:t>[12]</w:t>
      </w:r>
      <w:r w:rsidRPr="00F87319">
        <w:rPr>
          <w:szCs w:val="16"/>
        </w:rPr>
        <w:tab/>
        <w:t xml:space="preserve">B. J. Setterfield, “The Zero Point Energy, Light and Time,” </w:t>
      </w:r>
      <w:r w:rsidRPr="00F87319">
        <w:rPr>
          <w:i/>
          <w:szCs w:val="16"/>
        </w:rPr>
        <w:t>Proceedings of the NPA</w:t>
      </w:r>
      <w:r w:rsidRPr="00F87319">
        <w:rPr>
          <w:szCs w:val="16"/>
        </w:rPr>
        <w:t xml:space="preserve"> </w:t>
      </w:r>
      <w:r w:rsidRPr="00F87319">
        <w:rPr>
          <w:b/>
          <w:szCs w:val="16"/>
        </w:rPr>
        <w:t>9</w:t>
      </w:r>
      <w:r w:rsidRPr="00F87319">
        <w:rPr>
          <w:szCs w:val="16"/>
        </w:rPr>
        <w:t>: this proceedings (2012).</w:t>
      </w:r>
    </w:p>
    <w:p w:rsidR="006D41BD" w:rsidRPr="00F87319" w:rsidRDefault="006D41BD" w:rsidP="006D41BD">
      <w:pPr>
        <w:pStyle w:val="reference"/>
        <w:ind w:left="450" w:hanging="450"/>
        <w:jc w:val="left"/>
        <w:rPr>
          <w:szCs w:val="16"/>
        </w:rPr>
      </w:pPr>
      <w:r w:rsidRPr="00F87319">
        <w:rPr>
          <w:szCs w:val="16"/>
        </w:rPr>
        <w:t>[13]</w:t>
      </w:r>
      <w:r w:rsidRPr="00F87319">
        <w:rPr>
          <w:szCs w:val="16"/>
        </w:rPr>
        <w:tab/>
      </w:r>
      <w:r w:rsidR="00EF6D6F" w:rsidRPr="005627CB">
        <w:rPr>
          <w:szCs w:val="16"/>
        </w:rPr>
        <w:t>J</w:t>
      </w:r>
      <w:r w:rsidR="00EF6D6F">
        <w:rPr>
          <w:szCs w:val="16"/>
        </w:rPr>
        <w:t>.</w:t>
      </w:r>
      <w:r w:rsidR="00EF6D6F" w:rsidRPr="005627CB">
        <w:rPr>
          <w:szCs w:val="16"/>
        </w:rPr>
        <w:t xml:space="preserve"> Narlikar &amp; H</w:t>
      </w:r>
      <w:r w:rsidR="00EF6D6F">
        <w:rPr>
          <w:szCs w:val="16"/>
        </w:rPr>
        <w:t>.</w:t>
      </w:r>
      <w:r w:rsidR="00EF6D6F" w:rsidRPr="005627CB">
        <w:rPr>
          <w:szCs w:val="16"/>
        </w:rPr>
        <w:t xml:space="preserve"> Arp, </w:t>
      </w:r>
      <w:r w:rsidR="00EF6D6F">
        <w:rPr>
          <w:szCs w:val="16"/>
        </w:rPr>
        <w:t>“Flat Spacetime Cosmology: A Unified Framework for Extragalactic Redshifts”</w:t>
      </w:r>
      <w:r w:rsidR="00EF6D6F" w:rsidRPr="005627CB">
        <w:rPr>
          <w:i/>
          <w:iCs/>
          <w:szCs w:val="16"/>
        </w:rPr>
        <w:t xml:space="preserve">Astrophysical Journal </w:t>
      </w:r>
      <w:r w:rsidR="00EF6D6F" w:rsidRPr="005627CB">
        <w:rPr>
          <w:b/>
          <w:bCs/>
          <w:szCs w:val="16"/>
        </w:rPr>
        <w:t>405</w:t>
      </w:r>
      <w:r w:rsidR="00EF6D6F" w:rsidRPr="005627CB">
        <w:rPr>
          <w:szCs w:val="16"/>
        </w:rPr>
        <w:t>:</w:t>
      </w:r>
      <w:r w:rsidR="00EF6D6F">
        <w:rPr>
          <w:szCs w:val="16"/>
        </w:rPr>
        <w:t>1, pp.</w:t>
      </w:r>
      <w:r w:rsidR="00EF6D6F" w:rsidRPr="005627CB">
        <w:rPr>
          <w:szCs w:val="16"/>
        </w:rPr>
        <w:t>51</w:t>
      </w:r>
      <w:r w:rsidR="00EF6D6F">
        <w:rPr>
          <w:szCs w:val="16"/>
        </w:rPr>
        <w:t>-56, (</w:t>
      </w:r>
      <w:r w:rsidR="00EF6D6F" w:rsidRPr="005627CB">
        <w:rPr>
          <w:szCs w:val="16"/>
        </w:rPr>
        <w:t>1993).</w:t>
      </w:r>
    </w:p>
    <w:p w:rsidR="006D41BD" w:rsidRPr="00F87319" w:rsidRDefault="006D41BD" w:rsidP="006D41BD">
      <w:pPr>
        <w:pStyle w:val="reference"/>
        <w:ind w:left="450" w:hanging="450"/>
        <w:jc w:val="left"/>
        <w:rPr>
          <w:szCs w:val="16"/>
        </w:rPr>
      </w:pPr>
      <w:r w:rsidRPr="00F87319">
        <w:rPr>
          <w:szCs w:val="16"/>
        </w:rPr>
        <w:t>[14]</w:t>
      </w:r>
      <w:r w:rsidRPr="00F87319">
        <w:rPr>
          <w:szCs w:val="16"/>
        </w:rPr>
        <w:tab/>
        <w:t xml:space="preserve">S. L. Martin, A. K. Connor, </w:t>
      </w:r>
      <w:r w:rsidRPr="00F87319">
        <w:rPr>
          <w:i/>
          <w:szCs w:val="16"/>
        </w:rPr>
        <w:t>Basic Physics,</w:t>
      </w:r>
      <w:r w:rsidRPr="00F87319">
        <w:rPr>
          <w:szCs w:val="16"/>
        </w:rPr>
        <w:t xml:space="preserve"> Vol. 3, 6</w:t>
      </w:r>
      <w:r w:rsidRPr="00F87319">
        <w:rPr>
          <w:szCs w:val="16"/>
          <w:vertAlign w:val="superscript"/>
        </w:rPr>
        <w:t>th</w:t>
      </w:r>
      <w:r w:rsidRPr="00F87319">
        <w:rPr>
          <w:szCs w:val="16"/>
        </w:rPr>
        <w:t xml:space="preserve"> Ed., p. 1193 (Whitcombe and Tombs Pty. Ltd., Australia, 1958).</w:t>
      </w:r>
    </w:p>
    <w:p w:rsidR="006D41BD" w:rsidRPr="00F87319" w:rsidRDefault="006D41BD" w:rsidP="006D41BD">
      <w:pPr>
        <w:pStyle w:val="reference"/>
        <w:ind w:left="450" w:hanging="450"/>
        <w:jc w:val="left"/>
        <w:rPr>
          <w:szCs w:val="16"/>
        </w:rPr>
      </w:pPr>
      <w:r w:rsidRPr="00F87319">
        <w:rPr>
          <w:szCs w:val="16"/>
        </w:rPr>
        <w:t>[15]</w:t>
      </w:r>
      <w:r w:rsidRPr="00F87319">
        <w:rPr>
          <w:szCs w:val="16"/>
        </w:rPr>
        <w:tab/>
        <w:t xml:space="preserve">B. I. Bleany and B. Bleany, </w:t>
      </w:r>
      <w:r w:rsidRPr="00F87319">
        <w:rPr>
          <w:i/>
          <w:szCs w:val="16"/>
        </w:rPr>
        <w:t>Electricity and Magnetism</w:t>
      </w:r>
      <w:r w:rsidRPr="00F87319">
        <w:rPr>
          <w:szCs w:val="16"/>
        </w:rPr>
        <w:t>, pp.236-243, (Oxford, at the Clarendon Press, 1962).</w:t>
      </w:r>
    </w:p>
    <w:p w:rsidR="006D41BD" w:rsidRPr="00F87319" w:rsidRDefault="006D41BD" w:rsidP="006D41BD">
      <w:pPr>
        <w:pStyle w:val="reference"/>
        <w:ind w:left="450" w:hanging="450"/>
        <w:jc w:val="left"/>
        <w:rPr>
          <w:szCs w:val="16"/>
        </w:rPr>
      </w:pPr>
      <w:r w:rsidRPr="00F87319">
        <w:rPr>
          <w:szCs w:val="16"/>
        </w:rPr>
        <w:t>[16]</w:t>
      </w:r>
      <w:r w:rsidRPr="00F87319">
        <w:rPr>
          <w:szCs w:val="16"/>
        </w:rPr>
        <w:tab/>
        <w:t>K. Wanser, Fullerton University, private communication (5 July, 2004) about his article.</w:t>
      </w:r>
    </w:p>
    <w:p w:rsidR="006D41BD" w:rsidRPr="00F87319" w:rsidRDefault="006D41BD" w:rsidP="006D41BD">
      <w:pPr>
        <w:pStyle w:val="reference"/>
        <w:ind w:left="450" w:hanging="450"/>
        <w:jc w:val="left"/>
        <w:rPr>
          <w:szCs w:val="16"/>
        </w:rPr>
      </w:pPr>
      <w:r w:rsidRPr="00F87319">
        <w:rPr>
          <w:szCs w:val="16"/>
        </w:rPr>
        <w:t>[17]</w:t>
      </w:r>
      <w:r w:rsidRPr="00F87319">
        <w:rPr>
          <w:szCs w:val="16"/>
        </w:rPr>
        <w:tab/>
        <w:t xml:space="preserve">M. Harwit, </w:t>
      </w:r>
      <w:r w:rsidRPr="00F87319">
        <w:rPr>
          <w:i/>
          <w:szCs w:val="16"/>
        </w:rPr>
        <w:t>Astrophysical Concepts</w:t>
      </w:r>
      <w:r w:rsidRPr="00F87319">
        <w:rPr>
          <w:szCs w:val="16"/>
        </w:rPr>
        <w:t>, p. 178 (Springer-Verlag, 1988).</w:t>
      </w:r>
    </w:p>
    <w:p w:rsidR="006D41BD" w:rsidRPr="00F87319" w:rsidRDefault="006D41BD" w:rsidP="006D41BD">
      <w:pPr>
        <w:pStyle w:val="reference"/>
        <w:ind w:left="450" w:hanging="450"/>
        <w:jc w:val="left"/>
        <w:rPr>
          <w:szCs w:val="16"/>
        </w:rPr>
      </w:pPr>
      <w:r w:rsidRPr="00F87319">
        <w:rPr>
          <w:szCs w:val="16"/>
        </w:rPr>
        <w:t>[18]</w:t>
      </w:r>
      <w:r w:rsidRPr="00F87319">
        <w:rPr>
          <w:szCs w:val="16"/>
        </w:rPr>
        <w:tab/>
        <w:t xml:space="preserve">Science Editor, </w:t>
      </w:r>
      <w:r w:rsidRPr="00F87319">
        <w:rPr>
          <w:i/>
          <w:szCs w:val="16"/>
        </w:rPr>
        <w:t>New Scientist</w:t>
      </w:r>
      <w:r w:rsidRPr="00F87319">
        <w:rPr>
          <w:szCs w:val="16"/>
        </w:rPr>
        <w:t>, pp. 28-31 (1 Nov 2008).</w:t>
      </w:r>
    </w:p>
    <w:p w:rsidR="006D41BD" w:rsidRPr="00F87319" w:rsidRDefault="006D41BD" w:rsidP="006D41BD">
      <w:pPr>
        <w:pStyle w:val="reference"/>
        <w:ind w:left="450" w:hanging="450"/>
        <w:jc w:val="left"/>
        <w:rPr>
          <w:szCs w:val="16"/>
        </w:rPr>
      </w:pPr>
      <w:r w:rsidRPr="00F87319">
        <w:rPr>
          <w:szCs w:val="16"/>
        </w:rPr>
        <w:t>[19]</w:t>
      </w:r>
      <w:r w:rsidRPr="00F87319">
        <w:rPr>
          <w:szCs w:val="16"/>
        </w:rPr>
        <w:tab/>
        <w:t xml:space="preserve">A. O’Rahilly, </w:t>
      </w:r>
      <w:r w:rsidRPr="00F87319">
        <w:rPr>
          <w:rStyle w:val="Emphasis"/>
          <w:szCs w:val="16"/>
        </w:rPr>
        <w:t>Electromagnetic Theory: A Critical Examination of Fundamentals,</w:t>
      </w:r>
      <w:r w:rsidRPr="00F87319">
        <w:rPr>
          <w:szCs w:val="16"/>
        </w:rPr>
        <w:t xml:space="preserve"> pp.304 ff. (Dover, 1965).</w:t>
      </w:r>
    </w:p>
    <w:p w:rsidR="006D41BD" w:rsidRPr="00F87319" w:rsidRDefault="006D41BD" w:rsidP="006D41BD">
      <w:pPr>
        <w:pStyle w:val="reference"/>
        <w:ind w:left="450" w:hanging="450"/>
        <w:jc w:val="left"/>
        <w:rPr>
          <w:szCs w:val="16"/>
        </w:rPr>
      </w:pPr>
      <w:r w:rsidRPr="00F87319">
        <w:rPr>
          <w:szCs w:val="16"/>
        </w:rPr>
        <w:t>[20]</w:t>
      </w:r>
      <w:r w:rsidRPr="00F87319">
        <w:rPr>
          <w:szCs w:val="16"/>
        </w:rPr>
        <w:tab/>
        <w:t xml:space="preserve">T. G. Barnes, </w:t>
      </w:r>
      <w:r w:rsidRPr="00F87319">
        <w:rPr>
          <w:i/>
          <w:szCs w:val="16"/>
        </w:rPr>
        <w:t>CRSQ</w:t>
      </w:r>
      <w:r w:rsidRPr="00F87319">
        <w:rPr>
          <w:szCs w:val="16"/>
        </w:rPr>
        <w:t xml:space="preserve"> </w:t>
      </w:r>
      <w:r w:rsidRPr="00F87319">
        <w:rPr>
          <w:b/>
          <w:szCs w:val="16"/>
        </w:rPr>
        <w:t>14</w:t>
      </w:r>
      <w:r w:rsidRPr="00F87319">
        <w:rPr>
          <w:szCs w:val="16"/>
        </w:rPr>
        <w:t>: 211(Mar 1978).</w:t>
      </w:r>
    </w:p>
    <w:p w:rsidR="006D41BD" w:rsidRPr="00F87319" w:rsidRDefault="006D41BD" w:rsidP="006D41BD">
      <w:pPr>
        <w:pStyle w:val="reference"/>
        <w:ind w:left="450" w:hanging="450"/>
        <w:jc w:val="left"/>
        <w:rPr>
          <w:szCs w:val="16"/>
        </w:rPr>
      </w:pPr>
      <w:r w:rsidRPr="00F87319">
        <w:rPr>
          <w:szCs w:val="16"/>
        </w:rPr>
        <w:t>[21]</w:t>
      </w:r>
      <w:r w:rsidRPr="00F87319">
        <w:rPr>
          <w:szCs w:val="16"/>
        </w:rPr>
        <w:tab/>
        <w:t xml:space="preserve">F. Hasenorhl, </w:t>
      </w:r>
      <w:r w:rsidRPr="00F87319">
        <w:rPr>
          <w:i/>
          <w:szCs w:val="16"/>
        </w:rPr>
        <w:t>Annalen der Physik</w:t>
      </w:r>
      <w:r w:rsidRPr="00F87319">
        <w:rPr>
          <w:szCs w:val="16"/>
        </w:rPr>
        <w:t xml:space="preserve"> </w:t>
      </w:r>
      <w:r w:rsidRPr="00F87319">
        <w:rPr>
          <w:b/>
          <w:szCs w:val="16"/>
        </w:rPr>
        <w:t>15</w:t>
      </w:r>
      <w:r w:rsidRPr="00F87319">
        <w:rPr>
          <w:szCs w:val="16"/>
        </w:rPr>
        <w:t>: 344-370 (1904).</w:t>
      </w:r>
    </w:p>
    <w:p w:rsidR="006D41BD" w:rsidRPr="00F87319" w:rsidRDefault="006D41BD" w:rsidP="006D41BD">
      <w:pPr>
        <w:pStyle w:val="reference"/>
        <w:ind w:left="450" w:hanging="450"/>
        <w:jc w:val="left"/>
        <w:rPr>
          <w:szCs w:val="16"/>
        </w:rPr>
      </w:pPr>
      <w:r w:rsidRPr="00F87319">
        <w:rPr>
          <w:szCs w:val="16"/>
        </w:rPr>
        <w:t>[22]</w:t>
      </w:r>
      <w:r w:rsidRPr="00F87319">
        <w:rPr>
          <w:szCs w:val="16"/>
        </w:rPr>
        <w:tab/>
        <w:t xml:space="preserve">F. Hasenorhl, </w:t>
      </w:r>
      <w:r w:rsidRPr="00F87319">
        <w:rPr>
          <w:i/>
          <w:szCs w:val="16"/>
        </w:rPr>
        <w:t>Annelan der Physik</w:t>
      </w:r>
      <w:r w:rsidRPr="00F87319">
        <w:rPr>
          <w:szCs w:val="16"/>
        </w:rPr>
        <w:t xml:space="preserve"> </w:t>
      </w:r>
      <w:r w:rsidRPr="00F87319">
        <w:rPr>
          <w:b/>
          <w:szCs w:val="16"/>
        </w:rPr>
        <w:t>16</w:t>
      </w:r>
      <w:r w:rsidRPr="00F87319">
        <w:rPr>
          <w:szCs w:val="16"/>
        </w:rPr>
        <w:t>: 589-592 (1905).</w:t>
      </w:r>
    </w:p>
    <w:p w:rsidR="006D41BD" w:rsidRPr="00F87319" w:rsidRDefault="006D41BD" w:rsidP="006D41BD">
      <w:pPr>
        <w:pStyle w:val="reference"/>
        <w:ind w:left="450" w:hanging="450"/>
        <w:jc w:val="left"/>
        <w:rPr>
          <w:szCs w:val="16"/>
        </w:rPr>
      </w:pPr>
      <w:r w:rsidRPr="00F87319">
        <w:rPr>
          <w:szCs w:val="16"/>
        </w:rPr>
        <w:t>[23]</w:t>
      </w:r>
      <w:r w:rsidRPr="00F87319">
        <w:rPr>
          <w:szCs w:val="16"/>
        </w:rPr>
        <w:tab/>
        <w:t xml:space="preserve">M. Planck, </w:t>
      </w:r>
      <w:r w:rsidRPr="00F87319">
        <w:rPr>
          <w:i/>
          <w:szCs w:val="16"/>
        </w:rPr>
        <w:t>Sitz. der preuss. Akad. Wiss.</w:t>
      </w:r>
      <w:r w:rsidRPr="00F87319">
        <w:rPr>
          <w:szCs w:val="16"/>
        </w:rPr>
        <w:t xml:space="preserve"> </w:t>
      </w:r>
      <w:r w:rsidRPr="00F87319">
        <w:rPr>
          <w:i/>
          <w:szCs w:val="16"/>
        </w:rPr>
        <w:t>Erster Halbband</w:t>
      </w:r>
      <w:r w:rsidRPr="00F87319">
        <w:rPr>
          <w:szCs w:val="16"/>
        </w:rPr>
        <w:t xml:space="preserve"> </w:t>
      </w:r>
      <w:r w:rsidRPr="00F87319">
        <w:rPr>
          <w:b/>
          <w:szCs w:val="16"/>
        </w:rPr>
        <w:t>29</w:t>
      </w:r>
      <w:r w:rsidRPr="00F87319">
        <w:rPr>
          <w:szCs w:val="16"/>
        </w:rPr>
        <w:t>: 542-570 (1907).</w:t>
      </w:r>
    </w:p>
    <w:p w:rsidR="006D41BD" w:rsidRPr="00F87319" w:rsidRDefault="006D41BD" w:rsidP="006D41BD">
      <w:pPr>
        <w:pStyle w:val="reference"/>
        <w:ind w:left="450" w:hanging="450"/>
        <w:jc w:val="left"/>
        <w:rPr>
          <w:szCs w:val="16"/>
        </w:rPr>
      </w:pPr>
      <w:r w:rsidRPr="00F87319">
        <w:rPr>
          <w:szCs w:val="16"/>
        </w:rPr>
        <w:t>[24]</w:t>
      </w:r>
      <w:r w:rsidRPr="00F87319">
        <w:rPr>
          <w:szCs w:val="16"/>
        </w:rPr>
        <w:tab/>
        <w:t xml:space="preserve">M. Planck, </w:t>
      </w:r>
      <w:r w:rsidRPr="00F87319">
        <w:rPr>
          <w:i/>
          <w:szCs w:val="16"/>
        </w:rPr>
        <w:t>Sitz. der preuss. Akad. Wiss., Physik. Math. Klasse</w:t>
      </w:r>
      <w:r w:rsidRPr="00F87319">
        <w:rPr>
          <w:szCs w:val="16"/>
        </w:rPr>
        <w:t xml:space="preserve">. </w:t>
      </w:r>
      <w:r w:rsidRPr="00F87319">
        <w:rPr>
          <w:b/>
          <w:szCs w:val="16"/>
        </w:rPr>
        <w:t>13</w:t>
      </w:r>
      <w:r w:rsidRPr="00F87319">
        <w:rPr>
          <w:szCs w:val="16"/>
        </w:rPr>
        <w:t>: 566 (Jun 1907), footnote.</w:t>
      </w:r>
    </w:p>
    <w:p w:rsidR="006D41BD" w:rsidRPr="00F87319" w:rsidRDefault="006D41BD" w:rsidP="006D41BD">
      <w:pPr>
        <w:pStyle w:val="reference"/>
        <w:ind w:left="450" w:hanging="450"/>
        <w:jc w:val="left"/>
        <w:rPr>
          <w:szCs w:val="16"/>
        </w:rPr>
      </w:pPr>
      <w:r w:rsidRPr="00F87319">
        <w:rPr>
          <w:szCs w:val="16"/>
        </w:rPr>
        <w:t>[25]</w:t>
      </w:r>
      <w:r w:rsidRPr="00F87319">
        <w:rPr>
          <w:szCs w:val="16"/>
        </w:rPr>
        <w:tab/>
        <w:t xml:space="preserve">R. A. Herrmann (1 Jan 2004), </w:t>
      </w:r>
      <w:hyperlink r:id="rId950" w:history="1">
        <w:r w:rsidRPr="00F87319">
          <w:rPr>
            <w:rStyle w:val="Hyperlink"/>
            <w:i/>
            <w:szCs w:val="16"/>
          </w:rPr>
          <w:t>http://guardian.150m.com/jews/ emc2-not-einsteins-idea.htm</w:t>
        </w:r>
      </w:hyperlink>
      <w:r w:rsidRPr="00F87319">
        <w:rPr>
          <w:i/>
          <w:szCs w:val="16"/>
        </w:rPr>
        <w:t>.</w:t>
      </w:r>
    </w:p>
    <w:p w:rsidR="006D41BD" w:rsidRPr="00F87319" w:rsidRDefault="006D41BD" w:rsidP="006D41BD">
      <w:pPr>
        <w:pStyle w:val="reference"/>
        <w:ind w:left="450" w:hanging="450"/>
        <w:jc w:val="left"/>
        <w:rPr>
          <w:rStyle w:val="Strong"/>
          <w:rFonts w:eastAsia="Lucida Sans Unicode"/>
          <w:b w:val="0"/>
          <w:i/>
          <w:szCs w:val="16"/>
        </w:rPr>
      </w:pPr>
      <w:r w:rsidRPr="00F87319">
        <w:rPr>
          <w:szCs w:val="16"/>
        </w:rPr>
        <w:t>[26]</w:t>
      </w:r>
      <w:r w:rsidRPr="00F87319">
        <w:rPr>
          <w:szCs w:val="16"/>
        </w:rPr>
        <w:tab/>
      </w:r>
      <w:r w:rsidRPr="00F87319">
        <w:rPr>
          <w:rStyle w:val="Strong"/>
          <w:rFonts w:eastAsia="Lucida Sans Unicode"/>
          <w:b w:val="0"/>
          <w:szCs w:val="16"/>
        </w:rPr>
        <w:t>H. E. Ives, “Letters to the Editor”,</w:t>
      </w:r>
      <w:r w:rsidRPr="00F87319">
        <w:rPr>
          <w:rStyle w:val="Strong"/>
          <w:rFonts w:eastAsia="Lucida Sans Unicode"/>
          <w:b w:val="0"/>
          <w:i/>
          <w:szCs w:val="16"/>
        </w:rPr>
        <w:t xml:space="preserve"> Journal of the Optical Society of America </w:t>
      </w:r>
      <w:r w:rsidRPr="00F87319">
        <w:rPr>
          <w:rStyle w:val="Strong"/>
          <w:rFonts w:eastAsia="Lucida Sans Unicode"/>
          <w:szCs w:val="16"/>
        </w:rPr>
        <w:t>43</w:t>
      </w:r>
      <w:r w:rsidRPr="00F87319">
        <w:rPr>
          <w:rStyle w:val="Strong"/>
          <w:rFonts w:eastAsia="Lucida Sans Unicode"/>
          <w:b w:val="0"/>
          <w:szCs w:val="16"/>
        </w:rPr>
        <w:t xml:space="preserve"> (7): 618-619 (1953).</w:t>
      </w:r>
    </w:p>
    <w:p w:rsidR="006D41BD" w:rsidRPr="00F87319" w:rsidRDefault="006D41BD" w:rsidP="006D41BD">
      <w:pPr>
        <w:pStyle w:val="reference"/>
        <w:ind w:left="450" w:hanging="450"/>
        <w:jc w:val="left"/>
        <w:rPr>
          <w:rStyle w:val="Strong"/>
          <w:rFonts w:eastAsia="Lucida Sans Unicode"/>
          <w:b w:val="0"/>
          <w:szCs w:val="16"/>
        </w:rPr>
      </w:pPr>
      <w:r w:rsidRPr="00F87319">
        <w:rPr>
          <w:rStyle w:val="Strong"/>
          <w:rFonts w:eastAsia="Lucida Sans Unicode"/>
          <w:b w:val="0"/>
          <w:szCs w:val="16"/>
        </w:rPr>
        <w:t>[27]</w:t>
      </w:r>
      <w:r w:rsidRPr="00F87319">
        <w:rPr>
          <w:rStyle w:val="Strong"/>
          <w:rFonts w:eastAsia="Lucida Sans Unicode"/>
          <w:b w:val="0"/>
          <w:szCs w:val="16"/>
        </w:rPr>
        <w:tab/>
        <w:t>M. Von Laue</w:t>
      </w:r>
      <w:r w:rsidRPr="00F87319">
        <w:rPr>
          <w:rStyle w:val="Strong"/>
          <w:rFonts w:eastAsia="Lucida Sans Unicode"/>
          <w:szCs w:val="16"/>
        </w:rPr>
        <w:t xml:space="preserve">, </w:t>
      </w:r>
      <w:r w:rsidRPr="00F87319">
        <w:rPr>
          <w:i/>
          <w:szCs w:val="16"/>
        </w:rPr>
        <w:t>Annalen der Physik</w:t>
      </w:r>
      <w:r w:rsidRPr="00F87319">
        <w:rPr>
          <w:szCs w:val="16"/>
        </w:rPr>
        <w:t xml:space="preserve"> </w:t>
      </w:r>
      <w:r w:rsidRPr="00F87319">
        <w:rPr>
          <w:b/>
          <w:szCs w:val="16"/>
        </w:rPr>
        <w:t>66</w:t>
      </w:r>
      <w:r w:rsidRPr="00F87319">
        <w:rPr>
          <w:szCs w:val="16"/>
        </w:rPr>
        <w:t xml:space="preserve"> (20): 283-284 (1921).</w:t>
      </w:r>
    </w:p>
    <w:p w:rsidR="006D41BD" w:rsidRPr="00F87319" w:rsidRDefault="006D41BD" w:rsidP="006D41BD">
      <w:pPr>
        <w:pStyle w:val="reference"/>
        <w:ind w:left="450" w:hanging="450"/>
        <w:jc w:val="left"/>
        <w:rPr>
          <w:szCs w:val="16"/>
        </w:rPr>
      </w:pPr>
      <w:r w:rsidRPr="00F87319">
        <w:rPr>
          <w:szCs w:val="16"/>
        </w:rPr>
        <w:t>[28]</w:t>
      </w:r>
      <w:r w:rsidRPr="00F87319">
        <w:rPr>
          <w:szCs w:val="16"/>
        </w:rPr>
        <w:tab/>
        <w:t xml:space="preserve">T. Van Flandern, </w:t>
      </w:r>
      <w:r w:rsidRPr="00F87319">
        <w:rPr>
          <w:i/>
          <w:szCs w:val="16"/>
        </w:rPr>
        <w:t>Apeiron</w:t>
      </w:r>
      <w:r w:rsidRPr="00F87319">
        <w:rPr>
          <w:szCs w:val="16"/>
        </w:rPr>
        <w:t xml:space="preserve"> </w:t>
      </w:r>
      <w:r w:rsidRPr="00F87319">
        <w:rPr>
          <w:b/>
          <w:szCs w:val="16"/>
        </w:rPr>
        <w:t>10</w:t>
      </w:r>
      <w:r w:rsidRPr="00F87319">
        <w:rPr>
          <w:szCs w:val="16"/>
        </w:rPr>
        <w:t xml:space="preserve"> (4): 152-158 (2003); </w:t>
      </w:r>
      <w:r w:rsidRPr="00F87319">
        <w:rPr>
          <w:i/>
          <w:szCs w:val="16"/>
        </w:rPr>
        <w:t>Apeiron</w:t>
      </w:r>
      <w:r w:rsidRPr="00F87319">
        <w:rPr>
          <w:szCs w:val="16"/>
        </w:rPr>
        <w:t xml:space="preserve"> </w:t>
      </w:r>
      <w:r w:rsidRPr="00F87319">
        <w:rPr>
          <w:b/>
          <w:szCs w:val="16"/>
        </w:rPr>
        <w:t>10</w:t>
      </w:r>
      <w:r w:rsidRPr="00F87319">
        <w:rPr>
          <w:szCs w:val="16"/>
        </w:rPr>
        <w:t xml:space="preserve"> (1): 69ff (2003).</w:t>
      </w:r>
    </w:p>
    <w:p w:rsidR="006D41BD" w:rsidRPr="00F87319" w:rsidRDefault="006D41BD" w:rsidP="006D41BD">
      <w:pPr>
        <w:pStyle w:val="reference"/>
        <w:ind w:left="450" w:hanging="450"/>
        <w:jc w:val="left"/>
        <w:rPr>
          <w:szCs w:val="16"/>
        </w:rPr>
      </w:pPr>
      <w:r w:rsidRPr="00F87319">
        <w:rPr>
          <w:szCs w:val="16"/>
        </w:rPr>
        <w:t>[29]</w:t>
      </w:r>
      <w:r w:rsidRPr="00F87319">
        <w:rPr>
          <w:szCs w:val="16"/>
        </w:rPr>
        <w:tab/>
        <w:t xml:space="preserve">B. Haisch, A. Rueda, H. E. Puthoff, </w:t>
      </w:r>
      <w:r w:rsidRPr="00F87319">
        <w:rPr>
          <w:i/>
          <w:szCs w:val="16"/>
        </w:rPr>
        <w:t>Speculations in Science and Technology</w:t>
      </w:r>
      <w:r w:rsidRPr="00F87319">
        <w:rPr>
          <w:szCs w:val="16"/>
        </w:rPr>
        <w:t xml:space="preserve"> </w:t>
      </w:r>
      <w:r w:rsidRPr="00F87319">
        <w:rPr>
          <w:b/>
          <w:szCs w:val="16"/>
        </w:rPr>
        <w:t>20</w:t>
      </w:r>
      <w:r w:rsidRPr="00F87319">
        <w:rPr>
          <w:szCs w:val="16"/>
        </w:rPr>
        <w:t>: 99-114 (1997).</w:t>
      </w:r>
    </w:p>
    <w:p w:rsidR="006D41BD" w:rsidRPr="00F87319" w:rsidRDefault="006D41BD" w:rsidP="006D41BD">
      <w:pPr>
        <w:pStyle w:val="reference"/>
        <w:ind w:left="450" w:hanging="450"/>
        <w:jc w:val="left"/>
        <w:rPr>
          <w:szCs w:val="16"/>
        </w:rPr>
      </w:pPr>
      <w:r w:rsidRPr="00F87319">
        <w:rPr>
          <w:szCs w:val="16"/>
        </w:rPr>
        <w:t>[30]</w:t>
      </w:r>
      <w:r w:rsidRPr="00F87319">
        <w:rPr>
          <w:szCs w:val="16"/>
        </w:rPr>
        <w:tab/>
        <w:t xml:space="preserve">Science Editor, </w:t>
      </w:r>
      <w:r w:rsidRPr="00F87319">
        <w:rPr>
          <w:i/>
          <w:szCs w:val="16"/>
        </w:rPr>
        <w:t>New Scientist</w:t>
      </w:r>
      <w:r w:rsidRPr="00F87319">
        <w:rPr>
          <w:szCs w:val="16"/>
        </w:rPr>
        <w:t xml:space="preserve"> </w:t>
      </w:r>
      <w:r w:rsidRPr="00F87319">
        <w:rPr>
          <w:b/>
          <w:szCs w:val="16"/>
        </w:rPr>
        <w:t>2611</w:t>
      </w:r>
      <w:r w:rsidRPr="00F87319">
        <w:rPr>
          <w:szCs w:val="16"/>
        </w:rPr>
        <w:t xml:space="preserve"> (7 Jul 2007).</w:t>
      </w:r>
    </w:p>
    <w:p w:rsidR="006D41BD" w:rsidRPr="00F87319" w:rsidRDefault="006D41BD" w:rsidP="006D41BD">
      <w:pPr>
        <w:pStyle w:val="reference"/>
        <w:ind w:left="450" w:hanging="450"/>
        <w:jc w:val="left"/>
        <w:rPr>
          <w:szCs w:val="16"/>
        </w:rPr>
      </w:pPr>
      <w:r w:rsidRPr="00F87319">
        <w:rPr>
          <w:szCs w:val="16"/>
        </w:rPr>
        <w:t>[31]</w:t>
      </w:r>
      <w:r w:rsidRPr="00F87319">
        <w:rPr>
          <w:szCs w:val="16"/>
        </w:rPr>
        <w:tab/>
        <w:t xml:space="preserve">R. Gerritsma et al, </w:t>
      </w:r>
      <w:r w:rsidRPr="00F87319">
        <w:rPr>
          <w:i/>
          <w:szCs w:val="16"/>
        </w:rPr>
        <w:t>Nature</w:t>
      </w:r>
      <w:r w:rsidRPr="00F87319">
        <w:rPr>
          <w:szCs w:val="16"/>
        </w:rPr>
        <w:t xml:space="preserve"> </w:t>
      </w:r>
      <w:r w:rsidRPr="00F87319">
        <w:rPr>
          <w:b/>
          <w:szCs w:val="16"/>
        </w:rPr>
        <w:t>463</w:t>
      </w:r>
      <w:r w:rsidRPr="00F87319">
        <w:rPr>
          <w:szCs w:val="16"/>
        </w:rPr>
        <w:t>: 68-71 (7 Jan 2010).</w:t>
      </w:r>
    </w:p>
    <w:p w:rsidR="006D41BD" w:rsidRPr="00F87319" w:rsidRDefault="006D41BD" w:rsidP="006D41BD">
      <w:pPr>
        <w:pStyle w:val="reference"/>
        <w:ind w:left="450" w:hanging="450"/>
        <w:jc w:val="left"/>
        <w:rPr>
          <w:szCs w:val="16"/>
        </w:rPr>
      </w:pPr>
      <w:r w:rsidRPr="00F87319">
        <w:rPr>
          <w:szCs w:val="16"/>
        </w:rPr>
        <w:t>[32]</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r w:rsidRPr="00F87319">
        <w:rPr>
          <w:color w:val="000000"/>
          <w:szCs w:val="16"/>
        </w:rPr>
        <w:t xml:space="preserve"> Note: Puthoff states here that the existence of the Planck length cut-off for the ZPE is </w:t>
      </w:r>
      <w:r w:rsidR="00C75F49">
        <w:rPr>
          <w:color w:val="000000"/>
          <w:szCs w:val="16"/>
        </w:rPr>
        <w:t xml:space="preserve">some- </w:t>
      </w:r>
      <w:r w:rsidRPr="00F87319">
        <w:rPr>
          <w:color w:val="000000"/>
          <w:szCs w:val="16"/>
        </w:rPr>
        <w:t xml:space="preserve">times cited as breaking its Lorentz invariance. </w:t>
      </w:r>
      <w:r w:rsidR="00C75F49">
        <w:rPr>
          <w:color w:val="000000"/>
          <w:szCs w:val="16"/>
        </w:rPr>
        <w:t>But h</w:t>
      </w:r>
      <w:r w:rsidRPr="00F87319">
        <w:rPr>
          <w:color w:val="000000"/>
          <w:szCs w:val="16"/>
        </w:rPr>
        <w:t xml:space="preserve">e states </w:t>
      </w:r>
      <w:r w:rsidRPr="00F87319">
        <w:rPr>
          <w:i/>
          <w:color w:val="000000"/>
          <w:szCs w:val="16"/>
        </w:rPr>
        <w:t>“as long as the cutoff frequency is beyond detectability (as is the Planck frequency in this case) there is no measurable consequence expected of such a breakdown of Lorentz invariance at this limit of physical theory, either now or in the foreseeable future.”</w:t>
      </w:r>
    </w:p>
    <w:p w:rsidR="006D41BD" w:rsidRPr="00F87319" w:rsidRDefault="006D41BD" w:rsidP="006D41BD">
      <w:pPr>
        <w:pStyle w:val="reference"/>
        <w:ind w:left="450" w:hanging="450"/>
        <w:jc w:val="left"/>
        <w:rPr>
          <w:szCs w:val="16"/>
        </w:rPr>
      </w:pPr>
      <w:r w:rsidRPr="00F87319">
        <w:rPr>
          <w:szCs w:val="16"/>
        </w:rPr>
        <w:t>[33]</w:t>
      </w:r>
      <w:r w:rsidRPr="00F87319">
        <w:rPr>
          <w:szCs w:val="16"/>
        </w:rPr>
        <w:tab/>
        <w:t xml:space="preserve">M. Chown,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[34]</w:t>
      </w:r>
      <w:r w:rsidRPr="00F87319">
        <w:rPr>
          <w:szCs w:val="16"/>
        </w:rPr>
        <w:tab/>
        <w:t xml:space="preserve">B. Haisch, A. Rueda, H. E. Puthoff, </w:t>
      </w:r>
      <w:r w:rsidRPr="00F87319">
        <w:rPr>
          <w:i/>
          <w:szCs w:val="16"/>
        </w:rPr>
        <w:t>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t>[35]</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 Mar 1989).</w:t>
      </w:r>
    </w:p>
    <w:p w:rsidR="006D41BD" w:rsidRPr="00F87319" w:rsidRDefault="006D41BD" w:rsidP="006D41BD">
      <w:pPr>
        <w:pStyle w:val="reference"/>
        <w:ind w:left="450" w:hanging="450"/>
        <w:jc w:val="left"/>
        <w:rPr>
          <w:szCs w:val="16"/>
        </w:rPr>
      </w:pPr>
      <w:r w:rsidRPr="00F87319">
        <w:rPr>
          <w:szCs w:val="16"/>
        </w:rPr>
        <w:t>[36]</w:t>
      </w:r>
      <w:r w:rsidRPr="00F87319">
        <w:rPr>
          <w:szCs w:val="16"/>
        </w:rPr>
        <w:tab/>
        <w:t xml:space="preserve">B. Setterfield, ”Reviewing the Zero Point Energy,” </w:t>
      </w:r>
      <w:r w:rsidRPr="00F87319">
        <w:rPr>
          <w:i/>
          <w:szCs w:val="16"/>
        </w:rPr>
        <w:t>Journal of Vectorial  Relativity</w:t>
      </w:r>
      <w:r w:rsidRPr="00F87319">
        <w:rPr>
          <w:szCs w:val="16"/>
        </w:rPr>
        <w:t xml:space="preserve"> </w:t>
      </w:r>
      <w:r w:rsidRPr="00F87319">
        <w:rPr>
          <w:b/>
          <w:szCs w:val="16"/>
        </w:rPr>
        <w:t>2</w:t>
      </w:r>
      <w:r w:rsidRPr="00F87319">
        <w:rPr>
          <w:szCs w:val="16"/>
        </w:rPr>
        <w:t xml:space="preserve"> (3): 1-28 (2007); also in [31].</w:t>
      </w:r>
    </w:p>
    <w:p w:rsidR="006D41BD" w:rsidRPr="00F87319" w:rsidRDefault="006D41BD" w:rsidP="006D41BD">
      <w:pPr>
        <w:pStyle w:val="reference"/>
        <w:ind w:left="450" w:hanging="450"/>
        <w:jc w:val="left"/>
        <w:rPr>
          <w:szCs w:val="16"/>
        </w:rPr>
      </w:pPr>
      <w:r w:rsidRPr="00F87319">
        <w:rPr>
          <w:szCs w:val="16"/>
        </w:rPr>
        <w:t>[37]</w:t>
      </w:r>
      <w:r w:rsidRPr="00F87319">
        <w:rPr>
          <w:szCs w:val="16"/>
        </w:rPr>
        <w:tab/>
        <w:t xml:space="preserve">T. Norman, B. Setterfield, </w:t>
      </w:r>
      <w:r w:rsidRPr="00F87319">
        <w:rPr>
          <w:i/>
          <w:iCs/>
          <w:szCs w:val="16"/>
        </w:rPr>
        <w:t>The Atomic Constants, Light, and Time</w:t>
      </w:r>
      <w:r w:rsidRPr="00F87319">
        <w:rPr>
          <w:szCs w:val="16"/>
        </w:rPr>
        <w:t>, Research Report, p. 35</w:t>
      </w:r>
      <w:r w:rsidR="00C75F49">
        <w:rPr>
          <w:szCs w:val="16"/>
        </w:rPr>
        <w:t xml:space="preserve">, </w:t>
      </w:r>
      <w:r w:rsidRPr="00F87319">
        <w:rPr>
          <w:szCs w:val="16"/>
        </w:rPr>
        <w:t>SRI International &amp; Flinders Uni</w:t>
      </w:r>
      <w:r w:rsidR="00C75F49">
        <w:rPr>
          <w:szCs w:val="16"/>
        </w:rPr>
        <w:t>.</w:t>
      </w:r>
      <w:r w:rsidRPr="00F87319">
        <w:rPr>
          <w:szCs w:val="16"/>
        </w:rPr>
        <w:t xml:space="preserve"> S</w:t>
      </w:r>
      <w:r w:rsidR="00C75F49">
        <w:rPr>
          <w:szCs w:val="16"/>
        </w:rPr>
        <w:t>th Australia, Aug 1987</w:t>
      </w:r>
      <w:r w:rsidRPr="00F87319">
        <w:rPr>
          <w:szCs w:val="16"/>
        </w:rPr>
        <w:t>.</w:t>
      </w:r>
    </w:p>
    <w:p w:rsidR="006D41BD" w:rsidRPr="00F87319" w:rsidRDefault="006D41BD" w:rsidP="006D41BD">
      <w:pPr>
        <w:pStyle w:val="reference"/>
        <w:ind w:left="450" w:hanging="450"/>
        <w:jc w:val="left"/>
        <w:rPr>
          <w:szCs w:val="16"/>
        </w:rPr>
      </w:pPr>
      <w:r w:rsidRPr="00F87319">
        <w:rPr>
          <w:szCs w:val="16"/>
        </w:rPr>
        <w:t>[38]</w:t>
      </w:r>
      <w:r w:rsidRPr="00F87319">
        <w:rPr>
          <w:szCs w:val="16"/>
        </w:rPr>
        <w:tab/>
        <w:t xml:space="preserve">B. J. Setterfield, “A Plasma Universe with Changing Zero Point Energy,” </w:t>
      </w:r>
      <w:r w:rsidRPr="00F87319">
        <w:rPr>
          <w:i/>
          <w:szCs w:val="16"/>
        </w:rPr>
        <w:t>Proceedings of the NPA</w:t>
      </w:r>
      <w:r w:rsidRPr="00F87319">
        <w:rPr>
          <w:szCs w:val="16"/>
        </w:rPr>
        <w:t xml:space="preserve"> </w:t>
      </w:r>
      <w:r w:rsidRPr="00F87319">
        <w:rPr>
          <w:b/>
          <w:szCs w:val="16"/>
        </w:rPr>
        <w:t>8</w:t>
      </w:r>
      <w:r w:rsidRPr="00F87319">
        <w:rPr>
          <w:szCs w:val="16"/>
        </w:rPr>
        <w:t xml:space="preserve">: 535-544 (2011). </w:t>
      </w:r>
    </w:p>
    <w:p w:rsidR="006D41BD" w:rsidRPr="00F87319" w:rsidRDefault="006D41BD" w:rsidP="006D41BD">
      <w:pPr>
        <w:pStyle w:val="reference"/>
        <w:ind w:left="450" w:hanging="450"/>
        <w:jc w:val="left"/>
        <w:rPr>
          <w:szCs w:val="16"/>
        </w:rPr>
      </w:pPr>
      <w:r w:rsidRPr="00F87319">
        <w:rPr>
          <w:szCs w:val="16"/>
        </w:rPr>
        <w:t>[39]</w:t>
      </w:r>
      <w:r w:rsidRPr="00F87319">
        <w:rPr>
          <w:szCs w:val="16"/>
        </w:rPr>
        <w:tab/>
        <w:t xml:space="preserve">H. E. Puthoff, </w:t>
      </w:r>
      <w:r w:rsidRPr="00F87319">
        <w:rPr>
          <w:i/>
          <w:szCs w:val="16"/>
        </w:rPr>
        <w:t>International Journal of Theoretical Physics</w:t>
      </w:r>
      <w:r w:rsidRPr="00F87319">
        <w:rPr>
          <w:szCs w:val="16"/>
        </w:rPr>
        <w:t xml:space="preserve"> </w:t>
      </w:r>
      <w:r w:rsidRPr="00F87319">
        <w:rPr>
          <w:b/>
          <w:szCs w:val="16"/>
        </w:rPr>
        <w:t>46</w:t>
      </w:r>
      <w:r w:rsidRPr="00F87319">
        <w:rPr>
          <w:szCs w:val="16"/>
        </w:rPr>
        <w:t>: 3005-3008 (2007).</w:t>
      </w:r>
    </w:p>
    <w:p w:rsidR="006D41BD" w:rsidRPr="00F87319" w:rsidRDefault="006D41BD" w:rsidP="006D41BD">
      <w:pPr>
        <w:pStyle w:val="reference"/>
        <w:ind w:left="450" w:hanging="450"/>
        <w:jc w:val="left"/>
        <w:rPr>
          <w:szCs w:val="16"/>
        </w:rPr>
      </w:pPr>
      <w:r w:rsidRPr="00F87319">
        <w:rPr>
          <w:szCs w:val="16"/>
        </w:rPr>
        <w:t>[40]</w:t>
      </w:r>
      <w:r w:rsidRPr="00F87319">
        <w:rPr>
          <w:szCs w:val="16"/>
        </w:rPr>
        <w:tab/>
        <w:t>B. Haisch, A. Rueda, H. E. Puthoff,</w:t>
      </w:r>
      <w:r w:rsidRPr="00F87319">
        <w:rPr>
          <w:i/>
          <w:szCs w:val="16"/>
        </w:rPr>
        <w:t xml:space="preserve"> 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t>[41]</w:t>
      </w:r>
      <w:r w:rsidRPr="00F87319">
        <w:rPr>
          <w:szCs w:val="16"/>
        </w:rPr>
        <w:tab/>
        <w:t xml:space="preserve">T. Van Flandern, in M. Edwards, Ed., </w:t>
      </w:r>
      <w:r w:rsidRPr="00F87319">
        <w:rPr>
          <w:rStyle w:val="Emphasis"/>
          <w:szCs w:val="16"/>
        </w:rPr>
        <w:t>Pushing Gravity</w:t>
      </w:r>
      <w:r w:rsidRPr="00F87319">
        <w:rPr>
          <w:szCs w:val="16"/>
        </w:rPr>
        <w:t>, pp. 93-122 (Apeiron, Montreal, 2002).</w:t>
      </w:r>
    </w:p>
    <w:p w:rsidR="006D41BD" w:rsidRPr="00F87319" w:rsidRDefault="006D41BD" w:rsidP="006D41BD">
      <w:pPr>
        <w:pStyle w:val="reference"/>
        <w:ind w:left="450" w:hanging="450"/>
        <w:jc w:val="left"/>
        <w:rPr>
          <w:szCs w:val="16"/>
        </w:rPr>
      </w:pPr>
      <w:r w:rsidRPr="00F87319">
        <w:rPr>
          <w:szCs w:val="16"/>
        </w:rPr>
        <w:t>[42]</w:t>
      </w:r>
      <w:r w:rsidRPr="00F87319">
        <w:rPr>
          <w:szCs w:val="16"/>
        </w:rPr>
        <w:tab/>
        <w:t xml:space="preserve">CIPA Q and A, </w:t>
      </w:r>
      <w:hyperlink r:id="rId951" w:history="1">
        <w:r w:rsidRPr="00F87319">
          <w:rPr>
            <w:rStyle w:val="Hyperlink"/>
            <w:i/>
            <w:szCs w:val="16"/>
          </w:rPr>
          <w:t>http://www.calphysics.org/questions.html</w:t>
        </w:r>
      </w:hyperlink>
      <w:r w:rsidRPr="00F87319">
        <w:rPr>
          <w:szCs w:val="16"/>
        </w:rPr>
        <w:t xml:space="preserve">; Y. Dobyns, A. Rueda, B. Haisch, </w:t>
      </w:r>
      <w:r w:rsidRPr="00F87319">
        <w:rPr>
          <w:i/>
          <w:iCs/>
          <w:szCs w:val="16"/>
        </w:rPr>
        <w:t xml:space="preserve">Found. Phys. </w:t>
      </w:r>
      <w:r w:rsidRPr="00F87319">
        <w:rPr>
          <w:b/>
          <w:bCs/>
          <w:szCs w:val="16"/>
        </w:rPr>
        <w:t>30</w:t>
      </w:r>
      <w:r w:rsidRPr="00F87319">
        <w:rPr>
          <w:szCs w:val="16"/>
        </w:rPr>
        <w:t xml:space="preserve"> (1): 59 (2000).</w:t>
      </w:r>
    </w:p>
    <w:p w:rsidR="006D41BD" w:rsidRPr="00F87319" w:rsidRDefault="006D41BD" w:rsidP="006D41BD">
      <w:pPr>
        <w:pStyle w:val="reference"/>
        <w:ind w:left="450" w:hanging="450"/>
        <w:jc w:val="left"/>
        <w:rPr>
          <w:szCs w:val="16"/>
        </w:rPr>
      </w:pPr>
      <w:r w:rsidRPr="00F87319">
        <w:rPr>
          <w:szCs w:val="16"/>
        </w:rPr>
        <w:t>[43]</w:t>
      </w:r>
      <w:r w:rsidRPr="00F87319">
        <w:rPr>
          <w:szCs w:val="16"/>
        </w:rPr>
        <w:tab/>
        <w:t xml:space="preserve">H. E. Puthoff, B. Haisch, A. Rueda, quoted in Marcus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lastRenderedPageBreak/>
        <w:t>[44]</w:t>
      </w:r>
      <w:r w:rsidRPr="00F87319">
        <w:rPr>
          <w:szCs w:val="16"/>
        </w:rPr>
        <w:tab/>
        <w:t xml:space="preserve">A. Eddington, </w:t>
      </w:r>
      <w:r w:rsidRPr="00F87319">
        <w:rPr>
          <w:rStyle w:val="Emphasis"/>
          <w:szCs w:val="16"/>
        </w:rPr>
        <w:t>Space, Time and Gravitation</w:t>
      </w:r>
      <w:r w:rsidRPr="00F87319">
        <w:rPr>
          <w:szCs w:val="16"/>
        </w:rPr>
        <w:t>, p. 109, (Cambridge University Press, reprint 1987).</w:t>
      </w:r>
    </w:p>
    <w:p w:rsidR="006D41BD" w:rsidRPr="00F87319" w:rsidRDefault="006D41BD" w:rsidP="006D41BD">
      <w:pPr>
        <w:pStyle w:val="reference"/>
        <w:ind w:left="450" w:hanging="450"/>
        <w:jc w:val="left"/>
        <w:rPr>
          <w:szCs w:val="16"/>
        </w:rPr>
      </w:pPr>
      <w:r w:rsidRPr="00F87319">
        <w:rPr>
          <w:szCs w:val="16"/>
        </w:rPr>
        <w:t>[45]</w:t>
      </w:r>
      <w:r w:rsidRPr="00F87319">
        <w:rPr>
          <w:szCs w:val="16"/>
        </w:rPr>
        <w:tab/>
        <w:t>De Felice,</w:t>
      </w:r>
      <w:r w:rsidRPr="00F87319">
        <w:rPr>
          <w:rStyle w:val="Emphasis"/>
          <w:color w:val="FF0000"/>
          <w:szCs w:val="16"/>
        </w:rPr>
        <w:t xml:space="preserve"> </w:t>
      </w:r>
      <w:r w:rsidRPr="00F87319">
        <w:rPr>
          <w:rStyle w:val="Emphasis"/>
          <w:szCs w:val="16"/>
        </w:rPr>
        <w:t xml:space="preserve">Gen. Rel. &amp; Grav. </w:t>
      </w:r>
      <w:r w:rsidRPr="00F87319">
        <w:rPr>
          <w:b/>
          <w:szCs w:val="16"/>
        </w:rPr>
        <w:t>2</w:t>
      </w:r>
      <w:r w:rsidRPr="00F87319">
        <w:rPr>
          <w:szCs w:val="16"/>
        </w:rPr>
        <w:t xml:space="preserve"> (4): 347-357 (1971).</w:t>
      </w:r>
    </w:p>
    <w:p w:rsidR="006D41BD" w:rsidRPr="00F87319" w:rsidRDefault="006D41BD" w:rsidP="006D41BD">
      <w:pPr>
        <w:pStyle w:val="reference"/>
        <w:ind w:left="450" w:hanging="450"/>
        <w:jc w:val="left"/>
        <w:rPr>
          <w:szCs w:val="16"/>
        </w:rPr>
      </w:pPr>
      <w:r w:rsidRPr="00F87319">
        <w:rPr>
          <w:szCs w:val="16"/>
        </w:rPr>
        <w:t>[46]</w:t>
      </w:r>
      <w:r w:rsidRPr="00F87319">
        <w:rPr>
          <w:szCs w:val="16"/>
        </w:rPr>
        <w:tab/>
        <w:t xml:space="preserve">Context at </w:t>
      </w:r>
      <w:hyperlink r:id="rId952" w:history="1">
        <w:r w:rsidRPr="00F87319">
          <w:rPr>
            <w:rStyle w:val="Hyperlink"/>
            <w:i/>
            <w:szCs w:val="16"/>
          </w:rPr>
          <w:t>http://www.ldolphin.org/vanFlandern/</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[47]</w:t>
      </w:r>
      <w:r w:rsidRPr="00F87319">
        <w:rPr>
          <w:szCs w:val="16"/>
        </w:rPr>
        <w:tab/>
        <w:t xml:space="preserve">B. Haisch, A. Rueda, H. E. Puthoff, </w:t>
      </w:r>
      <w:r w:rsidRPr="00F87319">
        <w:rPr>
          <w:rStyle w:val="Emphasis"/>
          <w:szCs w:val="16"/>
        </w:rPr>
        <w:t>The Sciences</w:t>
      </w:r>
      <w:r w:rsidRPr="00F87319">
        <w:rPr>
          <w:szCs w:val="16"/>
        </w:rPr>
        <w:t>, pp.26-31 (Nov/ Dec 1994).</w:t>
      </w:r>
    </w:p>
    <w:p w:rsidR="006D41BD" w:rsidRPr="00F87319" w:rsidRDefault="006D41BD" w:rsidP="006D41BD">
      <w:pPr>
        <w:pStyle w:val="reference"/>
        <w:ind w:left="450" w:hanging="450"/>
        <w:jc w:val="left"/>
        <w:rPr>
          <w:szCs w:val="16"/>
        </w:rPr>
      </w:pPr>
      <w:r w:rsidRPr="00F87319">
        <w:rPr>
          <w:szCs w:val="16"/>
        </w:rPr>
        <w:t>[48]</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p>
    <w:p w:rsidR="006D41BD" w:rsidRPr="00F87319" w:rsidRDefault="006D41BD" w:rsidP="006D41BD">
      <w:pPr>
        <w:pStyle w:val="reference"/>
        <w:ind w:left="450" w:hanging="450"/>
        <w:jc w:val="left"/>
        <w:rPr>
          <w:szCs w:val="16"/>
        </w:rPr>
      </w:pPr>
      <w:r w:rsidRPr="00F87319">
        <w:rPr>
          <w:szCs w:val="16"/>
        </w:rPr>
        <w:t>[49]</w:t>
      </w:r>
      <w:r w:rsidRPr="00F87319">
        <w:rPr>
          <w:szCs w:val="16"/>
        </w:rPr>
        <w:tab/>
        <w:t xml:space="preserve">B. Haisch, A. Rueda, H. E. Puthoff, </w:t>
      </w:r>
      <w:r w:rsidRPr="00F87319">
        <w:rPr>
          <w:i/>
          <w:szCs w:val="16"/>
        </w:rPr>
        <w:t xml:space="preserve">Phys. Rev. A </w:t>
      </w:r>
      <w:r w:rsidRPr="00F87319">
        <w:rPr>
          <w:b/>
          <w:szCs w:val="16"/>
        </w:rPr>
        <w:t>49:678</w:t>
      </w:r>
      <w:r w:rsidRPr="00F87319">
        <w:rPr>
          <w:szCs w:val="16"/>
        </w:rPr>
        <w:t xml:space="preserve"> (1994).</w:t>
      </w:r>
    </w:p>
    <w:p w:rsidR="006D41BD" w:rsidRPr="00F87319" w:rsidRDefault="006D41BD" w:rsidP="006D41BD">
      <w:pPr>
        <w:pStyle w:val="reference"/>
        <w:ind w:left="450" w:hanging="450"/>
        <w:jc w:val="left"/>
        <w:rPr>
          <w:szCs w:val="16"/>
        </w:rPr>
      </w:pPr>
      <w:r w:rsidRPr="00F87319">
        <w:rPr>
          <w:szCs w:val="16"/>
        </w:rPr>
        <w:t>[50]</w:t>
      </w:r>
      <w:r w:rsidRPr="00F87319">
        <w:rPr>
          <w:szCs w:val="16"/>
        </w:rPr>
        <w:tab/>
        <w:t xml:space="preserve">M.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[51]</w:t>
      </w:r>
      <w:r w:rsidRPr="00F87319">
        <w:rPr>
          <w:szCs w:val="16"/>
        </w:rPr>
        <w:tab/>
        <w:t xml:space="preserve">B. Setterfield, “Reviewing a Plasma Universe With Zero Point Energy,” </w:t>
      </w:r>
      <w:r w:rsidRPr="00F87319">
        <w:rPr>
          <w:i/>
          <w:szCs w:val="16"/>
        </w:rPr>
        <w:t>Journal of Vectorial Relativity</w:t>
      </w:r>
      <w:r w:rsidRPr="00F87319">
        <w:rPr>
          <w:szCs w:val="16"/>
        </w:rPr>
        <w:t xml:space="preserve"> </w:t>
      </w:r>
      <w:r w:rsidRPr="00F87319">
        <w:rPr>
          <w:b/>
          <w:szCs w:val="16"/>
        </w:rPr>
        <w:t>3</w:t>
      </w:r>
      <w:r w:rsidRPr="00F87319">
        <w:rPr>
          <w:szCs w:val="16"/>
        </w:rPr>
        <w:t xml:space="preserve"> (3): 1-29 (2008).</w:t>
      </w:r>
    </w:p>
    <w:p w:rsidR="006D41BD" w:rsidRPr="00F87319" w:rsidRDefault="006D41BD" w:rsidP="006D41BD">
      <w:pPr>
        <w:pStyle w:val="reference"/>
        <w:ind w:left="450" w:hanging="450"/>
        <w:jc w:val="left"/>
        <w:rPr>
          <w:szCs w:val="16"/>
        </w:rPr>
      </w:pPr>
      <w:r w:rsidRPr="00F87319">
        <w:rPr>
          <w:szCs w:val="16"/>
        </w:rPr>
        <w:t>[52]</w:t>
      </w:r>
      <w:r w:rsidRPr="00F87319">
        <w:rPr>
          <w:szCs w:val="16"/>
        </w:rPr>
        <w:tab/>
        <w:t xml:space="preserve">B. Setterfield,  ”Reviewing the Zero Point Energy,” </w:t>
      </w:r>
      <w:r w:rsidRPr="00F87319">
        <w:rPr>
          <w:i/>
          <w:szCs w:val="16"/>
        </w:rPr>
        <w:t>Journal of Vectorial Relativity</w:t>
      </w:r>
      <w:r w:rsidRPr="00F87319">
        <w:rPr>
          <w:b/>
          <w:szCs w:val="16"/>
        </w:rPr>
        <w:t xml:space="preserve"> 2</w:t>
      </w:r>
      <w:r w:rsidRPr="00F87319">
        <w:rPr>
          <w:szCs w:val="16"/>
        </w:rPr>
        <w:t xml:space="preserve"> (3): 1-28 (2007).</w:t>
      </w:r>
    </w:p>
    <w:p w:rsidR="006D41BD" w:rsidRPr="00F87319" w:rsidRDefault="006D41BD" w:rsidP="006D41BD">
      <w:pPr>
        <w:pStyle w:val="reference"/>
        <w:ind w:left="450" w:hanging="450"/>
        <w:jc w:val="left"/>
        <w:rPr>
          <w:szCs w:val="16"/>
        </w:rPr>
      </w:pPr>
      <w:r w:rsidRPr="00F87319">
        <w:rPr>
          <w:szCs w:val="16"/>
        </w:rPr>
        <w:t>[53]</w:t>
      </w:r>
      <w:r w:rsidRPr="00F87319">
        <w:rPr>
          <w:szCs w:val="16"/>
        </w:rPr>
        <w:tab/>
        <w:t xml:space="preserve">I. Shapiro et al., “Fourth test of general relativity: New radar results”, </w:t>
      </w:r>
      <w:r w:rsidRPr="00F87319">
        <w:rPr>
          <w:i/>
          <w:iCs/>
          <w:szCs w:val="16"/>
        </w:rPr>
        <w:t xml:space="preserve">Phys. Rev. Lett. </w:t>
      </w:r>
      <w:r w:rsidRPr="00F87319">
        <w:rPr>
          <w:b/>
          <w:bCs/>
          <w:szCs w:val="16"/>
        </w:rPr>
        <w:t>26</w:t>
      </w:r>
      <w:r w:rsidRPr="00F87319">
        <w:rPr>
          <w:szCs w:val="16"/>
        </w:rPr>
        <w:t>: 1132-1135 (1971).</w:t>
      </w:r>
    </w:p>
    <w:p w:rsidR="006D41BD" w:rsidRPr="00F87319" w:rsidRDefault="006D41BD" w:rsidP="006D41BD">
      <w:pPr>
        <w:pStyle w:val="reference"/>
        <w:ind w:left="450" w:hanging="450"/>
        <w:jc w:val="left"/>
        <w:rPr>
          <w:szCs w:val="16"/>
        </w:rPr>
      </w:pPr>
      <w:r w:rsidRPr="00F87319">
        <w:rPr>
          <w:szCs w:val="16"/>
        </w:rPr>
        <w:t>[54]</w:t>
      </w:r>
      <w:r w:rsidRPr="00F87319">
        <w:rPr>
          <w:szCs w:val="16"/>
        </w:rPr>
        <w:tab/>
        <w:t xml:space="preserve">K. W. Ford, </w:t>
      </w:r>
      <w:r w:rsidRPr="00F87319">
        <w:rPr>
          <w:i/>
          <w:iCs/>
          <w:szCs w:val="16"/>
        </w:rPr>
        <w:t>Classical and Modern Physics</w:t>
      </w:r>
      <w:r w:rsidRPr="00F87319">
        <w:rPr>
          <w:szCs w:val="16"/>
        </w:rPr>
        <w:t>, Vol.3, p. 1152 (John Wiley &amp; Sons, 1974).</w:t>
      </w:r>
    </w:p>
    <w:p w:rsidR="006D41BD" w:rsidRPr="00F87319" w:rsidRDefault="006D41BD" w:rsidP="006D41BD">
      <w:pPr>
        <w:pStyle w:val="reference"/>
        <w:ind w:left="450" w:hanging="450"/>
        <w:jc w:val="left"/>
        <w:rPr>
          <w:szCs w:val="16"/>
        </w:rPr>
      </w:pPr>
      <w:r w:rsidRPr="00F87319">
        <w:rPr>
          <w:szCs w:val="16"/>
        </w:rPr>
        <w:t>[55]</w:t>
      </w:r>
      <w:r w:rsidRPr="00F87319">
        <w:rPr>
          <w:szCs w:val="16"/>
        </w:rPr>
        <w:tab/>
        <w:t xml:space="preserve">J.K. Webb et al, </w:t>
      </w:r>
      <w:r w:rsidRPr="00F87319">
        <w:rPr>
          <w:i/>
          <w:iCs/>
          <w:szCs w:val="16"/>
        </w:rPr>
        <w:t>Phys. Rev. Lett</w:t>
      </w:r>
      <w:r w:rsidRPr="00F87319">
        <w:rPr>
          <w:szCs w:val="16"/>
        </w:rPr>
        <w:t xml:space="preserve">. </w:t>
      </w:r>
      <w:r w:rsidRPr="00F87319">
        <w:rPr>
          <w:b/>
          <w:bCs/>
          <w:szCs w:val="16"/>
        </w:rPr>
        <w:t>82</w:t>
      </w:r>
      <w:r w:rsidRPr="00F87319">
        <w:rPr>
          <w:szCs w:val="16"/>
        </w:rPr>
        <w:t xml:space="preserve">: 884-887 (1999); </w:t>
      </w:r>
      <w:r w:rsidRPr="00F87319">
        <w:rPr>
          <w:i/>
          <w:iCs/>
          <w:szCs w:val="16"/>
        </w:rPr>
        <w:t xml:space="preserve">Phys Rev. Lett. </w:t>
      </w:r>
      <w:r w:rsidRPr="00F87319">
        <w:rPr>
          <w:b/>
          <w:bCs/>
          <w:szCs w:val="16"/>
        </w:rPr>
        <w:t>87</w:t>
      </w:r>
      <w:r w:rsidRPr="00F87319">
        <w:rPr>
          <w:bCs/>
          <w:szCs w:val="16"/>
        </w:rPr>
        <w:t>:</w:t>
      </w:r>
      <w:r w:rsidRPr="00F87319">
        <w:rPr>
          <w:szCs w:val="16"/>
        </w:rPr>
        <w:t xml:space="preserve"> 091301 (2001).</w:t>
      </w:r>
    </w:p>
    <w:p w:rsidR="006D41BD" w:rsidRPr="00F87319" w:rsidRDefault="006D41BD" w:rsidP="006D41BD">
      <w:pPr>
        <w:pStyle w:val="reference"/>
        <w:ind w:left="450" w:hanging="450"/>
        <w:jc w:val="left"/>
        <w:rPr>
          <w:szCs w:val="16"/>
        </w:rPr>
      </w:pPr>
      <w:r w:rsidRPr="00F87319">
        <w:rPr>
          <w:szCs w:val="16"/>
        </w:rPr>
        <w:t>[56]</w:t>
      </w:r>
      <w:r w:rsidRPr="00F87319">
        <w:rPr>
          <w:szCs w:val="16"/>
        </w:rPr>
        <w:tab/>
        <w:t xml:space="preserve">P. C. W. Davies, T. M. Davis, C. H. Lineweaver, </w:t>
      </w:r>
      <w:r w:rsidRPr="00F87319">
        <w:rPr>
          <w:i/>
          <w:iCs/>
          <w:szCs w:val="16"/>
        </w:rPr>
        <w:t xml:space="preserve">Nature </w:t>
      </w:r>
      <w:r w:rsidRPr="00F87319">
        <w:rPr>
          <w:b/>
          <w:bCs/>
          <w:szCs w:val="16"/>
        </w:rPr>
        <w:t>418</w:t>
      </w:r>
      <w:r w:rsidRPr="00F87319">
        <w:rPr>
          <w:szCs w:val="16"/>
        </w:rPr>
        <w:t>: 602-603 (2002).</w:t>
      </w:r>
    </w:p>
    <w:p w:rsidR="006D41BD" w:rsidRPr="00F87319" w:rsidRDefault="006D41BD" w:rsidP="006D41BD">
      <w:pPr>
        <w:pStyle w:val="reference"/>
        <w:ind w:left="450" w:hanging="450"/>
        <w:jc w:val="left"/>
        <w:rPr>
          <w:szCs w:val="16"/>
        </w:rPr>
      </w:pPr>
      <w:r w:rsidRPr="00F87319">
        <w:rPr>
          <w:szCs w:val="16"/>
        </w:rPr>
        <w:t>[57]</w:t>
      </w:r>
      <w:r w:rsidRPr="00F87319">
        <w:rPr>
          <w:szCs w:val="16"/>
        </w:rPr>
        <w:tab/>
        <w:t xml:space="preserve">S. Carlip, S. Vaidya, </w:t>
      </w:r>
      <w:r w:rsidRPr="00F87319">
        <w:rPr>
          <w:i/>
          <w:iCs/>
          <w:szCs w:val="16"/>
        </w:rPr>
        <w:t xml:space="preserve">Nature </w:t>
      </w:r>
      <w:r w:rsidRPr="00F87319">
        <w:rPr>
          <w:b/>
          <w:bCs/>
          <w:szCs w:val="16"/>
        </w:rPr>
        <w:t>421</w:t>
      </w:r>
      <w:r w:rsidRPr="00F87319">
        <w:rPr>
          <w:szCs w:val="16"/>
        </w:rPr>
        <w:t>: 498 (2003).</w:t>
      </w:r>
    </w:p>
    <w:p w:rsidR="006D41BD" w:rsidRPr="00F87319" w:rsidRDefault="006D41BD" w:rsidP="006D41BD">
      <w:pPr>
        <w:pStyle w:val="reference"/>
        <w:ind w:left="450" w:hanging="450"/>
        <w:jc w:val="left"/>
        <w:rPr>
          <w:szCs w:val="16"/>
        </w:rPr>
      </w:pPr>
      <w:r w:rsidRPr="00F87319">
        <w:rPr>
          <w:szCs w:val="16"/>
        </w:rPr>
        <w:t>[58]</w:t>
      </w:r>
      <w:r w:rsidRPr="00F87319">
        <w:rPr>
          <w:szCs w:val="16"/>
        </w:rPr>
        <w:tab/>
        <w:t xml:space="preserve">M. Brooks, </w:t>
      </w:r>
      <w:r w:rsidRPr="00F87319">
        <w:rPr>
          <w:i/>
          <w:szCs w:val="16"/>
        </w:rPr>
        <w:t>New Scientist</w:t>
      </w:r>
      <w:r w:rsidRPr="00F87319">
        <w:rPr>
          <w:szCs w:val="16"/>
        </w:rPr>
        <w:t>, pp. 32-35 (23 Oct 2010).</w:t>
      </w:r>
    </w:p>
    <w:p w:rsidR="006D41BD" w:rsidRPr="00F87319" w:rsidRDefault="006D41BD" w:rsidP="006D41BD">
      <w:pPr>
        <w:pStyle w:val="reference"/>
        <w:ind w:left="450" w:hanging="450"/>
        <w:jc w:val="left"/>
        <w:rPr>
          <w:szCs w:val="16"/>
        </w:rPr>
      </w:pPr>
      <w:r w:rsidRPr="00F87319">
        <w:rPr>
          <w:szCs w:val="16"/>
        </w:rPr>
        <w:t xml:space="preserve">[59] </w:t>
      </w:r>
      <w:r w:rsidRPr="00F87319">
        <w:rPr>
          <w:szCs w:val="16"/>
        </w:rPr>
        <w:tab/>
        <w:t xml:space="preserve">T. Van Flandern, </w:t>
      </w:r>
      <w:r w:rsidRPr="00F87319">
        <w:rPr>
          <w:i/>
          <w:iCs/>
          <w:szCs w:val="16"/>
        </w:rPr>
        <w:t>Meta Research Bulletin</w:t>
      </w:r>
      <w:r w:rsidRPr="00F87319">
        <w:rPr>
          <w:szCs w:val="16"/>
        </w:rPr>
        <w:t xml:space="preserve"> </w:t>
      </w:r>
      <w:r w:rsidRPr="00F87319">
        <w:rPr>
          <w:b/>
          <w:bCs/>
          <w:szCs w:val="16"/>
        </w:rPr>
        <w:t>8</w:t>
      </w:r>
      <w:r w:rsidRPr="00F87319">
        <w:rPr>
          <w:szCs w:val="16"/>
        </w:rPr>
        <w:t xml:space="preserve"> (1): 11ff. (1 Mar 1999).</w:t>
      </w:r>
    </w:p>
    <w:p w:rsidR="006D41BD" w:rsidRPr="00F87319" w:rsidRDefault="006D41BD" w:rsidP="006D41BD">
      <w:pPr>
        <w:pStyle w:val="reference"/>
        <w:ind w:left="450" w:hanging="450"/>
        <w:jc w:val="left"/>
        <w:rPr>
          <w:szCs w:val="16"/>
        </w:rPr>
      </w:pPr>
      <w:r w:rsidRPr="00F87319">
        <w:rPr>
          <w:szCs w:val="16"/>
        </w:rPr>
        <w:t>[60]</w:t>
      </w:r>
      <w:r w:rsidRPr="00F87319">
        <w:rPr>
          <w:szCs w:val="16"/>
        </w:rPr>
        <w:tab/>
        <w:t xml:space="preserve">M. R. Edwards, Ed, </w:t>
      </w:r>
      <w:r w:rsidRPr="00F87319">
        <w:rPr>
          <w:i/>
          <w:iCs/>
          <w:szCs w:val="16"/>
        </w:rPr>
        <w:t>Pushing Gravity</w:t>
      </w:r>
      <w:r w:rsidRPr="00F87319">
        <w:rPr>
          <w:szCs w:val="16"/>
        </w:rPr>
        <w:t>, p.99 (Apeiron, 2002).</w:t>
      </w:r>
    </w:p>
    <w:p w:rsidR="006D41BD" w:rsidRPr="00F87319" w:rsidRDefault="006D41BD" w:rsidP="006D41BD">
      <w:pPr>
        <w:pStyle w:val="reference"/>
        <w:ind w:left="450" w:hanging="450"/>
        <w:jc w:val="left"/>
        <w:rPr>
          <w:szCs w:val="16"/>
        </w:rPr>
      </w:pPr>
      <w:r w:rsidRPr="00F87319">
        <w:rPr>
          <w:szCs w:val="16"/>
        </w:rPr>
        <w:t>[61]</w:t>
      </w:r>
      <w:r w:rsidRPr="00F87319">
        <w:rPr>
          <w:szCs w:val="16"/>
        </w:rPr>
        <w:tab/>
        <w:t xml:space="preserve">A. P. French, </w:t>
      </w:r>
      <w:r w:rsidRPr="00F87319">
        <w:rPr>
          <w:i/>
          <w:iCs/>
          <w:szCs w:val="16"/>
        </w:rPr>
        <w:t>Principles of Modern Physics</w:t>
      </w:r>
      <w:r w:rsidRPr="00F87319">
        <w:rPr>
          <w:szCs w:val="16"/>
        </w:rPr>
        <w:t xml:space="preserve">, pp.175-178 (John Wiley &amp; Sons, 1959). </w:t>
      </w:r>
    </w:p>
    <w:p w:rsidR="006D41BD" w:rsidRPr="00F87319" w:rsidRDefault="006D41BD" w:rsidP="006D41BD">
      <w:pPr>
        <w:pStyle w:val="reference"/>
        <w:ind w:left="450" w:hanging="450"/>
        <w:jc w:val="left"/>
        <w:rPr>
          <w:szCs w:val="16"/>
        </w:rPr>
      </w:pPr>
      <w:r w:rsidRPr="00F87319">
        <w:rPr>
          <w:szCs w:val="16"/>
        </w:rPr>
        <w:t>[62]</w:t>
      </w:r>
      <w:r w:rsidRPr="00F87319">
        <w:rPr>
          <w:szCs w:val="16"/>
        </w:rPr>
        <w:tab/>
        <w:t>T. Van Flandern, [59], pp.12-14.</w:t>
      </w:r>
    </w:p>
    <w:p w:rsidR="006D41BD" w:rsidRPr="00F87319" w:rsidRDefault="006D41BD" w:rsidP="006D41BD">
      <w:pPr>
        <w:pStyle w:val="reference"/>
        <w:ind w:left="450" w:hanging="450"/>
        <w:jc w:val="left"/>
        <w:rPr>
          <w:szCs w:val="16"/>
        </w:rPr>
      </w:pPr>
      <w:r w:rsidRPr="00F87319">
        <w:rPr>
          <w:szCs w:val="16"/>
        </w:rPr>
        <w:t>[63]</w:t>
      </w:r>
      <w:r w:rsidRPr="00F87319">
        <w:rPr>
          <w:szCs w:val="16"/>
        </w:rPr>
        <w:tab/>
        <w:t xml:space="preserve">S. L. Martin &amp; A. K. Connor, </w:t>
      </w:r>
      <w:r w:rsidRPr="00F87319">
        <w:rPr>
          <w:i/>
          <w:iCs/>
          <w:szCs w:val="16"/>
        </w:rPr>
        <w:t>Basic Physics</w:t>
      </w:r>
      <w:r w:rsidRPr="00F87319">
        <w:rPr>
          <w:szCs w:val="16"/>
        </w:rPr>
        <w:t xml:space="preserve">, Vol. 1, pp 175 &amp; 207, (Whitcombe &amp; Tombs Pty. Ltd., Melbourne, 1958). </w:t>
      </w:r>
    </w:p>
    <w:p w:rsidR="006D41BD" w:rsidRPr="00F87319" w:rsidRDefault="006D41BD" w:rsidP="006D41BD">
      <w:pPr>
        <w:pStyle w:val="reference"/>
        <w:ind w:left="450" w:hanging="450"/>
        <w:jc w:val="left"/>
        <w:rPr>
          <w:szCs w:val="16"/>
        </w:rPr>
      </w:pPr>
      <w:r w:rsidRPr="00F87319">
        <w:rPr>
          <w:szCs w:val="16"/>
        </w:rPr>
        <w:t>[64]</w:t>
      </w:r>
      <w:r w:rsidRPr="00F87319">
        <w:rPr>
          <w:szCs w:val="16"/>
        </w:rPr>
        <w:tab/>
        <w:t xml:space="preserve">J. M. A. Danby, </w:t>
      </w:r>
      <w:r w:rsidRPr="00F87319">
        <w:rPr>
          <w:i/>
          <w:szCs w:val="16"/>
        </w:rPr>
        <w:t>Fundamentals of Celestial Mechanics</w:t>
      </w:r>
      <w:r w:rsidRPr="00F87319">
        <w:rPr>
          <w:szCs w:val="16"/>
        </w:rPr>
        <w:t xml:space="preserve"> 2</w:t>
      </w:r>
      <w:r w:rsidRPr="00F87319">
        <w:rPr>
          <w:szCs w:val="16"/>
          <w:vertAlign w:val="superscript"/>
        </w:rPr>
        <w:t>nd</w:t>
      </w:r>
      <w:r w:rsidRPr="00F87319">
        <w:rPr>
          <w:szCs w:val="16"/>
        </w:rPr>
        <w:t xml:space="preserve"> Ed., Chaps. 4, 6, and 11 (Willmann-Bell, Richmond, 1988).</w:t>
      </w:r>
    </w:p>
    <w:p w:rsidR="006D41BD" w:rsidRPr="00F87319" w:rsidRDefault="006D41BD" w:rsidP="006D41BD">
      <w:pPr>
        <w:pStyle w:val="reference"/>
        <w:ind w:left="450" w:hanging="450"/>
        <w:jc w:val="left"/>
        <w:rPr>
          <w:szCs w:val="16"/>
        </w:rPr>
      </w:pPr>
      <w:r w:rsidRPr="00F87319">
        <w:rPr>
          <w:szCs w:val="16"/>
        </w:rPr>
        <w:t>[65]</w:t>
      </w:r>
      <w:r w:rsidRPr="00F87319">
        <w:rPr>
          <w:szCs w:val="16"/>
        </w:rPr>
        <w:tab/>
        <w:t xml:space="preserve">C.W.F. Everitt et al, </w:t>
      </w:r>
      <w:r w:rsidRPr="00F87319">
        <w:rPr>
          <w:bCs/>
          <w:i/>
          <w:iCs/>
          <w:color w:val="000000"/>
          <w:szCs w:val="16"/>
        </w:rPr>
        <w:t>Physical Review Letters</w:t>
      </w:r>
      <w:r w:rsidRPr="00F87319">
        <w:rPr>
          <w:bCs/>
          <w:iCs/>
          <w:color w:val="000000"/>
          <w:szCs w:val="16"/>
        </w:rPr>
        <w:t xml:space="preserve"> </w:t>
      </w:r>
      <w:r w:rsidRPr="00F87319">
        <w:rPr>
          <w:b/>
          <w:bCs/>
          <w:iCs/>
          <w:color w:val="000000"/>
          <w:szCs w:val="16"/>
        </w:rPr>
        <w:t>106</w:t>
      </w:r>
      <w:r w:rsidRPr="00F87319">
        <w:rPr>
          <w:bCs/>
          <w:iCs/>
          <w:color w:val="000000"/>
          <w:szCs w:val="16"/>
        </w:rPr>
        <w:t>: 221101 (3 Jun 2011).</w:t>
      </w:r>
    </w:p>
    <w:p w:rsidR="006D41BD" w:rsidRPr="00F87319" w:rsidRDefault="006D41BD" w:rsidP="006D41BD">
      <w:pPr>
        <w:pStyle w:val="reference"/>
        <w:ind w:left="450" w:hanging="450"/>
        <w:jc w:val="left"/>
        <w:rPr>
          <w:szCs w:val="16"/>
        </w:rPr>
      </w:pPr>
      <w:r w:rsidRPr="00F87319">
        <w:rPr>
          <w:szCs w:val="16"/>
        </w:rPr>
        <w:t xml:space="preserve">[66]    C. M. Hill, </w:t>
      </w:r>
      <w:r w:rsidRPr="00F87319">
        <w:rPr>
          <w:i/>
          <w:szCs w:val="16"/>
        </w:rPr>
        <w:t>Galilean Electrodynamics</w:t>
      </w:r>
      <w:r w:rsidRPr="00F87319">
        <w:rPr>
          <w:szCs w:val="16"/>
        </w:rPr>
        <w:t xml:space="preserve">, </w:t>
      </w:r>
      <w:r w:rsidRPr="00F87319">
        <w:rPr>
          <w:b/>
          <w:szCs w:val="16"/>
        </w:rPr>
        <w:t>6</w:t>
      </w:r>
      <w:r w:rsidRPr="00F87319">
        <w:rPr>
          <w:szCs w:val="16"/>
        </w:rPr>
        <w:t>:1, pp.3-10,  (January/February 1995).</w:t>
      </w:r>
    </w:p>
    <w:p w:rsidR="006D41BD" w:rsidRPr="00F87319" w:rsidRDefault="006D41BD" w:rsidP="006D41BD">
      <w:pPr>
        <w:pStyle w:val="reference"/>
        <w:ind w:left="450" w:hanging="450"/>
        <w:jc w:val="left"/>
        <w:rPr>
          <w:szCs w:val="16"/>
        </w:rPr>
      </w:pPr>
      <w:r w:rsidRPr="00F87319">
        <w:rPr>
          <w:szCs w:val="16"/>
        </w:rPr>
        <w:t>[67]</w:t>
      </w:r>
      <w:r w:rsidRPr="00F87319">
        <w:rPr>
          <w:szCs w:val="16"/>
        </w:rPr>
        <w:tab/>
        <w:t xml:space="preserve">T. Van Flandern, J-P Vigier “Experimental Repeal of the Speed Limit for Gravitational, Electrodynamic, and Quantum Field Interactions,” </w:t>
      </w:r>
      <w:r w:rsidRPr="00F87319">
        <w:rPr>
          <w:i/>
          <w:szCs w:val="16"/>
        </w:rPr>
        <w:t>Foundations of Physics</w:t>
      </w:r>
      <w:r w:rsidRPr="00F87319">
        <w:rPr>
          <w:szCs w:val="16"/>
        </w:rPr>
        <w:t xml:space="preserve"> </w:t>
      </w:r>
      <w:r w:rsidRPr="00F87319">
        <w:rPr>
          <w:b/>
          <w:szCs w:val="16"/>
        </w:rPr>
        <w:t>32</w:t>
      </w:r>
      <w:r w:rsidRPr="00F87319">
        <w:rPr>
          <w:szCs w:val="16"/>
        </w:rPr>
        <w:t xml:space="preserve"> (7): 1-38 (Jul 2002); T. Van Flandern, “Gravity”, in </w:t>
      </w:r>
      <w:r w:rsidRPr="00F87319">
        <w:rPr>
          <w:i/>
          <w:szCs w:val="16"/>
        </w:rPr>
        <w:t>Pushing Gravity</w:t>
      </w:r>
      <w:r w:rsidRPr="00F87319">
        <w:rPr>
          <w:szCs w:val="16"/>
        </w:rPr>
        <w:t>, M. R. Edwards, Ed., pp. 93-122, (Apeiron, 2002).</w:t>
      </w:r>
    </w:p>
    <w:p w:rsidR="006D41BD" w:rsidRPr="00F87319" w:rsidRDefault="006D41BD" w:rsidP="006D41BD">
      <w:pPr>
        <w:pStyle w:val="reference"/>
        <w:ind w:left="450" w:hanging="450"/>
        <w:jc w:val="left"/>
        <w:rPr>
          <w:szCs w:val="16"/>
        </w:rPr>
      </w:pPr>
      <w:r w:rsidRPr="00F87319">
        <w:rPr>
          <w:szCs w:val="16"/>
        </w:rPr>
        <w:t>[68]    E. H. Dowdye, “Gravitational Light Bending History is Impact-Parameter Dependent</w:t>
      </w:r>
      <w:r w:rsidRPr="00F87319">
        <w:rPr>
          <w:i/>
          <w:szCs w:val="16"/>
        </w:rPr>
        <w:t>,” Proceedings of the NPA</w:t>
      </w:r>
      <w:r w:rsidRPr="00F87319">
        <w:rPr>
          <w:szCs w:val="16"/>
        </w:rPr>
        <w:t xml:space="preserve"> </w:t>
      </w:r>
      <w:r w:rsidRPr="00F87319">
        <w:rPr>
          <w:b/>
          <w:szCs w:val="16"/>
        </w:rPr>
        <w:t>9</w:t>
      </w:r>
      <w:r w:rsidRPr="00F87319">
        <w:rPr>
          <w:szCs w:val="16"/>
        </w:rPr>
        <w:t xml:space="preserve">  (2012).</w:t>
      </w:r>
    </w:p>
    <w:p w:rsidR="006D41BD" w:rsidRPr="00F87319" w:rsidRDefault="006D41BD" w:rsidP="006D41BD">
      <w:pPr>
        <w:pStyle w:val="reference"/>
        <w:ind w:left="450" w:hanging="450"/>
        <w:jc w:val="left"/>
        <w:rPr>
          <w:szCs w:val="16"/>
        </w:rPr>
      </w:pPr>
      <w:r w:rsidRPr="00F87319">
        <w:rPr>
          <w:szCs w:val="16"/>
        </w:rPr>
        <w:t xml:space="preserve">[69] J. Deitrich and colleagues from University Observatory, Munich, Germany, </w:t>
      </w:r>
      <w:proofErr w:type="gramStart"/>
      <w:r w:rsidRPr="00F87319">
        <w:rPr>
          <w:szCs w:val="16"/>
        </w:rPr>
        <w:t>4</w:t>
      </w:r>
      <w:proofErr w:type="gramEnd"/>
      <w:r w:rsidRPr="00F87319">
        <w:rPr>
          <w:szCs w:val="16"/>
        </w:rPr>
        <w:t xml:space="preserve"> July, 2012 reported in   Astronomy and Space at:           </w:t>
      </w:r>
      <w:r w:rsidRPr="00C75F49">
        <w:rPr>
          <w:i/>
          <w:szCs w:val="16"/>
        </w:rPr>
        <w:t>http://esciencenews.com/sources/space.com/2012/07/04/</w:t>
      </w:r>
      <w:r w:rsidRPr="00F87319">
        <w:rPr>
          <w:szCs w:val="16"/>
        </w:rPr>
        <w:t>giant.dark.matter.bridge.between.galaxy.clusters.discovered.</w:t>
      </w:r>
    </w:p>
    <w:p w:rsidR="006D41BD" w:rsidRPr="00F87319" w:rsidRDefault="006D41BD" w:rsidP="006D41BD">
      <w:pPr>
        <w:pStyle w:val="reference"/>
        <w:ind w:left="450" w:hanging="450"/>
        <w:jc w:val="left"/>
        <w:rPr>
          <w:szCs w:val="16"/>
        </w:rPr>
      </w:pPr>
      <w:r w:rsidRPr="00F87319">
        <w:rPr>
          <w:szCs w:val="16"/>
        </w:rPr>
        <w:t>[70]</w:t>
      </w:r>
      <w:r w:rsidRPr="00F87319">
        <w:rPr>
          <w:szCs w:val="16"/>
        </w:rPr>
        <w:tab/>
        <w:t xml:space="preserve">A. L. Peratt, “Evolution of a Plasma Universe”, </w:t>
      </w:r>
      <w:r w:rsidRPr="00F87319">
        <w:rPr>
          <w:i/>
          <w:szCs w:val="16"/>
        </w:rPr>
        <w:t>IEEE Transactions on Plasma Science</w:t>
      </w:r>
      <w:r w:rsidRPr="00F87319">
        <w:rPr>
          <w:szCs w:val="16"/>
        </w:rPr>
        <w:t xml:space="preserve">, PS </w:t>
      </w:r>
      <w:r w:rsidRPr="00F87319">
        <w:rPr>
          <w:b/>
          <w:szCs w:val="16"/>
        </w:rPr>
        <w:t>14</w:t>
      </w:r>
      <w:r w:rsidRPr="00F87319">
        <w:rPr>
          <w:szCs w:val="16"/>
        </w:rPr>
        <w:t xml:space="preserve"> (6): 639-778 (Dec 1986).</w:t>
      </w:r>
    </w:p>
    <w:p w:rsidR="006D41BD" w:rsidRPr="00F87319" w:rsidRDefault="006D41BD" w:rsidP="006D41BD">
      <w:pPr>
        <w:pStyle w:val="reference"/>
        <w:ind w:left="450" w:hanging="450"/>
        <w:jc w:val="left"/>
        <w:rPr>
          <w:szCs w:val="16"/>
        </w:rPr>
      </w:pPr>
      <w:r w:rsidRPr="00F87319">
        <w:rPr>
          <w:szCs w:val="16"/>
        </w:rPr>
        <w:t>[71]</w:t>
      </w:r>
      <w:r w:rsidRPr="00F87319">
        <w:rPr>
          <w:szCs w:val="16"/>
        </w:rPr>
        <w:tab/>
        <w:t xml:space="preserve">E. H. Dowdye, Jr., </w:t>
      </w:r>
      <w:r w:rsidRPr="00F87319">
        <w:rPr>
          <w:i/>
          <w:szCs w:val="16"/>
        </w:rPr>
        <w:t>Proceedings of the NPA</w:t>
      </w:r>
      <w:r w:rsidRPr="00F87319">
        <w:rPr>
          <w:szCs w:val="16"/>
        </w:rPr>
        <w:t xml:space="preserve"> </w:t>
      </w:r>
      <w:r w:rsidRPr="00F87319">
        <w:rPr>
          <w:b/>
          <w:szCs w:val="16"/>
        </w:rPr>
        <w:t>7</w:t>
      </w:r>
      <w:r w:rsidRPr="00F87319">
        <w:rPr>
          <w:szCs w:val="16"/>
        </w:rPr>
        <w:t>: 131-136 (2010).</w:t>
      </w:r>
    </w:p>
    <w:p w:rsidR="006D41BD" w:rsidRPr="00F87319" w:rsidRDefault="006D41BD" w:rsidP="006D41BD">
      <w:pPr>
        <w:pStyle w:val="reference"/>
        <w:ind w:left="450" w:hanging="450"/>
        <w:jc w:val="left"/>
        <w:rPr>
          <w:i/>
          <w:szCs w:val="16"/>
        </w:rPr>
      </w:pPr>
      <w:r w:rsidRPr="00F87319">
        <w:rPr>
          <w:szCs w:val="16"/>
        </w:rPr>
        <w:t>[72]</w:t>
      </w:r>
      <w:r w:rsidRPr="00F87319">
        <w:rPr>
          <w:szCs w:val="16"/>
        </w:rPr>
        <w:tab/>
        <w:t xml:space="preserve">W. Thornhill, </w:t>
      </w:r>
      <w:hyperlink r:id="rId953" w:history="1">
        <w:r w:rsidRPr="00F87319">
          <w:rPr>
            <w:rStyle w:val="Hyperlink"/>
            <w:i/>
            <w:szCs w:val="16"/>
          </w:rPr>
          <w:t>http://www.holoscience.com/news.php?article= 7qqsr17q</w:t>
        </w:r>
      </w:hyperlink>
      <w:r w:rsidRPr="00F87319">
        <w:rPr>
          <w:i/>
          <w:szCs w:val="16"/>
        </w:rPr>
        <w:t>.</w:t>
      </w:r>
    </w:p>
    <w:p w:rsidR="006D41BD" w:rsidRPr="00F87319" w:rsidRDefault="006D41BD" w:rsidP="006D41BD">
      <w:pPr>
        <w:pStyle w:val="reference"/>
        <w:ind w:left="450" w:hanging="450"/>
        <w:rPr>
          <w:szCs w:val="16"/>
        </w:rPr>
      </w:pPr>
    </w:p>
    <w:p w:rsidR="006D41BD" w:rsidRDefault="006D41BD" w:rsidP="006D41BD">
      <w:pPr>
        <w:pStyle w:val="reference"/>
        <w:ind w:left="450" w:hanging="450"/>
        <w:rPr>
          <w:i/>
          <w:szCs w:val="16"/>
        </w:rPr>
      </w:pPr>
      <w:r w:rsidRPr="00F87319">
        <w:rPr>
          <w:b/>
          <w:szCs w:val="16"/>
        </w:rPr>
        <w:t xml:space="preserve">Figure References </w:t>
      </w:r>
      <w:r w:rsidRPr="00F87319">
        <w:rPr>
          <w:i/>
          <w:szCs w:val="16"/>
        </w:rPr>
        <w:t>– All URL’s retrieved 9/13/12</w:t>
      </w:r>
    </w:p>
    <w:p w:rsidR="00C75F49" w:rsidRPr="00F87319" w:rsidRDefault="00C75F49" w:rsidP="006D41BD">
      <w:pPr>
        <w:pStyle w:val="reference"/>
        <w:ind w:left="450" w:hanging="450"/>
        <w:rPr>
          <w:szCs w:val="16"/>
        </w:rPr>
      </w:pPr>
    </w:p>
    <w:p w:rsidR="006D41BD" w:rsidRPr="00F87319" w:rsidRDefault="006D41BD" w:rsidP="006D41BD">
      <w:pPr>
        <w:pStyle w:val="reference"/>
        <w:ind w:left="450" w:hanging="450"/>
        <w:jc w:val="left"/>
        <w:rPr>
          <w:i/>
          <w:szCs w:val="16"/>
        </w:rPr>
      </w:pPr>
      <w:r w:rsidRPr="00F87319">
        <w:rPr>
          <w:szCs w:val="16"/>
        </w:rPr>
        <w:t xml:space="preserve">Figure 1: Results of the Michelson-Morley experiment. </w:t>
      </w:r>
      <w:hyperlink r:id="rId954" w:history="1">
        <w:r w:rsidRPr="00F87319">
          <w:rPr>
            <w:rStyle w:val="Hyperlink"/>
            <w:i/>
            <w:szCs w:val="16"/>
          </w:rPr>
          <w:t>http://en.wikisource.org/wiki/On_the_Relative_Motion_of_the_Earth_and_the_Luminiferous_Ether</w:t>
        </w:r>
      </w:hyperlink>
    </w:p>
    <w:p w:rsidR="006D41BD" w:rsidRPr="00F87319" w:rsidRDefault="006D41BD" w:rsidP="006D41BD">
      <w:pPr>
        <w:pStyle w:val="reference"/>
        <w:ind w:left="450" w:hanging="450"/>
        <w:jc w:val="left"/>
        <w:rPr>
          <w:szCs w:val="16"/>
        </w:rPr>
      </w:pPr>
      <w:r w:rsidRPr="00F87319">
        <w:rPr>
          <w:szCs w:val="16"/>
        </w:rPr>
        <w:t xml:space="preserve">Figure 2: The Casimir Effect. </w:t>
      </w:r>
      <w:hyperlink r:id="rId955" w:history="1">
        <w:r w:rsidRPr="00F87319">
          <w:rPr>
            <w:rStyle w:val="Hyperlink"/>
            <w:i/>
            <w:szCs w:val="16"/>
          </w:rPr>
          <w:t>http://www.calphysics.org/rindler.html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4: Rubber sheet analogy of gravity. </w:t>
      </w:r>
      <w:hyperlink r:id="rId956" w:history="1">
        <w:r w:rsidRPr="00F87319">
          <w:rPr>
            <w:rStyle w:val="Hyperlink"/>
            <w:rFonts w:ascii="Book Antiqua" w:hAnsi="Book Antiqua"/>
            <w:i/>
            <w:szCs w:val="16"/>
          </w:rPr>
          <w:t>http://www.scienceforums.net/topic/52516-general-relativity-theory/</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5: Perihelion advance of Mercury. </w:t>
      </w:r>
      <w:hyperlink r:id="rId957" w:history="1">
        <w:r w:rsidRPr="00F87319">
          <w:rPr>
            <w:rStyle w:val="Hyperlink"/>
            <w:rFonts w:ascii="Book Antiqua" w:hAnsi="Book Antiqua"/>
            <w:i/>
            <w:szCs w:val="16"/>
          </w:rPr>
          <w:t>http://en.wikipedia.org/wiki/Apsidal_precession</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6A: The principle of gravitational lensing. </w:t>
      </w:r>
      <w:hyperlink r:id="rId958" w:history="1">
        <w:r w:rsidRPr="00F87319">
          <w:rPr>
            <w:rStyle w:val="Hyperlink"/>
            <w:rFonts w:ascii="Book Antiqua" w:hAnsi="Book Antiqua"/>
            <w:i/>
            <w:szCs w:val="16"/>
          </w:rPr>
          <w:t>http://imagine.gsfc.nasa.gov/docs/features/news/grav_lens.html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6B: Gravitational lensing of quasars and galaxies. </w:t>
      </w:r>
      <w:hyperlink r:id="rId959" w:history="1">
        <w:r w:rsidRPr="00F87319">
          <w:rPr>
            <w:rStyle w:val="Hyperlink"/>
            <w:rFonts w:ascii="Book Antiqua" w:hAnsi="Book Antiqua"/>
            <w:i/>
            <w:szCs w:val="16"/>
          </w:rPr>
          <w:t>http://www.nasa.gov/multimedia/imagegallery/image_feature_575.html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7 Left: Dark matter ring around galaxy cluster Cl0024+17.</w:t>
      </w:r>
    </w:p>
    <w:p w:rsidR="006D41BD" w:rsidRPr="00F87319" w:rsidRDefault="00241D2F" w:rsidP="006D41BD">
      <w:pPr>
        <w:pStyle w:val="NoSpacing"/>
        <w:rPr>
          <w:rFonts w:ascii="Book Antiqua" w:hAnsi="Book Antiqua"/>
          <w:i/>
          <w:sz w:val="16"/>
          <w:szCs w:val="16"/>
        </w:rPr>
      </w:pPr>
      <w:hyperlink r:id="rId960" w:history="1">
        <w:r w:rsidR="006D41BD" w:rsidRPr="00F87319">
          <w:rPr>
            <w:rStyle w:val="Hyperlink"/>
            <w:rFonts w:ascii="Book Antiqua" w:hAnsi="Book Antiqua"/>
            <w:i/>
            <w:szCs w:val="16"/>
          </w:rPr>
          <w:t>http://www.astronet.ru/db/xware/msg/1222015/cl0024dark_hst_big.jpg.html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7 Right: Lensing arcs around galaxy cluster Abell 2218.  </w:t>
      </w:r>
    </w:p>
    <w:p w:rsidR="006D41BD" w:rsidRPr="00F87319" w:rsidRDefault="00241D2F" w:rsidP="006D41BD">
      <w:pPr>
        <w:pStyle w:val="NoSpacing"/>
        <w:rPr>
          <w:rFonts w:ascii="Book Antiqua" w:hAnsi="Book Antiqua"/>
          <w:i/>
          <w:sz w:val="16"/>
          <w:szCs w:val="16"/>
        </w:rPr>
      </w:pPr>
      <w:hyperlink r:id="rId961" w:history="1">
        <w:r w:rsidR="006D41BD" w:rsidRPr="00F87319">
          <w:rPr>
            <w:rStyle w:val="Hyperlink"/>
            <w:rFonts w:ascii="Book Antiqua" w:hAnsi="Book Antiqua"/>
            <w:i/>
            <w:szCs w:val="16"/>
          </w:rPr>
          <w:t>http://www.mpa-garching.mpg.de/HIGHLIGHT/2000/highlight0010_e.html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8: A dark matter filament connecting galaxies Abell 222 &amp; 223.</w:t>
      </w:r>
    </w:p>
    <w:p w:rsidR="006D41BD" w:rsidRPr="00F87319" w:rsidRDefault="00241D2F" w:rsidP="006D41BD">
      <w:pPr>
        <w:pStyle w:val="NoSpacing"/>
        <w:rPr>
          <w:rFonts w:ascii="Book Antiqua" w:hAnsi="Book Antiqua"/>
          <w:sz w:val="16"/>
          <w:szCs w:val="16"/>
        </w:rPr>
      </w:pPr>
      <w:hyperlink r:id="rId962" w:history="1">
        <w:r w:rsidR="006D41BD" w:rsidRPr="00F87319">
          <w:rPr>
            <w:rStyle w:val="Hyperlink"/>
            <w:rFonts w:ascii="Book Antiqua" w:hAnsi="Book Antiqua"/>
            <w:i/>
            <w:szCs w:val="16"/>
          </w:rPr>
          <w:t>http://arstechnica.com/science/2012/07/dark-matter-is-the-thread-connecting-galaxy-clusters/</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9: Orbit of star S2 around Sagittarius A* at our galaxy’s center.</w:t>
      </w:r>
    </w:p>
    <w:p w:rsidR="006D41BD" w:rsidRPr="00F87319" w:rsidRDefault="00241D2F" w:rsidP="006D41BD">
      <w:pPr>
        <w:pStyle w:val="NoSpacing"/>
        <w:rPr>
          <w:rFonts w:ascii="Book Antiqua" w:hAnsi="Book Antiqua"/>
          <w:i/>
          <w:sz w:val="16"/>
          <w:szCs w:val="16"/>
        </w:rPr>
      </w:pPr>
      <w:hyperlink r:id="rId963" w:history="1">
        <w:r w:rsidR="006D41BD" w:rsidRPr="00F87319">
          <w:rPr>
            <w:rStyle w:val="Hyperlink"/>
            <w:rFonts w:ascii="Book Antiqua" w:hAnsi="Book Antiqua"/>
            <w:i/>
            <w:szCs w:val="16"/>
          </w:rPr>
          <w:t>http://www.mpia.de/Public/menu_q2.php?Aktuelles/PR/2011/PR111125/PR_111125_en.htm</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10: A spherical plasmoid plus electron and ion beam as jets. </w:t>
      </w:r>
      <w:hyperlink r:id="rId964" w:history="1">
        <w:r w:rsidRPr="00F87319">
          <w:rPr>
            <w:rStyle w:val="Hyperlink"/>
            <w:rFonts w:ascii="Book Antiqua" w:hAnsi="Book Antiqua"/>
            <w:i/>
            <w:szCs w:val="16"/>
          </w:rPr>
          <w:t>http://www.angelfire.com/rnb/pp0/plasma3.html</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11: A typical electric current circuit for a galaxy. </w:t>
      </w:r>
      <w:hyperlink r:id="rId965" w:history="1">
        <w:r w:rsidRPr="00F87319">
          <w:rPr>
            <w:rStyle w:val="Hyperlink"/>
            <w:rFonts w:ascii="Book Antiqua" w:hAnsi="Book Antiqua"/>
            <w:i/>
            <w:szCs w:val="16"/>
          </w:rPr>
          <w:t>http://www.thunderbolts.info/tpod/2007/arch07/070718seeingcircuits2.htm</w:t>
        </w:r>
      </w:hyperlink>
    </w:p>
    <w:p w:rsidR="006D41BD" w:rsidRPr="00F87319" w:rsidRDefault="006D41BD" w:rsidP="006D41BD">
      <w:pPr>
        <w:pStyle w:val="NoSpacing"/>
        <w:rPr>
          <w:rFonts w:ascii="Book Antiqua" w:hAnsi="Book Antiqua"/>
          <w:sz w:val="16"/>
          <w:szCs w:val="16"/>
        </w:rPr>
      </w:pPr>
    </w:p>
    <w:p w:rsidR="006D41BD" w:rsidRDefault="006D41BD" w:rsidP="006D41BD">
      <w:pPr>
        <w:pStyle w:val="NoSpacing"/>
        <w:jc w:val="center"/>
        <w:rPr>
          <w:rFonts w:ascii="Book Antiqua" w:hAnsi="Book Antiqua"/>
          <w:b/>
          <w:sz w:val="28"/>
          <w:szCs w:val="28"/>
        </w:rPr>
      </w:pPr>
      <w:r w:rsidRPr="00F87319">
        <w:rPr>
          <w:rFonts w:ascii="Book Antiqua" w:hAnsi="Book Antiqua"/>
          <w:b/>
          <w:sz w:val="28"/>
          <w:szCs w:val="28"/>
        </w:rPr>
        <w:t>*  *  *  *  *  *  *</w:t>
      </w:r>
    </w:p>
    <w:p w:rsidR="00685A78" w:rsidRDefault="00685A78">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796231" w:rsidRPr="003A1AA9" w:rsidRDefault="00796231" w:rsidP="00796231">
      <w:pPr>
        <w:pStyle w:val="NormalWeb"/>
        <w:jc w:val="center"/>
        <w:rPr>
          <w:rFonts w:ascii="Book Antiqua" w:hAnsi="Book Antiqua"/>
          <w:b/>
          <w:bCs/>
          <w:iCs/>
          <w:color w:val="000000"/>
        </w:rPr>
      </w:pPr>
      <w:r w:rsidRPr="003A1AA9">
        <w:rPr>
          <w:rFonts w:ascii="Book Antiqua" w:hAnsi="Book Antiqua"/>
          <w:b/>
          <w:bCs/>
          <w:iCs/>
          <w:color w:val="000000"/>
        </w:rPr>
        <w:lastRenderedPageBreak/>
        <w:t xml:space="preserve">Chapter 8: </w:t>
      </w:r>
      <w:r w:rsidRPr="00773AFD">
        <w:rPr>
          <w:rFonts w:ascii="Book Antiqua" w:hAnsi="Book Antiqua"/>
          <w:b/>
          <w:bCs/>
          <w:i/>
          <w:iCs/>
          <w:color w:val="000000"/>
        </w:rPr>
        <w:t>The Zero Point Energy and Radioactive Decay Processes.</w:t>
      </w:r>
    </w:p>
    <w:p w:rsidR="00796231" w:rsidRPr="003A1AA9" w:rsidRDefault="00796231" w:rsidP="00796231">
      <w:pPr>
        <w:pStyle w:val="NormalWeb"/>
        <w:numPr>
          <w:ilvl w:val="0"/>
          <w:numId w:val="36"/>
        </w:numPr>
        <w:spacing w:before="0" w:beforeAutospacing="0" w:after="240" w:afterAutospacing="0" w:line="210" w:lineRule="atLeast"/>
        <w:ind w:left="360"/>
        <w:rPr>
          <w:rFonts w:ascii="Book Antiqua" w:hAnsi="Book Antiqua"/>
          <w:b/>
          <w:bCs/>
          <w:iCs/>
          <w:color w:val="000000"/>
          <w:sz w:val="20"/>
          <w:szCs w:val="20"/>
          <w:u w:val="single"/>
        </w:rPr>
      </w:pPr>
      <w:r w:rsidRPr="003A1AA9">
        <w:rPr>
          <w:rFonts w:ascii="Book Antiqua" w:hAnsi="Book Antiqua"/>
          <w:b/>
          <w:sz w:val="20"/>
          <w:szCs w:val="20"/>
        </w:rPr>
        <w:t>Introduction.</w:t>
      </w: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In Chapter 4, a comparison was made between orbital clocks, which we use to determine our calendars and general time-keeping, and atomic clocks, which are used to give precise measurements and ages in science.  Orbital clocks run at a steady rate, depending, as they do, on the steady gravitational processes of the moon orbiting the earth and the earth orbiting the sun.  Atomic clocks, however, have been shown to vary, in particular with the strength of the Zero Point Energy.  One type of atomic clock that is used for dating is the radiometric clock. This clock is based on the rate of radioactive decay. In simple terms, radioactive decay occurs if there are too many particles in the nucleus. This excess may be of protons, neutrons, or both. In general, there are several kinds of radioactive decay to consider:  alpha (</w:t>
      </w:r>
      <m:oMath>
        <m:r>
          <w:rPr>
            <w:rFonts w:ascii="Cambria Math" w:hAnsi="Cambria Math"/>
            <w:sz w:val="20"/>
          </w:rPr>
          <m:t>α</m:t>
        </m:r>
      </m:oMath>
      <w:r w:rsidRPr="009B0474">
        <w:rPr>
          <w:rFonts w:ascii="Book Antiqua" w:hAnsi="Book Antiqua"/>
          <w:sz w:val="20"/>
        </w:rPr>
        <w:t>), beta (</w:t>
      </w:r>
      <m:oMath>
        <m:r>
          <w:rPr>
            <w:rFonts w:ascii="Cambria Math" w:hAnsi="Cambria Math"/>
            <w:sz w:val="20"/>
          </w:rPr>
          <m:t>β</m:t>
        </m:r>
      </m:oMath>
      <w:r w:rsidRPr="009B0474">
        <w:rPr>
          <w:rFonts w:ascii="Book Antiqua" w:hAnsi="Book Antiqua"/>
          <w:sz w:val="20"/>
        </w:rPr>
        <w:t>), and gamma (</w:t>
      </w:r>
      <m:oMath>
        <m:r>
          <w:rPr>
            <w:rFonts w:ascii="Cambria Math" w:hAnsi="Cambria Math"/>
            <w:sz w:val="20"/>
          </w:rPr>
          <m:t>γ</m:t>
        </m:r>
      </m:oMath>
      <w:r w:rsidRPr="009B0474">
        <w:rPr>
          <w:rFonts w:ascii="Book Antiqua" w:hAnsi="Book Antiqua"/>
          <w:sz w:val="20"/>
        </w:rPr>
        <w:t xml:space="preserve">) decay which is often associated with electron capture. </w:t>
      </w:r>
    </w:p>
    <w:p w:rsidR="00796231" w:rsidRPr="009B0474"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Alpha decay (</w:t>
      </w:r>
      <m:oMath>
        <m:r>
          <w:rPr>
            <w:rFonts w:ascii="Cambria Math" w:hAnsi="Cambria Math"/>
            <w:sz w:val="20"/>
          </w:rPr>
          <m:t>a</m:t>
        </m:r>
      </m:oMath>
      <w:r w:rsidRPr="009B0474">
        <w:rPr>
          <w:rFonts w:ascii="Book Antiqua" w:hAnsi="Book Antiqua"/>
          <w:sz w:val="20"/>
        </w:rPr>
        <w:t xml:space="preserve">), is when a combination of two protons and two neutrons together are ejected from the nucleus.  This combination of protons and neutrons, called an alpha particle, is essentially a helium nucleus.  This type of decay is associated with the larger atoms which have the larger nuclei.  The simple size of the nucleus in such atoms makes it unstable.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Beta (</w:t>
      </w:r>
      <m:oMath>
        <m:r>
          <w:rPr>
            <w:rFonts w:ascii="Cambria Math" w:hAnsi="Cambria Math"/>
            <w:sz w:val="20"/>
          </w:rPr>
          <m:t>β</m:t>
        </m:r>
      </m:oMath>
      <w:r w:rsidRPr="009B0474">
        <w:rPr>
          <w:rFonts w:ascii="Book Antiqua" w:hAnsi="Book Antiqua"/>
          <w:sz w:val="20"/>
        </w:rPr>
        <w:t>) decay is a form of radioactive decay which occurs when a Beta particle is emitted.  This particle may be one of two kinds. A Beta minus particle (</w:t>
      </w:r>
      <w:proofErr w:type="gramStart"/>
      <w:r w:rsidRPr="009B0474">
        <w:rPr>
          <w:rFonts w:ascii="Book Antiqua" w:hAnsi="Book Antiqua"/>
          <w:sz w:val="20"/>
        </w:rPr>
        <w:t xml:space="preserve">written </w:t>
      </w:r>
      <m:oMath>
        <w:proofErr w:type="gramEnd"/>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9B0474">
        <w:rPr>
          <w:rFonts w:ascii="Book Antiqua" w:hAnsi="Book Antiqua"/>
          <w:sz w:val="20"/>
        </w:rPr>
        <w:t>) is an ordinary negative electron. In this case a neutron in the nucleus has ejected the electron and turned into a proton. This occurs because of an excess of neutrons in the nucleus. Alternately, a Beta plus particle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9B0474">
        <w:rPr>
          <w:rFonts w:ascii="Book Antiqua" w:hAnsi="Book Antiqua"/>
          <w:sz w:val="20"/>
        </w:rPr>
        <w:t>) may be emitted. This particle is a positive electron or positron. In this case, there was an excess of protons, one of which has emitted this positron and so become a neutron.</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A third type of radio decay is Electron Capture, which takes place when a proton in the nucleus captures an electron orbiting close by. This electron then combines with a proton in the nucleus to form a neutron. This can happen when there is an excess of protons or positive charges. As part of this process, a gamma (</w:t>
      </w:r>
      <m:oMath>
        <m:r>
          <w:rPr>
            <w:rFonts w:ascii="Cambria Math" w:hAnsi="Cambria Math"/>
            <w:sz w:val="20"/>
          </w:rPr>
          <m:t>γ</m:t>
        </m:r>
      </m:oMath>
      <w:r w:rsidRPr="009B0474">
        <w:rPr>
          <w:rFonts w:ascii="Book Antiqua" w:hAnsi="Book Antiqua"/>
          <w:sz w:val="20"/>
        </w:rPr>
        <w:t>) ray may often be emitted. When gamma rays are emitted from the nucleus it is called Gamma (</w:t>
      </w:r>
      <m:oMath>
        <m:r>
          <w:rPr>
            <w:rFonts w:ascii="Cambria Math" w:hAnsi="Cambria Math"/>
            <w:sz w:val="20"/>
          </w:rPr>
          <m:t>γ</m:t>
        </m:r>
      </m:oMath>
      <w:r w:rsidRPr="009B0474">
        <w:rPr>
          <w:rFonts w:ascii="Book Antiqua" w:hAnsi="Book Antiqua"/>
          <w:sz w:val="20"/>
        </w:rPr>
        <w:t xml:space="preserve">) decay.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When an element decays, in any one of the three ways, it becomes another element or another isotope of the same element.  The original element is referred to as the mother element and what it becomes is referred to as the daughter.  The daughter product that results from the decay of a given element is predictable. In some cases these daughter products are themselves radioactive and undergo further decay leaving a whole chain of decay products. For example, if the original radioactive nuclei were uranium 238, or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rPr>
        <w:t xml:space="preserve">, there are 14 decay steps before the series concludes with lead 206, or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which is stable.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In addition, there is a time factor.  If we start with a lump of pure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rPr>
        <w:t xml:space="preserve"> having a mass of 10 kilograms, there will be a fixed (and predictable) amount of time</w:t>
      </w:r>
      <w:proofErr w:type="gramStart"/>
      <w:r w:rsidRPr="009B0474">
        <w:rPr>
          <w:rFonts w:ascii="Book Antiqua" w:hAnsi="Book Antiqua"/>
          <w:sz w:val="20"/>
        </w:rPr>
        <w:t xml:space="preserve">, </w:t>
      </w:r>
      <m:oMath>
        <w:proofErr w:type="gramEnd"/>
        <m:r>
          <w:rPr>
            <w:rFonts w:ascii="Cambria Math" w:hAnsi="Cambria Math"/>
            <w:sz w:val="20"/>
          </w:rPr>
          <m:t>τ</m:t>
        </m:r>
      </m:oMath>
      <w:r w:rsidRPr="009B0474">
        <w:rPr>
          <w:rFonts w:ascii="Book Antiqua" w:hAnsi="Book Antiqua"/>
          <w:sz w:val="20"/>
        </w:rPr>
        <w:t xml:space="preserve">, when half of that mass will have changed into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At this point, half of the original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proofErr w:type="gramStart"/>
      <w:r w:rsidRPr="009B0474">
        <w:rPr>
          <w:rFonts w:ascii="Book Antiqua" w:hAnsi="Book Antiqua"/>
          <w:sz w:val="20"/>
        </w:rPr>
        <w:t>amount,</w:t>
      </w:r>
      <w:proofErr w:type="gramEnd"/>
      <w:r w:rsidRPr="009B0474">
        <w:rPr>
          <w:rFonts w:ascii="Book Antiqua" w:hAnsi="Book Antiqua"/>
          <w:sz w:val="20"/>
        </w:rPr>
        <w:t xml:space="preserve"> or 5 kilograms are left. The amount of time it took the first half to decay is referred to as its half life.  The 5 kilograms which are left will then require that same amount of time to be reduced to 2.5 kilograms, with the rest being the daughter element </w:t>
      </w:r>
      <w:proofErr w:type="gramStart"/>
      <w:r w:rsidRPr="009B0474">
        <w:rPr>
          <w:rFonts w:ascii="Book Antiqua" w:hAnsi="Book Antiqua"/>
          <w:sz w:val="20"/>
        </w:rPr>
        <w:t xml:space="preserve">of </w:t>
      </w:r>
      <m:oMath>
        <w:proofErr w:type="gramEnd"/>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No matter how small the amount of mother element, it will take that same amount of time for half of it to become its daughter element.  This situation applies to all radioactive decay forms. Each radioactive element has its own specific half-life.</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 So if a geologist finds a rock with some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vertAlign w:val="superscript"/>
        </w:rPr>
        <w:t xml:space="preserve"> </w:t>
      </w:r>
      <w:r w:rsidRPr="009B0474">
        <w:rPr>
          <w:rFonts w:ascii="Book Antiqua" w:hAnsi="Book Antiqua"/>
          <w:sz w:val="20"/>
        </w:rPr>
        <w:t xml:space="preserve"> and some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in it, he will send it to a lab to be analyzed.  If the sample has all the appropriate quantities of the daughter products from the decay in their correct abundances, along with both mother and daughter elements, the age can then be determined using the equations which have been formulated to account for the half-life of the mother element.  In a similar way, radiometric dating can be done with all other radioactive elements and their daughters, each of which has its own unique half-life</w:t>
      </w:r>
      <w:proofErr w:type="gramStart"/>
      <w:r w:rsidRPr="009B0474">
        <w:rPr>
          <w:rFonts w:ascii="Book Antiqua" w:hAnsi="Book Antiqua"/>
          <w:sz w:val="20"/>
        </w:rPr>
        <w:t xml:space="preserve">, </w:t>
      </w:r>
      <m:oMath>
        <w:proofErr w:type="gramEnd"/>
        <m:r>
          <w:rPr>
            <w:rFonts w:ascii="Cambria Math" w:hAnsi="Cambria Math"/>
            <w:sz w:val="20"/>
          </w:rPr>
          <m:t>τ</m:t>
        </m:r>
      </m:oMath>
      <w:r w:rsidRPr="009B0474">
        <w:rPr>
          <w:rFonts w:ascii="Book Antiqua" w:hAnsi="Book Antiqua"/>
          <w:sz w:val="20"/>
        </w:rPr>
        <w:t>.</w:t>
      </w:r>
    </w:p>
    <w:p w:rsidR="00796231" w:rsidRPr="009B0474" w:rsidRDefault="00796231" w:rsidP="00796231">
      <w:pPr>
        <w:pStyle w:val="NoSpacing"/>
        <w:ind w:firstLine="360"/>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lastRenderedPageBreak/>
        <w:t xml:space="preserve">The current presupposition is that decay rates for elements have remained constant through time and so the decay rate is called a decay constant, and is represented </w:t>
      </w:r>
      <w:proofErr w:type="gramStart"/>
      <w:r w:rsidRPr="009B0474">
        <w:rPr>
          <w:rFonts w:ascii="Book Antiqua" w:hAnsi="Book Antiqua"/>
          <w:sz w:val="20"/>
        </w:rPr>
        <w:t xml:space="preserve">by </w:t>
      </w:r>
      <m:oMath>
        <w:proofErr w:type="gramEnd"/>
        <m:sSup>
          <m:sSupPr>
            <m:ctrlPr>
              <w:rPr>
                <w:rFonts w:ascii="Cambria Math" w:hAnsi="Book Antiqua"/>
                <w:sz w:val="20"/>
              </w:rPr>
            </m:ctrlPr>
          </m:sSupPr>
          <m:e>
            <m:r>
              <w:rPr>
                <w:rFonts w:ascii="Cambria Math" w:hAnsi="Cambria Math"/>
                <w:sz w:val="20"/>
              </w:rPr>
              <m:t>λ</m:t>
            </m:r>
          </m:e>
          <m:sup>
            <m:r>
              <m:rPr>
                <m:sty m:val="p"/>
              </m:rPr>
              <w:rPr>
                <w:rFonts w:ascii="Cambria Math" w:hAnsi="Cambria Math"/>
                <w:sz w:val="20"/>
              </w:rPr>
              <m:t>*</m:t>
            </m:r>
          </m:sup>
        </m:sSup>
      </m:oMath>
      <w:r w:rsidRPr="009B0474">
        <w:rPr>
          <w:rFonts w:ascii="Book Antiqua" w:hAnsi="Book Antiqua"/>
          <w:sz w:val="20"/>
        </w:rPr>
        <w:t>.  However, if the Zero Point Energy has changed through time, then the rate of many atomic processes have also changed.  At this point it must be determined if this half-life is indeed dependent upon the strength of the ZPE (</w:t>
      </w:r>
      <m:oMath>
        <m:r>
          <w:rPr>
            <w:rFonts w:ascii="Cambria Math" w:hAnsi="Cambria Math"/>
            <w:sz w:val="20"/>
          </w:rPr>
          <m:t>U</m:t>
        </m:r>
      </m:oMath>
      <w:r w:rsidRPr="009B0474">
        <w:rPr>
          <w:rFonts w:ascii="Book Antiqua" w:hAnsi="Book Antiqua"/>
          <w:sz w:val="20"/>
        </w:rPr>
        <w:t xml:space="preserve">). If it is, then, in line with other atomic clocks, </w:t>
      </w:r>
      <m:oMath>
        <m:r>
          <w:rPr>
            <w:rFonts w:ascii="Cambria Math" w:hAnsi="Cambria Math"/>
            <w:sz w:val="20"/>
          </w:rPr>
          <m:t>τ</m:t>
        </m:r>
      </m:oMath>
      <w:r w:rsidRPr="009B0474">
        <w:rPr>
          <w:rFonts w:ascii="Book Antiqua" w:hAnsi="Book Antiqua"/>
          <w:sz w:val="20"/>
        </w:rPr>
        <w:t xml:space="preserve"> will be proportional </w:t>
      </w:r>
      <w:proofErr w:type="gramStart"/>
      <w:r w:rsidRPr="009B0474">
        <w:rPr>
          <w:rFonts w:ascii="Book Antiqua" w:hAnsi="Book Antiqua"/>
          <w:sz w:val="20"/>
        </w:rPr>
        <w:t xml:space="preserve">to </w:t>
      </w:r>
      <m:oMath>
        <w:proofErr w:type="gramEnd"/>
        <m:r>
          <w:rPr>
            <w:rFonts w:ascii="Cambria Math" w:hAnsi="Cambria Math"/>
            <w:sz w:val="20"/>
          </w:rPr>
          <m:t>U</m:t>
        </m:r>
      </m:oMath>
      <w:r w:rsidRPr="009B0474">
        <w:rPr>
          <w:rFonts w:ascii="Book Antiqua" w:hAnsi="Book Antiqua"/>
          <w:sz w:val="20"/>
        </w:rPr>
        <w:t>. Thus, when the ZPE strength is small, so, too is the half-life which means the clock is ticking more rapidly. If the ZPE strength increases, so too does the half-life, which means the clock is ticking more slowly.</w:t>
      </w:r>
    </w:p>
    <w:p w:rsidR="00796231" w:rsidRPr="003A1AA9" w:rsidRDefault="00796231" w:rsidP="00796231">
      <w:pPr>
        <w:pStyle w:val="NormalWeb"/>
        <w:jc w:val="both"/>
        <w:rPr>
          <w:rFonts w:ascii="Book Antiqua" w:hAnsi="Book Antiqua"/>
          <w:b/>
          <w:sz w:val="20"/>
          <w:szCs w:val="20"/>
        </w:rPr>
      </w:pPr>
      <w:r w:rsidRPr="003A1AA9">
        <w:rPr>
          <w:rFonts w:ascii="Book Antiqua" w:hAnsi="Book Antiqua"/>
          <w:b/>
          <w:sz w:val="20"/>
          <w:szCs w:val="20"/>
        </w:rPr>
        <w:t>2.   The Nuclear “Potential Well”</w:t>
      </w:r>
    </w:p>
    <w:p w:rsidR="00796231" w:rsidRPr="003A1AA9" w:rsidRDefault="00796231" w:rsidP="00796231">
      <w:pPr>
        <w:pStyle w:val="Default"/>
        <w:ind w:firstLine="720"/>
        <w:jc w:val="both"/>
        <w:rPr>
          <w:rFonts w:ascii="Book Antiqua" w:hAnsi="Book Antiqua"/>
          <w:sz w:val="20"/>
          <w:szCs w:val="20"/>
        </w:rPr>
      </w:pPr>
      <w:r w:rsidRPr="003A1AA9">
        <w:rPr>
          <w:rFonts w:ascii="Book Antiqua" w:hAnsi="Book Antiqua"/>
          <w:sz w:val="20"/>
          <w:szCs w:val="20"/>
        </w:rPr>
        <w:t>To understand what is going on in the nucleus, we can use a picture given by Figure 1 which may help.</w:t>
      </w:r>
    </w:p>
    <w:p w:rsidR="00796231" w:rsidRPr="003A1AA9" w:rsidRDefault="00796231" w:rsidP="00796231">
      <w:pPr>
        <w:pStyle w:val="Default"/>
        <w:jc w:val="both"/>
        <w:rPr>
          <w:rFonts w:ascii="Book Antiqua" w:hAnsi="Book Antiqua"/>
          <w:sz w:val="20"/>
          <w:szCs w:val="20"/>
        </w:rPr>
      </w:pPr>
    </w:p>
    <w:p w:rsidR="00796231" w:rsidRPr="003A1AA9" w:rsidRDefault="00796231" w:rsidP="00796231">
      <w:pPr>
        <w:pStyle w:val="Default"/>
        <w:ind w:firstLine="720"/>
        <w:jc w:val="center"/>
        <w:rPr>
          <w:rFonts w:ascii="Book Antiqua" w:hAnsi="Book Antiqua"/>
          <w:sz w:val="20"/>
          <w:szCs w:val="20"/>
        </w:rPr>
      </w:pPr>
      <w:r w:rsidRPr="003A1AA9">
        <w:rPr>
          <w:rFonts w:ascii="Book Antiqua" w:hAnsi="Book Antiqua"/>
          <w:noProof/>
          <w:sz w:val="20"/>
          <w:szCs w:val="20"/>
        </w:rPr>
        <w:drawing>
          <wp:inline distT="0" distB="0" distL="0" distR="0">
            <wp:extent cx="5729284" cy="3905250"/>
            <wp:effectExtent l="19050" t="0" r="4766" b="0"/>
            <wp:docPr id="28" name="il_fi" descr="http://electron6.phys.utk.edu/phys250/modules/module%205/images/npleve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lectron6.phys.utk.edu/phys250/modules/module%205/images/nplevels.gif"/>
                    <pic:cNvPicPr>
                      <a:picLocks noChangeAspect="1" noChangeArrowheads="1"/>
                    </pic:cNvPicPr>
                  </pic:nvPicPr>
                  <pic:blipFill>
                    <a:blip r:embed="rId966" cstate="print"/>
                    <a:srcRect/>
                    <a:stretch>
                      <a:fillRect/>
                    </a:stretch>
                  </pic:blipFill>
                  <pic:spPr bwMode="auto">
                    <a:xfrm>
                      <a:off x="0" y="0"/>
                      <a:ext cx="5748944" cy="3918651"/>
                    </a:xfrm>
                    <a:prstGeom prst="rect">
                      <a:avLst/>
                    </a:prstGeom>
                    <a:noFill/>
                    <a:ln w="9525">
                      <a:noFill/>
                      <a:miter lim="800000"/>
                      <a:headEnd/>
                      <a:tailEnd/>
                    </a:ln>
                  </pic:spPr>
                </pic:pic>
              </a:graphicData>
            </a:graphic>
          </wp:inline>
        </w:drawing>
      </w:r>
    </w:p>
    <w:p w:rsidR="00796231" w:rsidRPr="003A1AA9" w:rsidRDefault="00796231" w:rsidP="00796231">
      <w:pPr>
        <w:pStyle w:val="Default"/>
        <w:jc w:val="center"/>
        <w:rPr>
          <w:rFonts w:ascii="Book Antiqua" w:hAnsi="Book Antiqua"/>
          <w:sz w:val="20"/>
          <w:szCs w:val="20"/>
        </w:rPr>
      </w:pPr>
    </w:p>
    <w:p w:rsidR="00796231" w:rsidRPr="003A1AA9" w:rsidRDefault="00796231" w:rsidP="00796231">
      <w:pPr>
        <w:pStyle w:val="Default"/>
        <w:rPr>
          <w:rFonts w:ascii="Book Antiqua" w:hAnsi="Book Antiqua"/>
          <w:sz w:val="18"/>
          <w:szCs w:val="18"/>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1:</w:t>
      </w:r>
      <w:r w:rsidRPr="005830E6">
        <w:rPr>
          <w:rFonts w:ascii="Book Antiqua" w:hAnsi="Book Antiqua"/>
          <w:i/>
          <w:sz w:val="18"/>
          <w:szCs w:val="18"/>
        </w:rPr>
        <w:t xml:space="preserve"> Illustrating the concept of the potential energy within a nucleus as being like a well. Within this well are energy levels or orbitals occupied by neutrons (n) and protons (p). The diagram on the right takes account of the effect of electrostatic charges on the position of the orbitals.</w:t>
      </w:r>
    </w:p>
    <w:p w:rsidR="00796231" w:rsidRPr="003A1AA9" w:rsidRDefault="00796231" w:rsidP="00796231">
      <w:pPr>
        <w:pStyle w:val="Default"/>
        <w:ind w:firstLine="72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In these two diagrams we have a picture of the potential energy levels or orbitals inside the nucleus of an atom with the arrangement being shown as a potential “well”. On the left hand half of each diagram are the neutron pairs</w:t>
      </w:r>
      <w:proofErr w:type="gramStart"/>
      <w:r w:rsidRPr="00515ED7">
        <w:rPr>
          <w:rFonts w:ascii="Book Antiqua" w:hAnsi="Book Antiqua"/>
          <w:sz w:val="20"/>
        </w:rPr>
        <w:t xml:space="preserve">, </w:t>
      </w:r>
      <m:oMath>
        <w:proofErr w:type="gramEnd"/>
        <m:r>
          <w:rPr>
            <w:rFonts w:ascii="Cambria Math" w:hAnsi="Cambria Math"/>
            <w:sz w:val="20"/>
          </w:rPr>
          <m:t>n</m:t>
        </m:r>
      </m:oMath>
      <w:r w:rsidRPr="00515ED7">
        <w:rPr>
          <w:rFonts w:ascii="Book Antiqua" w:hAnsi="Book Antiqua"/>
          <w:sz w:val="20"/>
        </w:rPr>
        <w:t xml:space="preserve">; on the right hand half are the proton pairs, </w:t>
      </w:r>
      <m:oMath>
        <m:r>
          <w:rPr>
            <w:rFonts w:ascii="Cambria Math" w:hAnsi="Cambria Math"/>
            <w:sz w:val="20"/>
          </w:rPr>
          <m:t>p</m:t>
        </m:r>
      </m:oMath>
      <w:r w:rsidRPr="00515ED7">
        <w:rPr>
          <w:rFonts w:ascii="Book Antiqua" w:hAnsi="Book Antiqua"/>
          <w:sz w:val="20"/>
        </w:rPr>
        <w:t xml:space="preserve">. </w:t>
      </w:r>
      <w:proofErr w:type="gramStart"/>
      <w:r w:rsidRPr="00515ED7">
        <w:rPr>
          <w:rFonts w:ascii="Book Antiqua" w:hAnsi="Book Antiqua"/>
          <w:sz w:val="20"/>
        </w:rPr>
        <w:t>Notice that each pair has opposite spins represented by the arrow up and arrow down.</w:t>
      </w:r>
      <w:proofErr w:type="gramEnd"/>
      <w:r w:rsidRPr="00515ED7">
        <w:rPr>
          <w:rFonts w:ascii="Book Antiqua" w:hAnsi="Book Antiqua"/>
          <w:sz w:val="20"/>
        </w:rPr>
        <w:t xml:space="preserve">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This opposite spin is important.  This can be understood by thinking of a proton as a spinning sphere with the axis of spin different from the axis of symmetry for its positive charge. The axis spin then means that the axis of charge symmetry is effectively tracing out a circle so that it is the same as a charge in motion – which is effectively an electric current. Such currents inevitably create a magnetic field. If the spin of the protons are opposite to each other, the two magnetic fields act in such a way that there is a magnetic attraction between them. In this way, two protons of opposite </w:t>
      </w:r>
      <w:r w:rsidRPr="00515ED7">
        <w:rPr>
          <w:rFonts w:ascii="Book Antiqua" w:hAnsi="Book Antiqua"/>
          <w:sz w:val="20"/>
        </w:rPr>
        <w:lastRenderedPageBreak/>
        <w:t xml:space="preserve">spin will be attracted to each other rather than forcing each other apart. Similarly, the same effect exists for neutrons (which might be considered to be made up of a proton and an electron bound together).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Because of these considerations, the left hand diagram shows that each energy level, or orbital, within the nucleus contains a pair of protons and a pair of neutrons. This diagram does not consider the effects of the charges, or Coulomb forces, on the orbital energy level.  But when this is taken into account, the situation becomes rather like the right hand diagram. As can be seen in both diagrams, the energy level at the top of the “well” contains a pair of protons and a pair of neutrons. </w:t>
      </w:r>
    </w:p>
    <w:p w:rsidR="00796231" w:rsidRPr="003A1AA9" w:rsidRDefault="00796231" w:rsidP="00796231">
      <w:pPr>
        <w:pStyle w:val="Default"/>
        <w:ind w:firstLine="720"/>
        <w:jc w:val="both"/>
        <w:rPr>
          <w:rFonts w:ascii="Book Antiqua" w:hAnsi="Book Antiqua"/>
          <w:sz w:val="20"/>
          <w:szCs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Thus the most stable energy configuration is to either have one proton and one neutron in the uppermost orbital, or to have a proton pair and a neutron pair there. The condition for equal numbers of protons and neutrons only applies to the uppermost orbital rather than to the whole nucleus. However, in atoms with low atomic numbers, this essentially amounts to the same thing.</w:t>
      </w:r>
    </w:p>
    <w:p w:rsidR="00796231" w:rsidRPr="003A1AA9" w:rsidRDefault="00796231" w:rsidP="00796231">
      <w:pPr>
        <w:pStyle w:val="Default"/>
        <w:ind w:firstLine="720"/>
        <w:jc w:val="both"/>
        <w:rPr>
          <w:rFonts w:ascii="Book Antiqua" w:hAnsi="Book Antiqua"/>
          <w:sz w:val="20"/>
          <w:szCs w:val="20"/>
        </w:rPr>
      </w:pPr>
    </w:p>
    <w:p w:rsidR="00796231" w:rsidRPr="003A1AA9" w:rsidRDefault="00796231" w:rsidP="00796231">
      <w:pPr>
        <w:pStyle w:val="NormalWeb"/>
        <w:spacing w:before="0" w:beforeAutospacing="0" w:after="240" w:afterAutospacing="0" w:line="210" w:lineRule="atLeast"/>
        <w:jc w:val="both"/>
        <w:rPr>
          <w:rFonts w:ascii="Book Antiqua" w:hAnsi="Book Antiqua"/>
          <w:b/>
          <w:sz w:val="20"/>
          <w:szCs w:val="20"/>
        </w:rPr>
      </w:pPr>
      <w:r w:rsidRPr="003A1AA9">
        <w:rPr>
          <w:rFonts w:ascii="Book Antiqua" w:hAnsi="Book Antiqua"/>
          <w:b/>
          <w:sz w:val="20"/>
          <w:szCs w:val="20"/>
        </w:rPr>
        <w:t>3.  Alpha Decay Processes</w:t>
      </w:r>
    </w:p>
    <w:p w:rsidR="00796231" w:rsidRPr="003A1AA9" w:rsidRDefault="00796231" w:rsidP="00796231">
      <w:pPr>
        <w:pStyle w:val="NormalWeb"/>
        <w:jc w:val="center"/>
        <w:rPr>
          <w:rFonts w:ascii="Book Antiqua" w:hAnsi="Book Antiqua"/>
          <w:b/>
          <w:bCs/>
          <w:iCs/>
          <w:color w:val="000000"/>
          <w:sz w:val="20"/>
          <w:szCs w:val="20"/>
          <w:u w:val="single"/>
        </w:rPr>
      </w:pPr>
      <w:r w:rsidRPr="003A1AA9">
        <w:rPr>
          <w:rFonts w:ascii="Book Antiqua" w:hAnsi="Book Antiqua"/>
          <w:noProof/>
          <w:sz w:val="20"/>
          <w:szCs w:val="20"/>
        </w:rPr>
        <w:drawing>
          <wp:inline distT="0" distB="0" distL="0" distR="0">
            <wp:extent cx="5046975" cy="2366683"/>
            <wp:effectExtent l="19050" t="0" r="1275" b="0"/>
            <wp:docPr id="175" name="il_fi" descr="http://kgortney.pbworks.com/f/1287766628/alpha_de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gortney.pbworks.com/f/1287766628/alpha_decay.jpg"/>
                    <pic:cNvPicPr>
                      <a:picLocks noChangeAspect="1" noChangeArrowheads="1"/>
                    </pic:cNvPicPr>
                  </pic:nvPicPr>
                  <pic:blipFill>
                    <a:blip r:embed="rId967" cstate="print"/>
                    <a:srcRect/>
                    <a:stretch>
                      <a:fillRect/>
                    </a:stretch>
                  </pic:blipFill>
                  <pic:spPr bwMode="auto">
                    <a:xfrm>
                      <a:off x="0" y="0"/>
                      <a:ext cx="5063551" cy="2374456"/>
                    </a:xfrm>
                    <a:prstGeom prst="rect">
                      <a:avLst/>
                    </a:prstGeom>
                    <a:noFill/>
                    <a:ln w="9525">
                      <a:noFill/>
                      <a:miter lim="800000"/>
                      <a:headEnd/>
                      <a:tailEnd/>
                    </a:ln>
                  </pic:spPr>
                </pic:pic>
              </a:graphicData>
            </a:graphic>
          </wp:inline>
        </w:drawing>
      </w:r>
    </w:p>
    <w:p w:rsidR="00796231" w:rsidRPr="005830E6" w:rsidRDefault="00796231" w:rsidP="00796231">
      <w:pPr>
        <w:pStyle w:val="NormalWeb"/>
        <w:rPr>
          <w:rFonts w:ascii="Book Antiqua" w:hAnsi="Book Antiqua"/>
          <w:i/>
          <w:sz w:val="18"/>
          <w:szCs w:val="18"/>
        </w:rPr>
      </w:pPr>
      <w:r w:rsidRPr="005830E6">
        <w:rPr>
          <w:rFonts w:ascii="Book Antiqua" w:hAnsi="Book Antiqua"/>
          <w:b/>
          <w:i/>
          <w:sz w:val="18"/>
          <w:szCs w:val="18"/>
        </w:rPr>
        <w:t>Figure 2:</w:t>
      </w:r>
      <w:r w:rsidRPr="005830E6">
        <w:rPr>
          <w:rFonts w:ascii="Book Antiqua" w:hAnsi="Book Antiqua"/>
          <w:i/>
          <w:sz w:val="18"/>
          <w:szCs w:val="18"/>
        </w:rPr>
        <w:t xml:space="preserve"> A representation of the Alpha decay process whereby an alpha particle is expelled from a large nucleus that has too many particles. An alpha particle is a Helium nucleus made up of two protons (red) and two neutrons.</w:t>
      </w: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As mentioned, radioactive decay occurs because there is an excess of one or another of the particles in the nucleus. Alpha decay occurs because there is an excess of both protons and neutrons. This condition applies in large nuclei. This t</w:t>
      </w:r>
      <w:r>
        <w:rPr>
          <w:rFonts w:ascii="Book Antiqua" w:hAnsi="Book Antiqua"/>
          <w:sz w:val="20"/>
        </w:rPr>
        <w:tab/>
      </w:r>
      <w:r w:rsidRPr="009B0474">
        <w:rPr>
          <w:rFonts w:ascii="Book Antiqua" w:hAnsi="Book Antiqua"/>
          <w:sz w:val="20"/>
        </w:rPr>
        <w:t xml:space="preserve">ype of nucleus can reach a more stable configuration if some excess protons and neutrons are expelled. In this case the repulsive forces eject an alpha particle (two protons and two neutrons) from the nucleus, as illustrated in Figure 2.  A gamma ray may also be given off at the same time.  </w:t>
      </w:r>
    </w:p>
    <w:p w:rsidR="00796231" w:rsidRPr="003A1AA9" w:rsidRDefault="00796231" w:rsidP="00796231">
      <w:pPr>
        <w:pStyle w:val="NormalWeb"/>
        <w:ind w:firstLine="720"/>
        <w:jc w:val="both"/>
        <w:rPr>
          <w:rFonts w:ascii="Book Antiqua" w:hAnsi="Book Antiqua"/>
          <w:sz w:val="20"/>
          <w:szCs w:val="20"/>
        </w:rPr>
      </w:pPr>
      <w:r w:rsidRPr="003A1AA9">
        <w:rPr>
          <w:rFonts w:ascii="Book Antiqua" w:hAnsi="Book Antiqua"/>
          <w:sz w:val="20"/>
          <w:szCs w:val="20"/>
        </w:rPr>
        <w:t>The half-life</w:t>
      </w:r>
      <w:proofErr w:type="gramStart"/>
      <w:r w:rsidRPr="003A1AA9">
        <w:rPr>
          <w:rFonts w:ascii="Book Antiqua" w:hAnsi="Book Antiqua"/>
          <w:sz w:val="20"/>
          <w:szCs w:val="20"/>
        </w:rPr>
        <w:t>,</w:t>
      </w:r>
      <w:r w:rsidRPr="003A1AA9">
        <w:rPr>
          <w:rFonts w:ascii="Book Antiqua" w:hAnsi="Book Antiqua"/>
          <w:i/>
          <w:sz w:val="20"/>
          <w:szCs w:val="20"/>
        </w:rPr>
        <w:t xml:space="preserve"> </w:t>
      </w:r>
      <m:oMath>
        <w:proofErr w:type="gramEnd"/>
        <m:r>
          <w:rPr>
            <w:rFonts w:ascii="Cambria Math" w:hAnsi="Cambria Math"/>
            <w:sz w:val="20"/>
            <w:szCs w:val="20"/>
          </w:rPr>
          <m:t>τ</m:t>
        </m:r>
      </m:oMath>
      <w:r w:rsidRPr="003A1AA9">
        <w:rPr>
          <w:rFonts w:ascii="Book Antiqua" w:hAnsi="Book Antiqua"/>
          <w:i/>
          <w:sz w:val="20"/>
          <w:szCs w:val="20"/>
        </w:rPr>
        <w:t>,</w:t>
      </w:r>
      <w:r w:rsidRPr="003A1AA9">
        <w:rPr>
          <w:rFonts w:ascii="Book Antiqua" w:hAnsi="Book Antiqua"/>
          <w:sz w:val="20"/>
          <w:szCs w:val="20"/>
        </w:rPr>
        <w:t xml:space="preserve"> and the decay constant, </w:t>
      </w: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m:t>
        </m:r>
      </m:oMath>
      <w:r w:rsidRPr="003A1AA9">
        <w:rPr>
          <w:rFonts w:ascii="Book Antiqua" w:hAnsi="Book Antiqua"/>
          <w:sz w:val="20"/>
          <w:szCs w:val="20"/>
        </w:rPr>
        <w:t xml:space="preserve"> are related as follows </w:t>
      </w:r>
      <w:hyperlink r:id="rId968" w:anchor="4a176" w:history="1">
        <w:r w:rsidRPr="003A1AA9">
          <w:rPr>
            <w:rStyle w:val="Hyperlink"/>
            <w:rFonts w:ascii="Book Antiqua" w:hAnsi="Book Antiqua"/>
            <w:sz w:val="20"/>
            <w:szCs w:val="20"/>
          </w:rPr>
          <w:t>[1]</w:t>
        </w:r>
      </w:hyperlink>
      <w:r w:rsidRPr="003A1AA9">
        <w:rPr>
          <w:rFonts w:ascii="Book Antiqua" w:hAnsi="Book Antiqua"/>
          <w:sz w:val="20"/>
          <w:szCs w:val="20"/>
        </w:rPr>
        <w:t>:</w:t>
      </w:r>
    </w:p>
    <w:p w:rsidR="00796231" w:rsidRPr="003A1AA9" w:rsidRDefault="00796231" w:rsidP="00796231">
      <w:pPr>
        <w:pStyle w:val="NormalWeb"/>
        <w:jc w:val="right"/>
        <w:rPr>
          <w:rFonts w:ascii="Book Antiqua" w:hAnsi="Book Antiqua"/>
          <w:sz w:val="20"/>
          <w:szCs w:val="20"/>
        </w:rPr>
      </w:pPr>
      <m:oMath>
        <m:r>
          <w:rPr>
            <w:rStyle w:val="style11"/>
            <w:rFonts w:ascii="Cambria Math" w:hAnsi="Cambria Math"/>
            <w:sz w:val="20"/>
            <w:szCs w:val="20"/>
          </w:rPr>
          <m:t>τ</m:t>
        </m:r>
        <m:r>
          <w:rPr>
            <w:rStyle w:val="style11"/>
            <w:rFonts w:ascii="Cambria Math" w:hAnsi="Book Antiqua"/>
            <w:sz w:val="20"/>
            <w:szCs w:val="20"/>
          </w:rPr>
          <m:t xml:space="preserve"> = </m:t>
        </m:r>
        <m:r>
          <w:rPr>
            <w:rStyle w:val="style11"/>
            <w:rFonts w:ascii="Cambria Math" w:hAnsi="Cambria Math"/>
            <w:sz w:val="20"/>
            <w:szCs w:val="20"/>
          </w:rPr>
          <m:t>ln</m:t>
        </m:r>
        <m:r>
          <w:rPr>
            <w:rStyle w:val="style11"/>
            <w:rFonts w:ascii="Cambria Math" w:hAnsi="Book Antiqua"/>
            <w:sz w:val="20"/>
            <w:szCs w:val="20"/>
          </w:rPr>
          <m:t xml:space="preserve"> 2/</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Book Antiqua" w:hAnsi="Cambria Math"/>
                <w:sz w:val="20"/>
                <w:szCs w:val="20"/>
              </w:rPr>
              <m:t>*</m:t>
            </m:r>
          </m:sup>
        </m:sSup>
        <m:r>
          <w:rPr>
            <w:rStyle w:val="style11"/>
            <w:rFonts w:ascii="Cambria Math" w:hAnsi="Book Antiqua"/>
            <w:sz w:val="20"/>
            <w:szCs w:val="20"/>
          </w:rPr>
          <m:t xml:space="preserve"> = 0.69315/</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Cambria Math" w:hAnsi="Cambria Math"/>
                <w:sz w:val="20"/>
                <w:szCs w:val="20"/>
              </w:rPr>
              <m:t>*</m:t>
            </m:r>
          </m:sup>
        </m:sSup>
        <m:r>
          <w:rPr>
            <w:rStyle w:val="style11"/>
            <w:rFonts w:ascii="Cambria Math" w:hAnsi="Book Antiqua"/>
            <w:sz w:val="20"/>
            <w:szCs w:val="20"/>
          </w:rPr>
          <m:t xml:space="preserve"> </m:t>
        </m:r>
      </m:oMath>
      <w:r w:rsidRPr="003A1AA9">
        <w:rPr>
          <w:rStyle w:val="style11"/>
          <w:rFonts w:ascii="Book Antiqua" w:hAnsi="Book Antiqua"/>
          <w:i/>
          <w:sz w:val="20"/>
          <w:szCs w:val="20"/>
        </w:rPr>
        <w:t xml:space="preserve"> .</w:t>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i/>
          <w:sz w:val="20"/>
          <w:szCs w:val="20"/>
        </w:rPr>
        <w:t xml:space="preserve"> </w:t>
      </w:r>
      <w:r w:rsidRPr="003A1AA9">
        <w:rPr>
          <w:rFonts w:ascii="Book Antiqua" w:hAnsi="Book Antiqua"/>
          <w:i/>
          <w:sz w:val="20"/>
          <w:szCs w:val="20"/>
        </w:rPr>
        <w:t>(1)</w:t>
      </w: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 xml:space="preserve">In the case of Alpha decay, the frequency of escape of alpha particles from the nucleus per second is equal to the decay constant, </w:t>
      </w:r>
      <m:oMath>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xml:space="preserve"> </w:t>
      </w:r>
      <w:hyperlink r:id="rId969" w:anchor="4a177" w:history="1">
        <w:r w:rsidRPr="009B0474">
          <w:rPr>
            <w:rStyle w:val="Hyperlink"/>
            <w:rFonts w:ascii="Book Antiqua" w:hAnsi="Book Antiqua"/>
            <w:sz w:val="20"/>
          </w:rPr>
          <w:t>[2]</w:t>
        </w:r>
      </w:hyperlink>
      <w:r w:rsidRPr="009B0474">
        <w:rPr>
          <w:rFonts w:ascii="Book Antiqua" w:hAnsi="Book Antiqua"/>
          <w:sz w:val="20"/>
        </w:rPr>
        <w:t>. A greater escape frequency of alpha particles from the nucleus results in a higher decay constant</w:t>
      </w:r>
      <w:proofErr w:type="gramStart"/>
      <w:r w:rsidRPr="009B0474">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and a therefore a shorter half-life</w:t>
      </w:r>
      <m:oMath>
        <m:r>
          <w:rPr>
            <w:rFonts w:ascii="Cambria Math" w:hAnsi="Book Antiqua"/>
            <w:sz w:val="20"/>
          </w:rPr>
          <m:t xml:space="preserve">, </m:t>
        </m:r>
        <m:r>
          <w:rPr>
            <w:rFonts w:ascii="Cambria Math" w:hAnsi="Cambria Math"/>
            <w:sz w:val="20"/>
          </w:rPr>
          <m:t>τ</m:t>
        </m:r>
      </m:oMath>
      <w:r w:rsidRPr="009B0474">
        <w:rPr>
          <w:rFonts w:ascii="Book Antiqua" w:hAnsi="Book Antiqua"/>
          <w:sz w:val="20"/>
        </w:rPr>
        <w:t xml:space="preserve">, in inverse proportion. </w:t>
      </w:r>
    </w:p>
    <w:p w:rsidR="00796231" w:rsidRDefault="00796231" w:rsidP="00796231">
      <w:pPr>
        <w:pStyle w:val="NoSpacing"/>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lastRenderedPageBreak/>
        <w:t>The subatomic particles in their potential well orbitals may be considered to be moving back and forth with a velocity</w:t>
      </w:r>
      <w:proofErr w:type="gramStart"/>
      <w:r w:rsidRPr="009B0474">
        <w:rPr>
          <w:rFonts w:ascii="Book Antiqua" w:hAnsi="Book Antiqua"/>
          <w:sz w:val="20"/>
        </w:rPr>
        <w:t xml:space="preserve">, </w:t>
      </w:r>
      <m:oMath>
        <w:proofErr w:type="gramEnd"/>
        <m:r>
          <w:rPr>
            <w:rFonts w:ascii="Cambria Math" w:hAnsi="Cambria Math"/>
            <w:sz w:val="20"/>
          </w:rPr>
          <m:t>v</m:t>
        </m:r>
      </m:oMath>
      <w:r w:rsidRPr="009B0474">
        <w:rPr>
          <w:rFonts w:ascii="Book Antiqua" w:hAnsi="Book Antiqua"/>
          <w:sz w:val="20"/>
        </w:rPr>
        <w:t xml:space="preserve">. As they move to and fro, they hit the “wall” of the potential well. When this happens, there is a finite probability that the particle will escape. Thus, statistically, after a given number of hits on the wall, the particle is likely to escape from the nucleus. </w:t>
      </w:r>
    </w:p>
    <w:p w:rsidR="00796231" w:rsidRDefault="00796231" w:rsidP="00796231">
      <w:pPr>
        <w:pStyle w:val="NoSpacing"/>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In a changing ZPE scenario, kinetic energy is conserved in particle motion for electrons in their orbits, as well as for the protons and neutrons in their orbitals. (See the equations in Chapter 4. The kinetic energy equations found there apply to nucleons as well as electrons). The velocity</w:t>
      </w:r>
      <w:proofErr w:type="gramStart"/>
      <w:r w:rsidRPr="009B0474">
        <w:rPr>
          <w:rFonts w:ascii="Book Antiqua" w:hAnsi="Book Antiqua"/>
          <w:sz w:val="20"/>
        </w:rPr>
        <w:t xml:space="preserve">, </w:t>
      </w:r>
      <m:oMath>
        <w:proofErr w:type="gramEnd"/>
        <m:r>
          <w:rPr>
            <w:rStyle w:val="Emphasis"/>
            <w:rFonts w:ascii="Cambria Math" w:hAnsi="Cambria Math"/>
            <w:sz w:val="20"/>
          </w:rPr>
          <m:t>v</m:t>
        </m:r>
      </m:oMath>
      <w:r w:rsidRPr="009B0474">
        <w:rPr>
          <w:rFonts w:ascii="Book Antiqua" w:hAnsi="Book Antiqua"/>
          <w:sz w:val="20"/>
        </w:rPr>
        <w:t>, at which nucleons move in their orbitals within the nuclear potential well is proportional to</w:t>
      </w:r>
      <m:oMath>
        <m:r>
          <w:rPr>
            <w:rFonts w:ascii="Cambria Math" w:hAnsi="Book Antiqua"/>
            <w:sz w:val="20"/>
          </w:rPr>
          <m:t xml:space="preserve"> </m:t>
        </m:r>
        <m:r>
          <w:rPr>
            <w:rStyle w:val="Emphasis"/>
            <w:rFonts w:ascii="Cambria Math" w:hAnsi="Cambria Math"/>
            <w:sz w:val="20"/>
          </w:rPr>
          <m:t>c</m:t>
        </m:r>
      </m:oMath>
      <w:r w:rsidRPr="009B0474">
        <w:rPr>
          <w:rFonts w:ascii="Book Antiqua" w:hAnsi="Book Antiqua"/>
          <w:sz w:val="20"/>
        </w:rPr>
        <w:t xml:space="preserve">, and inversely proportional to </w:t>
      </w:r>
      <m:oMath>
        <m:r>
          <w:rPr>
            <w:rStyle w:val="Emphasis"/>
            <w:rFonts w:ascii="Cambria Math" w:hAnsi="Cambria Math"/>
            <w:sz w:val="20"/>
          </w:rPr>
          <m:t>h</m:t>
        </m:r>
      </m:oMath>
      <w:r w:rsidRPr="009B0474">
        <w:rPr>
          <w:rStyle w:val="Emphasis"/>
          <w:rFonts w:ascii="Book Antiqua" w:hAnsi="Book Antiqua"/>
          <w:sz w:val="20"/>
        </w:rPr>
        <w:t xml:space="preserve"> </w:t>
      </w:r>
      <w:r w:rsidRPr="009B0474">
        <w:rPr>
          <w:rFonts w:ascii="Book Antiqua" w:hAnsi="Book Antiqua"/>
          <w:sz w:val="20"/>
        </w:rPr>
        <w:t xml:space="preserve">and </w:t>
      </w:r>
      <m:oMath>
        <m:r>
          <w:rPr>
            <w:rStyle w:val="Emphasis"/>
            <w:rFonts w:ascii="Cambria Math" w:hAnsi="Cambria Math"/>
            <w:sz w:val="20"/>
          </w:rPr>
          <m:t>U</m:t>
        </m:r>
      </m:oMath>
      <w:r w:rsidRPr="009B0474">
        <w:rPr>
          <w:rFonts w:ascii="Book Antiqua" w:hAnsi="Book Antiqua"/>
          <w:sz w:val="20"/>
        </w:rPr>
        <w:t xml:space="preserve">. If we designate the radius of the atomic nucleus </w:t>
      </w:r>
      <w:proofErr w:type="gramStart"/>
      <w:r w:rsidRPr="009B0474">
        <w:rPr>
          <w:rFonts w:ascii="Book Antiqua" w:hAnsi="Book Antiqua"/>
          <w:sz w:val="20"/>
        </w:rPr>
        <w:t xml:space="preserve">by </w:t>
      </w:r>
      <m:oMath>
        <w:proofErr w:type="gramEnd"/>
        <m:r>
          <w:rPr>
            <w:rStyle w:val="Emphasis"/>
            <w:rFonts w:ascii="Cambria Math" w:hAnsi="Cambria Math"/>
            <w:sz w:val="20"/>
          </w:rPr>
          <m:t>r</m:t>
        </m:r>
      </m:oMath>
      <w:r w:rsidRPr="009B0474">
        <w:rPr>
          <w:rFonts w:ascii="Book Antiqua" w:hAnsi="Book Antiqua"/>
          <w:sz w:val="20"/>
        </w:rPr>
        <w:t xml:space="preserve">, then the alpha particle escape frequency, </w:t>
      </w:r>
      <m:oMath>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xml:space="preserve">, the decay constant, is defined by Glasstone </w:t>
      </w:r>
      <w:hyperlink r:id="rId970" w:anchor="4a177" w:history="1">
        <w:r w:rsidRPr="009B0474">
          <w:rPr>
            <w:rStyle w:val="Hyperlink"/>
            <w:rFonts w:ascii="Book Antiqua" w:hAnsi="Book Antiqua"/>
            <w:sz w:val="20"/>
          </w:rPr>
          <w:t>[2]</w:t>
        </w:r>
      </w:hyperlink>
      <w:r w:rsidRPr="009B0474">
        <w:rPr>
          <w:rFonts w:ascii="Book Antiqua" w:hAnsi="Book Antiqua"/>
          <w:sz w:val="20"/>
        </w:rPr>
        <w:t xml:space="preserve"> and Von Buttlar </w:t>
      </w:r>
      <w:hyperlink r:id="rId971" w:anchor="4a178" w:history="1">
        <w:r w:rsidRPr="009B0474">
          <w:rPr>
            <w:rStyle w:val="Hyperlink"/>
            <w:rFonts w:ascii="Book Antiqua" w:hAnsi="Book Antiqua"/>
            <w:sz w:val="20"/>
          </w:rPr>
          <w:t>[3]</w:t>
        </w:r>
      </w:hyperlink>
      <w:r w:rsidRPr="009B0474">
        <w:rPr>
          <w:rFonts w:ascii="Book Antiqua" w:hAnsi="Book Antiqua"/>
          <w:sz w:val="20"/>
        </w:rPr>
        <w:t xml:space="preserve">, as </w:t>
      </w:r>
    </w:p>
    <w:p w:rsidR="00796231" w:rsidRPr="003A1AA9" w:rsidRDefault="00241D2F"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Pv</m:t>
        </m:r>
        <m:r>
          <w:rPr>
            <w:rFonts w:ascii="Cambria Math" w:hAnsi="Book Antiqua"/>
            <w:sz w:val="20"/>
            <w:szCs w:val="20"/>
          </w:rPr>
          <m:t>/</m:t>
        </m:r>
        <m:r>
          <w:rPr>
            <w:rFonts w:ascii="Cambria Math" w:hAnsi="Cambria Math"/>
            <w:sz w:val="20"/>
            <w:szCs w:val="20"/>
          </w:rPr>
          <m:t>r</m:t>
        </m:r>
        <m:r>
          <w:rPr>
            <w:rFonts w:ascii="Cambria Math" w:hAnsi="Book Antiqua"/>
            <w:sz w:val="20"/>
            <w:szCs w:val="20"/>
          </w:rPr>
          <m:t xml:space="preserve"> </m:t>
        </m:r>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(2)</w:t>
      </w:r>
    </w:p>
    <w:p w:rsidR="00796231" w:rsidRPr="00515ED7" w:rsidRDefault="00796231" w:rsidP="00796231">
      <w:pPr>
        <w:pStyle w:val="NoSpacing"/>
        <w:jc w:val="both"/>
        <w:rPr>
          <w:rFonts w:ascii="Book Antiqua" w:hAnsi="Book Antiqua"/>
          <w:sz w:val="20"/>
        </w:rPr>
      </w:pPr>
      <m:oMath>
        <m:r>
          <w:rPr>
            <w:rStyle w:val="Emphasis"/>
            <w:rFonts w:ascii="Cambria Math" w:hAnsi="Cambria Math"/>
            <w:sz w:val="20"/>
          </w:rPr>
          <m:t>P</m:t>
        </m:r>
      </m:oMath>
      <w:r w:rsidRPr="00515ED7">
        <w:rPr>
          <w:rStyle w:val="Emphasis"/>
          <w:rFonts w:ascii="Book Antiqua" w:hAnsi="Book Antiqua"/>
          <w:sz w:val="20"/>
        </w:rPr>
        <w:t xml:space="preserve"> </w:t>
      </w:r>
      <w:proofErr w:type="gramStart"/>
      <w:r w:rsidRPr="00515ED7">
        <w:rPr>
          <w:rFonts w:ascii="Book Antiqua" w:hAnsi="Book Antiqua"/>
          <w:sz w:val="20"/>
        </w:rPr>
        <w:t>is</w:t>
      </w:r>
      <w:proofErr w:type="gramEnd"/>
      <w:r w:rsidRPr="00515ED7">
        <w:rPr>
          <w:rFonts w:ascii="Book Antiqua" w:hAnsi="Book Antiqua"/>
          <w:sz w:val="20"/>
        </w:rPr>
        <w:t xml:space="preserve"> the probability of alpha particle escape from a nuclear potential well, and is a function of the electrostatic or Coulomb energy of the nucleus. This energy is constant since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515ED7">
        <w:rPr>
          <w:rFonts w:ascii="Book Antiqua" w:hAnsi="Book Antiqua"/>
          <w:sz w:val="20"/>
        </w:rPr>
        <w:t xml:space="preserve"> is constant (chapter 2). Radius</w:t>
      </w:r>
      <w:proofErr w:type="gramStart"/>
      <w:r w:rsidRPr="00515ED7">
        <w:rPr>
          <w:rFonts w:ascii="Book Antiqua" w:hAnsi="Book Antiqua"/>
          <w:sz w:val="20"/>
        </w:rPr>
        <w:t xml:space="preserve">, </w:t>
      </w:r>
      <m:oMath>
        <w:proofErr w:type="gramEnd"/>
        <m:r>
          <w:rPr>
            <w:rStyle w:val="Emphasis"/>
            <w:rFonts w:ascii="Cambria Math" w:hAnsi="Cambria Math"/>
            <w:sz w:val="20"/>
          </w:rPr>
          <m:t>r</m:t>
        </m:r>
      </m:oMath>
      <w:r w:rsidRPr="00515ED7">
        <w:rPr>
          <w:rFonts w:ascii="Book Antiqua" w:hAnsi="Book Antiqua"/>
          <w:sz w:val="20"/>
        </w:rPr>
        <w:t xml:space="preserve">, is also constant, while velocity, </w:t>
      </w:r>
      <m:oMath>
        <m:r>
          <w:rPr>
            <w:rStyle w:val="Emphasis"/>
            <w:rFonts w:ascii="Cambria Math" w:hAnsi="Cambria Math"/>
            <w:sz w:val="20"/>
          </w:rPr>
          <m:t>v</m:t>
        </m:r>
      </m:oMath>
      <w:r w:rsidRPr="00515ED7">
        <w:rPr>
          <w:rFonts w:ascii="Book Antiqua" w:hAnsi="Book Antiqua"/>
          <w:sz w:val="20"/>
        </w:rPr>
        <w:t xml:space="preserve">, is proportional to </w:t>
      </w:r>
      <m:oMath>
        <m:r>
          <w:rPr>
            <w:rStyle w:val="Emphasis"/>
            <w:rFonts w:ascii="Cambria Math" w:hAnsi="Cambria Math"/>
            <w:sz w:val="20"/>
          </w:rPr>
          <m:t>c</m:t>
        </m:r>
      </m:oMath>
      <w:r w:rsidRPr="00515ED7">
        <w:rPr>
          <w:rFonts w:ascii="Book Antiqua" w:hAnsi="Book Antiqua"/>
          <w:sz w:val="20"/>
        </w:rPr>
        <w:t xml:space="preserve">. Therefore, the decay constant is proportional to particle velocities, which are also proportional </w:t>
      </w:r>
      <w:proofErr w:type="gramStart"/>
      <w:r w:rsidRPr="00515ED7">
        <w:rPr>
          <w:rFonts w:ascii="Book Antiqua" w:hAnsi="Book Antiqua"/>
          <w:sz w:val="20"/>
        </w:rPr>
        <w:t xml:space="preserve">to </w:t>
      </w:r>
      <m:oMath>
        <w:proofErr w:type="gramEnd"/>
        <m:r>
          <w:rPr>
            <w:rFonts w:ascii="Cambria Math" w:hAnsi="Cambria Math"/>
            <w:sz w:val="20"/>
          </w:rPr>
          <m:t>c</m:t>
        </m:r>
      </m:oMath>
      <w:r w:rsidRPr="00515ED7">
        <w:rPr>
          <w:rFonts w:ascii="Book Antiqua" w:hAnsi="Book Antiqua"/>
          <w:sz w:val="20"/>
        </w:rPr>
        <w:t>.</w:t>
      </w:r>
    </w:p>
    <w:p w:rsidR="00796231" w:rsidRPr="00515ED7" w:rsidRDefault="00796231" w:rsidP="00796231">
      <w:pPr>
        <w:pStyle w:val="NoSpacing"/>
        <w:jc w:val="both"/>
        <w:rPr>
          <w:rFonts w:ascii="Book Antiqua" w:hAnsi="Book Antiqua"/>
          <w:sz w:val="20"/>
        </w:rPr>
      </w:pPr>
      <w:proofErr w:type="gramStart"/>
      <w:r w:rsidRPr="00515ED7">
        <w:rPr>
          <w:rFonts w:ascii="Book Antiqua" w:hAnsi="Book Antiqua"/>
          <w:sz w:val="20"/>
        </w:rPr>
        <w:t>A ZPE having lower energy in the past means that atomic masses were lower, and so their velocities were higher, maintaining the same kinetic energy as today.</w:t>
      </w:r>
      <w:proofErr w:type="gramEnd"/>
      <w:r w:rsidRPr="00515ED7">
        <w:rPr>
          <w:rFonts w:ascii="Book Antiqua" w:hAnsi="Book Antiqua"/>
          <w:sz w:val="20"/>
        </w:rPr>
        <w:t xml:space="preserve"> But a higher velocity means more hits per second against the potential well “wall”, although the escape probability remains unchanged.  This means that when the ZPE strength was lower, and the speed of light was higher, alpha decay would have been more rapid.  The alpha particle would have escaped sooner since the number of hits required (before it could statistically escape) occurred more quickly. This means that:</w:t>
      </w:r>
    </w:p>
    <w:p w:rsidR="00796231" w:rsidRPr="003A1AA9" w:rsidRDefault="00241D2F"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(3)</w:t>
      </w:r>
    </w:p>
    <w:p w:rsidR="00796231" w:rsidRPr="00515ED7" w:rsidRDefault="00796231" w:rsidP="00796231">
      <w:pPr>
        <w:pStyle w:val="NoSpacing"/>
        <w:rPr>
          <w:rFonts w:ascii="Book Antiqua" w:hAnsi="Book Antiqua"/>
          <w:sz w:val="20"/>
        </w:rPr>
      </w:pPr>
      <w:r w:rsidRPr="00515ED7">
        <w:rPr>
          <w:rFonts w:ascii="Book Antiqua" w:hAnsi="Book Antiqua"/>
          <w:sz w:val="20"/>
        </w:rPr>
        <w:t>So then, the alpha decay constant</w:t>
      </w:r>
      <w:proofErr w:type="gramStart"/>
      <w:r w:rsidRPr="00515ED7">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515ED7">
        <w:rPr>
          <w:rFonts w:ascii="Book Antiqua" w:hAnsi="Book Antiqua"/>
          <w:i/>
          <w:sz w:val="20"/>
        </w:rPr>
        <w:t>,</w:t>
      </w:r>
      <w:r w:rsidRPr="00515ED7">
        <w:rPr>
          <w:rFonts w:ascii="Book Antiqua" w:hAnsi="Book Antiqua"/>
          <w:sz w:val="20"/>
        </w:rPr>
        <w:t xml:space="preserve"> is proportional to </w:t>
      </w:r>
      <m:oMath>
        <m:r>
          <w:rPr>
            <w:rStyle w:val="Emphasis"/>
            <w:rFonts w:ascii="Cambria Math" w:hAnsi="Cambria Math"/>
            <w:sz w:val="20"/>
          </w:rPr>
          <m:t>c</m:t>
        </m:r>
      </m:oMath>
      <w:r w:rsidRPr="00515ED7">
        <w:rPr>
          <w:rStyle w:val="Emphasis"/>
          <w:rFonts w:ascii="Book Antiqua" w:hAnsi="Book Antiqua"/>
          <w:sz w:val="20"/>
        </w:rPr>
        <w:t xml:space="preserve"> </w:t>
      </w:r>
      <w:r w:rsidRPr="00515ED7">
        <w:rPr>
          <w:rFonts w:ascii="Book Antiqua" w:hAnsi="Book Antiqua"/>
          <w:sz w:val="20"/>
        </w:rPr>
        <w:t xml:space="preserve">and </w:t>
      </w:r>
      <m:oMath>
        <m:r>
          <w:rPr>
            <w:rStyle w:val="Emphasis"/>
            <w:rFonts w:ascii="Cambria Math" w:hAnsi="Book Antiqua"/>
            <w:sz w:val="20"/>
          </w:rPr>
          <m:t>1</m:t>
        </m:r>
        <m:r>
          <m:rPr>
            <m:sty m:val="p"/>
          </m:rPr>
          <w:rPr>
            <w:rFonts w:ascii="Cambria Math" w:hAnsi="Book Antiqua"/>
            <w:sz w:val="20"/>
          </w:rPr>
          <m:t>/</m:t>
        </m:r>
        <m:r>
          <w:rPr>
            <w:rStyle w:val="Emphasis"/>
            <w:rFonts w:ascii="Cambria Math" w:hAnsi="Cambria Math"/>
            <w:sz w:val="20"/>
          </w:rPr>
          <m:t>U</m:t>
        </m:r>
      </m:oMath>
      <w:r w:rsidRPr="00515ED7">
        <w:rPr>
          <w:rFonts w:ascii="Book Antiqua" w:hAnsi="Book Antiqua"/>
          <w:sz w:val="20"/>
        </w:rPr>
        <w:t xml:space="preserve">, with the half-lives, </w:t>
      </w:r>
      <m:oMath>
        <m:r>
          <w:rPr>
            <w:rFonts w:ascii="Cambria Math" w:hAnsi="Cambria Math"/>
            <w:sz w:val="20"/>
          </w:rPr>
          <m:t>τ</m:t>
        </m:r>
      </m:oMath>
      <w:r w:rsidRPr="00515ED7">
        <w:rPr>
          <w:rFonts w:ascii="Book Antiqua" w:hAnsi="Book Antiqua"/>
          <w:i/>
          <w:sz w:val="20"/>
        </w:rPr>
        <w:t>,</w:t>
      </w:r>
      <w:r w:rsidRPr="00515ED7">
        <w:rPr>
          <w:rFonts w:ascii="Book Antiqua" w:hAnsi="Book Antiqua"/>
          <w:sz w:val="20"/>
        </w:rPr>
        <w:t xml:space="preserve"> proportional to </w:t>
      </w:r>
      <m:oMath>
        <m:r>
          <w:rPr>
            <w:rStyle w:val="Emphasis"/>
            <w:rFonts w:ascii="Cambria Math" w:hAnsi="Cambria Math"/>
            <w:sz w:val="20"/>
          </w:rPr>
          <m:t>U</m:t>
        </m:r>
      </m:oMath>
      <w:r w:rsidRPr="00515ED7">
        <w:rPr>
          <w:rStyle w:val="Emphasis"/>
          <w:rFonts w:ascii="Book Antiqua" w:hAnsi="Book Antiqua"/>
          <w:sz w:val="20"/>
        </w:rPr>
        <w:t xml:space="preserve"> </w:t>
      </w:r>
      <w:r w:rsidRPr="00515ED7">
        <w:rPr>
          <w:rStyle w:val="Emphasis"/>
          <w:rFonts w:ascii="Book Antiqua" w:hAnsi="Book Antiqua"/>
          <w:i w:val="0"/>
          <w:sz w:val="20"/>
        </w:rPr>
        <w:t>or</w:t>
      </w:r>
      <w:r w:rsidRPr="00515ED7">
        <w:rPr>
          <w:rStyle w:val="Emphasis"/>
          <w:rFonts w:ascii="Book Antiqua" w:hAnsi="Book Antiqua"/>
          <w:sz w:val="20"/>
        </w:rPr>
        <w:t xml:space="preserve"> </w:t>
      </w:r>
      <m:oMath>
        <m:r>
          <w:rPr>
            <w:rStyle w:val="Emphasis"/>
            <w:rFonts w:ascii="Cambria Math" w:hAnsi="Book Antiqua"/>
            <w:sz w:val="20"/>
          </w:rPr>
          <m:t>1/</m:t>
        </m:r>
        <m:r>
          <w:rPr>
            <w:rStyle w:val="Emphasis"/>
            <w:rFonts w:ascii="Cambria Math" w:hAnsi="Cambria Math"/>
            <w:sz w:val="20"/>
          </w:rPr>
          <m:t>c</m:t>
        </m:r>
      </m:oMath>
      <w:r w:rsidRPr="00515ED7">
        <w:rPr>
          <w:rFonts w:ascii="Book Antiqua" w:hAnsi="Book Antiqua"/>
          <w:sz w:val="20"/>
        </w:rPr>
        <w:t>.</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b w:val="0"/>
          <w:sz w:val="20"/>
          <w:szCs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Pr>
          <w:rFonts w:ascii="Book Antiqua" w:hAnsi="Book Antiqua"/>
          <w:b w:val="0"/>
          <w:sz w:val="20"/>
          <w:szCs w:val="20"/>
        </w:rPr>
        <w:t>4</w:t>
      </w:r>
      <w:r w:rsidRPr="003A1AA9">
        <w:rPr>
          <w:rFonts w:ascii="Book Antiqua" w:hAnsi="Book Antiqua"/>
          <w:b w:val="0"/>
          <w:sz w:val="20"/>
          <w:szCs w:val="20"/>
        </w:rPr>
        <w:t xml:space="preserve">. </w:t>
      </w:r>
      <w:r w:rsidRPr="003A1AA9">
        <w:rPr>
          <w:rFonts w:ascii="Book Antiqua" w:hAnsi="Book Antiqua"/>
          <w:sz w:val="20"/>
          <w:szCs w:val="20"/>
        </w:rPr>
        <w:t>Beta Decay Processes</w:t>
      </w:r>
    </w:p>
    <w:p w:rsidR="00796231" w:rsidRPr="003A1AA9" w:rsidRDefault="00796231" w:rsidP="00796231">
      <w:pPr>
        <w:pStyle w:val="Default"/>
        <w:ind w:firstLine="36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In simple terms, Beta decay happens because atoms tend to favor a condition in which the number of protons in the nucleus is the same as the number of neutrons. In the case of an atom of an element like Carbon 12, there are 6 protons and 6 neutrons. However, Carbon 14 has 6 protons and 8 neutrons. That is an excess of neutrons. In order to attain equal numbers of protons and neutrons, one of the neutrons will change into a proton and an electron.  The extra electron is then ejected, leaving the nucleus with 7 protons and 7 neutrons.  Since the identity of an element depends on the number of protons in the nucleus, the carbon has then become Nitrogen 14. The ejected electron is referred to as a Beta (</w:t>
      </w:r>
      <m:oMath>
        <m:r>
          <w:rPr>
            <w:rFonts w:ascii="Cambria Math" w:hAnsi="Cambria Math"/>
            <w:sz w:val="20"/>
          </w:rPr>
          <m:t>β</m:t>
        </m:r>
      </m:oMath>
      <w:r w:rsidRPr="00515ED7">
        <w:rPr>
          <w:rFonts w:ascii="Book Antiqua" w:hAnsi="Book Antiqua"/>
          <w:sz w:val="20"/>
        </w:rPr>
        <w:t>) particle. This is illustrated in Figure 3.</w:t>
      </w:r>
    </w:p>
    <w:p w:rsidR="00796231" w:rsidRPr="00515ED7" w:rsidRDefault="00796231" w:rsidP="00796231">
      <w:pPr>
        <w:pStyle w:val="NoSpacing"/>
        <w:jc w:val="both"/>
        <w:rPr>
          <w:rFonts w:ascii="Book Antiqua" w:hAnsi="Book Antiqua"/>
          <w:sz w:val="20"/>
        </w:rPr>
      </w:pPr>
    </w:p>
    <w:p w:rsidR="00900E06" w:rsidRDefault="00796231" w:rsidP="00796231">
      <w:pPr>
        <w:pStyle w:val="NoSpacing"/>
        <w:ind w:firstLine="720"/>
        <w:jc w:val="both"/>
        <w:rPr>
          <w:rFonts w:ascii="Book Antiqua" w:hAnsi="Book Antiqua"/>
          <w:sz w:val="20"/>
        </w:rPr>
      </w:pPr>
      <w:r w:rsidRPr="00515ED7">
        <w:rPr>
          <w:rFonts w:ascii="Book Antiqua" w:hAnsi="Book Antiqua"/>
          <w:sz w:val="20"/>
        </w:rPr>
        <w:t xml:space="preserve">Beta decay involves an excess of neutrons in the uppermost orbital of the nucleus. In the example used above with Carbon 14, there are two neutrons in the uppermost orbital. So a stable condition can be reached if one neutron ejects an electron and becomes a proton. This means that there will then be a proton and a neutron in the uppermost orbital of the nucleus, and a stable condition is attained. </w:t>
      </w:r>
    </w:p>
    <w:p w:rsidR="00900E06" w:rsidRDefault="00900E06" w:rsidP="00796231">
      <w:pPr>
        <w:pStyle w:val="NoSpacing"/>
        <w:ind w:firstLine="720"/>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The original element has changed to one with an atomic number which is one integer greater on the Periodic Table. It has a more stable energy balance because a proton and a neutron together form a more stable energy configuration than two neutrons together. This type of nuclear Beta decay is called a Beta minus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515ED7">
        <w:rPr>
          <w:rFonts w:ascii="Book Antiqua" w:hAnsi="Book Antiqua"/>
          <w:sz w:val="20"/>
        </w:rPr>
        <w:t>) decay. The minus is there because the ejected electron carries a negative charge.</w:t>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Default"/>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4137546" cy="3127402"/>
            <wp:effectExtent l="19050" t="0" r="0" b="0"/>
            <wp:docPr id="176" name="pbImage181272" descr="http://kgortney.pbworks.com/f/1287767908/c14_decay_to_n14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mage181272" descr="http://kgortney.pbworks.com/f/1287767908/c14_decay_to_n14_sm.jpg"/>
                    <pic:cNvPicPr>
                      <a:picLocks noChangeAspect="1" noChangeArrowheads="1"/>
                    </pic:cNvPicPr>
                  </pic:nvPicPr>
                  <pic:blipFill>
                    <a:blip r:embed="rId972" cstate="print"/>
                    <a:srcRect/>
                    <a:stretch>
                      <a:fillRect/>
                    </a:stretch>
                  </pic:blipFill>
                  <pic:spPr bwMode="auto">
                    <a:xfrm>
                      <a:off x="0" y="0"/>
                      <a:ext cx="4164739" cy="3147956"/>
                    </a:xfrm>
                    <a:prstGeom prst="rect">
                      <a:avLst/>
                    </a:prstGeom>
                    <a:noFill/>
                    <a:ln w="9525">
                      <a:noFill/>
                      <a:miter lim="800000"/>
                      <a:headEnd/>
                      <a:tailEnd/>
                    </a:ln>
                  </pic:spPr>
                </pic:pic>
              </a:graphicData>
            </a:graphic>
          </wp:inline>
        </w:drawing>
      </w:r>
    </w:p>
    <w:p w:rsidR="00796231" w:rsidRPr="003A1AA9" w:rsidRDefault="00796231" w:rsidP="00796231">
      <w:pPr>
        <w:pStyle w:val="Default"/>
        <w:jc w:val="center"/>
        <w:rPr>
          <w:rFonts w:ascii="Book Antiqua" w:hAnsi="Book Antiqua"/>
          <w:sz w:val="20"/>
          <w:szCs w:val="20"/>
        </w:rPr>
      </w:pPr>
    </w:p>
    <w:p w:rsidR="00796231" w:rsidRPr="003A1AA9" w:rsidRDefault="00796231" w:rsidP="00796231">
      <w:pPr>
        <w:pStyle w:val="Default"/>
        <w:rPr>
          <w:rFonts w:ascii="Book Antiqua" w:hAnsi="Book Antiqua"/>
          <w:b/>
          <w:i/>
          <w:sz w:val="20"/>
          <w:szCs w:val="20"/>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3:</w:t>
      </w:r>
      <w:r w:rsidRPr="005830E6">
        <w:rPr>
          <w:rFonts w:ascii="Book Antiqua" w:hAnsi="Book Antiqua"/>
          <w:i/>
          <w:sz w:val="18"/>
          <w:szCs w:val="18"/>
        </w:rPr>
        <w:t xml:space="preserve"> A representation of Beta decay when an atom has an excess of neutrons in the nucleus. A neutron “decays” into a proton and an electron. The proton is retained in the nucleus whose energy state is now more stable, and the excess electron is emitted.</w:t>
      </w:r>
    </w:p>
    <w:p w:rsidR="00796231" w:rsidRPr="003A1AA9" w:rsidRDefault="00796231" w:rsidP="00796231">
      <w:pPr>
        <w:pStyle w:val="Default"/>
        <w:ind w:firstLine="720"/>
        <w:jc w:val="both"/>
        <w:rPr>
          <w:rFonts w:ascii="Book Antiqua" w:hAnsi="Book Antiqua"/>
          <w:sz w:val="20"/>
          <w:szCs w:val="20"/>
        </w:rPr>
      </w:pPr>
    </w:p>
    <w:p w:rsidR="00796231" w:rsidRPr="003A1AA9" w:rsidRDefault="00796231" w:rsidP="00796231">
      <w:pPr>
        <w:pStyle w:val="Default"/>
        <w:ind w:firstLine="72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On the other hand, if there are two protons in the uppermost orbital of the nucleus, there is an excess of protons. Under these conditions it is possible for one of the protons to eject a positron (positive electron) and become a neutron. This again results in the stability of a proton and neutron in the uppermost orbital of the nucleus. This is called Beta plus</w:t>
      </w:r>
      <w:r w:rsidRPr="00515ED7">
        <w:rPr>
          <w:sz w:val="20"/>
        </w:rPr>
        <w:t xml:space="preserve"> (</w:t>
      </w:r>
      <m:oMath>
        <m:sSup>
          <m:sSupPr>
            <m:ctrlPr>
              <w:rPr>
                <w:rFonts w:ascii="Cambria Math" w:hAnsi="Cambria Math"/>
                <w:i/>
                <w:sz w:val="20"/>
              </w:rPr>
            </m:ctrlPr>
          </m:sSupPr>
          <m:e>
            <m:r>
              <w:rPr>
                <w:rFonts w:ascii="Cambria Math" w:hAnsi="Cambria Math"/>
                <w:sz w:val="20"/>
              </w:rPr>
              <m:t>β</m:t>
            </m:r>
          </m:e>
          <m:sup>
            <m:r>
              <w:rPr>
                <w:rFonts w:ascii="Cambria Math"/>
                <w:sz w:val="20"/>
              </w:rPr>
              <m:t>+</m:t>
            </m:r>
          </m:sup>
        </m:sSup>
      </m:oMath>
      <w:r w:rsidRPr="00515ED7">
        <w:rPr>
          <w:sz w:val="20"/>
        </w:rPr>
        <w:t>)</w:t>
      </w:r>
      <w:r w:rsidRPr="003A1AA9">
        <w:t xml:space="preserve"> </w:t>
      </w:r>
      <w:r w:rsidRPr="00515ED7">
        <w:rPr>
          <w:rFonts w:ascii="Book Antiqua" w:hAnsi="Book Antiqua"/>
          <w:sz w:val="20"/>
        </w:rPr>
        <w:t>decay because the ejected positron carries a positive charge. In this case, the original element has changed to become an element with an atomic number one integer lower on the Periodic Table, and with a more stable energy balance.  Both types of Beta decay can also release a gamma ray.</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The ejection of an electron or positron from the upper orbital during Beta decay depends upon two things:  the strength of the force acting upon them and the amount of time a given configuration of particles exists in the upper orbital.  The force acting upon them is electromagnetic.  Since the Zero Point Energy is electromagnetic, any changes there will affect the rate of decay.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With all changes in the ZPE, kinetic energy is conserved with both electrons moving in atomic orbits and particles moving within the nuclear orbitals. Thus, as previously shown, when the ZPE strength</w:t>
      </w:r>
      <w:proofErr w:type="gramStart"/>
      <w:r w:rsidRPr="00515ED7">
        <w:rPr>
          <w:rFonts w:ascii="Book Antiqua" w:hAnsi="Book Antiqua"/>
          <w:sz w:val="20"/>
        </w:rPr>
        <w:t xml:space="preserve">, </w:t>
      </w:r>
      <m:oMath>
        <w:proofErr w:type="gramEnd"/>
        <m:r>
          <w:rPr>
            <w:rFonts w:ascii="Cambria Math" w:hAnsi="Cambria Math"/>
            <w:sz w:val="20"/>
          </w:rPr>
          <m:t>U</m:t>
        </m:r>
      </m:oMath>
      <w:r w:rsidRPr="00515ED7">
        <w:rPr>
          <w:rFonts w:ascii="Book Antiqua" w:hAnsi="Book Antiqua"/>
          <w:i/>
          <w:sz w:val="20"/>
        </w:rPr>
        <w:t>,</w:t>
      </w:r>
      <w:r w:rsidRPr="00515ED7">
        <w:rPr>
          <w:rFonts w:ascii="Book Antiqua" w:hAnsi="Book Antiqua"/>
          <w:sz w:val="20"/>
        </w:rPr>
        <w:t xml:space="preserve"> was lower, atomic masses, </w:t>
      </w:r>
      <m:oMath>
        <m:r>
          <w:rPr>
            <w:rFonts w:ascii="Cambria Math" w:hAnsi="Cambria Math"/>
            <w:sz w:val="20"/>
          </w:rPr>
          <m:t>m</m:t>
        </m:r>
      </m:oMath>
      <w:r w:rsidRPr="00515ED7">
        <w:rPr>
          <w:rFonts w:ascii="Book Antiqua" w:hAnsi="Book Antiqua"/>
          <w:sz w:val="20"/>
        </w:rPr>
        <w:t>, were also lower. Since the speed of light</w:t>
      </w:r>
      <w:proofErr w:type="gramStart"/>
      <w:r w:rsidRPr="00515ED7">
        <w:rPr>
          <w:rFonts w:ascii="Book Antiqua" w:hAnsi="Book Antiqua"/>
          <w:sz w:val="20"/>
        </w:rPr>
        <w:t xml:space="preserve">, </w:t>
      </w:r>
      <m:oMath>
        <w:proofErr w:type="gramEnd"/>
        <m:r>
          <w:rPr>
            <w:rFonts w:ascii="Cambria Math" w:hAnsi="Cambria Math"/>
            <w:sz w:val="20"/>
          </w:rPr>
          <m:t>c</m:t>
        </m:r>
      </m:oMath>
      <w:r w:rsidRPr="00515ED7">
        <w:rPr>
          <w:rFonts w:ascii="Book Antiqua" w:hAnsi="Book Antiqua"/>
          <w:sz w:val="20"/>
        </w:rPr>
        <w:t xml:space="preserve">, operates inversely to the strength of the ZPE, this means that </w:t>
      </w:r>
      <m:oMath>
        <m:r>
          <w:rPr>
            <w:rFonts w:ascii="Cambria Math" w:hAnsi="Cambria Math"/>
            <w:sz w:val="20"/>
          </w:rPr>
          <m:t>m</m:t>
        </m:r>
      </m:oMath>
      <w:r w:rsidRPr="00515ED7">
        <w:rPr>
          <w:rFonts w:ascii="Book Antiqua" w:hAnsi="Book Antiqua"/>
          <w:sz w:val="20"/>
        </w:rPr>
        <w:t xml:space="preserve"> is also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as well as to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Pr="00515ED7">
        <w:rPr>
          <w:rFonts w:ascii="Book Antiqua" w:hAnsi="Book Antiqua"/>
          <w:sz w:val="20"/>
        </w:rPr>
        <w:t xml:space="preserve">. Since the kinetic energy of these particles is given </w:t>
      </w:r>
      <w:proofErr w:type="gramStart"/>
      <w:r w:rsidRPr="00515ED7">
        <w:rPr>
          <w:rFonts w:ascii="Book Antiqua" w:hAnsi="Book Antiqua"/>
          <w:sz w:val="20"/>
        </w:rPr>
        <w:t xml:space="preserve">by </w:t>
      </w:r>
      <m:oMath>
        <w:proofErr w:type="gramEnd"/>
        <m:r>
          <w:rPr>
            <w:rFonts w:ascii="Cambria Math" w:hAnsi="Book Antiqua"/>
            <w:sz w:val="20"/>
          </w:rPr>
          <m:t>½</m:t>
        </m:r>
        <m:r>
          <w:rPr>
            <w:rFonts w:ascii="Cambria Math" w:hAnsi="Book Antiqua"/>
            <w:sz w:val="20"/>
          </w:rPr>
          <m:t xml:space="preserve"> </m:t>
        </m:r>
        <m:r>
          <w:rPr>
            <w:rFonts w:ascii="Cambria Math" w:hAnsi="Cambria Math"/>
            <w:sz w:val="20"/>
          </w:rPr>
          <m:t>m</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oMath>
      <w:r w:rsidRPr="00515ED7">
        <w:rPr>
          <w:rFonts w:ascii="Book Antiqua" w:hAnsi="Book Antiqua"/>
          <w:sz w:val="20"/>
        </w:rPr>
        <w:t xml:space="preserve">, where </w:t>
      </w:r>
      <m:oMath>
        <m:r>
          <w:rPr>
            <w:rFonts w:ascii="Cambria Math" w:hAnsi="Cambria Math"/>
            <w:sz w:val="20"/>
          </w:rPr>
          <m:t>v</m:t>
        </m:r>
      </m:oMath>
      <w:r w:rsidRPr="00515ED7">
        <w:rPr>
          <w:rFonts w:ascii="Book Antiqua" w:hAnsi="Book Antiqua"/>
          <w:sz w:val="20"/>
        </w:rPr>
        <w:t xml:space="preserve"> is their velocity, this means that the particle velocities are proportional to </w:t>
      </w:r>
      <m:oMath>
        <m:r>
          <w:rPr>
            <w:rFonts w:ascii="Cambria Math" w:hAnsi="Cambria Math"/>
            <w:sz w:val="20"/>
          </w:rPr>
          <m:t>c</m:t>
        </m:r>
      </m:oMath>
      <w:r w:rsidRPr="00515ED7">
        <w:rPr>
          <w:rFonts w:ascii="Book Antiqua" w:hAnsi="Book Antiqua"/>
          <w:sz w:val="20"/>
        </w:rPr>
        <w:t xml:space="preserve"> (or to </w:t>
      </w:r>
      <m:oMath>
        <m:r>
          <w:rPr>
            <w:rFonts w:ascii="Cambria Math" w:hAnsi="Book Antiqua"/>
            <w:sz w:val="20"/>
          </w:rPr>
          <m:t>1/</m:t>
        </m:r>
        <m:r>
          <w:rPr>
            <w:rFonts w:ascii="Cambria Math" w:hAnsi="Cambria Math"/>
            <w:sz w:val="20"/>
          </w:rPr>
          <m:t>U</m:t>
        </m:r>
      </m:oMath>
      <w:r w:rsidRPr="00515ED7">
        <w:rPr>
          <w:rFonts w:ascii="Book Antiqua" w:hAnsi="Book Antiqua"/>
          <w:sz w:val="20"/>
        </w:rPr>
        <w:t>), and were thus higher originally. As a result, the amount of time that the particles existed in any given configuration was shorter when the ZPE was higher.</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Since atomic masses are all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w:t>
      </w:r>
      <w:proofErr w:type="gramStart"/>
      <w:r w:rsidRPr="00515ED7">
        <w:rPr>
          <w:rFonts w:ascii="Book Antiqua" w:hAnsi="Book Antiqua"/>
          <w:sz w:val="20"/>
        </w:rPr>
        <w:t xml:space="preserve">or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Pr="00515ED7">
        <w:rPr>
          <w:rFonts w:ascii="Book Antiqua" w:hAnsi="Book Antiqua"/>
          <w:sz w:val="20"/>
        </w:rPr>
        <w:t xml:space="preserve">, then it follows that all particle masses were lower when the ZPE was lower.  However, the electromagnetic force acting on the particles depends on the charge squared, divided by the electric permittivity of free space, which keeps it a constant.  Therefore the same force is acting upon the subatomic particles through time, regardless of the changes in the ZPE. </w:t>
      </w:r>
      <w:r w:rsidRPr="00515ED7">
        <w:rPr>
          <w:rFonts w:ascii="Book Antiqua" w:hAnsi="Book Antiqua"/>
          <w:vanish/>
          <w:sz w:val="20"/>
        </w:rPr>
        <w:t>owevH jdklslskdfjf</w:t>
      </w:r>
      <w:r w:rsidRPr="00515ED7">
        <w:rPr>
          <w:rFonts w:ascii="Book Antiqua" w:hAnsi="Book Antiqua"/>
          <w:sz w:val="20"/>
        </w:rPr>
        <w:t xml:space="preserve"> If the same force is acting upon a heavy mass and a light mass, the light mass will respond more quickly and move faster.  In the same way, when subatomic masses were lower, they responded more quickly and with greater speed than today.  The force acting per particle per unit time was </w:t>
      </w:r>
      <w:r w:rsidRPr="00515ED7">
        <w:rPr>
          <w:rFonts w:ascii="Book Antiqua" w:hAnsi="Book Antiqua"/>
          <w:sz w:val="20"/>
        </w:rPr>
        <w:lastRenderedPageBreak/>
        <w:t xml:space="preserve">proportional to </w:t>
      </w:r>
      <m:oMath>
        <m:r>
          <w:rPr>
            <w:rFonts w:ascii="Cambria Math" w:hAnsi="Cambria Math"/>
            <w:sz w:val="20"/>
          </w:rPr>
          <m:t>c</m:t>
        </m:r>
        <m:r>
          <w:rPr>
            <w:rFonts w:ascii="Cambria Math" w:hAnsi="Book Antiqua"/>
            <w:sz w:val="20"/>
          </w:rPr>
          <m:t>,</m:t>
        </m:r>
      </m:oMath>
      <w:r w:rsidRPr="00515ED7">
        <w:rPr>
          <w:rFonts w:ascii="Book Antiqua" w:hAnsi="Book Antiqua"/>
          <w:sz w:val="20"/>
        </w:rPr>
        <w:t xml:space="preserve"> or </w:t>
      </w:r>
      <w:proofErr w:type="gramStart"/>
      <w:r w:rsidRPr="00515ED7">
        <w:rPr>
          <w:rFonts w:ascii="Book Antiqua" w:hAnsi="Book Antiqua"/>
          <w:sz w:val="20"/>
        </w:rPr>
        <w:t xml:space="preserve">to </w:t>
      </w:r>
      <m:oMath>
        <w:proofErr w:type="gramEnd"/>
        <m:r>
          <w:rPr>
            <w:rFonts w:ascii="Cambria Math" w:hAnsi="Book Antiqua"/>
            <w:sz w:val="20"/>
          </w:rPr>
          <m:t>1/</m:t>
        </m:r>
        <m:r>
          <w:rPr>
            <w:rFonts w:ascii="Cambria Math" w:hAnsi="Cambria Math"/>
            <w:sz w:val="20"/>
          </w:rPr>
          <m:t>U</m:t>
        </m:r>
      </m:oMath>
      <w:r w:rsidRPr="00515ED7">
        <w:rPr>
          <w:rFonts w:ascii="Book Antiqua" w:hAnsi="Book Antiqua"/>
          <w:sz w:val="20"/>
        </w:rPr>
        <w:t xml:space="preserve">. This means that all Beta decay phenomena should be faster in the past (proportional </w:t>
      </w:r>
      <w:proofErr w:type="gramStart"/>
      <w:r w:rsidRPr="00515ED7">
        <w:rPr>
          <w:rFonts w:ascii="Book Antiqua" w:hAnsi="Book Antiqua"/>
          <w:sz w:val="20"/>
        </w:rPr>
        <w:t xml:space="preserve">to </w:t>
      </w:r>
      <m:oMath>
        <w:proofErr w:type="gramEnd"/>
        <m:r>
          <w:rPr>
            <w:rFonts w:ascii="Cambria Math" w:hAnsi="Cambria Math"/>
            <w:sz w:val="20"/>
          </w:rPr>
          <m:t>c</m:t>
        </m:r>
      </m:oMath>
      <w:r w:rsidRPr="00515ED7">
        <w:rPr>
          <w:rFonts w:ascii="Book Antiqua" w:hAnsi="Book Antiqua"/>
          <w:sz w:val="20"/>
        </w:rPr>
        <w:t>)</w:t>
      </w:r>
      <w:r w:rsidRPr="00515ED7">
        <w:rPr>
          <w:rFonts w:ascii="Book Antiqua" w:hAnsi="Book Antiqua"/>
          <w:i/>
          <w:sz w:val="20"/>
        </w:rPr>
        <w:t xml:space="preserve"> </w:t>
      </w:r>
      <w:r w:rsidRPr="00515ED7">
        <w:rPr>
          <w:rFonts w:ascii="Book Antiqua" w:hAnsi="Book Antiqua"/>
          <w:sz w:val="20"/>
        </w:rPr>
        <w:t>when the ZPE was lower.</w:t>
      </w:r>
    </w:p>
    <w:p w:rsidR="00796231"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A different approach using the formulas for the quantities involved in the decay procedure yields the same result. For both</w:t>
      </w:r>
      <m:oMath>
        <m:r>
          <w:rPr>
            <w:rFonts w:ascii="Cambria Math" w:hAnsi="Book Antiqua"/>
            <w:sz w:val="20"/>
          </w:rPr>
          <m:t xml:space="preserve"> </m:t>
        </m:r>
        <m:r>
          <w:rPr>
            <w:rFonts w:ascii="Cambria Math" w:hAnsi="Cambria Math"/>
            <w:sz w:val="20"/>
          </w:rPr>
          <m:t>β</m:t>
        </m:r>
      </m:oMath>
      <w:r w:rsidRPr="00515ED7">
        <w:rPr>
          <w:rFonts w:ascii="Book Antiqua" w:hAnsi="Book Antiqua"/>
          <w:sz w:val="20"/>
        </w:rPr>
        <w:t xml:space="preserve"> decay processes, Von Buttlar defines the decay constant as </w:t>
      </w:r>
      <w:hyperlink r:id="rId973" w:anchor="4a179" w:history="1">
        <w:r w:rsidRPr="00515ED7">
          <w:rPr>
            <w:rStyle w:val="Hyperlink"/>
            <w:rFonts w:ascii="Book Antiqua" w:hAnsi="Book Antiqua"/>
            <w:sz w:val="20"/>
          </w:rPr>
          <w:t>[4]</w:t>
        </w:r>
      </w:hyperlink>
      <w:r w:rsidRPr="00515ED7">
        <w:rPr>
          <w:rFonts w:ascii="Book Antiqua" w:hAnsi="Book Antiqua"/>
          <w:sz w:val="20"/>
        </w:rPr>
        <w:t>:</w:t>
      </w:r>
    </w:p>
    <w:p w:rsidR="00796231" w:rsidRPr="003A1AA9" w:rsidRDefault="00241D2F"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Gf</m:t>
        </m:r>
        <m:r>
          <w:rPr>
            <w:rFonts w:ascii="Cambria Math" w:hAnsi="Book Antiqua"/>
            <w:sz w:val="20"/>
            <w:szCs w:val="20"/>
          </w:rPr>
          <m:t xml:space="preserve"> = </m:t>
        </m:r>
        <m:r>
          <w:rPr>
            <w:rFonts w:ascii="Cambria Math" w:hAnsi="Cambria Math"/>
            <w:sz w:val="20"/>
            <w:szCs w:val="20"/>
          </w:rPr>
          <m:t>m</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2</m:t>
            </m:r>
          </m:sup>
        </m:sSup>
        <m:r>
          <w:rPr>
            <w:rFonts w:ascii="Book Antiqua" w:hAnsi="Cambria Math"/>
            <w:sz w:val="20"/>
            <w:szCs w:val="20"/>
          </w:rPr>
          <m:t>h</m:t>
        </m:r>
        <m:r>
          <w:rPr>
            <w:rFonts w:ascii="Cambria Math" w:hAnsi="Book Antiqua"/>
            <w:sz w:val="20"/>
            <w:szCs w:val="20"/>
          </w:rPr>
          <m:t>)</m:t>
        </m:r>
      </m:oMath>
      <w:r w:rsidR="00796231" w:rsidRPr="003A1AA9">
        <w:rPr>
          <w:rFonts w:ascii="Book Antiqua" w:hAnsi="Book Antiqua"/>
          <w:i/>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 xml:space="preserve"> (4)</w:t>
      </w:r>
    </w:p>
    <w:p w:rsidR="00796231" w:rsidRPr="003A1AA9" w:rsidRDefault="00796231" w:rsidP="00796231">
      <w:pPr>
        <w:pStyle w:val="NormalWeb"/>
        <w:jc w:val="both"/>
        <w:rPr>
          <w:rFonts w:ascii="Book Antiqua" w:hAnsi="Book Antiqua"/>
          <w:sz w:val="20"/>
          <w:szCs w:val="20"/>
        </w:rPr>
      </w:pPr>
      <w:r w:rsidRPr="003A1AA9">
        <w:rPr>
          <w:rFonts w:ascii="Book Antiqua" w:hAnsi="Book Antiqua"/>
          <w:sz w:val="20"/>
          <w:szCs w:val="20"/>
        </w:rPr>
        <w:t xml:space="preserve">Here, </w:t>
      </w:r>
      <m:oMath>
        <m:r>
          <w:rPr>
            <w:rStyle w:val="Emphasis"/>
            <w:rFonts w:ascii="Cambria Math" w:hAnsi="Cambria Math"/>
            <w:sz w:val="20"/>
            <w:szCs w:val="20"/>
          </w:rPr>
          <m:t>M</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nuclear matrix element dependent upon the electrostatic energy of the nucleus, which is unchanged with varying ZPE, as is the </w:t>
      </w:r>
      <w:proofErr w:type="gramStart"/>
      <w:r w:rsidRPr="003A1AA9">
        <w:rPr>
          <w:rFonts w:ascii="Book Antiqua" w:hAnsi="Book Antiqua"/>
          <w:sz w:val="20"/>
          <w:szCs w:val="20"/>
        </w:rPr>
        <w:t xml:space="preserve">constant </w:t>
      </w:r>
      <m:oMath>
        <w:proofErr w:type="gramEnd"/>
        <m:r>
          <w:rPr>
            <w:rStyle w:val="Emphasis"/>
            <w:rFonts w:ascii="Cambria Math" w:hAnsi="Cambria Math"/>
            <w:sz w:val="20"/>
            <w:szCs w:val="20"/>
          </w:rPr>
          <m:t>g</m:t>
        </m:r>
      </m:oMath>
      <w:r w:rsidRPr="003A1AA9">
        <w:rPr>
          <w:rFonts w:ascii="Book Antiqua" w:hAnsi="Book Antiqua"/>
          <w:sz w:val="20"/>
          <w:szCs w:val="20"/>
        </w:rPr>
        <w:t xml:space="preserve">.  As shown in Chapter 4, the term </w:t>
      </w:r>
      <w:r w:rsidRPr="003A1AA9">
        <w:rPr>
          <w:rStyle w:val="Emphasis"/>
          <w:rFonts w:ascii="Book Antiqua" w:hAnsi="Book Antiqua"/>
          <w:sz w:val="20"/>
          <w:szCs w:val="20"/>
        </w:rPr>
        <w:t>(</w:t>
      </w:r>
      <m:oMath>
        <m:r>
          <w:rPr>
            <w:rStyle w:val="Emphasis"/>
            <w:rFonts w:ascii="Cambria Math" w:hAnsi="Cambria Math"/>
            <w:sz w:val="20"/>
            <w:szCs w:val="20"/>
          </w:rPr>
          <m:t>m</m:t>
        </m:r>
        <m:sSup>
          <m:sSupPr>
            <m:ctrlPr>
              <w:rPr>
                <w:rStyle w:val="Emphasis"/>
                <w:rFonts w:ascii="Cambria Math" w:hAnsi="Book Antiqua"/>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3A1AA9">
        <w:rPr>
          <w:rStyle w:val="Emphasis"/>
          <w:rFonts w:ascii="Book Antiqua" w:hAnsi="Book Antiqua"/>
          <w:sz w:val="20"/>
          <w:szCs w:val="20"/>
        </w:rPr>
        <w:t xml:space="preserve">) </w:t>
      </w:r>
      <w:r w:rsidRPr="003A1AA9">
        <w:rPr>
          <w:rFonts w:ascii="Book Antiqua" w:hAnsi="Book Antiqua"/>
          <w:sz w:val="20"/>
          <w:szCs w:val="20"/>
        </w:rPr>
        <w:t xml:space="preserve">is a constant (equations 17 and 19) as energy is conserved in atomic processes. The term </w:t>
      </w:r>
      <m:oMath>
        <m:r>
          <w:rPr>
            <w:rStyle w:val="Emphasis"/>
            <w:rFonts w:ascii="Cambria Math" w:hAnsi="Cambria Math"/>
            <w:sz w:val="20"/>
            <w:szCs w:val="20"/>
          </w:rPr>
          <m:t>f</m:t>
        </m:r>
        <m:r>
          <w:rPr>
            <w:rStyle w:val="Emphasis"/>
            <w:rFonts w:ascii="Cambria Math" w:hAnsi="Book Antiqua"/>
            <w:sz w:val="20"/>
            <w:szCs w:val="20"/>
          </w:rPr>
          <m:t xml:space="preserve"> </m:t>
        </m:r>
      </m:oMath>
      <w:r w:rsidRPr="003A1AA9">
        <w:rPr>
          <w:rFonts w:ascii="Book Antiqua" w:hAnsi="Book Antiqua"/>
          <w:sz w:val="20"/>
          <w:szCs w:val="20"/>
        </w:rPr>
        <w:t xml:space="preserve">is a function of atomic </w:t>
      </w:r>
      <w:proofErr w:type="gramStart"/>
      <w:r w:rsidRPr="003A1AA9">
        <w:rPr>
          <w:rFonts w:ascii="Book Antiqua" w:hAnsi="Book Antiqua"/>
          <w:sz w:val="20"/>
          <w:szCs w:val="20"/>
        </w:rPr>
        <w:t xml:space="preserve">number </w:t>
      </w:r>
      <m:oMath>
        <w:proofErr w:type="gramEnd"/>
        <m:r>
          <w:rPr>
            <w:rStyle w:val="Emphasis"/>
            <w:rFonts w:ascii="Cambria Math" w:hAnsi="Cambria Math"/>
            <w:sz w:val="20"/>
            <w:szCs w:val="20"/>
          </w:rPr>
          <m:t>Z</m:t>
        </m:r>
      </m:oMath>
      <w:r w:rsidRPr="003A1AA9">
        <w:rPr>
          <w:rFonts w:ascii="Book Antiqua" w:hAnsi="Book Antiqua"/>
          <w:sz w:val="20"/>
          <w:szCs w:val="20"/>
        </w:rPr>
        <w:t xml:space="preserve">, and emission energy (related to the energy of the nuclear potential well), and so is unchanged. So for </w:t>
      </w:r>
      <m:oMath>
        <m:r>
          <w:rPr>
            <w:rFonts w:ascii="Cambria Math" w:hAnsi="Cambria Math"/>
            <w:sz w:val="20"/>
            <w:szCs w:val="20"/>
          </w:rPr>
          <m:t>β</m:t>
        </m:r>
      </m:oMath>
      <w:r w:rsidRPr="003A1AA9">
        <w:rPr>
          <w:rFonts w:ascii="Book Antiqua" w:hAnsi="Book Antiqua"/>
          <w:sz w:val="20"/>
          <w:szCs w:val="20"/>
        </w:rPr>
        <w:t xml:space="preserve"> decay processes</w:t>
      </w:r>
    </w:p>
    <w:p w:rsidR="00796231" w:rsidRPr="003A1AA9" w:rsidRDefault="00241D2F"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00796231" w:rsidRPr="003A1AA9">
        <w:rPr>
          <w:rFonts w:ascii="Book Antiqua" w:hAnsi="Book Antiqua"/>
          <w:i/>
          <w:sz w:val="20"/>
          <w:szCs w:val="20"/>
        </w:rPr>
        <w:t xml:space="preserve">  .</w:t>
      </w:r>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(5)</w:t>
      </w:r>
    </w:p>
    <w:p w:rsidR="00796231" w:rsidRPr="003A1AA9" w:rsidRDefault="00796231" w:rsidP="00796231">
      <w:pPr>
        <w:pStyle w:val="NormalWeb"/>
        <w:jc w:val="both"/>
        <w:rPr>
          <w:rFonts w:ascii="Book Antiqua" w:hAnsi="Book Antiqua"/>
          <w:sz w:val="20"/>
          <w:szCs w:val="20"/>
        </w:rPr>
      </w:pPr>
      <w:r w:rsidRPr="003A1AA9">
        <w:rPr>
          <w:rFonts w:ascii="Book Antiqua" w:hAnsi="Book Antiqua"/>
          <w:sz w:val="20"/>
          <w:szCs w:val="20"/>
        </w:rPr>
        <w:t xml:space="preserve">Burcham uses a slightly different approach </w:t>
      </w:r>
      <w:hyperlink r:id="rId974" w:anchor="4a180" w:history="1">
        <w:r w:rsidRPr="003A1AA9">
          <w:rPr>
            <w:rStyle w:val="Hyperlink"/>
            <w:rFonts w:ascii="Book Antiqua" w:hAnsi="Book Antiqua"/>
            <w:sz w:val="20"/>
            <w:szCs w:val="20"/>
          </w:rPr>
          <w:t>[5]</w:t>
        </w:r>
      </w:hyperlink>
      <w:r w:rsidRPr="003A1AA9">
        <w:rPr>
          <w:rFonts w:ascii="Book Antiqua" w:hAnsi="Book Antiqua"/>
          <w:sz w:val="20"/>
          <w:szCs w:val="20"/>
        </w:rPr>
        <w:t xml:space="preserve">.  But whichever approach is used, the decay rate can be shown to be proportional to the speed of light.  This is why we often see the quantity </w:t>
      </w:r>
      <m:oMath>
        <m:r>
          <w:rPr>
            <w:rFonts w:ascii="Cambria Math" w:hAnsi="Cambria Math"/>
            <w:sz w:val="20"/>
            <w:szCs w:val="20"/>
          </w:rPr>
          <m:t>c</m:t>
        </m:r>
      </m:oMath>
      <w:r w:rsidRPr="003A1AA9">
        <w:rPr>
          <w:rFonts w:ascii="Book Antiqua" w:hAnsi="Book Antiqua"/>
          <w:sz w:val="20"/>
          <w:szCs w:val="20"/>
        </w:rPr>
        <w:t xml:space="preserve"> in the numerator of many radio decay rate equations.</w:t>
      </w:r>
    </w:p>
    <w:p w:rsidR="00796231" w:rsidRPr="003A1AA9" w:rsidRDefault="00796231" w:rsidP="00796231">
      <w:pPr>
        <w:pStyle w:val="NormalWeb"/>
        <w:ind w:firstLine="360"/>
        <w:jc w:val="both"/>
        <w:rPr>
          <w:rFonts w:ascii="Book Antiqua" w:hAnsi="Book Antiqua"/>
          <w:sz w:val="20"/>
          <w:szCs w:val="20"/>
        </w:rPr>
      </w:pPr>
      <w:r w:rsidRPr="003A1AA9">
        <w:rPr>
          <w:rFonts w:ascii="Book Antiqua" w:hAnsi="Book Antiqua"/>
          <w:sz w:val="20"/>
          <w:szCs w:val="20"/>
        </w:rPr>
        <w:t>There is a way of looking at Beta decay that parallels the approach used for Alpha decay in a nuclear potential well and may simplify the picture for some. It may be presented in the following way:</w:t>
      </w:r>
    </w:p>
    <w:p w:rsidR="00796231" w:rsidRPr="003A1AA9" w:rsidRDefault="00796231" w:rsidP="00796231">
      <w:pPr>
        <w:pStyle w:val="NormalWeb"/>
        <w:ind w:firstLine="360"/>
        <w:jc w:val="both"/>
        <w:rPr>
          <w:rFonts w:ascii="Book Antiqua" w:hAnsi="Book Antiqua"/>
          <w:sz w:val="20"/>
          <w:szCs w:val="20"/>
        </w:rPr>
      </w:pPr>
      <w:r w:rsidRPr="003A1AA9">
        <w:rPr>
          <w:rFonts w:ascii="Book Antiqua" w:hAnsi="Book Antiqua"/>
          <w:sz w:val="20"/>
          <w:szCs w:val="20"/>
        </w:rPr>
        <w:t xml:space="preserve">In the case of Beta decay an electron (or positron) escapes from a neutron (or proton) which is in the highest energy level of the nuclear potential well. The result is that a proton (or neutron) is left. Therefore, in parallel with the concepts used for the Alpha decay case and equation (2), the term </w:t>
      </w:r>
      <m:oMath>
        <m:r>
          <w:rPr>
            <w:rFonts w:ascii="Cambria Math" w:hAnsi="Cambria Math"/>
            <w:sz w:val="20"/>
            <w:szCs w:val="20"/>
          </w:rPr>
          <m:t>P</m:t>
        </m:r>
      </m:oMath>
      <w:r w:rsidRPr="003A1AA9">
        <w:rPr>
          <w:rFonts w:ascii="Book Antiqua" w:hAnsi="Book Antiqua"/>
          <w:sz w:val="20"/>
          <w:szCs w:val="20"/>
        </w:rPr>
        <w:t xml:space="preserve"> can again be used to refer to the probability of escape. But this time it is the escape of an electron (or positron) from the nuclear potential well of the neutron (or proton) of </w:t>
      </w:r>
      <w:proofErr w:type="gramStart"/>
      <w:r w:rsidRPr="003A1AA9">
        <w:rPr>
          <w:rFonts w:ascii="Book Antiqua" w:hAnsi="Book Antiqua"/>
          <w:sz w:val="20"/>
          <w:szCs w:val="20"/>
        </w:rPr>
        <w:t xml:space="preserve">radius </w:t>
      </w:r>
      <m:oMath>
        <w:proofErr w:type="gramEnd"/>
        <m:r>
          <w:rPr>
            <w:rFonts w:ascii="Cambria Math" w:hAnsi="Cambria Math"/>
            <w:sz w:val="20"/>
            <w:szCs w:val="20"/>
          </w:rPr>
          <m:t>r</m:t>
        </m:r>
      </m:oMath>
      <w:r w:rsidRPr="003A1AA9">
        <w:rPr>
          <w:rFonts w:ascii="Book Antiqua" w:hAnsi="Book Antiqua"/>
          <w:sz w:val="20"/>
          <w:szCs w:val="20"/>
        </w:rPr>
        <w:t>. This probability</w:t>
      </w:r>
      <w:proofErr w:type="gramStart"/>
      <w:r w:rsidRPr="003A1AA9">
        <w:rPr>
          <w:rFonts w:ascii="Book Antiqua" w:hAnsi="Book Antiqua"/>
          <w:sz w:val="20"/>
          <w:szCs w:val="20"/>
        </w:rPr>
        <w:t xml:space="preserve">, </w:t>
      </w:r>
      <m:oMath>
        <w:proofErr w:type="gramEnd"/>
        <m:r>
          <w:rPr>
            <w:rFonts w:ascii="Cambria Math" w:hAnsi="Cambria Math"/>
            <w:sz w:val="20"/>
            <w:szCs w:val="20"/>
          </w:rPr>
          <m:t>P</m:t>
        </m:r>
      </m:oMath>
      <w:r w:rsidRPr="003A1AA9">
        <w:rPr>
          <w:rFonts w:ascii="Book Antiqua" w:hAnsi="Book Antiqua"/>
          <w:sz w:val="20"/>
          <w:szCs w:val="20"/>
        </w:rPr>
        <w:t xml:space="preserve">, is again a constant quantity, as is </w:t>
      </w:r>
      <m:oMath>
        <m:r>
          <w:rPr>
            <w:rFonts w:ascii="Cambria Math" w:hAnsi="Cambria Math"/>
            <w:sz w:val="20"/>
            <w:szCs w:val="20"/>
          </w:rPr>
          <m:t>r</m:t>
        </m:r>
      </m:oMath>
      <w:r w:rsidRPr="003A1AA9">
        <w:rPr>
          <w:rFonts w:ascii="Book Antiqua" w:hAnsi="Book Antiqua"/>
          <w:sz w:val="20"/>
          <w:szCs w:val="20"/>
        </w:rPr>
        <w:t xml:space="preserve">. The electron and a proton go to make up the neutron, but this neutron is in the environment of a nucleus. Because of these conditions, the terms </w:t>
      </w:r>
      <m:oMath>
        <m:r>
          <w:rPr>
            <w:rFonts w:ascii="Cambria Math" w:hAnsi="Cambria Math"/>
            <w:sz w:val="20"/>
            <w:szCs w:val="20"/>
          </w:rPr>
          <m:t>P</m:t>
        </m:r>
      </m:oMath>
      <w:r w:rsidRPr="003A1AA9">
        <w:rPr>
          <w:rFonts w:ascii="Book Antiqua" w:hAnsi="Book Antiqua"/>
          <w:sz w:val="20"/>
          <w:szCs w:val="20"/>
        </w:rPr>
        <w:t xml:space="preserve"> and </w:t>
      </w:r>
      <m:oMath>
        <m:r>
          <w:rPr>
            <w:rFonts w:ascii="Cambria Math" w:hAnsi="Cambria Math"/>
            <w:sz w:val="20"/>
            <w:szCs w:val="20"/>
          </w:rPr>
          <m:t>r</m:t>
        </m:r>
      </m:oMath>
      <w:r w:rsidRPr="003A1AA9">
        <w:rPr>
          <w:rFonts w:ascii="Book Antiqua" w:hAnsi="Book Antiqua"/>
          <w:sz w:val="20"/>
          <w:szCs w:val="20"/>
        </w:rPr>
        <w:t xml:space="preserve"> used in (2) have different magnitudes in the Beta decay case.</w:t>
      </w:r>
    </w:p>
    <w:p w:rsidR="00796231" w:rsidRPr="00515ED7" w:rsidRDefault="00796231" w:rsidP="00796231">
      <w:pPr>
        <w:pStyle w:val="NoSpacing"/>
        <w:jc w:val="both"/>
        <w:rPr>
          <w:rFonts w:ascii="Book Antiqua" w:hAnsi="Book Antiqua"/>
          <w:sz w:val="20"/>
        </w:rPr>
      </w:pPr>
      <w:r w:rsidRPr="00515ED7">
        <w:rPr>
          <w:rFonts w:ascii="Book Antiqua" w:hAnsi="Book Antiqua"/>
          <w:sz w:val="20"/>
        </w:rPr>
        <w:t>So, for Beta decay, a parallel situation exists for an electron (or positron) to escape from a neutron (or proton). In this process a neutrino accompanies the disgorged particle. The decay constant is then dependent again upon the probability of escape</w:t>
      </w:r>
      <w:proofErr w:type="gramStart"/>
      <w:r w:rsidRPr="00515ED7">
        <w:rPr>
          <w:rFonts w:ascii="Book Antiqua" w:hAnsi="Book Antiqua"/>
          <w:sz w:val="20"/>
        </w:rPr>
        <w:t xml:space="preserve">, </w:t>
      </w:r>
      <m:oMath>
        <w:proofErr w:type="gramEnd"/>
        <m:r>
          <w:rPr>
            <w:rFonts w:ascii="Cambria Math" w:hAnsi="Cambria Math"/>
            <w:sz w:val="20"/>
          </w:rPr>
          <m:t>P</m:t>
        </m:r>
      </m:oMath>
      <w:r w:rsidRPr="00515ED7">
        <w:rPr>
          <w:rFonts w:ascii="Book Antiqua" w:hAnsi="Book Antiqua"/>
          <w:sz w:val="20"/>
        </w:rPr>
        <w:t>. When the ZPE is low, it means that there is a higher intrinsic velocity for the electron/positron hitting against the sides of the neutron (or proton) potential well. The decay constant</w:t>
      </w:r>
      <w:proofErr w:type="gramStart"/>
      <w:r w:rsidRPr="00515ED7">
        <w:rPr>
          <w:rFonts w:ascii="Book Antiqua" w:hAnsi="Book Antiqua"/>
          <w:sz w:val="20"/>
        </w:rPr>
        <w:t xml:space="preserve">, </w:t>
      </w:r>
      <m:oMath>
        <w:proofErr w:type="gramEnd"/>
        <m:sSub>
          <m:sSubPr>
            <m:ctrlPr>
              <w:rPr>
                <w:rFonts w:ascii="Cambria Math" w:hAnsi="Book Antiqua"/>
                <w:i/>
                <w:sz w:val="20"/>
              </w:rPr>
            </m:ctrlPr>
          </m:sSubPr>
          <m:e>
            <m:r>
              <w:rPr>
                <w:rFonts w:ascii="Cambria Math" w:hAnsi="Cambria Math"/>
                <w:sz w:val="20"/>
              </w:rPr>
              <m:t>λ</m:t>
            </m:r>
          </m:e>
          <m:sub>
            <m:r>
              <w:rPr>
                <w:rFonts w:ascii="Cambria Math" w:hAnsi="Cambria Math"/>
                <w:sz w:val="20"/>
                <w:vertAlign w:val="subscript"/>
              </w:rPr>
              <m:t>β</m:t>
            </m:r>
          </m:sub>
        </m:sSub>
      </m:oMath>
      <w:r w:rsidRPr="00515ED7">
        <w:rPr>
          <w:rFonts w:ascii="Book Antiqua" w:hAnsi="Book Antiqua"/>
          <w:sz w:val="20"/>
        </w:rPr>
        <w:t>, could then be considered to have the same form as for the alpha decay case, namely</w:t>
      </w:r>
    </w:p>
    <w:p w:rsidR="00796231" w:rsidRPr="003A1AA9" w:rsidRDefault="00796231" w:rsidP="00796231">
      <w:pPr>
        <w:ind w:firstLine="720"/>
        <w:jc w:val="both"/>
        <w:rPr>
          <w:rFonts w:ascii="Book Antiqua" w:hAnsi="Book Antiqua"/>
        </w:rPr>
      </w:pPr>
    </w:p>
    <w:p w:rsidR="00796231" w:rsidRPr="003A1AA9" w:rsidRDefault="00241D2F" w:rsidP="00796231">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β</m:t>
            </m:r>
          </m:sub>
        </m:sSub>
        <m:r>
          <w:rPr>
            <w:rFonts w:ascii="Cambria Math" w:hAnsi="Book Antiqua"/>
          </w:rPr>
          <m:t xml:space="preserve"> = </m:t>
        </m:r>
        <m:r>
          <w:rPr>
            <w:rFonts w:ascii="Cambria Math" w:hAnsi="Cambria Math"/>
          </w:rPr>
          <m:t>Pv</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i/>
        </w:rPr>
        <w:t>(6)</w:t>
      </w:r>
    </w:p>
    <w:p w:rsidR="00C77CC0" w:rsidRDefault="00C77CC0" w:rsidP="00796231">
      <w:pPr>
        <w:pStyle w:val="NoSpacing"/>
        <w:jc w:val="both"/>
        <w:rPr>
          <w:rFonts w:ascii="Book Antiqua" w:hAnsi="Book Antiqua"/>
          <w:sz w:val="20"/>
        </w:rPr>
      </w:pPr>
    </w:p>
    <w:p w:rsidR="00796231" w:rsidRDefault="00796231" w:rsidP="00796231">
      <w:pPr>
        <w:pStyle w:val="NoSpacing"/>
        <w:jc w:val="both"/>
        <w:rPr>
          <w:rFonts w:ascii="Book Antiqua" w:hAnsi="Book Antiqua"/>
          <w:sz w:val="20"/>
        </w:rPr>
      </w:pPr>
      <w:r w:rsidRPr="00515ED7">
        <w:rPr>
          <w:rFonts w:ascii="Book Antiqua" w:hAnsi="Book Antiqua"/>
          <w:sz w:val="20"/>
        </w:rPr>
        <w:t>In (6), since both</w:t>
      </w:r>
      <m:oMath>
        <m:r>
          <w:rPr>
            <w:rFonts w:ascii="Cambria Math" w:hAnsi="Book Antiqua"/>
            <w:sz w:val="20"/>
          </w:rPr>
          <m:t xml:space="preserve"> </m:t>
        </m:r>
        <m:r>
          <w:rPr>
            <w:rFonts w:ascii="Cambria Math" w:hAnsi="Cambria Math"/>
            <w:sz w:val="20"/>
          </w:rPr>
          <m:t>P</m:t>
        </m:r>
      </m:oMath>
      <w:r w:rsidRPr="00515ED7">
        <w:rPr>
          <w:rFonts w:ascii="Book Antiqua" w:hAnsi="Book Antiqua"/>
          <w:sz w:val="20"/>
        </w:rPr>
        <w:t xml:space="preserve"> and </w:t>
      </w:r>
      <m:oMath>
        <m:r>
          <w:rPr>
            <w:rFonts w:ascii="Cambria Math" w:hAnsi="Cambria Math"/>
            <w:sz w:val="20"/>
          </w:rPr>
          <m:t>r</m:t>
        </m:r>
      </m:oMath>
      <w:r w:rsidRPr="00515ED7">
        <w:rPr>
          <w:rFonts w:ascii="Book Antiqua" w:hAnsi="Book Antiqua"/>
          <w:sz w:val="20"/>
        </w:rPr>
        <w:t xml:space="preserve"> are constant quantities, the decay constant is again dependent upon particle velocity, </w:t>
      </w:r>
      <m:oMath>
        <m:r>
          <w:rPr>
            <w:rFonts w:ascii="Cambria Math" w:hAnsi="Cambria Math"/>
            <w:sz w:val="20"/>
          </w:rPr>
          <m:t>v</m:t>
        </m:r>
      </m:oMath>
      <w:r w:rsidRPr="00515ED7">
        <w:rPr>
          <w:rFonts w:ascii="Book Antiqua" w:hAnsi="Book Antiqua"/>
          <w:sz w:val="20"/>
        </w:rPr>
        <w:t xml:space="preserve"> which is inversely proportional to the ZPE strength, </w:t>
      </w:r>
      <m:oMath>
        <m:r>
          <w:rPr>
            <w:rFonts w:ascii="Cambria Math" w:hAnsi="Cambria Math"/>
            <w:sz w:val="20"/>
          </w:rPr>
          <m:t>U</m:t>
        </m:r>
      </m:oMath>
      <w:r w:rsidRPr="00515ED7">
        <w:rPr>
          <w:rFonts w:ascii="Book Antiqua" w:hAnsi="Book Antiqua"/>
          <w:sz w:val="20"/>
        </w:rPr>
        <w:t>.</w:t>
      </w:r>
    </w:p>
    <w:p w:rsidR="00796231" w:rsidRPr="00515ED7" w:rsidRDefault="00796231" w:rsidP="00796231">
      <w:pPr>
        <w:pStyle w:val="NoSpacing"/>
        <w:jc w:val="both"/>
        <w:rPr>
          <w:rFonts w:ascii="Book Antiqua" w:hAnsi="Book Antiqua"/>
          <w:sz w:val="20"/>
        </w:rPr>
      </w:pPr>
    </w:p>
    <w:p w:rsidR="00796231" w:rsidRPr="002C11EB" w:rsidRDefault="00796231" w:rsidP="00796231">
      <w:pPr>
        <w:pStyle w:val="NormalWeb"/>
        <w:numPr>
          <w:ilvl w:val="0"/>
          <w:numId w:val="66"/>
        </w:numPr>
        <w:spacing w:before="0" w:beforeAutospacing="0" w:after="240" w:afterAutospacing="0" w:line="210" w:lineRule="atLeast"/>
        <w:jc w:val="both"/>
        <w:rPr>
          <w:rFonts w:ascii="Book Antiqua" w:hAnsi="Book Antiqua"/>
          <w:b/>
          <w:sz w:val="20"/>
          <w:szCs w:val="20"/>
        </w:rPr>
      </w:pPr>
      <w:r w:rsidRPr="002C11EB">
        <w:rPr>
          <w:rFonts w:ascii="Book Antiqua" w:hAnsi="Book Antiqua"/>
          <w:b/>
          <w:sz w:val="20"/>
          <w:szCs w:val="20"/>
        </w:rPr>
        <w:t>Electron or “K-Capture” Processes</w:t>
      </w: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Electron capture occurs when an electron from the innermost shell of orbiting electrons, the K shell, is captured by the nucleus, and a neutrino (a high energy particle with very little mass) is emitted. The proton which captured the electron becomes a neutron. Electron capture is likely to occur when there is an excess of protons.  Ordinarily, such proton-rich nuclei would correct the imbalance by a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515ED7">
        <w:rPr>
          <w:rFonts w:ascii="Book Antiqua" w:hAnsi="Book Antiqua"/>
          <w:sz w:val="20"/>
        </w:rPr>
        <w:t xml:space="preserve"> decay process. However, in some of these cases, the energy difference between the initial and final states will be too small for a Beta decay to occur. In these cases the only possible way for the proton-rich nucleus to correct its imbalance is to capture an electron orbiting close to the nucleus. </w:t>
      </w:r>
    </w:p>
    <w:p w:rsidR="00796231" w:rsidRPr="003A1AA9" w:rsidRDefault="00796231" w:rsidP="00796231">
      <w:pPr>
        <w:pStyle w:val="NormalWeb"/>
        <w:spacing w:before="0" w:beforeAutospacing="0" w:after="240" w:afterAutospacing="0" w:line="210" w:lineRule="atLeast"/>
        <w:ind w:left="360"/>
        <w:jc w:val="both"/>
        <w:rPr>
          <w:rFonts w:ascii="Book Antiqua" w:hAnsi="Book Antiqua"/>
          <w:b/>
          <w:sz w:val="20"/>
          <w:szCs w:val="20"/>
        </w:rPr>
      </w:pPr>
    </w:p>
    <w:p w:rsidR="00796231" w:rsidRPr="003A1AA9" w:rsidRDefault="00796231" w:rsidP="00796231">
      <w:pPr>
        <w:pStyle w:val="Default"/>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2757232" cy="3188874"/>
            <wp:effectExtent l="19050" t="0" r="5018" b="0"/>
            <wp:docPr id="178" name="il_fi" descr="http://mail.rdcrd.ab.ca/~smolesky/Physics30/5Matter/MatterPics/radioactive%20decay/electron%20capture%20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il.rdcrd.ab.ca/~smolesky/Physics30/5Matter/MatterPics/radioactive%20decay/electron%20capture%20example.jpg"/>
                    <pic:cNvPicPr>
                      <a:picLocks noChangeAspect="1" noChangeArrowheads="1"/>
                    </pic:cNvPicPr>
                  </pic:nvPicPr>
                  <pic:blipFill>
                    <a:blip r:embed="rId975" cstate="print"/>
                    <a:srcRect r="-45" b="1965"/>
                    <a:stretch>
                      <a:fillRect/>
                    </a:stretch>
                  </pic:blipFill>
                  <pic:spPr bwMode="auto">
                    <a:xfrm>
                      <a:off x="0" y="0"/>
                      <a:ext cx="2768243" cy="3201608"/>
                    </a:xfrm>
                    <a:prstGeom prst="rect">
                      <a:avLst/>
                    </a:prstGeom>
                    <a:noFill/>
                    <a:ln w="9525">
                      <a:noFill/>
                      <a:miter lim="800000"/>
                      <a:headEnd/>
                      <a:tailEnd/>
                    </a:ln>
                  </pic:spPr>
                </pic:pic>
              </a:graphicData>
            </a:graphic>
          </wp:inline>
        </w:drawing>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Default"/>
        <w:rPr>
          <w:rFonts w:ascii="Book Antiqua" w:hAnsi="Book Antiqua"/>
          <w:sz w:val="20"/>
          <w:szCs w:val="20"/>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4:</w:t>
      </w:r>
      <w:r w:rsidRPr="005830E6">
        <w:rPr>
          <w:rFonts w:ascii="Book Antiqua" w:hAnsi="Book Antiqua"/>
          <w:i/>
          <w:sz w:val="18"/>
          <w:szCs w:val="18"/>
        </w:rPr>
        <w:t xml:space="preserve"> Electron capture illustrated (1). One electron from the innermost or K shell is captured by a proton in the nucleus to form a neutron. This decreases the number of protons thereby reducing the pressure exerted on the nucleus by an excess of positive charges.</w:t>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NormalWeb"/>
        <w:jc w:val="center"/>
        <w:rPr>
          <w:rFonts w:ascii="Book Antiqua" w:hAnsi="Book Antiqua"/>
          <w:sz w:val="20"/>
          <w:szCs w:val="20"/>
        </w:rPr>
      </w:pPr>
      <w:r w:rsidRPr="003A1AA9">
        <w:rPr>
          <w:rFonts w:ascii="Book Antiqua" w:hAnsi="Book Antiqua"/>
          <w:noProof/>
          <w:sz w:val="20"/>
          <w:szCs w:val="20"/>
        </w:rPr>
        <w:drawing>
          <wp:inline distT="0" distB="0" distL="0" distR="0">
            <wp:extent cx="3285203" cy="2351315"/>
            <wp:effectExtent l="19050" t="0" r="0" b="0"/>
            <wp:docPr id="179" name="il_fi" descr="http://nuclearpowertraining.tpub.com/h1019v1/img/h1019v1_4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uclearpowertraining.tpub.com/h1019v1/img/h1019v1_49_1.jpg"/>
                    <pic:cNvPicPr>
                      <a:picLocks noChangeAspect="1" noChangeArrowheads="1"/>
                    </pic:cNvPicPr>
                  </pic:nvPicPr>
                  <pic:blipFill>
                    <a:blip r:embed="rId976" cstate="print">
                      <a:lum contrast="-10000"/>
                    </a:blip>
                    <a:srcRect/>
                    <a:stretch>
                      <a:fillRect/>
                    </a:stretch>
                  </pic:blipFill>
                  <pic:spPr bwMode="auto">
                    <a:xfrm>
                      <a:off x="0" y="0"/>
                      <a:ext cx="3294104" cy="2357685"/>
                    </a:xfrm>
                    <a:prstGeom prst="rect">
                      <a:avLst/>
                    </a:prstGeom>
                    <a:noFill/>
                    <a:ln w="9525">
                      <a:noFill/>
                      <a:miter lim="800000"/>
                      <a:headEnd/>
                      <a:tailEnd/>
                    </a:ln>
                  </pic:spPr>
                </pic:pic>
              </a:graphicData>
            </a:graphic>
          </wp:inline>
        </w:drawing>
      </w:r>
    </w:p>
    <w:p w:rsidR="00796231" w:rsidRPr="005830E6" w:rsidRDefault="00796231" w:rsidP="00796231">
      <w:pPr>
        <w:pStyle w:val="NormalWeb"/>
        <w:rPr>
          <w:rFonts w:ascii="Book Antiqua" w:hAnsi="Book Antiqua"/>
          <w:i/>
          <w:sz w:val="18"/>
          <w:szCs w:val="18"/>
        </w:rPr>
      </w:pPr>
      <w:r w:rsidRPr="005830E6">
        <w:rPr>
          <w:rFonts w:ascii="Book Antiqua" w:hAnsi="Book Antiqua"/>
          <w:b/>
          <w:i/>
          <w:sz w:val="18"/>
          <w:szCs w:val="18"/>
        </w:rPr>
        <w:t>Figure 5:</w:t>
      </w:r>
      <w:r w:rsidRPr="005830E6">
        <w:rPr>
          <w:rFonts w:ascii="Book Antiqua" w:hAnsi="Book Antiqua"/>
          <w:i/>
          <w:sz w:val="18"/>
          <w:szCs w:val="18"/>
        </w:rPr>
        <w:t xml:space="preserve"> Electron capture illustrated (2). An electron is taken from the K shell by the nucleus. This leaves a gap in the K shell. This gap is filled by an electron falling into the K shell from an orbit further out. As it does this, the electron gives up its excess energy as an X-ray.</w:t>
      </w:r>
    </w:p>
    <w:p w:rsidR="00796231" w:rsidRDefault="00796231" w:rsidP="00796231">
      <w:pPr>
        <w:pStyle w:val="NoSpacing"/>
        <w:ind w:firstLine="720"/>
        <w:jc w:val="both"/>
        <w:rPr>
          <w:rFonts w:ascii="Book Antiqua" w:hAnsi="Book Antiqua"/>
          <w:sz w:val="20"/>
        </w:rPr>
      </w:pPr>
      <w:r w:rsidRPr="00515ED7">
        <w:rPr>
          <w:rFonts w:ascii="Book Antiqua" w:hAnsi="Book Antiqua"/>
          <w:sz w:val="20"/>
        </w:rPr>
        <w:t xml:space="preserve">Although the standard Bohr picture of the electron orbit portrays it as circular, in actual fact a better picture is one where these orbits may be considered as being elliptical with the nucleus at the focus of the ellipse. Arnold J. W. Sommerfeld pointed this out in 1916. Thus with an elliptical orbit, there are times in each circuit when the electron is closer to the nucleus than the rest of the orbit and is open to capture. This electron is usually from the K shell, which is closest to the nucleus. This is why it is often called a K-Capture process. </w:t>
      </w:r>
    </w:p>
    <w:p w:rsidR="00796231" w:rsidRPr="00515ED7" w:rsidRDefault="00796231" w:rsidP="00796231">
      <w:pPr>
        <w:pStyle w:val="NoSpacing"/>
        <w:ind w:firstLine="720"/>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lastRenderedPageBreak/>
        <w:t>All radio decay processes go from a high energy state to a lower energy state.  In the case of the K-Capture process, the released neutrino carries off much of the excess energy. However, if there is still an excess of energy after that, it is usually given off as an additional gamma ray, which is pure energy. Furthermore, since there is now an electron missing in the inner shell, an electron from further out falls into the K shell to make up the deficit. In so doing it, too, gives up extra energy.  This energy normally appears as an X-ray.  The process is illustrated in Figures 4 and 5.</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515ED7">
        <w:rPr>
          <w:rFonts w:ascii="Book Antiqua" w:hAnsi="Book Antiqua"/>
          <w:sz w:val="20"/>
        </w:rPr>
        <w:t>In a similar way to which Beta decay was expressed in terms of the picture presented for Alpha decay, we can also do something similar with electron capture. This presents a simplified picture in the following terms:</w:t>
      </w:r>
    </w:p>
    <w:p w:rsidR="00796231"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For electron capture, there is an excess of protons in the nucleus which attract the closest orbiting electrons, usually in the K shell. Again, for this picture of the process, we accept that the electron orbits are elliptical with the nucleus at one focus. Therefore, once each orbit, the innermost electron</w:t>
      </w:r>
      <w:r>
        <w:rPr>
          <w:rFonts w:ascii="Book Antiqua" w:hAnsi="Book Antiqua"/>
          <w:sz w:val="20"/>
        </w:rPr>
        <w:t>s</w:t>
      </w:r>
      <w:r w:rsidRPr="00515ED7">
        <w:rPr>
          <w:rFonts w:ascii="Book Antiqua" w:hAnsi="Book Antiqua"/>
          <w:sz w:val="20"/>
        </w:rPr>
        <w:t xml:space="preserve"> come very close to the nucleus.</w:t>
      </w:r>
      <w:r>
        <w:rPr>
          <w:rFonts w:ascii="Book Antiqua" w:hAnsi="Book Antiqua"/>
          <w:sz w:val="20"/>
        </w:rPr>
        <w:t xml:space="preserve">  The electrostatic forces of attraction are unchanged, but w</w:t>
      </w:r>
      <w:r w:rsidRPr="00515ED7">
        <w:rPr>
          <w:rFonts w:ascii="Book Antiqua" w:hAnsi="Book Antiqua"/>
          <w:sz w:val="20"/>
        </w:rPr>
        <w:t>hen the ZPE is lower, electron masses were also lower, proportional to</w:t>
      </w:r>
      <m:oMath>
        <m:r>
          <w:rPr>
            <w:rFonts w:ascii="Cambria Math" w:hAnsi="Book Antiqua"/>
            <w:sz w:val="20"/>
          </w:rPr>
          <m:t xml:space="preserve"> 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 </w:t>
      </w:r>
      <w:proofErr w:type="gramStart"/>
      <w:r w:rsidRPr="00515ED7">
        <w:rPr>
          <w:rFonts w:ascii="Book Antiqua" w:hAnsi="Book Antiqua"/>
          <w:sz w:val="20"/>
        </w:rPr>
        <w:t xml:space="preserve">or </w:t>
      </w:r>
      <m:oMath>
        <w:proofErr w:type="gramEnd"/>
        <m:sSup>
          <m:sSupPr>
            <m:ctrlPr>
              <w:rPr>
                <w:rFonts w:ascii="Cambria Math" w:eastAsiaTheme="minorHAnsi" w:hAnsi="Book Antiqua" w:cstheme="minorBidi"/>
                <w:i/>
                <w:sz w:val="20"/>
              </w:rPr>
            </m:ctrlPr>
          </m:sSupPr>
          <m:e>
            <m:r>
              <w:rPr>
                <w:rFonts w:ascii="Cambria Math" w:hAnsi="Cambria Math"/>
                <w:sz w:val="20"/>
              </w:rPr>
              <m:t>U</m:t>
            </m:r>
          </m:e>
          <m:sup>
            <m:r>
              <w:rPr>
                <w:rFonts w:ascii="Cambria Math" w:hAnsi="Book Antiqua"/>
                <w:sz w:val="20"/>
              </w:rPr>
              <m:t>2</m:t>
            </m:r>
          </m:sup>
        </m:sSup>
      </m:oMath>
      <w:r w:rsidRPr="00515ED7">
        <w:rPr>
          <w:rFonts w:ascii="Book Antiqua" w:eastAsiaTheme="minorEastAsia" w:hAnsi="Book Antiqua"/>
          <w:sz w:val="20"/>
        </w:rPr>
        <w:t xml:space="preserve">. </w:t>
      </w:r>
      <w:r>
        <w:rPr>
          <w:rFonts w:ascii="Book Antiqua" w:eastAsiaTheme="minorEastAsia" w:hAnsi="Book Antiqua"/>
          <w:sz w:val="20"/>
        </w:rPr>
        <w:t>T</w:t>
      </w:r>
      <w:r w:rsidRPr="00515ED7">
        <w:rPr>
          <w:rFonts w:ascii="Book Antiqua" w:eastAsiaTheme="minorEastAsia" w:hAnsi="Book Antiqua"/>
          <w:sz w:val="20"/>
        </w:rPr>
        <w:t>his means that</w:t>
      </w:r>
      <w:r w:rsidRPr="00515ED7">
        <w:rPr>
          <w:rFonts w:ascii="Book Antiqua" w:hAnsi="Book Antiqua"/>
          <w:sz w:val="20"/>
        </w:rPr>
        <w:t xml:space="preserve"> the attract</w:t>
      </w:r>
      <w:r>
        <w:rPr>
          <w:rFonts w:ascii="Book Antiqua" w:hAnsi="Book Antiqua"/>
          <w:sz w:val="20"/>
        </w:rPr>
        <w:t>ive force per particle</w:t>
      </w:r>
      <w:proofErr w:type="gramStart"/>
      <w:r>
        <w:rPr>
          <w:rFonts w:ascii="Book Antiqua" w:hAnsi="Book Antiqua"/>
          <w:sz w:val="20"/>
        </w:rPr>
        <w:t xml:space="preserve">, </w:t>
      </w:r>
      <m:oMath>
        <w:proofErr w:type="gramEnd"/>
        <m:r>
          <w:rPr>
            <w:rFonts w:ascii="Cambria Math" w:hAnsi="Cambria Math"/>
            <w:sz w:val="20"/>
          </w:rPr>
          <m:t>F</m:t>
        </m:r>
        <m:r>
          <w:rPr>
            <w:rFonts w:ascii="Cambria Math" w:hAnsi="Book Antiqua"/>
            <w:sz w:val="20"/>
          </w:rPr>
          <m:t>/</m:t>
        </m:r>
        <m:r>
          <w:rPr>
            <w:rFonts w:ascii="Cambria Math" w:hAnsi="Cambria Math"/>
            <w:sz w:val="20"/>
          </w:rPr>
          <m:t>m</m:t>
        </m:r>
      </m:oMath>
      <w:r>
        <w:rPr>
          <w:rFonts w:ascii="Book Antiqua" w:hAnsi="Book Antiqua"/>
          <w:sz w:val="20"/>
        </w:rPr>
        <w:t>,</w:t>
      </w:r>
      <w:r w:rsidRPr="00515ED7">
        <w:rPr>
          <w:rFonts w:ascii="Book Antiqua" w:hAnsi="Book Antiqua"/>
          <w:sz w:val="20"/>
        </w:rPr>
        <w:t xml:space="preserve"> w</w:t>
      </w:r>
      <w:r>
        <w:rPr>
          <w:rFonts w:ascii="Book Antiqua" w:hAnsi="Book Antiqua"/>
          <w:sz w:val="20"/>
        </w:rPr>
        <w:t>as</w:t>
      </w:r>
      <w:r w:rsidRPr="00515ED7">
        <w:rPr>
          <w:rFonts w:ascii="Book Antiqua" w:hAnsi="Book Antiqua"/>
          <w:sz w:val="20"/>
        </w:rPr>
        <w:t xml:space="preserve"> effectively stronger for each electron in the K shell</w:t>
      </w:r>
      <w:r>
        <w:rPr>
          <w:rFonts w:ascii="Book Antiqua" w:hAnsi="Book Antiqua"/>
          <w:sz w:val="20"/>
        </w:rPr>
        <w:t xml:space="preserve">, being </w:t>
      </w:r>
      <w:r w:rsidRPr="00515ED7">
        <w:rPr>
          <w:rFonts w:ascii="Book Antiqua" w:hAnsi="Book Antiqua"/>
          <w:sz w:val="20"/>
        </w:rPr>
        <w:t xml:space="preserve">proportional to </w:t>
      </w:r>
      <m:oMath>
        <m:sSup>
          <m:sSupPr>
            <m:ctrlPr>
              <w:rPr>
                <w:rFonts w:ascii="Cambria Math" w:eastAsiaTheme="minorHAnsi" w:hAnsi="Book Antiqua" w:cstheme="minorBidi"/>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w:t>
      </w:r>
      <w:r>
        <w:rPr>
          <w:rFonts w:ascii="Book Antiqua" w:hAnsi="Book Antiqua"/>
          <w:sz w:val="20"/>
        </w:rPr>
        <w:t xml:space="preserve">  Since electron velocities were higher, this means that the particle spent a shorter time in the vicinity of the nucleus, proportional </w:t>
      </w:r>
      <w:proofErr w:type="gramStart"/>
      <w:r>
        <w:rPr>
          <w:rFonts w:ascii="Book Antiqua" w:hAnsi="Book Antiqua"/>
          <w:sz w:val="20"/>
        </w:rPr>
        <w:t xml:space="preserve">to </w:t>
      </w:r>
      <m:oMath>
        <w:proofErr w:type="gramEnd"/>
        <m:r>
          <w:rPr>
            <w:rFonts w:ascii="Cambria Math" w:hAnsi="Cambria Math"/>
            <w:sz w:val="20"/>
          </w:rPr>
          <m:t>1/c</m:t>
        </m:r>
      </m:oMath>
      <w:r>
        <w:rPr>
          <w:rFonts w:ascii="Book Antiqua" w:hAnsi="Book Antiqua"/>
          <w:sz w:val="20"/>
        </w:rPr>
        <w:t xml:space="preserve">. This means that the electron’s chances of being captured by the nucleus per unit time were proportional to </w:t>
      </w:r>
      <m:oMath>
        <m:r>
          <w:rPr>
            <w:rFonts w:ascii="Cambria Math" w:hAnsi="Cambria Math"/>
            <w:sz w:val="20"/>
          </w:rPr>
          <m:t>c</m:t>
        </m:r>
      </m:oMath>
      <w:r w:rsidRPr="00515ED7">
        <w:rPr>
          <w:rFonts w:ascii="Book Antiqua" w:hAnsi="Book Antiqua"/>
          <w:sz w:val="20"/>
        </w:rPr>
        <w:t xml:space="preserve"> or </w:t>
      </w:r>
      <m:oMath>
        <m:r>
          <w:rPr>
            <w:rFonts w:ascii="Cambria Math" w:hAnsi="Book Antiqua"/>
            <w:sz w:val="20"/>
          </w:rPr>
          <m:t>1/</m:t>
        </m:r>
        <m:r>
          <w:rPr>
            <w:rFonts w:ascii="Cambria Math" w:hAnsi="Cambria Math"/>
            <w:sz w:val="20"/>
          </w:rPr>
          <m:t>U</m:t>
        </m:r>
      </m:oMath>
      <w:r w:rsidRPr="00515ED7">
        <w:rPr>
          <w:rFonts w:ascii="Book Antiqua" w:hAnsi="Book Antiqua"/>
          <w:i/>
          <w:sz w:val="20"/>
        </w:rPr>
        <w:t xml:space="preserve"> </w:t>
      </w:r>
      <w:proofErr w:type="gramStart"/>
      <w:r w:rsidRPr="00515ED7">
        <w:rPr>
          <w:rFonts w:ascii="Book Antiqua" w:hAnsi="Book Antiqua"/>
          <w:sz w:val="20"/>
        </w:rPr>
        <w:t>or</w:t>
      </w:r>
      <w:r w:rsidRPr="00515ED7">
        <w:rPr>
          <w:rFonts w:ascii="Book Antiqua" w:hAnsi="Book Antiqua"/>
          <w:i/>
          <w:sz w:val="20"/>
        </w:rPr>
        <w:t xml:space="preserve"> </w:t>
      </w:r>
      <m:oMath>
        <w:proofErr w:type="gramEnd"/>
        <m:r>
          <w:rPr>
            <w:rFonts w:ascii="Cambria Math" w:hAnsi="Book Antiqua"/>
            <w:sz w:val="20"/>
          </w:rPr>
          <m:t>1/</m:t>
        </m:r>
        <m:r>
          <w:rPr>
            <w:rFonts w:ascii="Cambria Math" w:hAnsi="Cambria Math"/>
            <w:sz w:val="20"/>
          </w:rPr>
          <m:t>h</m:t>
        </m:r>
      </m:oMath>
      <w:r w:rsidRPr="00515ED7">
        <w:rPr>
          <w:rFonts w:ascii="Book Antiqua" w:hAnsi="Book Antiqua"/>
          <w:sz w:val="20"/>
        </w:rPr>
        <w:t>.</w:t>
      </w:r>
      <w:r>
        <w:rPr>
          <w:rFonts w:ascii="Book Antiqua" w:hAnsi="Book Antiqua"/>
          <w:sz w:val="20"/>
        </w:rPr>
        <w:t xml:space="preserve">  If we label this chance of capture per unit time as</w:t>
      </w:r>
      <m:oMath>
        <m:r>
          <w:rPr>
            <w:rFonts w:ascii="Cambria Math" w:hAnsi="Cambria Math"/>
            <w:sz w:val="20"/>
          </w:rPr>
          <m:t xml:space="preserve"> P</m:t>
        </m:r>
      </m:oMath>
      <w:r>
        <w:rPr>
          <w:rFonts w:ascii="Book Antiqua" w:hAnsi="Book Antiqua"/>
          <w:sz w:val="20"/>
        </w:rPr>
        <w:t xml:space="preserve">, then </w:t>
      </w:r>
      <m:oMath>
        <m:r>
          <w:rPr>
            <w:rFonts w:ascii="Cambria Math" w:hAnsi="Cambria Math"/>
            <w:sz w:val="20"/>
          </w:rPr>
          <m:t>P</m:t>
        </m:r>
      </m:oMath>
      <w:r>
        <w:rPr>
          <w:rFonts w:ascii="Book Antiqua" w:hAnsi="Book Antiqua"/>
          <w:sz w:val="20"/>
        </w:rPr>
        <w:t xml:space="preserve"> is proportional to </w:t>
      </w:r>
      <m:oMath>
        <m:r>
          <w:rPr>
            <w:rFonts w:ascii="Cambria Math" w:hAnsi="Cambria Math"/>
            <w:sz w:val="20"/>
          </w:rPr>
          <m:t>c</m:t>
        </m:r>
      </m:oMath>
      <w:r w:rsidRPr="00515ED7">
        <w:rPr>
          <w:rFonts w:ascii="Book Antiqua" w:hAnsi="Book Antiqua"/>
          <w:sz w:val="20"/>
        </w:rPr>
        <w:t xml:space="preserve"> or </w:t>
      </w:r>
      <m:oMath>
        <m:r>
          <w:rPr>
            <w:rFonts w:ascii="Cambria Math" w:hAnsi="Book Antiqua"/>
            <w:sz w:val="20"/>
          </w:rPr>
          <m:t>1/</m:t>
        </m:r>
        <m:r>
          <w:rPr>
            <w:rFonts w:ascii="Cambria Math" w:hAnsi="Cambria Math"/>
            <w:sz w:val="20"/>
          </w:rPr>
          <m:t>U</m:t>
        </m:r>
      </m:oMath>
      <w:r w:rsidRPr="00515ED7">
        <w:rPr>
          <w:rFonts w:ascii="Book Antiqua" w:hAnsi="Book Antiqua"/>
          <w:i/>
          <w:sz w:val="20"/>
        </w:rPr>
        <w:t xml:space="preserve"> </w:t>
      </w:r>
      <w:proofErr w:type="gramStart"/>
      <w:r w:rsidRPr="00515ED7">
        <w:rPr>
          <w:rFonts w:ascii="Book Antiqua" w:hAnsi="Book Antiqua"/>
          <w:sz w:val="20"/>
        </w:rPr>
        <w:t>or</w:t>
      </w:r>
      <w:r w:rsidRPr="00515ED7">
        <w:rPr>
          <w:rFonts w:ascii="Book Antiqua" w:hAnsi="Book Antiqua"/>
          <w:i/>
          <w:sz w:val="20"/>
        </w:rPr>
        <w:t xml:space="preserve"> </w:t>
      </w:r>
      <m:oMath>
        <w:proofErr w:type="gramEnd"/>
        <m:r>
          <w:rPr>
            <w:rFonts w:ascii="Cambria Math" w:hAnsi="Book Antiqua"/>
            <w:sz w:val="20"/>
          </w:rPr>
          <m:t>1/</m:t>
        </m:r>
        <m:r>
          <w:rPr>
            <w:rFonts w:ascii="Cambria Math" w:hAnsi="Cambria Math"/>
            <w:sz w:val="20"/>
          </w:rPr>
          <m:t>h</m:t>
        </m:r>
      </m:oMath>
      <w:r w:rsidRPr="00515ED7">
        <w:rPr>
          <w:rFonts w:ascii="Book Antiqua" w:hAnsi="Book Antiqua"/>
          <w:sz w:val="20"/>
        </w:rPr>
        <w:t>.</w:t>
      </w:r>
      <w:r>
        <w:rPr>
          <w:rFonts w:ascii="Book Antiqua" w:hAnsi="Book Antiqua"/>
          <w:sz w:val="20"/>
        </w:rPr>
        <w:t xml:space="preserve"> The only other factor involved is the distance of the electron from the nuclear potential well</w:t>
      </w:r>
      <w:proofErr w:type="gramStart"/>
      <w:r>
        <w:rPr>
          <w:rFonts w:ascii="Book Antiqua" w:hAnsi="Book Antiqua"/>
          <w:sz w:val="20"/>
        </w:rPr>
        <w:t xml:space="preserve">, </w:t>
      </w:r>
      <m:oMath>
        <w:proofErr w:type="gramEnd"/>
        <m:r>
          <w:rPr>
            <w:rFonts w:ascii="Cambria Math" w:hAnsi="Cambria Math"/>
            <w:sz w:val="20"/>
          </w:rPr>
          <m:t>r</m:t>
        </m:r>
      </m:oMath>
      <w:r>
        <w:rPr>
          <w:rFonts w:ascii="Book Antiqua" w:hAnsi="Book Antiqua"/>
          <w:sz w:val="20"/>
        </w:rPr>
        <w:t xml:space="preserve">. </w:t>
      </w:r>
      <w:r w:rsidRPr="00515ED7">
        <w:rPr>
          <w:rFonts w:ascii="Book Antiqua" w:hAnsi="Book Antiqua"/>
          <w:sz w:val="20"/>
        </w:rPr>
        <w:t>As a consequence</w:t>
      </w:r>
      <w:r>
        <w:rPr>
          <w:rFonts w:ascii="Book Antiqua" w:hAnsi="Book Antiqua"/>
          <w:sz w:val="20"/>
        </w:rPr>
        <w:t xml:space="preserve"> we can</w:t>
      </w:r>
      <w:r w:rsidRPr="00515ED7">
        <w:rPr>
          <w:rFonts w:ascii="Book Antiqua" w:hAnsi="Book Antiqua"/>
          <w:sz w:val="20"/>
        </w:rPr>
        <w:t xml:space="preserve"> write that for electron capture,</w:t>
      </w:r>
    </w:p>
    <w:p w:rsidR="00796231" w:rsidRPr="003A1AA9" w:rsidRDefault="00796231" w:rsidP="00796231">
      <w:pPr>
        <w:ind w:firstLine="720"/>
        <w:jc w:val="both"/>
        <w:rPr>
          <w:rFonts w:ascii="Book Antiqua" w:hAnsi="Book Antiqua"/>
        </w:rPr>
      </w:pPr>
    </w:p>
    <w:p w:rsidR="00796231" w:rsidRPr="003A1AA9" w:rsidRDefault="00241D2F" w:rsidP="00796231">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ec</m:t>
            </m:r>
          </m:sub>
        </m:sSub>
        <m:r>
          <w:rPr>
            <w:rFonts w:ascii="Cambria Math" w:hAnsi="Book Antiqua"/>
          </w:rPr>
          <m:t xml:space="preserve"> = </m:t>
        </m:r>
        <m:r>
          <w:rPr>
            <w:rFonts w:ascii="Cambria Math" w:hAnsi="Cambria Math"/>
          </w:rPr>
          <m:t>P</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rPr>
        <w:tab/>
      </w:r>
      <w:r w:rsidR="00796231" w:rsidRPr="003A1AA9">
        <w:rPr>
          <w:rFonts w:ascii="Book Antiqua" w:hAnsi="Book Antiqua"/>
          <w:i/>
        </w:rPr>
        <w:t>(7)</w:t>
      </w:r>
    </w:p>
    <w:p w:rsidR="00796231" w:rsidRPr="003A1AA9" w:rsidRDefault="00796231" w:rsidP="00796231">
      <w:pPr>
        <w:ind w:firstLine="720"/>
        <w:jc w:val="both"/>
        <w:rPr>
          <w:rFonts w:ascii="Book Antiqua" w:hAnsi="Book Antiqua"/>
        </w:rPr>
      </w:pPr>
    </w:p>
    <w:p w:rsidR="00796231" w:rsidRDefault="00796231" w:rsidP="00796231">
      <w:pPr>
        <w:pStyle w:val="NoSpacing"/>
        <w:jc w:val="both"/>
        <w:rPr>
          <w:rFonts w:ascii="Book Antiqua" w:hAnsi="Book Antiqua"/>
          <w:sz w:val="20"/>
        </w:rPr>
      </w:pPr>
      <w:r w:rsidRPr="007B001B">
        <w:rPr>
          <w:rFonts w:ascii="Book Antiqua" w:hAnsi="Book Antiqua"/>
          <w:sz w:val="20"/>
        </w:rPr>
        <w:t>In (7), it can be seen that the capture rate depends on the probability of capture</w:t>
      </w:r>
      <w:proofErr w:type="gramStart"/>
      <w:r w:rsidRPr="007B001B">
        <w:rPr>
          <w:rFonts w:ascii="Book Antiqua" w:hAnsi="Book Antiqua"/>
          <w:sz w:val="20"/>
        </w:rPr>
        <w:t xml:space="preserve">, </w:t>
      </w:r>
      <m:oMath>
        <w:proofErr w:type="gramEnd"/>
        <m:r>
          <w:rPr>
            <w:rFonts w:ascii="Cambria Math" w:hAnsi="Cambria Math"/>
            <w:sz w:val="20"/>
          </w:rPr>
          <m:t>P</m:t>
        </m:r>
      </m:oMath>
      <w:r w:rsidRPr="007B001B">
        <w:rPr>
          <w:rFonts w:ascii="Book Antiqua" w:hAnsi="Book Antiqua"/>
          <w:sz w:val="20"/>
        </w:rPr>
        <w:t xml:space="preserve">, </w:t>
      </w:r>
      <w:r>
        <w:rPr>
          <w:rFonts w:ascii="Book Antiqua" w:hAnsi="Book Antiqua"/>
          <w:sz w:val="20"/>
        </w:rPr>
        <w:t xml:space="preserve">and the closest approach distance </w:t>
      </w:r>
      <m:oMath>
        <m:r>
          <w:rPr>
            <w:rFonts w:ascii="Cambria Math" w:hAnsi="Cambria Math"/>
            <w:sz w:val="20"/>
          </w:rPr>
          <m:t>r</m:t>
        </m:r>
      </m:oMath>
      <w:r>
        <w:rPr>
          <w:rFonts w:ascii="Book Antiqua" w:hAnsi="Book Antiqua"/>
          <w:sz w:val="20"/>
        </w:rPr>
        <w:t xml:space="preserve">, </w:t>
      </w:r>
      <w:r w:rsidRPr="007B001B">
        <w:rPr>
          <w:rFonts w:ascii="Book Antiqua" w:hAnsi="Book Antiqua"/>
          <w:sz w:val="20"/>
        </w:rPr>
        <w:t>which is a constant quantity</w:t>
      </w:r>
      <w:r>
        <w:rPr>
          <w:rFonts w:ascii="Book Antiqua" w:hAnsi="Book Antiqua"/>
          <w:sz w:val="20"/>
        </w:rPr>
        <w:t xml:space="preserve">. </w:t>
      </w:r>
    </w:p>
    <w:p w:rsidR="00796231" w:rsidRPr="007B001B" w:rsidRDefault="00796231" w:rsidP="00796231">
      <w:pPr>
        <w:pStyle w:val="NoSpacing"/>
        <w:jc w:val="both"/>
        <w:rPr>
          <w:rFonts w:ascii="Book Antiqua" w:hAnsi="Book Antiqua"/>
          <w:sz w:val="20"/>
        </w:rPr>
      </w:pPr>
    </w:p>
    <w:p w:rsidR="00796231" w:rsidRPr="007B001B" w:rsidRDefault="00796231" w:rsidP="00796231">
      <w:pPr>
        <w:pStyle w:val="NoSpacing"/>
        <w:jc w:val="both"/>
        <w:rPr>
          <w:rFonts w:ascii="Book Antiqua" w:hAnsi="Book Antiqua"/>
          <w:sz w:val="20"/>
        </w:rPr>
      </w:pPr>
      <w:r w:rsidRPr="007B001B">
        <w:rPr>
          <w:rFonts w:ascii="Book Antiqua" w:hAnsi="Book Antiqua"/>
          <w:sz w:val="20"/>
        </w:rPr>
        <w:t xml:space="preserve"> </w:t>
      </w:r>
      <w:r w:rsidRPr="007B001B">
        <w:rPr>
          <w:rFonts w:ascii="Book Antiqua" w:hAnsi="Book Antiqua"/>
          <w:sz w:val="20"/>
        </w:rPr>
        <w:tab/>
        <w:t>An alternative, and accepted, model for describing electron capture is given by Burcham whose equation is [6]:</w:t>
      </w:r>
    </w:p>
    <w:p w:rsidR="00796231" w:rsidRPr="003A1AA9" w:rsidRDefault="00241D2F"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(2</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3</m:t>
            </m:r>
          </m:sup>
        </m:sSup>
        <m:r>
          <w:rPr>
            <w:rFonts w:ascii="Cambria Math" w:hAnsi="Book Antiqua"/>
            <w:sz w:val="20"/>
            <w:szCs w:val="20"/>
          </w:rPr>
          <m:t>)</m:t>
        </m:r>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(8)</w:t>
      </w:r>
    </w:p>
    <w:p w:rsidR="00796231" w:rsidRPr="007B001B" w:rsidRDefault="00796231" w:rsidP="00796231">
      <w:pPr>
        <w:pStyle w:val="NoSpacing"/>
        <w:jc w:val="both"/>
        <w:rPr>
          <w:rFonts w:ascii="Book Antiqua" w:hAnsi="Book Antiqua"/>
          <w:sz w:val="20"/>
        </w:rPr>
      </w:pPr>
      <w:r w:rsidRPr="007B001B">
        <w:rPr>
          <w:rFonts w:ascii="Book Antiqua" w:hAnsi="Book Antiqua"/>
          <w:sz w:val="20"/>
        </w:rPr>
        <w:t xml:space="preserve">Here, </w:t>
      </w:r>
      <m:oMath>
        <m:r>
          <w:rPr>
            <w:rStyle w:val="Emphasis"/>
            <w:rFonts w:ascii="Cambria Math" w:hAnsi="Cambria Math"/>
            <w:sz w:val="20"/>
          </w:rPr>
          <m:t>M</m:t>
        </m:r>
      </m:oMath>
      <w:r w:rsidRPr="007B001B">
        <w:rPr>
          <w:rStyle w:val="Emphasis"/>
          <w:rFonts w:ascii="Book Antiqua" w:hAnsi="Book Antiqua"/>
          <w:sz w:val="20"/>
        </w:rPr>
        <w:t xml:space="preserve"> </w:t>
      </w:r>
      <w:r w:rsidRPr="007B001B">
        <w:rPr>
          <w:rFonts w:ascii="Book Antiqua" w:hAnsi="Book Antiqua"/>
          <w:sz w:val="20"/>
        </w:rPr>
        <w:t xml:space="preserve">is the same quantity as in (4) and remains unchanged; </w:t>
      </w:r>
      <m:oMath>
        <m:r>
          <w:rPr>
            <w:rStyle w:val="Emphasis"/>
            <w:rFonts w:ascii="Cambria Math" w:hAnsi="Cambria Math"/>
            <w:sz w:val="20"/>
          </w:rPr>
          <m:t>f</m:t>
        </m:r>
        <m:r>
          <w:rPr>
            <w:rStyle w:val="Emphasis"/>
            <w:rFonts w:ascii="Cambria Math" w:hAnsi="Book Antiqua"/>
            <w:sz w:val="20"/>
          </w:rPr>
          <m:t xml:space="preserve"> </m:t>
        </m:r>
      </m:oMath>
      <w:r w:rsidRPr="007B001B">
        <w:rPr>
          <w:rFonts w:ascii="Book Antiqua" w:hAnsi="Book Antiqua"/>
          <w:sz w:val="20"/>
        </w:rPr>
        <w:t xml:space="preserve">is a function of the fine structure constant, the atomic number, </w:t>
      </w:r>
      <m:oMath>
        <m:r>
          <w:rPr>
            <w:rStyle w:val="Emphasis"/>
            <w:rFonts w:ascii="Cambria Math" w:hAnsi="Cambria Math"/>
            <w:sz w:val="20"/>
          </w:rPr>
          <m:t>Z</m:t>
        </m:r>
      </m:oMath>
      <w:r w:rsidRPr="007B001B">
        <w:rPr>
          <w:rFonts w:ascii="Book Antiqua" w:hAnsi="Book Antiqua"/>
          <w:sz w:val="20"/>
        </w:rPr>
        <w:t xml:space="preserve">, and Coulomb energy, all of which remain unchanged with varying ZPE. The quantity </w:t>
      </w:r>
      <m:oMath>
        <m:sSup>
          <m:sSupPr>
            <m:ctrlPr>
              <w:rPr>
                <w:rStyle w:val="Emphasis"/>
                <w:rFonts w:ascii="Cambria Math" w:hAnsi="Book Antiqua"/>
                <w:sz w:val="20"/>
              </w:rPr>
            </m:ctrlPr>
          </m:sSupPr>
          <m:e>
            <m:r>
              <w:rPr>
                <w:rStyle w:val="Emphasis"/>
                <w:rFonts w:ascii="Cambria Math" w:hAnsi="Cambria Math"/>
                <w:sz w:val="20"/>
              </w:rPr>
              <m:t>K</m:t>
            </m:r>
          </m:e>
          <m:sup>
            <m:r>
              <w:rPr>
                <w:rStyle w:val="Emphasis"/>
                <w:rFonts w:ascii="Cambria Math" w:hAnsi="Book Antiqua"/>
                <w:sz w:val="20"/>
              </w:rPr>
              <m:t>2</m:t>
            </m:r>
          </m:sup>
        </m:sSup>
      </m:oMath>
      <w:r w:rsidRPr="007B001B">
        <w:rPr>
          <w:rStyle w:val="Emphasis"/>
          <w:rFonts w:ascii="Book Antiqua" w:hAnsi="Book Antiqua"/>
          <w:sz w:val="20"/>
          <w:vertAlign w:val="superscript"/>
        </w:rPr>
        <w:t xml:space="preserve"> </w:t>
      </w:r>
      <w:r w:rsidRPr="007B001B">
        <w:rPr>
          <w:rFonts w:ascii="Book Antiqua" w:hAnsi="Book Antiqua"/>
          <w:sz w:val="20"/>
        </w:rPr>
        <w:t xml:space="preserve">is defined by Burcham as </w:t>
      </w:r>
      <w:hyperlink r:id="rId977" w:anchor="4a182" w:history="1">
        <w:r w:rsidRPr="007B001B">
          <w:rPr>
            <w:rStyle w:val="Hyperlink"/>
            <w:rFonts w:ascii="Book Antiqua" w:hAnsi="Book Antiqua"/>
            <w:sz w:val="20"/>
          </w:rPr>
          <w:t>[7]</w:t>
        </w:r>
      </w:hyperlink>
      <w:r w:rsidRPr="007B001B">
        <w:rPr>
          <w:rFonts w:ascii="Book Antiqua" w:hAnsi="Book Antiqua"/>
          <w:sz w:val="20"/>
        </w:rPr>
        <w:t>:</w:t>
      </w:r>
    </w:p>
    <w:p w:rsidR="00796231" w:rsidRPr="003A1AA9" w:rsidRDefault="00241D2F"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5</m:t>
            </m:r>
          </m:sup>
        </m:sSup>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4</m:t>
            </m:r>
          </m:sup>
        </m:sSup>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7</m:t>
            </m:r>
          </m:sup>
        </m:sSup>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(9)</w:t>
      </w:r>
    </w:p>
    <w:p w:rsidR="00796231" w:rsidRPr="007B001B" w:rsidRDefault="00796231" w:rsidP="00796231">
      <w:pPr>
        <w:pStyle w:val="NoSpacing"/>
        <w:jc w:val="both"/>
        <w:rPr>
          <w:rFonts w:ascii="Book Antiqua" w:hAnsi="Book Antiqua"/>
          <w:sz w:val="20"/>
        </w:rPr>
      </w:pPr>
      <w:proofErr w:type="gramStart"/>
      <w:r w:rsidRPr="007B001B">
        <w:rPr>
          <w:rFonts w:ascii="Book Antiqua" w:hAnsi="Book Antiqua"/>
          <w:sz w:val="20"/>
        </w:rPr>
        <w:t xml:space="preserve">where </w:t>
      </w:r>
      <m:oMath>
        <w:proofErr w:type="gramEnd"/>
        <m:r>
          <w:rPr>
            <w:rStyle w:val="Emphasis"/>
            <w:rFonts w:ascii="Cambria Math" w:hAnsi="Cambria Math"/>
            <w:sz w:val="20"/>
          </w:rPr>
          <m:t>g</m:t>
        </m:r>
      </m:oMath>
      <w:r w:rsidRPr="007B001B">
        <w:rPr>
          <w:rStyle w:val="Emphasis"/>
          <w:rFonts w:ascii="Book Antiqua" w:hAnsi="Book Antiqua"/>
          <w:sz w:val="20"/>
        </w:rPr>
        <w:t xml:space="preserve">, </w:t>
      </w:r>
      <w:r w:rsidRPr="007B001B">
        <w:rPr>
          <w:rStyle w:val="Emphasis"/>
          <w:rFonts w:ascii="Book Antiqua" w:hAnsi="Book Antiqua"/>
          <w:i w:val="0"/>
          <w:sz w:val="20"/>
        </w:rPr>
        <w:t>the coupling constant</w:t>
      </w:r>
      <w:r w:rsidRPr="007B001B">
        <w:rPr>
          <w:rStyle w:val="Emphasis"/>
          <w:rFonts w:ascii="Book Antiqua" w:hAnsi="Book Antiqua"/>
          <w:sz w:val="20"/>
        </w:rPr>
        <w:t xml:space="preserve"> </w:t>
      </w:r>
      <w:r w:rsidRPr="007B001B">
        <w:rPr>
          <w:rFonts w:ascii="Book Antiqua" w:hAnsi="Book Antiqua"/>
          <w:sz w:val="20"/>
        </w:rPr>
        <w:t xml:space="preserve">is independent of ZPE strength, as shown below. Proportionalities in Chapter 2 and 4 </w:t>
      </w:r>
      <w:proofErr w:type="gramStart"/>
      <w:r w:rsidRPr="007B001B">
        <w:rPr>
          <w:rFonts w:ascii="Book Antiqua" w:hAnsi="Book Antiqua"/>
          <w:sz w:val="20"/>
        </w:rPr>
        <w:t xml:space="preserve">for </w:t>
      </w:r>
      <m:oMath>
        <w:proofErr w:type="gramEnd"/>
        <m:r>
          <w:rPr>
            <w:rStyle w:val="Emphasis"/>
            <w:rFonts w:ascii="Cambria Math" w:hAnsi="Cambria Math"/>
            <w:sz w:val="20"/>
          </w:rPr>
          <m:t>m</m:t>
        </m:r>
      </m:oMath>
      <w:r w:rsidRPr="007B001B">
        <w:rPr>
          <w:rFonts w:ascii="Book Antiqua" w:hAnsi="Book Antiqua"/>
          <w:sz w:val="20"/>
        </w:rPr>
        <w:t xml:space="preserve">, </w:t>
      </w:r>
      <m:oMath>
        <m:r>
          <w:rPr>
            <w:rStyle w:val="Emphasis"/>
            <w:rFonts w:ascii="Cambria Math" w:hAnsi="Cambria Math"/>
            <w:sz w:val="20"/>
          </w:rPr>
          <m:t>h</m:t>
        </m:r>
      </m:oMath>
      <w:r w:rsidRPr="007B001B">
        <w:rPr>
          <w:rFonts w:ascii="Book Antiqua" w:hAnsi="Book Antiqua"/>
          <w:sz w:val="20"/>
        </w:rPr>
        <w:t xml:space="preserve">, and </w:t>
      </w:r>
      <m:oMath>
        <m:r>
          <w:rPr>
            <w:rStyle w:val="Emphasis"/>
            <w:rFonts w:ascii="Cambria Math" w:hAnsi="Cambria Math"/>
            <w:sz w:val="20"/>
          </w:rPr>
          <m:t>c</m:t>
        </m:r>
      </m:oMath>
      <w:r w:rsidRPr="007B001B">
        <w:rPr>
          <w:rFonts w:ascii="Book Antiqua" w:hAnsi="Book Antiqua"/>
          <w:sz w:val="20"/>
        </w:rPr>
        <w:t>, then give us:</w:t>
      </w:r>
    </w:p>
    <w:p w:rsidR="00796231" w:rsidRPr="003A1AA9" w:rsidRDefault="00241D2F"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1/</m:t>
        </m:r>
        <m:r>
          <w:rPr>
            <w:rFonts w:ascii="Cambria Math" w:hAnsi="Cambria Math"/>
            <w:sz w:val="20"/>
            <w:szCs w:val="20"/>
          </w:rPr>
          <m:t>τ</m:t>
        </m:r>
      </m:oMath>
      <w:r w:rsidR="00796231" w:rsidRPr="003A1AA9">
        <w:rPr>
          <w:rFonts w:ascii="Book Antiqua" w:hAnsi="Book Antiqua"/>
          <w:i/>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 xml:space="preserve"> (10)</w:t>
      </w: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So the decay constants in electron capture are proportional to </w:t>
      </w:r>
      <w:r w:rsidRPr="007B001B">
        <w:rPr>
          <w:rStyle w:val="Emphasis"/>
          <w:rFonts w:ascii="Book Antiqua" w:hAnsi="Book Antiqua"/>
          <w:sz w:val="20"/>
        </w:rPr>
        <w:t>c</w:t>
      </w:r>
      <w:r w:rsidRPr="007B001B">
        <w:rPr>
          <w:rFonts w:ascii="Book Antiqua" w:hAnsi="Book Antiqua"/>
          <w:sz w:val="20"/>
        </w:rPr>
        <w:t xml:space="preserve">, with half-lives proportional to </w:t>
      </w:r>
      <m:oMath>
        <m:r>
          <w:rPr>
            <w:rStyle w:val="Emphasis"/>
            <w:rFonts w:ascii="Cambria Math" w:hAnsi="Cambria Math"/>
            <w:sz w:val="20"/>
          </w:rPr>
          <m:t>h</m:t>
        </m:r>
      </m:oMath>
      <w:r w:rsidRPr="007B001B">
        <w:rPr>
          <w:rStyle w:val="Emphasis"/>
          <w:rFonts w:ascii="Book Antiqua" w:hAnsi="Book Antiqua"/>
          <w:sz w:val="20"/>
        </w:rPr>
        <w:t xml:space="preserve"> </w:t>
      </w:r>
      <w:proofErr w:type="gramStart"/>
      <w:r w:rsidRPr="007B001B">
        <w:rPr>
          <w:rFonts w:ascii="Book Antiqua" w:hAnsi="Book Antiqua"/>
          <w:sz w:val="20"/>
        </w:rPr>
        <w:t xml:space="preserve">and </w:t>
      </w:r>
      <m:oMath>
        <w:proofErr w:type="gramEnd"/>
        <m:r>
          <w:rPr>
            <w:rStyle w:val="Emphasis"/>
            <w:rFonts w:ascii="Cambria Math" w:hAnsi="Cambria Math"/>
            <w:sz w:val="20"/>
          </w:rPr>
          <m:t>U</m:t>
        </m:r>
      </m:oMath>
      <w:r w:rsidRPr="007B001B">
        <w:rPr>
          <w:rFonts w:ascii="Book Antiqua" w:hAnsi="Book Antiqua"/>
          <w:sz w:val="20"/>
        </w:rPr>
        <w:t xml:space="preserve">. </w:t>
      </w:r>
    </w:p>
    <w:p w:rsidR="00900E06" w:rsidRDefault="00796231" w:rsidP="00796231">
      <w:pPr>
        <w:pStyle w:val="NoSpacing"/>
        <w:jc w:val="both"/>
        <w:rPr>
          <w:rFonts w:ascii="Book Antiqua" w:hAnsi="Book Antiqua"/>
          <w:sz w:val="20"/>
        </w:rPr>
      </w:pPr>
      <w:r w:rsidRPr="007B001B">
        <w:rPr>
          <w:rFonts w:ascii="Book Antiqua" w:hAnsi="Book Antiqua"/>
          <w:sz w:val="20"/>
        </w:rPr>
        <w:t>The approach to the question of how the decay rate equations behave with changing ZPE may be summarized as follows: When the formulae are examined in detail and the ZPE dependence of each of the terms is established, it is found that the reduced decay rate equations are either proportional to the speed of light</w:t>
      </w:r>
      <w:proofErr w:type="gramStart"/>
      <w:r w:rsidRPr="007B001B">
        <w:rPr>
          <w:rFonts w:ascii="Book Antiqua" w:hAnsi="Book Antiqua"/>
          <w:sz w:val="20"/>
        </w:rPr>
        <w:t xml:space="preserve">, </w:t>
      </w:r>
      <m:oMath>
        <w:proofErr w:type="gramEnd"/>
        <m:r>
          <w:rPr>
            <w:rFonts w:ascii="Cambria Math" w:hAnsi="Cambria Math"/>
            <w:sz w:val="20"/>
          </w:rPr>
          <m:t>c</m:t>
        </m:r>
      </m:oMath>
      <w:r w:rsidRPr="007B001B">
        <w:rPr>
          <w:rFonts w:ascii="Book Antiqua" w:hAnsi="Book Antiqua"/>
          <w:sz w:val="20"/>
        </w:rPr>
        <w:t xml:space="preserve">, or inversely proportional to Planck’s constant, </w:t>
      </w:r>
      <m:oMath>
        <m:r>
          <w:rPr>
            <w:rFonts w:ascii="Cambria Math" w:hAnsi="Cambria Math"/>
            <w:sz w:val="20"/>
          </w:rPr>
          <m:t>h</m:t>
        </m:r>
      </m:oMath>
      <w:r w:rsidRPr="007B001B">
        <w:rPr>
          <w:rFonts w:ascii="Book Antiqua" w:hAnsi="Book Antiqua"/>
          <w:sz w:val="20"/>
        </w:rPr>
        <w:t>.</w:t>
      </w:r>
    </w:p>
    <w:p w:rsidR="00900E06" w:rsidRDefault="00900E06" w:rsidP="00796231">
      <w:pPr>
        <w:pStyle w:val="NoSpacing"/>
        <w:jc w:val="both"/>
        <w:rPr>
          <w:rFonts w:ascii="Book Antiqua" w:hAnsi="Book Antiqua"/>
          <w:sz w:val="20"/>
        </w:rPr>
      </w:pPr>
    </w:p>
    <w:p w:rsidR="00796231" w:rsidRPr="007B001B" w:rsidRDefault="00796231" w:rsidP="00796231">
      <w:pPr>
        <w:pStyle w:val="NoSpacing"/>
        <w:jc w:val="both"/>
        <w:rPr>
          <w:rFonts w:ascii="Book Antiqua" w:hAnsi="Book Antiqua"/>
          <w:sz w:val="20"/>
        </w:rPr>
      </w:pPr>
      <w:r w:rsidRPr="007B001B">
        <w:rPr>
          <w:rFonts w:ascii="Book Antiqua" w:hAnsi="Book Antiqua"/>
          <w:sz w:val="20"/>
        </w:rPr>
        <w:t xml:space="preserve"> It is effectively the same as saying that you end up either with </w:t>
      </w:r>
      <m:oMath>
        <m:r>
          <w:rPr>
            <w:rFonts w:ascii="Cambria Math" w:hAnsi="Cambria Math"/>
            <w:sz w:val="20"/>
          </w:rPr>
          <m:t>c</m:t>
        </m:r>
      </m:oMath>
      <w:r w:rsidRPr="007B001B">
        <w:rPr>
          <w:rFonts w:ascii="Book Antiqua" w:hAnsi="Book Antiqua"/>
          <w:sz w:val="20"/>
        </w:rPr>
        <w:t xml:space="preserve"> in the numerator of every equation or </w:t>
      </w:r>
      <m:oMath>
        <m:r>
          <w:rPr>
            <w:rFonts w:ascii="Cambria Math" w:hAnsi="Cambria Math"/>
            <w:sz w:val="20"/>
          </w:rPr>
          <m:t>h</m:t>
        </m:r>
      </m:oMath>
      <w:r w:rsidRPr="007B001B">
        <w:rPr>
          <w:rFonts w:ascii="Book Antiqua" w:hAnsi="Book Antiqua"/>
          <w:sz w:val="20"/>
        </w:rPr>
        <w:t xml:space="preserve"> in the denominator. This result is in accord with outcome of an examination of the actual physical situation that exists in the nuclei of radioactive atoms.</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p>
    <w:p w:rsidR="00796231" w:rsidRDefault="00796231" w:rsidP="00796231">
      <w:pPr>
        <w:pStyle w:val="Heading3"/>
        <w:keepNext w:val="0"/>
        <w:widowControl/>
        <w:numPr>
          <w:ilvl w:val="0"/>
          <w:numId w:val="66"/>
        </w:numPr>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lastRenderedPageBreak/>
        <w:t>Coupling Constants</w:t>
      </w:r>
    </w:p>
    <w:p w:rsidR="00796231" w:rsidRPr="007B001B" w:rsidRDefault="00796231" w:rsidP="00796231">
      <w:pPr>
        <w:pStyle w:val="ListParagraph"/>
        <w:rPr>
          <w:lang w:val="en-GB"/>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The coupling constant is the measure of the forces acting between any two quantities.  In radio decay, the quantity involved is called the “weak coupling constant,” as a reference to what is referred to as the ‘weak force’ in physics.  It is this force which the standard model holds responsible for radioactive decay.  The weak force is in contrast to the “strong force” which is considered to be the force which holds the particles in the nucleus together. As noted above, this force comes from having two oppositely directed spin states for particles in each orbital. </w:t>
      </w:r>
    </w:p>
    <w:p w:rsidR="00796231" w:rsidRPr="007B001B"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The weak coupling constant,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which is involved in decay processes, is a dimensionless number (this is a number not having any unit of measurement) and so remains invariant with changes in the ZPE strength. In this case, Wesson defines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
          <w:iCs/>
        </w:rPr>
        <w:t xml:space="preserve"> </w:t>
      </w:r>
      <w:r w:rsidRPr="007B001B">
        <w:rPr>
          <w:rFonts w:ascii="Book Antiqua" w:hAnsi="Book Antiqua"/>
          <w:sz w:val="20"/>
        </w:rPr>
        <w:t xml:space="preserve">as follows </w:t>
      </w:r>
      <w:hyperlink r:id="rId978" w:anchor="4a183" w:history="1">
        <w:r w:rsidRPr="007B001B">
          <w:rPr>
            <w:rStyle w:val="Hyperlink"/>
            <w:rFonts w:ascii="Book Antiqua" w:hAnsi="Book Antiqua"/>
            <w:sz w:val="20"/>
          </w:rPr>
          <w:t>[8]</w:t>
        </w:r>
      </w:hyperlink>
      <w:r w:rsidRPr="007B001B">
        <w:rPr>
          <w:rFonts w:ascii="Book Antiqua" w:hAnsi="Book Antiqua"/>
          <w:sz w:val="20"/>
        </w:rPr>
        <w:t>:</w:t>
      </w:r>
    </w:p>
    <w:p w:rsidR="00796231" w:rsidRPr="003A1AA9" w:rsidRDefault="00241D2F" w:rsidP="00796231">
      <w:pPr>
        <w:pStyle w:val="NormalWeb"/>
        <w:jc w:val="right"/>
        <w:rPr>
          <w:rFonts w:ascii="Book Antiqua" w:hAnsi="Book Antiqua"/>
          <w:sz w:val="20"/>
          <w:szCs w:val="20"/>
        </w:rPr>
      </w:pP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r>
          <m:rPr>
            <m:sty m:val="p"/>
          </m:rPr>
          <w:rPr>
            <w:rFonts w:ascii="Cambria Math" w:hAnsi="Book Antiqua"/>
            <w:sz w:val="20"/>
            <w:szCs w:val="20"/>
          </w:rPr>
          <m:t xml:space="preserve"> = </m:t>
        </m:r>
        <m:sSup>
          <m:sSupPr>
            <m:ctrlPr>
              <w:rPr>
                <w:rFonts w:ascii="Cambria Math" w:hAnsi="Book Antiqua"/>
                <w:sz w:val="20"/>
                <w:szCs w:val="20"/>
              </w:rPr>
            </m:ctrlPr>
          </m:sSupPr>
          <m:e>
            <m:r>
              <m:rPr>
                <m:sty m:val="p"/>
              </m:rPr>
              <w:rPr>
                <w:rFonts w:ascii="Cambria Math" w:hAnsi="Book Antiqua"/>
                <w:sz w:val="20"/>
                <w:szCs w:val="20"/>
              </w:rPr>
              <m:t>[</m:t>
            </m:r>
            <m:r>
              <w:rPr>
                <w:rFonts w:ascii="Cambria Math" w:hAnsi="Cambria Math"/>
                <w:sz w:val="20"/>
                <w:szCs w:val="20"/>
              </w:rPr>
              <m:t>g</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c</m:t>
            </m:r>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3</m:t>
                </m:r>
              </m:sup>
            </m:sSup>
            <m:r>
              <m:rPr>
                <m:sty m:val="p"/>
              </m:rPr>
              <w:rPr>
                <w:rFonts w:ascii="Cambria Math" w:hAnsi="Book Antiqua"/>
                <w:sz w:val="20"/>
                <w:szCs w:val="20"/>
              </w:rPr>
              <m:t>]</m:t>
            </m:r>
          </m:e>
          <m:sup>
            <m:r>
              <m:rPr>
                <m:sty m:val="p"/>
              </m:rPr>
              <w:rPr>
                <w:rFonts w:ascii="Cambria Math" w:hAnsi="Book Antiqua"/>
                <w:sz w:val="20"/>
                <w:szCs w:val="20"/>
              </w:rPr>
              <m:t>2</m:t>
            </m:r>
          </m:sup>
        </m:sSup>
      </m:oMath>
      <w:r w:rsidR="00796231" w:rsidRPr="003A1AA9">
        <w:rPr>
          <w:rFonts w:ascii="Book Antiqua" w:hAnsi="Book Antiqua"/>
          <w:sz w:val="20"/>
          <w:szCs w:val="20"/>
        </w:rPr>
        <w:t xml:space="preserve">  .</w:t>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sz w:val="20"/>
          <w:szCs w:val="20"/>
        </w:rPr>
        <w:tab/>
      </w:r>
      <w:r w:rsidR="00796231" w:rsidRPr="003A1AA9">
        <w:rPr>
          <w:rFonts w:ascii="Book Antiqua" w:hAnsi="Book Antiqua"/>
          <w:i/>
          <w:sz w:val="20"/>
          <w:szCs w:val="20"/>
        </w:rPr>
        <w:t>(11)</w:t>
      </w: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Here, </w:t>
      </w:r>
      <m:oMath>
        <m:r>
          <w:rPr>
            <w:rStyle w:val="Emphasis"/>
            <w:rFonts w:ascii="Cambria Math" w:hAnsi="Cambria Math"/>
            <w:sz w:val="20"/>
          </w:rPr>
          <m:t>m</m:t>
        </m:r>
      </m:oMath>
      <w:r w:rsidRPr="007B001B">
        <w:rPr>
          <w:rStyle w:val="Emphasis"/>
          <w:rFonts w:ascii="Book Antiqua" w:hAnsi="Book Antiqua"/>
          <w:sz w:val="20"/>
        </w:rPr>
        <w:t xml:space="preserve"> </w:t>
      </w:r>
      <w:r w:rsidRPr="007B001B">
        <w:rPr>
          <w:rFonts w:ascii="Book Antiqua" w:hAnsi="Book Antiqua"/>
          <w:sz w:val="20"/>
        </w:rPr>
        <w:t xml:space="preserve">is the pion mass and </w:t>
      </w:r>
      <m:oMath>
        <m:r>
          <w:rPr>
            <w:rStyle w:val="Emphasis"/>
            <w:rFonts w:ascii="Cambria Math" w:hAnsi="Cambria Math"/>
            <w:sz w:val="20"/>
          </w:rPr>
          <m:t>g</m:t>
        </m:r>
      </m:oMath>
      <w:r w:rsidRPr="007B001B">
        <w:rPr>
          <w:rStyle w:val="Emphasis"/>
          <w:rFonts w:ascii="Book Antiqua" w:hAnsi="Book Antiqua"/>
          <w:sz w:val="20"/>
        </w:rPr>
        <w:t xml:space="preserve"> </w:t>
      </w:r>
      <w:r w:rsidRPr="007B001B">
        <w:rPr>
          <w:rFonts w:ascii="Book Antiqua" w:hAnsi="Book Antiqua"/>
          <w:sz w:val="20"/>
        </w:rPr>
        <w:t xml:space="preserve">is the constant that appears in (4) and (9) above, and is called the Fermi interaction constant.  It has units of energy density of a Coulomb field, and is thus constant. Because all the dimensions of the terms on the right hand side of equation (11) cancel out,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ends up as a dimensionless number.  If the proportionalities </w:t>
      </w:r>
      <w:proofErr w:type="gramStart"/>
      <w:r w:rsidRPr="007B001B">
        <w:rPr>
          <w:rFonts w:ascii="Book Antiqua" w:hAnsi="Book Antiqua"/>
          <w:sz w:val="20"/>
        </w:rPr>
        <w:t xml:space="preserve">of </w:t>
      </w:r>
      <m:oMath>
        <w:proofErr w:type="gramEnd"/>
        <m:r>
          <w:rPr>
            <w:rFonts w:ascii="Cambria Math" w:hAnsi="Cambria Math"/>
            <w:sz w:val="20"/>
          </w:rPr>
          <m:t>m</m:t>
        </m:r>
      </m:oMath>
      <w:r w:rsidRPr="007B001B">
        <w:rPr>
          <w:rFonts w:ascii="Book Antiqua" w:hAnsi="Book Antiqua"/>
          <w:sz w:val="20"/>
        </w:rPr>
        <w:t xml:space="preserve">, </w:t>
      </w:r>
      <m:oMath>
        <m:r>
          <w:rPr>
            <w:rFonts w:ascii="Cambria Math" w:hAnsi="Cambria Math"/>
            <w:sz w:val="20"/>
          </w:rPr>
          <m:t>c</m:t>
        </m:r>
      </m:oMath>
      <w:r w:rsidRPr="007B001B">
        <w:rPr>
          <w:rFonts w:ascii="Book Antiqua" w:hAnsi="Book Antiqua"/>
          <w:sz w:val="20"/>
        </w:rPr>
        <w:t xml:space="preserve">, and </w:t>
      </w:r>
      <m:oMath>
        <m:r>
          <w:rPr>
            <w:rFonts w:ascii="Cambria Math" w:hAnsi="Cambria Math"/>
            <w:sz w:val="20"/>
          </w:rPr>
          <m:t>h</m:t>
        </m:r>
        <m:r>
          <w:rPr>
            <w:rFonts w:ascii="Cambria Math" w:hAnsi="Book Antiqua"/>
            <w:sz w:val="20"/>
          </w:rPr>
          <m:t xml:space="preserve"> </m:t>
        </m:r>
      </m:oMath>
      <w:r w:rsidRPr="007B001B">
        <w:rPr>
          <w:rFonts w:ascii="Book Antiqua" w:hAnsi="Book Antiqua"/>
          <w:sz w:val="20"/>
        </w:rPr>
        <w:t xml:space="preserve">were different when the ZPE was changing, then the coupling constant,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Cs/>
        </w:rPr>
        <w:t xml:space="preserve">, </w:t>
      </w:r>
      <w:r w:rsidRPr="00D16B3B">
        <w:rPr>
          <w:rStyle w:val="subscript1"/>
          <w:rFonts w:ascii="Book Antiqua" w:hAnsi="Book Antiqua"/>
          <w:iCs/>
          <w:vertAlign w:val="baseline"/>
        </w:rPr>
        <w:t>would be varying; but because those proportionalities hold,</w:t>
      </w:r>
      <w:r w:rsidRPr="007B001B">
        <w:rPr>
          <w:rStyle w:val="subscript1"/>
          <w:rFonts w:ascii="Book Antiqua" w:hAnsi="Book Antiqua"/>
          <w:iCs/>
        </w:rPr>
        <w:t xml:space="preserve">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Cs/>
        </w:rPr>
        <w:t xml:space="preserve"> </w:t>
      </w:r>
      <w:r w:rsidRPr="00D16B3B">
        <w:rPr>
          <w:rStyle w:val="subscript1"/>
          <w:rFonts w:ascii="Book Antiqua" w:hAnsi="Book Antiqua"/>
          <w:iCs/>
          <w:vertAlign w:val="baseline"/>
        </w:rPr>
        <w:t>is a constant.</w:t>
      </w:r>
      <w:r w:rsidRPr="007B001B">
        <w:rPr>
          <w:rStyle w:val="subscript1"/>
          <w:rFonts w:ascii="Book Antiqua" w:hAnsi="Book Antiqua"/>
          <w:iCs/>
        </w:rPr>
        <w:t xml:space="preserve"> </w:t>
      </w:r>
      <w:r w:rsidRPr="007B001B">
        <w:rPr>
          <w:rFonts w:ascii="Book Antiqua" w:hAnsi="Book Antiqua"/>
          <w:sz w:val="20"/>
        </w:rPr>
        <w:t xml:space="preserve">This is verified by data since any variation in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results in a discrepancy between the radiometric ages for alpha and beta decay processes </w:t>
      </w:r>
      <w:hyperlink r:id="rId979" w:anchor="4a183" w:history="1">
        <w:r w:rsidRPr="007B001B">
          <w:rPr>
            <w:rStyle w:val="Hyperlink"/>
            <w:rFonts w:ascii="Book Antiqua" w:hAnsi="Book Antiqua"/>
            <w:sz w:val="20"/>
          </w:rPr>
          <w:t>[8]</w:t>
        </w:r>
      </w:hyperlink>
      <w:r w:rsidRPr="007B001B">
        <w:rPr>
          <w:rFonts w:ascii="Book Antiqua" w:hAnsi="Book Antiqua"/>
          <w:sz w:val="20"/>
        </w:rPr>
        <w:t>. This is not usually observed. Similar theoretical and experimental evidence also shows that the strong coupling constant</w:t>
      </w:r>
      <w:proofErr w:type="gramStart"/>
      <w:r w:rsidRPr="007B001B">
        <w:rPr>
          <w:rFonts w:ascii="Book Antiqua" w:hAnsi="Book Antiqua"/>
          <w:sz w:val="20"/>
        </w:rPr>
        <w:t xml:space="preserve">, </w:t>
      </w:r>
      <m:oMath>
        <w:proofErr w:type="gramEnd"/>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s</m:t>
            </m:r>
          </m:sub>
        </m:sSub>
      </m:oMath>
      <w:r w:rsidRPr="007B001B">
        <w:rPr>
          <w:rFonts w:ascii="Book Antiqua" w:hAnsi="Book Antiqua"/>
          <w:sz w:val="20"/>
        </w:rPr>
        <w:t xml:space="preserve">, has been invariant over cosmic time </w:t>
      </w:r>
      <w:hyperlink r:id="rId980" w:anchor="4a183" w:history="1">
        <w:r w:rsidRPr="007B001B">
          <w:rPr>
            <w:rStyle w:val="Hyperlink"/>
            <w:rFonts w:ascii="Book Antiqua" w:hAnsi="Book Antiqua"/>
            <w:sz w:val="20"/>
          </w:rPr>
          <w:t>[8]</w:t>
        </w:r>
      </w:hyperlink>
      <w:r w:rsidRPr="007B001B">
        <w:rPr>
          <w:rFonts w:ascii="Book Antiqua" w:hAnsi="Book Antiqua"/>
          <w:sz w:val="20"/>
        </w:rPr>
        <w:t xml:space="preserve">. Therefore, radiometric clocks tick with the same dependence on the ZPE as other atomic clocks do. </w:t>
      </w:r>
    </w:p>
    <w:p w:rsidR="00796231" w:rsidRPr="007B001B" w:rsidRDefault="00796231" w:rsidP="00796231">
      <w:pPr>
        <w:pStyle w:val="NoSpacing"/>
        <w:jc w:val="both"/>
        <w:rPr>
          <w:rFonts w:ascii="Book Antiqua" w:hAnsi="Book Antiqua"/>
          <w:sz w:val="20"/>
        </w:rPr>
      </w:pPr>
    </w:p>
    <w:p w:rsidR="00796231" w:rsidRPr="003A1AA9" w:rsidRDefault="00796231" w:rsidP="00796231">
      <w:pPr>
        <w:pStyle w:val="NoSpacing"/>
        <w:rPr>
          <w:rFonts w:ascii="Book Antiqua" w:hAnsi="Book Antiqua"/>
          <w:b/>
          <w:sz w:val="20"/>
        </w:rPr>
      </w:pPr>
      <w:r w:rsidRPr="003A1AA9">
        <w:rPr>
          <w:rFonts w:ascii="Book Antiqua" w:hAnsi="Book Antiqua"/>
          <w:b/>
          <w:sz w:val="20"/>
        </w:rPr>
        <w:t>7.  Pleochroic Halos</w:t>
      </w:r>
    </w:p>
    <w:p w:rsidR="00796231" w:rsidRPr="003A1AA9" w:rsidRDefault="00796231" w:rsidP="00796231">
      <w:pPr>
        <w:pStyle w:val="NoSpacing"/>
        <w:rPr>
          <w:rFonts w:ascii="Book Antiqua" w:hAnsi="Book Antiqua"/>
          <w:sz w:val="20"/>
        </w:rPr>
      </w:pPr>
    </w:p>
    <w:p w:rsidR="00796231" w:rsidRPr="003A1AA9" w:rsidRDefault="00796231" w:rsidP="00796231">
      <w:pPr>
        <w:pStyle w:val="NoSpacing"/>
        <w:jc w:val="both"/>
        <w:rPr>
          <w:rFonts w:ascii="Book Antiqua" w:hAnsi="Book Antiqua"/>
          <w:sz w:val="20"/>
        </w:rPr>
      </w:pPr>
      <w:r w:rsidRPr="003A1AA9">
        <w:rPr>
          <w:rFonts w:ascii="Book Antiqua" w:hAnsi="Book Antiqua"/>
          <w:sz w:val="20"/>
        </w:rPr>
        <w:t xml:space="preserve"> </w:t>
      </w:r>
      <w:r w:rsidRPr="003A1AA9">
        <w:rPr>
          <w:rFonts w:ascii="Book Antiqua" w:hAnsi="Book Antiqua"/>
          <w:sz w:val="20"/>
        </w:rPr>
        <w:tab/>
        <w:t>Pleochroic haloes, the result of radioactive decay, form in mica and other minerals which contain minute quantities of uranium or other radioactive elements. Because of their positive charge, alpha particles emitted by the decaying elements interact with the electrons of the surrounding atoms.  This interaction slows them down and eventually stops them, producing a discoloration in the host material. The distance traveled depends on two things:  their initial kinetic energy, and the composition and number of atoms per unit volume of the host material. Some examples are given in Figure 6.</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At the moment of emission from the nucleus, the particle’s kinetic energy remains unchanged, regardless of ZPE strength, since the Coulomb energy of both the emitting nucleus and the alpha particle are constant with fixed nuclear distances (Chapters 2 and 4). However a lower ZPE strength does mean particle masses</w:t>
      </w:r>
      <w:proofErr w:type="gramStart"/>
      <w:r w:rsidRPr="003A1AA9">
        <w:rPr>
          <w:rFonts w:ascii="Book Antiqua" w:hAnsi="Book Antiqua"/>
          <w:sz w:val="20"/>
        </w:rPr>
        <w:t xml:space="preserve">, </w:t>
      </w:r>
      <m:oMath>
        <w:proofErr w:type="gramEnd"/>
        <m:r>
          <w:rPr>
            <w:rStyle w:val="Emphasis"/>
            <w:rFonts w:ascii="Cambria Math" w:hAnsi="Cambria Math"/>
            <w:sz w:val="20"/>
          </w:rPr>
          <m:t>m</m:t>
        </m:r>
      </m:oMath>
      <w:r w:rsidRPr="003A1AA9">
        <w:rPr>
          <w:rFonts w:ascii="Book Antiqua" w:hAnsi="Book Antiqua"/>
          <w:sz w:val="20"/>
        </w:rPr>
        <w:t xml:space="preserve">, are lower and have higher velocities, </w:t>
      </w:r>
      <m:oMath>
        <m:r>
          <w:rPr>
            <w:rStyle w:val="Emphasis"/>
            <w:rFonts w:ascii="Cambria Math" w:hAnsi="Cambria Math"/>
            <w:sz w:val="20"/>
          </w:rPr>
          <m:t>v</m:t>
        </m:r>
      </m:oMath>
      <w:r w:rsidRPr="003A1AA9">
        <w:rPr>
          <w:rFonts w:ascii="Book Antiqua" w:hAnsi="Book Antiqua"/>
          <w:sz w:val="20"/>
        </w:rPr>
        <w:t xml:space="preserve">.  This means the kinetic energies of the particles, </w:t>
      </w:r>
      <m:oMath>
        <m:r>
          <w:rPr>
            <w:rStyle w:val="Emphasis"/>
            <w:rFonts w:ascii="Book Antiqua" w:hAnsi="Book Antiqua"/>
            <w:sz w:val="20"/>
          </w:rPr>
          <m:t>½</m:t>
        </m:r>
        <m:r>
          <w:rPr>
            <w:rStyle w:val="Emphasis"/>
            <w:rFonts w:ascii="Cambria Math" w:hAnsi="Book Antiqua"/>
            <w:sz w:val="20"/>
          </w:rPr>
          <m:t xml:space="preserve"> </m:t>
        </m:r>
        <m:r>
          <w:rPr>
            <w:rStyle w:val="Emphasis"/>
            <w:rFonts w:ascii="Cambria Math" w:hAnsi="Cambria Math"/>
            <w:sz w:val="20"/>
          </w:rPr>
          <m:t>m</m:t>
        </m:r>
        <m:sSup>
          <m:sSupPr>
            <m:ctrlPr>
              <w:rPr>
                <w:rStyle w:val="Emphasis"/>
                <w:rFonts w:ascii="Cambria Math" w:hAnsi="Book Antiqua"/>
                <w:sz w:val="20"/>
              </w:rPr>
            </m:ctrlPr>
          </m:sSupPr>
          <m:e>
            <m:r>
              <w:rPr>
                <w:rStyle w:val="Emphasis"/>
                <w:rFonts w:ascii="Cambria Math" w:hAnsi="Cambria Math"/>
                <w:sz w:val="20"/>
              </w:rPr>
              <m:t>v</m:t>
            </m:r>
          </m:e>
          <m:sup>
            <m:r>
              <w:rPr>
                <w:rStyle w:val="Emphasis"/>
                <w:rFonts w:ascii="Cambria Math" w:hAnsi="Book Antiqua"/>
                <w:sz w:val="20"/>
              </w:rPr>
              <m:t>2</m:t>
            </m:r>
          </m:sup>
        </m:sSup>
      </m:oMath>
      <w:r w:rsidRPr="003A1AA9">
        <w:rPr>
          <w:rFonts w:ascii="Book Antiqua" w:hAnsi="Book Antiqua"/>
          <w:sz w:val="20"/>
        </w:rPr>
        <w:t xml:space="preserve"> inside the nucleus remain unchanged. </w:t>
      </w:r>
    </w:p>
    <w:p w:rsidR="00796231" w:rsidRPr="003A1AA9" w:rsidRDefault="00796231" w:rsidP="00796231">
      <w:pPr>
        <w:pStyle w:val="NoSpacing"/>
        <w:ind w:firstLine="720"/>
        <w:jc w:val="both"/>
        <w:rPr>
          <w:rFonts w:ascii="Book Antiqua" w:hAnsi="Book Antiqua"/>
          <w:sz w:val="20"/>
        </w:rPr>
      </w:pPr>
    </w:p>
    <w:p w:rsidR="00900E06" w:rsidRDefault="00796231" w:rsidP="00796231">
      <w:pPr>
        <w:pStyle w:val="NoSpacing"/>
        <w:ind w:firstLine="720"/>
        <w:jc w:val="both"/>
        <w:rPr>
          <w:rFonts w:ascii="Book Antiqua" w:hAnsi="Book Antiqua"/>
          <w:sz w:val="20"/>
        </w:rPr>
      </w:pPr>
      <w:r w:rsidRPr="003A1AA9">
        <w:rPr>
          <w:rFonts w:ascii="Book Antiqua" w:hAnsi="Book Antiqua"/>
          <w:sz w:val="20"/>
        </w:rPr>
        <w:t xml:space="preserve">It is the interaction of the particle with its host material that diminishes its initial kinetic energy. As the particle moves through the host material’s atoms, it interacts with the same number of energy potential wells regardless of ZPE strength. In addition, the electrostatic energy of both the potential wells and the expelled particle remains unchanged at any given distance (Chapter 5). </w:t>
      </w:r>
    </w:p>
    <w:p w:rsidR="00900E06" w:rsidRDefault="00900E06"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It is the electrostatic interaction of these potential wells with the speeding particle that slows it down. When the ZPE strength is low, the </w:t>
      </w:r>
      <w:r>
        <w:rPr>
          <w:rFonts w:ascii="Book Antiqua" w:hAnsi="Book Antiqua"/>
          <w:sz w:val="20"/>
        </w:rPr>
        <w:t>pa</w:t>
      </w:r>
      <w:r w:rsidRPr="003A1AA9">
        <w:rPr>
          <w:rFonts w:ascii="Book Antiqua" w:hAnsi="Book Antiqua"/>
          <w:sz w:val="20"/>
        </w:rPr>
        <w:t>rticle mass is also low, but its velocity is higher. However, since its mass is lower, the velocity of the speeding particle will not carry it further since the electrostatic interaction of the same charge on a lower mass is correspondingly greater. As a result, the particle’s kinetic energy will carry it the same distance regardless of ZPE changes.</w:t>
      </w:r>
    </w:p>
    <w:p w:rsidR="00796231" w:rsidRPr="003A1AA9" w:rsidRDefault="00796231" w:rsidP="00796231">
      <w:pPr>
        <w:pStyle w:val="NoSpacing"/>
        <w:ind w:firstLine="720"/>
        <w:jc w:val="both"/>
        <w:rPr>
          <w:rFonts w:ascii="Book Antiqua" w:hAnsi="Book Antiqua"/>
          <w:sz w:val="20"/>
        </w:rPr>
      </w:pPr>
    </w:p>
    <w:tbl>
      <w:tblPr>
        <w:tblStyle w:val="TableGrid"/>
        <w:tblW w:w="0" w:type="auto"/>
        <w:jc w:val="center"/>
        <w:tblLayout w:type="fixed"/>
        <w:tblLook w:val="04A0"/>
      </w:tblPr>
      <w:tblGrid>
        <w:gridCol w:w="4518"/>
        <w:gridCol w:w="4500"/>
      </w:tblGrid>
      <w:tr w:rsidR="00796231" w:rsidRPr="003A1AA9" w:rsidTr="0079566F">
        <w:trPr>
          <w:trHeight w:val="5597"/>
          <w:jc w:val="center"/>
        </w:trPr>
        <w:tc>
          <w:tcPr>
            <w:tcW w:w="4518" w:type="dxa"/>
          </w:tcPr>
          <w:p w:rsidR="00796231" w:rsidRPr="003A1AA9" w:rsidRDefault="00796231" w:rsidP="0079566F">
            <w:pPr>
              <w:pStyle w:val="NormalWeb"/>
              <w:jc w:val="both"/>
              <w:rPr>
                <w:rFonts w:ascii="Book Antiqua" w:hAnsi="Book Antiqua"/>
                <w:sz w:val="20"/>
                <w:szCs w:val="20"/>
              </w:rPr>
            </w:pPr>
            <w:r w:rsidRPr="003A1AA9">
              <w:rPr>
                <w:rFonts w:ascii="Book Antiqua" w:hAnsi="Book Antiqua"/>
                <w:b/>
                <w:bCs/>
                <w:noProof/>
                <w:sz w:val="20"/>
                <w:szCs w:val="20"/>
              </w:rPr>
              <w:lastRenderedPageBreak/>
              <w:drawing>
                <wp:inline distT="0" distB="0" distL="0" distR="0">
                  <wp:extent cx="2379781" cy="2145027"/>
                  <wp:effectExtent l="0" t="114300" r="0" b="102873"/>
                  <wp:docPr id="181" name="Picture 118" descr="Sunburst.jpg (166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unburst.jpg (16639 bytes)"/>
                          <pic:cNvPicPr>
                            <a:picLocks noChangeAspect="1" noChangeArrowheads="1"/>
                          </pic:cNvPicPr>
                        </pic:nvPicPr>
                        <pic:blipFill>
                          <a:blip r:embed="rId981" cstate="print"/>
                          <a:srcRect/>
                          <a:stretch>
                            <a:fillRect/>
                          </a:stretch>
                        </pic:blipFill>
                        <pic:spPr bwMode="auto">
                          <a:xfrm rot="5400000">
                            <a:off x="0" y="0"/>
                            <a:ext cx="2396021" cy="2159665"/>
                          </a:xfrm>
                          <a:prstGeom prst="rect">
                            <a:avLst/>
                          </a:prstGeom>
                          <a:noFill/>
                          <a:ln w="9525">
                            <a:noFill/>
                            <a:miter lim="800000"/>
                            <a:headEnd/>
                            <a:tailEnd/>
                          </a:ln>
                        </pic:spPr>
                      </pic:pic>
                    </a:graphicData>
                  </a:graphic>
                </wp:inline>
              </w:drawing>
            </w:r>
          </w:p>
          <w:p w:rsidR="00796231" w:rsidRPr="003A1AA9" w:rsidRDefault="00796231" w:rsidP="0079566F">
            <w:pPr>
              <w:pStyle w:val="NormalWeb"/>
              <w:jc w:val="center"/>
              <w:rPr>
                <w:rFonts w:ascii="Book Antiqua" w:hAnsi="Book Antiqua"/>
                <w:i/>
                <w:sz w:val="16"/>
                <w:szCs w:val="16"/>
              </w:rPr>
            </w:pPr>
            <w:r w:rsidRPr="003A1AA9">
              <w:rPr>
                <w:rFonts w:ascii="Book Antiqua" w:hAnsi="Book Antiqua"/>
                <w:i/>
                <w:sz w:val="16"/>
                <w:szCs w:val="16"/>
              </w:rPr>
              <w:t xml:space="preserve">A radioactive element emits particles and radiation in a spherical pattern which darkens the host material. For any given emitter, the stopping distance is the same, resulting in a spherical shell. A section through the spherical shell gives a ring with the emitter at the center. This is a radio-halo, or pleochroic halo, so named because each element in a decay series has its own halo with different coloring of the host material. </w:t>
            </w:r>
          </w:p>
        </w:tc>
        <w:tc>
          <w:tcPr>
            <w:tcW w:w="4500" w:type="dxa"/>
          </w:tcPr>
          <w:p w:rsidR="00796231" w:rsidRPr="003A1AA9" w:rsidRDefault="00796231" w:rsidP="0079566F">
            <w:pPr>
              <w:pStyle w:val="NormalWeb"/>
              <w:rPr>
                <w:rFonts w:ascii="Book Antiqua" w:hAnsi="Book Antiqua"/>
                <w:i/>
                <w:sz w:val="16"/>
                <w:szCs w:val="16"/>
              </w:rPr>
            </w:pPr>
            <w:r w:rsidRPr="003A1AA9">
              <w:rPr>
                <w:rFonts w:ascii="Book Antiqua" w:hAnsi="Book Antiqua"/>
                <w:noProof/>
                <w:sz w:val="20"/>
                <w:szCs w:val="20"/>
              </w:rPr>
              <w:drawing>
                <wp:inline distT="0" distB="0" distL="0" distR="0">
                  <wp:extent cx="2150623" cy="2562225"/>
                  <wp:effectExtent l="19050" t="0" r="2027" b="0"/>
                  <wp:docPr id="182" name="il_fi" descr="http://www.ichthus.info/Creation-Evidence/Polonium-Halos/PICS/pol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chthus.info/Creation-Evidence/Polonium-Halos/PICS/polon1.gif"/>
                          <pic:cNvPicPr>
                            <a:picLocks noChangeAspect="1" noChangeArrowheads="1"/>
                          </pic:cNvPicPr>
                        </pic:nvPicPr>
                        <pic:blipFill>
                          <a:blip r:embed="rId982" cstate="print"/>
                          <a:srcRect l="35271"/>
                          <a:stretch>
                            <a:fillRect/>
                          </a:stretch>
                        </pic:blipFill>
                        <pic:spPr bwMode="auto">
                          <a:xfrm>
                            <a:off x="0" y="0"/>
                            <a:ext cx="2166437" cy="2581065"/>
                          </a:xfrm>
                          <a:prstGeom prst="rect">
                            <a:avLst/>
                          </a:prstGeom>
                          <a:noFill/>
                          <a:ln w="9525">
                            <a:noFill/>
                            <a:miter lim="800000"/>
                            <a:headEnd/>
                            <a:tailEnd/>
                          </a:ln>
                        </pic:spPr>
                      </pic:pic>
                    </a:graphicData>
                  </a:graphic>
                </wp:inline>
              </w:drawing>
            </w:r>
          </w:p>
          <w:p w:rsidR="00796231" w:rsidRPr="003A1AA9" w:rsidRDefault="00796231" w:rsidP="0079566F">
            <w:pPr>
              <w:pStyle w:val="NormalWeb"/>
              <w:rPr>
                <w:rFonts w:ascii="Book Antiqua" w:hAnsi="Book Antiqua"/>
                <w:i/>
                <w:sz w:val="16"/>
                <w:szCs w:val="16"/>
              </w:rPr>
            </w:pPr>
            <w:r w:rsidRPr="003A1AA9">
              <w:rPr>
                <w:rFonts w:ascii="Book Antiqua" w:hAnsi="Book Antiqua"/>
                <w:i/>
                <w:sz w:val="16"/>
                <w:szCs w:val="16"/>
              </w:rPr>
              <w:t>As the emitting particle decays into a series of other radio-active elements, a series of rings form. This occurs because each element in the series has different energy for its emitted particles and radiation, and thus a different stopping distance. In the above example, three different forms of polonium have made three different rings</w:t>
            </w:r>
            <w:proofErr w:type="gramStart"/>
            <w:r w:rsidRPr="003A1AA9">
              <w:rPr>
                <w:rFonts w:ascii="Book Antiqua" w:hAnsi="Book Antiqua"/>
                <w:i/>
                <w:sz w:val="16"/>
                <w:szCs w:val="16"/>
              </w:rPr>
              <w:t>..</w:t>
            </w:r>
            <w:proofErr w:type="gramEnd"/>
          </w:p>
          <w:p w:rsidR="00796231" w:rsidRPr="003A1AA9" w:rsidRDefault="00796231" w:rsidP="0079566F">
            <w:pPr>
              <w:pStyle w:val="NormalWeb"/>
              <w:rPr>
                <w:rFonts w:ascii="Book Antiqua" w:hAnsi="Book Antiqua"/>
                <w:i/>
                <w:sz w:val="16"/>
                <w:szCs w:val="16"/>
              </w:rPr>
            </w:pPr>
          </w:p>
        </w:tc>
      </w:tr>
      <w:tr w:rsidR="00796231" w:rsidRPr="003A1AA9" w:rsidTr="0079566F">
        <w:trPr>
          <w:trHeight w:val="3590"/>
          <w:jc w:val="center"/>
        </w:trPr>
        <w:tc>
          <w:tcPr>
            <w:tcW w:w="4518" w:type="dxa"/>
          </w:tcPr>
          <w:p w:rsidR="00796231" w:rsidRPr="003A1AA9" w:rsidRDefault="00796231" w:rsidP="0079566F">
            <w:pPr>
              <w:pStyle w:val="NormalWeb"/>
              <w:jc w:val="both"/>
              <w:rPr>
                <w:rFonts w:ascii="Book Antiqua" w:hAnsi="Book Antiqua"/>
                <w:noProof/>
                <w:sz w:val="20"/>
                <w:szCs w:val="20"/>
              </w:rPr>
            </w:pPr>
            <w:r w:rsidRPr="003A1AA9">
              <w:rPr>
                <w:rFonts w:ascii="Book Antiqua" w:hAnsi="Book Antiqua"/>
                <w:noProof/>
                <w:sz w:val="20"/>
                <w:szCs w:val="20"/>
              </w:rPr>
              <w:drawing>
                <wp:inline distT="0" distB="0" distL="0" distR="0">
                  <wp:extent cx="2720217" cy="2228850"/>
                  <wp:effectExtent l="19050" t="0" r="3933" b="0"/>
                  <wp:docPr id="183" name="il_fi" descr="http://www.0095.info/resources/index_thesesen_95onesentencethesesagainste_uraniumandpoloniumradiohalo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0095.info/resources/index_thesesen_95onesentencethesesagainste_uraniumandpoloniumradiohalos_1.jpg"/>
                          <pic:cNvPicPr>
                            <a:picLocks noChangeAspect="1" noChangeArrowheads="1"/>
                          </pic:cNvPicPr>
                        </pic:nvPicPr>
                        <pic:blipFill>
                          <a:blip r:embed="rId983" cstate="print"/>
                          <a:srcRect l="9531" t="7292" r="9777" b="6331"/>
                          <a:stretch>
                            <a:fillRect/>
                          </a:stretch>
                        </pic:blipFill>
                        <pic:spPr bwMode="auto">
                          <a:xfrm>
                            <a:off x="0" y="0"/>
                            <a:ext cx="2720217" cy="2228850"/>
                          </a:xfrm>
                          <a:prstGeom prst="rect">
                            <a:avLst/>
                          </a:prstGeom>
                          <a:noFill/>
                          <a:ln w="9525">
                            <a:noFill/>
                            <a:miter lim="800000"/>
                            <a:headEnd/>
                            <a:tailEnd/>
                          </a:ln>
                        </pic:spPr>
                      </pic:pic>
                    </a:graphicData>
                  </a:graphic>
                </wp:inline>
              </w:drawing>
            </w:r>
          </w:p>
          <w:p w:rsidR="00796231" w:rsidRPr="003A1AA9" w:rsidRDefault="00796231" w:rsidP="0079566F">
            <w:pPr>
              <w:pStyle w:val="NormalWeb"/>
              <w:jc w:val="center"/>
              <w:rPr>
                <w:rFonts w:ascii="Book Antiqua" w:hAnsi="Book Antiqua"/>
                <w:i/>
                <w:noProof/>
                <w:sz w:val="20"/>
                <w:szCs w:val="20"/>
              </w:rPr>
            </w:pPr>
          </w:p>
        </w:tc>
        <w:tc>
          <w:tcPr>
            <w:tcW w:w="4500" w:type="dxa"/>
          </w:tcPr>
          <w:p w:rsidR="00796231" w:rsidRPr="003A1AA9" w:rsidRDefault="00796231" w:rsidP="0079566F">
            <w:pPr>
              <w:pStyle w:val="NormalWeb"/>
              <w:jc w:val="both"/>
              <w:rPr>
                <w:rFonts w:ascii="Book Antiqua" w:hAnsi="Book Antiqua"/>
                <w:noProof/>
                <w:sz w:val="20"/>
                <w:szCs w:val="20"/>
              </w:rPr>
            </w:pPr>
            <w:r w:rsidRPr="003A1AA9">
              <w:rPr>
                <w:rFonts w:ascii="Book Antiqua" w:hAnsi="Book Antiqua"/>
                <w:noProof/>
                <w:sz w:val="20"/>
                <w:szCs w:val="20"/>
              </w:rPr>
              <w:drawing>
                <wp:inline distT="0" distB="0" distL="0" distR="0">
                  <wp:extent cx="2705100" cy="2228850"/>
                  <wp:effectExtent l="19050" t="0" r="0" b="0"/>
                  <wp:docPr id="184" name="Picture 122" descr="http://www.berthold-weber.de/w_halo_hpb.jpg"/>
                  <wp:cNvGraphicFramePr/>
                  <a:graphic xmlns:a="http://schemas.openxmlformats.org/drawingml/2006/main">
                    <a:graphicData uri="http://schemas.openxmlformats.org/drawingml/2006/picture">
                      <pic:pic xmlns:pic="http://schemas.openxmlformats.org/drawingml/2006/picture">
                        <pic:nvPicPr>
                          <pic:cNvPr id="4" name="Picture 3" descr="http://www.berthold-weber.de/w_halo_hpb.jpg"/>
                          <pic:cNvPicPr/>
                        </pic:nvPicPr>
                        <pic:blipFill>
                          <a:blip r:embed="rId984" cstate="print">
                            <a:lum contrast="40000"/>
                          </a:blip>
                          <a:srcRect l="16938" t="13150" r="14485" b="16560"/>
                          <a:stretch>
                            <a:fillRect/>
                          </a:stretch>
                        </pic:blipFill>
                        <pic:spPr bwMode="auto">
                          <a:xfrm>
                            <a:off x="0" y="0"/>
                            <a:ext cx="2705100" cy="2228850"/>
                          </a:xfrm>
                          <a:prstGeom prst="rect">
                            <a:avLst/>
                          </a:prstGeom>
                          <a:noFill/>
                          <a:ln w="9525">
                            <a:noFill/>
                            <a:miter lim="800000"/>
                            <a:headEnd/>
                            <a:tailEnd/>
                          </a:ln>
                        </pic:spPr>
                      </pic:pic>
                    </a:graphicData>
                  </a:graphic>
                </wp:inline>
              </w:drawing>
            </w:r>
          </w:p>
          <w:p w:rsidR="00796231" w:rsidRPr="003A1AA9" w:rsidRDefault="00796231" w:rsidP="0079566F">
            <w:pPr>
              <w:pStyle w:val="NormalWeb"/>
              <w:jc w:val="center"/>
              <w:rPr>
                <w:rFonts w:ascii="Book Antiqua" w:hAnsi="Book Antiqua"/>
                <w:i/>
                <w:noProof/>
                <w:sz w:val="20"/>
                <w:szCs w:val="20"/>
              </w:rPr>
            </w:pPr>
          </w:p>
        </w:tc>
      </w:tr>
    </w:tbl>
    <w:p w:rsidR="00796231" w:rsidRPr="003A1AA9" w:rsidRDefault="00796231" w:rsidP="00796231">
      <w:pPr>
        <w:pStyle w:val="NoSpacing"/>
        <w:rPr>
          <w:rFonts w:ascii="Book Antiqua" w:hAnsi="Book Antiqua"/>
          <w:i/>
          <w:sz w:val="20"/>
        </w:rPr>
      </w:pPr>
    </w:p>
    <w:p w:rsidR="00796231" w:rsidRPr="0040460D" w:rsidRDefault="00796231" w:rsidP="00796231">
      <w:pPr>
        <w:pStyle w:val="NoSpacing"/>
        <w:jc w:val="center"/>
        <w:rPr>
          <w:rFonts w:ascii="Book Antiqua" w:hAnsi="Book Antiqua"/>
          <w:i/>
          <w:sz w:val="18"/>
          <w:szCs w:val="18"/>
        </w:rPr>
      </w:pPr>
      <w:r w:rsidRPr="0040460D">
        <w:rPr>
          <w:rFonts w:ascii="Book Antiqua" w:hAnsi="Book Antiqua"/>
          <w:b/>
          <w:i/>
          <w:sz w:val="18"/>
          <w:szCs w:val="18"/>
        </w:rPr>
        <w:t>Figure 6:</w:t>
      </w:r>
      <w:r w:rsidRPr="0040460D">
        <w:rPr>
          <w:rFonts w:ascii="Book Antiqua" w:hAnsi="Book Antiqua"/>
          <w:i/>
          <w:sz w:val="18"/>
          <w:szCs w:val="18"/>
        </w:rPr>
        <w:t xml:space="preserve"> Pleochroic halos or radio-halos. The bottom left are typical examples. Bottom right is a U238 halo in fluorite.</w:t>
      </w:r>
    </w:p>
    <w:p w:rsidR="00796231" w:rsidRPr="003A1AA9" w:rsidRDefault="00796231" w:rsidP="00796231">
      <w:pPr>
        <w:ind w:firstLine="720"/>
        <w:jc w:val="both"/>
        <w:rPr>
          <w:rFonts w:ascii="Book Antiqua" w:hAnsi="Book Antiqua"/>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This can be expressed mathematically. Let a force of electrosthatic attraction, </w:t>
      </w:r>
      <w:r w:rsidRPr="003A1AA9">
        <w:rPr>
          <w:rFonts w:ascii="Book Antiqua" w:hAnsi="Book Antiqua"/>
          <w:i/>
          <w:sz w:val="20"/>
        </w:rPr>
        <w:t>F</w:t>
      </w:r>
      <w:r w:rsidRPr="003A1AA9">
        <w:rPr>
          <w:rFonts w:ascii="Book Antiqua" w:hAnsi="Book Antiqua"/>
          <w:sz w:val="20"/>
        </w:rPr>
        <w:t xml:space="preserve">, produce a deceleration, </w:t>
      </w:r>
      <w:r w:rsidRPr="003A1AA9">
        <w:rPr>
          <w:rFonts w:ascii="Book Antiqua" w:hAnsi="Book Antiqua"/>
          <w:i/>
          <w:sz w:val="20"/>
        </w:rPr>
        <w:t>a</w:t>
      </w:r>
      <w:r w:rsidRPr="003A1AA9">
        <w:rPr>
          <w:rFonts w:ascii="Book Antiqua" w:hAnsi="Book Antiqua"/>
          <w:sz w:val="20"/>
        </w:rPr>
        <w:t>, on an alpha particle of mass</w:t>
      </w:r>
      <w:r w:rsidRPr="003A1AA9">
        <w:rPr>
          <w:rFonts w:ascii="Book Antiqua" w:hAnsi="Book Antiqua"/>
          <w:i/>
          <w:sz w:val="20"/>
        </w:rPr>
        <w:t>, m</w:t>
      </w:r>
      <w:r w:rsidRPr="003A1AA9">
        <w:rPr>
          <w:rFonts w:ascii="Book Antiqua" w:hAnsi="Book Antiqua"/>
          <w:sz w:val="20"/>
        </w:rPr>
        <w:t xml:space="preserve">. Let the force of electrostatic attraction between charges be proportional </w:t>
      </w:r>
      <w:proofErr w:type="gramStart"/>
      <w:r w:rsidRPr="003A1AA9">
        <w:rPr>
          <w:rFonts w:ascii="Book Antiqua" w:hAnsi="Book Antiqua"/>
          <w:sz w:val="20"/>
        </w:rPr>
        <w:t xml:space="preserve">to </w:t>
      </w:r>
      <m:oMath>
        <w:proofErr w:type="gramEnd"/>
        <m:r>
          <w:rPr>
            <w:rStyle w:val="Emphasis"/>
            <w:rFonts w:ascii="Cambria Math" w:hAnsi="Book Antiqua"/>
            <w:sz w:val="20"/>
          </w:rPr>
          <m:t>(</m:t>
        </m:r>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r>
          <w:rPr>
            <w:rStyle w:val="Emphasis"/>
            <w:rFonts w:ascii="Cambria Math" w:hAnsi="Book Antiqua"/>
            <w:sz w:val="20"/>
          </w:rPr>
          <m:t>/</m:t>
        </m:r>
        <m:r>
          <w:rPr>
            <w:rStyle w:val="Emphasis"/>
            <w:rFonts w:ascii="Cambria Math" w:hAnsi="Cambria Math"/>
            <w:sz w:val="20"/>
          </w:rPr>
          <m:t>ε</m:t>
        </m:r>
        <m:r>
          <w:rPr>
            <w:rStyle w:val="Emphasis"/>
            <w:rFonts w:ascii="Cambria Math" w:hAnsi="Book Antiqua"/>
            <w:sz w:val="20"/>
          </w:rPr>
          <m:t>)</m:t>
        </m:r>
      </m:oMath>
      <w:r w:rsidRPr="003A1AA9">
        <w:rPr>
          <w:rFonts w:ascii="Book Antiqua" w:hAnsi="Book Antiqua"/>
          <w:sz w:val="20"/>
        </w:rPr>
        <w:t xml:space="preserve">, where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oMath>
      <w:r w:rsidRPr="003A1AA9">
        <w:rPr>
          <w:rFonts w:ascii="Book Antiqua" w:hAnsi="Book Antiqua"/>
          <w:sz w:val="20"/>
        </w:rPr>
        <w:t xml:space="preserve"> is the particle charge and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oMath>
      <w:r w:rsidRPr="003A1AA9">
        <w:rPr>
          <w:rFonts w:ascii="Book Antiqua" w:hAnsi="Book Antiqua"/>
          <w:sz w:val="20"/>
        </w:rPr>
        <w:t xml:space="preserve"> is an interacting host material charge </w:t>
      </w:r>
      <w:hyperlink r:id="rId985" w:anchor="4a184" w:history="1">
        <w:r w:rsidRPr="003A1AA9">
          <w:rPr>
            <w:rStyle w:val="Hyperlink"/>
            <w:rFonts w:ascii="Book Antiqua" w:hAnsi="Book Antiqua"/>
            <w:sz w:val="20"/>
          </w:rPr>
          <w:t>[9]</w:t>
        </w:r>
      </w:hyperlink>
      <w:r w:rsidRPr="003A1AA9">
        <w:rPr>
          <w:rFonts w:ascii="Book Antiqua" w:hAnsi="Book Antiqua"/>
          <w:sz w:val="20"/>
        </w:rPr>
        <w:t xml:space="preserve">. From Chapter 5, </w:t>
      </w:r>
      <m:oMath>
        <m:r>
          <w:rPr>
            <w:rStyle w:val="Emphasis"/>
            <w:rFonts w:ascii="Cambria Math" w:hAnsi="Cambria Math"/>
            <w:sz w:val="20"/>
          </w:rPr>
          <m:t>F</m:t>
        </m:r>
      </m:oMath>
      <w:r w:rsidRPr="003A1AA9">
        <w:rPr>
          <w:rFonts w:ascii="Book Antiqua" w:hAnsi="Book Antiqua"/>
          <w:sz w:val="20"/>
        </w:rPr>
        <w:t xml:space="preserve"> must remain unchanged at a given distance. But </w:t>
      </w:r>
      <m:oMath>
        <m:r>
          <w:rPr>
            <w:rStyle w:val="Emphasis"/>
            <w:rFonts w:ascii="Cambria Math" w:hAnsi="Cambria Math"/>
            <w:sz w:val="20"/>
          </w:rPr>
          <m:t>m</m:t>
        </m:r>
      </m:oMath>
      <w:r w:rsidRPr="003A1AA9">
        <w:rPr>
          <w:rFonts w:ascii="Book Antiqua" w:hAnsi="Book Antiqua"/>
          <w:sz w:val="20"/>
        </w:rPr>
        <w:t xml:space="preserve"> is proportional to </w:t>
      </w:r>
      <m:oMath>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deceleration</w:t>
      </w:r>
      <w:proofErr w:type="gramStart"/>
      <w:r w:rsidRPr="003A1AA9">
        <w:rPr>
          <w:rFonts w:ascii="Book Antiqua" w:hAnsi="Book Antiqua"/>
          <w:sz w:val="20"/>
        </w:rPr>
        <w:t xml:space="preserve">, </w:t>
      </w:r>
      <m:oMath>
        <w:proofErr w:type="gramEnd"/>
        <m:r>
          <w:rPr>
            <w:rStyle w:val="Emphasis"/>
            <w:rFonts w:ascii="Cambria Math" w:hAnsi="Cambria Math"/>
            <w:sz w:val="20"/>
          </w:rPr>
          <m:t>a</m:t>
        </m:r>
      </m:oMath>
      <w:r w:rsidRPr="003A1AA9">
        <w:rPr>
          <w:rFonts w:ascii="Book Antiqua" w:hAnsi="Book Antiqua"/>
          <w:sz w:val="20"/>
        </w:rPr>
        <w:t xml:space="preserve">, is proportional to </w:t>
      </w:r>
      <m:oMath>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same charge interaction per particle mass produces a deceleration increased by a factor </w:t>
      </w:r>
      <w:proofErr w:type="gramStart"/>
      <w:r w:rsidRPr="003A1AA9">
        <w:rPr>
          <w:rFonts w:ascii="Book Antiqua" w:hAnsi="Book Antiqua"/>
          <w:sz w:val="20"/>
        </w:rPr>
        <w:t xml:space="preserve">of </w:t>
      </w:r>
      <m:oMath>
        <w:proofErr w:type="gramEnd"/>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This exactly counteracts the effects of mass decrease, which is proportional </w:t>
      </w:r>
      <w:proofErr w:type="gramStart"/>
      <w:r w:rsidRPr="003A1AA9">
        <w:rPr>
          <w:rFonts w:ascii="Book Antiqua" w:hAnsi="Book Antiqua"/>
          <w:sz w:val="20"/>
        </w:rPr>
        <w:t xml:space="preserve">to </w:t>
      </w:r>
      <m:oMath>
        <w:proofErr w:type="gramEnd"/>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This is why pleochroic halo radii will remain fixed with varying ZPE; fixed radio-halo radii do not mean that the ZPE strength has not changed</w:t>
      </w:r>
      <w:r w:rsidRPr="003A1AA9">
        <w:rPr>
          <w:rFonts w:ascii="Book Antiqua" w:hAnsi="Book Antiqua"/>
          <w:sz w:val="18"/>
          <w:szCs w:val="18"/>
        </w:rPr>
        <w:t>.</w:t>
      </w:r>
      <w:r w:rsidRPr="003A1AA9">
        <w:rPr>
          <w:rFonts w:ascii="Book Antiqua" w:hAnsi="Book Antiqua"/>
          <w:b/>
          <w:sz w:val="18"/>
          <w:szCs w:val="18"/>
        </w:rPr>
        <w:t xml:space="preserve"> </w:t>
      </w:r>
    </w:p>
    <w:p w:rsidR="00796231" w:rsidRDefault="00796231" w:rsidP="00796231">
      <w:pPr>
        <w:pStyle w:val="NoSpacing"/>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lastRenderedPageBreak/>
        <w:t>There is another way of looking at this. It is often stated that the speeding alpha particle is slowed by the process of ionization. In this, the electrons around atoms in the alpha particle’s path are either pulled out of their orbits or in some way are disturbed. It might be pointed out that, as noted in the second half of Chapter 5, electron orbits were further out from the nucleus in earlier times resulting in a redshift of light. This means that their orbits were less energetic and so the electron could be removed from its orbit more readily. In other words, the process of stripping electrons from atoms (ionization) was easier and required less energy. Therefore, if each interaction required less energy, it might be thought that the alpha particle would have to travel further before its kinetic energy was used up and it stopped. However, that is not the case, because, if ionization was easier, more ionization events would occur in the path of the alpha particle. Since the number of ionization events is determined by the ease of ionization, there are more events when the ionization is easier. So these factors exactly compensate. So, no matter how the question is examined, with a changing Zero Point Energy, the end result is always that the alpha particle slows to a stop at the same distance from the nucleus.</w:t>
      </w:r>
    </w:p>
    <w:p w:rsidR="00796231" w:rsidRDefault="00796231" w:rsidP="00796231">
      <w:pPr>
        <w:pStyle w:val="NoSpacing"/>
        <w:rPr>
          <w:rFonts w:ascii="Book Antiqua" w:hAnsi="Book Antiqua"/>
          <w:b/>
          <w:sz w:val="20"/>
        </w:rPr>
      </w:pPr>
    </w:p>
    <w:p w:rsidR="00796231" w:rsidRPr="003A1AA9" w:rsidRDefault="00796231" w:rsidP="00796231">
      <w:pPr>
        <w:pStyle w:val="NoSpacing"/>
        <w:rPr>
          <w:rFonts w:ascii="Book Antiqua" w:hAnsi="Book Antiqua"/>
          <w:b/>
          <w:sz w:val="20"/>
        </w:rPr>
      </w:pPr>
      <w:r w:rsidRPr="003A1AA9">
        <w:rPr>
          <w:rFonts w:ascii="Book Antiqua" w:hAnsi="Book Antiqua"/>
          <w:b/>
          <w:sz w:val="20"/>
        </w:rPr>
        <w:t>8.   Types of Fission and the Oklo Natural Reactor.</w:t>
      </w:r>
    </w:p>
    <w:p w:rsidR="00796231" w:rsidRPr="003A1AA9" w:rsidRDefault="00796231" w:rsidP="00796231">
      <w:pPr>
        <w:pStyle w:val="NoSpacing"/>
        <w:rPr>
          <w:rFonts w:ascii="Book Antiqua" w:hAnsi="Book Antiqua"/>
          <w:sz w:val="20"/>
        </w:rPr>
      </w:pPr>
    </w:p>
    <w:p w:rsidR="00796231" w:rsidRPr="007B001B" w:rsidRDefault="00796231" w:rsidP="00796231">
      <w:pPr>
        <w:pStyle w:val="NoSpacing"/>
        <w:jc w:val="both"/>
        <w:rPr>
          <w:rFonts w:ascii="Book Antiqua" w:hAnsi="Book Antiqua"/>
          <w:sz w:val="20"/>
        </w:rPr>
      </w:pPr>
      <w:r w:rsidRPr="00256786">
        <w:tab/>
      </w:r>
      <w:r w:rsidRPr="007B001B">
        <w:rPr>
          <w:rFonts w:ascii="Book Antiqua" w:hAnsi="Book Antiqua"/>
          <w:sz w:val="20"/>
        </w:rPr>
        <w:t xml:space="preserve"> </w:t>
      </w:r>
      <w:r w:rsidRPr="007B001B">
        <w:rPr>
          <w:rStyle w:val="style31"/>
          <w:rFonts w:ascii="Book Antiqua" w:hAnsi="Book Antiqua"/>
          <w:b w:val="0"/>
          <w:sz w:val="20"/>
        </w:rPr>
        <w:t>The</w:t>
      </w:r>
      <w:r w:rsidRPr="007B001B">
        <w:rPr>
          <w:rStyle w:val="style31"/>
          <w:rFonts w:ascii="Book Antiqua" w:hAnsi="Book Antiqua"/>
          <w:sz w:val="20"/>
        </w:rPr>
        <w:t xml:space="preserve"> </w:t>
      </w:r>
      <w:r w:rsidRPr="007B001B">
        <w:rPr>
          <w:rStyle w:val="style31"/>
          <w:rFonts w:ascii="Book Antiqua" w:hAnsi="Book Antiqua"/>
          <w:b w:val="0"/>
          <w:sz w:val="20"/>
        </w:rPr>
        <w:t>Oklo reactor, located in the Republic of Gabon, West Africa, is a natural uranium deposit in which nuclear</w:t>
      </w:r>
      <w:r w:rsidRPr="007B001B">
        <w:rPr>
          <w:rStyle w:val="style31"/>
          <w:rFonts w:ascii="Book Antiqua" w:hAnsi="Book Antiqua"/>
          <w:sz w:val="20"/>
        </w:rPr>
        <w:t xml:space="preserve"> </w:t>
      </w:r>
      <w:r w:rsidRPr="007B001B">
        <w:rPr>
          <w:rStyle w:val="style31"/>
          <w:rFonts w:ascii="Book Antiqua" w:hAnsi="Book Antiqua"/>
          <w:b w:val="0"/>
          <w:sz w:val="20"/>
        </w:rPr>
        <w:t>fission has occurred.</w:t>
      </w:r>
      <w:r w:rsidRPr="007B001B">
        <w:rPr>
          <w:rStyle w:val="style31"/>
          <w:rFonts w:ascii="Book Antiqua" w:hAnsi="Book Antiqua"/>
          <w:sz w:val="20"/>
        </w:rPr>
        <w:t xml:space="preserve"> </w:t>
      </w:r>
      <w:r w:rsidRPr="007B001B">
        <w:rPr>
          <w:rFonts w:ascii="Book Antiqua" w:hAnsi="Book Antiqua"/>
          <w:sz w:val="20"/>
        </w:rPr>
        <w:t xml:space="preserve">Geological conditions 1.8 billion atomic years ago allowed a chain reaction to cycle on and off repeatedly for some time in that uranium ore deposit. The cyclical nature of the process was revealed by isotopes left from reactions which were induced by the action of a geyser </w:t>
      </w:r>
      <w:hyperlink r:id="rId986" w:anchor="4a185" w:history="1">
        <w:r w:rsidRPr="007B001B">
          <w:rPr>
            <w:rStyle w:val="Hyperlink"/>
            <w:rFonts w:ascii="Book Antiqua" w:hAnsi="Book Antiqua"/>
            <w:sz w:val="20"/>
          </w:rPr>
          <w:t>[10]</w:t>
        </w:r>
      </w:hyperlink>
      <w:r w:rsidRPr="007B001B">
        <w:rPr>
          <w:rFonts w:ascii="Book Antiqua" w:hAnsi="Book Antiqua"/>
          <w:sz w:val="20"/>
        </w:rPr>
        <w:t xml:space="preserve">. The water slowed down neutrons that were produced by spontaneous fission of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7B001B">
        <w:rPr>
          <w:rFonts w:ascii="Book Antiqua" w:hAnsi="Book Antiqua"/>
          <w:sz w:val="20"/>
        </w:rPr>
        <w:t xml:space="preserve"> nuclei. These slow neutrons were then absorbed by nearby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 xml:space="preserve">nuclei and, in so doing, provided the activation energy needed to induce the fission of those nuclei. The reactor shut off when the water evaporated, either through radioactive heating by the daughter elements, or by drainage, because the emitted neutrons were no longer slow enough to be absorbed. The cycle repeated when the water returned. An initial study suggested that a complete cycle took about 3 hours, with 30 minutes of criticality followed by 2 hours 30 minutes of cooling before the next cycle started. However, these figures have been disputed [11]. </w:t>
      </w:r>
    </w:p>
    <w:p w:rsidR="00796231" w:rsidRDefault="00796231" w:rsidP="00796231">
      <w:pPr>
        <w:pStyle w:val="NoSpacing"/>
        <w:jc w:val="both"/>
        <w:rPr>
          <w:rFonts w:ascii="Book Antiqua" w:hAnsi="Book Antiqua"/>
          <w:sz w:val="20"/>
        </w:rPr>
      </w:pPr>
    </w:p>
    <w:p w:rsidR="00796231" w:rsidRDefault="00796231" w:rsidP="00796231">
      <w:pPr>
        <w:pStyle w:val="NoSpacing"/>
        <w:jc w:val="center"/>
        <w:rPr>
          <w:rFonts w:ascii="Book Antiqua" w:hAnsi="Book Antiqua"/>
          <w:sz w:val="20"/>
        </w:rPr>
      </w:pPr>
      <w:r w:rsidRPr="00833F02">
        <w:rPr>
          <w:rFonts w:ascii="Book Antiqua" w:hAnsi="Book Antiqua"/>
          <w:noProof/>
          <w:sz w:val="20"/>
        </w:rPr>
        <w:drawing>
          <wp:inline distT="0" distB="0" distL="0" distR="0">
            <wp:extent cx="5803354" cy="2638425"/>
            <wp:effectExtent l="19050" t="0" r="6896" b="0"/>
            <wp:docPr id="185" name="il_fi" descr="http://i.ytimg.com/vi/BgI5XYKmen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ytimg.com/vi/BgI5XYKmenc/0.jpg"/>
                    <pic:cNvPicPr>
                      <a:picLocks noChangeAspect="1" noChangeArrowheads="1"/>
                    </pic:cNvPicPr>
                  </pic:nvPicPr>
                  <pic:blipFill>
                    <a:blip r:embed="rId987" cstate="print"/>
                    <a:srcRect t="17237" r="1976" b="23522"/>
                    <a:stretch>
                      <a:fillRect/>
                    </a:stretch>
                  </pic:blipFill>
                  <pic:spPr bwMode="auto">
                    <a:xfrm>
                      <a:off x="0" y="0"/>
                      <a:ext cx="5823716" cy="2647683"/>
                    </a:xfrm>
                    <a:prstGeom prst="rect">
                      <a:avLst/>
                    </a:prstGeom>
                    <a:noFill/>
                    <a:ln w="9525">
                      <a:noFill/>
                      <a:miter lim="800000"/>
                      <a:headEnd/>
                      <a:tailEnd/>
                    </a:ln>
                  </pic:spPr>
                </pic:pic>
              </a:graphicData>
            </a:graphic>
          </wp:inline>
        </w:drawing>
      </w:r>
    </w:p>
    <w:p w:rsidR="00796231" w:rsidRPr="003A1AA9" w:rsidRDefault="00796231" w:rsidP="00796231">
      <w:pPr>
        <w:pStyle w:val="NoSpacing"/>
        <w:jc w:val="both"/>
        <w:rPr>
          <w:rFonts w:ascii="Book Antiqua" w:hAnsi="Book Antiqua"/>
          <w:sz w:val="20"/>
        </w:rPr>
      </w:pPr>
    </w:p>
    <w:p w:rsidR="00796231" w:rsidRPr="0040460D" w:rsidRDefault="00796231" w:rsidP="00796231">
      <w:pPr>
        <w:pStyle w:val="NormalWeb"/>
        <w:jc w:val="center"/>
        <w:rPr>
          <w:rFonts w:ascii="Book Antiqua" w:hAnsi="Book Antiqua"/>
          <w:i/>
          <w:sz w:val="18"/>
          <w:szCs w:val="18"/>
        </w:rPr>
      </w:pPr>
      <w:r w:rsidRPr="0040460D">
        <w:rPr>
          <w:rFonts w:ascii="Book Antiqua" w:hAnsi="Book Antiqua"/>
          <w:b/>
          <w:i/>
          <w:sz w:val="18"/>
          <w:szCs w:val="18"/>
        </w:rPr>
        <w:t>Figure 7:</w:t>
      </w:r>
      <w:r w:rsidRPr="0040460D">
        <w:rPr>
          <w:rFonts w:ascii="Book Antiqua" w:hAnsi="Book Antiqua"/>
          <w:i/>
          <w:sz w:val="18"/>
          <w:szCs w:val="18"/>
        </w:rPr>
        <w:t xml:space="preserve"> The site of the Oklo natural nuclear reactor in Gabon, W</w:t>
      </w:r>
      <w:r>
        <w:rPr>
          <w:rFonts w:ascii="Book Antiqua" w:hAnsi="Book Antiqua"/>
          <w:i/>
          <w:sz w:val="18"/>
          <w:szCs w:val="18"/>
        </w:rPr>
        <w:t>est</w:t>
      </w:r>
      <w:r w:rsidRPr="0040460D">
        <w:rPr>
          <w:rFonts w:ascii="Book Antiqua" w:hAnsi="Book Antiqua"/>
          <w:i/>
          <w:sz w:val="18"/>
          <w:szCs w:val="18"/>
        </w:rPr>
        <w:t xml:space="preserve"> Africa.</w:t>
      </w:r>
    </w:p>
    <w:p w:rsidR="00796231" w:rsidRDefault="00796231" w:rsidP="00796231">
      <w:pPr>
        <w:pStyle w:val="NoSpacing"/>
        <w:ind w:firstLine="720"/>
        <w:jc w:val="both"/>
        <w:rPr>
          <w:rFonts w:ascii="Book Antiqua" w:hAnsi="Book Antiqua"/>
          <w:sz w:val="20"/>
        </w:rPr>
      </w:pPr>
      <w:r w:rsidRPr="005723B9">
        <w:rPr>
          <w:rFonts w:ascii="Book Antiqua" w:hAnsi="Book Antiqua"/>
          <w:sz w:val="20"/>
        </w:rPr>
        <w:t xml:space="preserve">The picture that emerges of the Oklo site is that of </w:t>
      </w:r>
      <w:r>
        <w:rPr>
          <w:rFonts w:ascii="Book Antiqua" w:hAnsi="Book Antiqua"/>
          <w:sz w:val="20"/>
        </w:rPr>
        <w:t xml:space="preserve">large </w:t>
      </w:r>
      <w:r w:rsidRPr="005723B9">
        <w:rPr>
          <w:rFonts w:ascii="Book Antiqua" w:hAnsi="Book Antiqua"/>
          <w:sz w:val="20"/>
        </w:rPr>
        <w:t>pulsing geyser</w:t>
      </w:r>
      <w:r>
        <w:rPr>
          <w:rFonts w:ascii="Book Antiqua" w:hAnsi="Book Antiqua"/>
          <w:sz w:val="20"/>
        </w:rPr>
        <w:t>s.  Their</w:t>
      </w:r>
      <w:r w:rsidRPr="005723B9">
        <w:rPr>
          <w:rFonts w:ascii="Book Antiqua" w:hAnsi="Book Antiqua"/>
          <w:sz w:val="20"/>
        </w:rPr>
        <w:t xml:space="preserve"> water was </w:t>
      </w:r>
      <w:r>
        <w:rPr>
          <w:rFonts w:ascii="Book Antiqua" w:hAnsi="Book Antiqua"/>
          <w:sz w:val="20"/>
        </w:rPr>
        <w:t xml:space="preserve">evidently </w:t>
      </w:r>
      <w:r w:rsidRPr="005723B9">
        <w:rPr>
          <w:rFonts w:ascii="Book Antiqua" w:hAnsi="Book Antiqua"/>
          <w:sz w:val="20"/>
        </w:rPr>
        <w:t>being acted on by algae</w:t>
      </w:r>
      <w:r>
        <w:rPr>
          <w:rFonts w:ascii="Book Antiqua" w:hAnsi="Book Antiqua"/>
          <w:sz w:val="20"/>
        </w:rPr>
        <w:t>, since</w:t>
      </w:r>
      <w:r w:rsidRPr="005723B9">
        <w:rPr>
          <w:rFonts w:ascii="Book Antiqua" w:hAnsi="Book Antiqua"/>
          <w:sz w:val="20"/>
        </w:rPr>
        <w:t xml:space="preserve"> algae act to concentrate the uranium </w:t>
      </w:r>
      <w:r>
        <w:rPr>
          <w:rFonts w:ascii="Book Antiqua" w:hAnsi="Book Antiqua"/>
          <w:sz w:val="20"/>
        </w:rPr>
        <w:t>dissolved in</w:t>
      </w:r>
      <w:r w:rsidRPr="005723B9">
        <w:rPr>
          <w:rFonts w:ascii="Book Antiqua" w:hAnsi="Book Antiqua"/>
          <w:sz w:val="20"/>
        </w:rPr>
        <w:t xml:space="preserve"> the water welling up from the interior of the earth.</w:t>
      </w:r>
      <w:r>
        <w:rPr>
          <w:rFonts w:ascii="Book Antiqua" w:hAnsi="Book Antiqua"/>
          <w:sz w:val="20"/>
        </w:rPr>
        <w:t xml:space="preserve"> </w:t>
      </w:r>
      <w:r w:rsidRPr="005723B9">
        <w:rPr>
          <w:rFonts w:ascii="Book Antiqua" w:hAnsi="Book Antiqua"/>
          <w:sz w:val="20"/>
        </w:rPr>
        <w:t xml:space="preserve"> </w:t>
      </w:r>
      <w:r>
        <w:rPr>
          <w:rFonts w:ascii="Book Antiqua" w:hAnsi="Book Antiqua"/>
          <w:sz w:val="20"/>
        </w:rPr>
        <w:t>(</w:t>
      </w:r>
      <w:r w:rsidRPr="005723B9">
        <w:rPr>
          <w:rFonts w:ascii="Book Antiqua" w:hAnsi="Book Antiqua"/>
          <w:sz w:val="20"/>
        </w:rPr>
        <w:t>This is discussed further in Chapter 10.</w:t>
      </w:r>
      <w:r>
        <w:rPr>
          <w:rFonts w:ascii="Book Antiqua" w:hAnsi="Book Antiqua"/>
          <w:sz w:val="20"/>
        </w:rPr>
        <w:t>)</w:t>
      </w:r>
      <w:r w:rsidRPr="005723B9">
        <w:rPr>
          <w:rFonts w:ascii="Book Antiqua" w:hAnsi="Book Antiqua"/>
          <w:sz w:val="20"/>
        </w:rPr>
        <w:t xml:space="preserve"> Since there are 16 separate reaction sites in the region, it is possible that there may have been </w:t>
      </w:r>
      <w:r>
        <w:rPr>
          <w:rFonts w:ascii="Book Antiqua" w:hAnsi="Book Antiqua"/>
          <w:sz w:val="20"/>
        </w:rPr>
        <w:t>a number of</w:t>
      </w:r>
      <w:r w:rsidRPr="005723B9">
        <w:rPr>
          <w:rFonts w:ascii="Book Antiqua" w:hAnsi="Book Antiqua"/>
          <w:sz w:val="20"/>
        </w:rPr>
        <w:t xml:space="preserve"> separate geysers in the area. There was also a high concentration of clay particles suspended in the water which </w:t>
      </w:r>
      <w:r>
        <w:rPr>
          <w:rFonts w:ascii="Book Antiqua" w:hAnsi="Book Antiqua"/>
          <w:sz w:val="20"/>
        </w:rPr>
        <w:t xml:space="preserve">had </w:t>
      </w:r>
      <w:r w:rsidRPr="005723B9">
        <w:rPr>
          <w:rFonts w:ascii="Book Antiqua" w:hAnsi="Book Antiqua"/>
          <w:sz w:val="20"/>
        </w:rPr>
        <w:t xml:space="preserve">saturated the deposit. </w:t>
      </w:r>
      <w:r>
        <w:rPr>
          <w:rFonts w:ascii="Book Antiqua" w:hAnsi="Book Antiqua"/>
          <w:sz w:val="20"/>
        </w:rPr>
        <w:t>There is a possibility</w:t>
      </w:r>
      <w:r w:rsidRPr="005723B9">
        <w:rPr>
          <w:rFonts w:ascii="Book Antiqua" w:hAnsi="Book Antiqua"/>
          <w:sz w:val="20"/>
        </w:rPr>
        <w:t xml:space="preserve"> that there was convective movement in the mixture of </w:t>
      </w:r>
      <w:r w:rsidRPr="005723B9">
        <w:rPr>
          <w:rFonts w:ascii="Book Antiqua" w:hAnsi="Book Antiqua"/>
          <w:sz w:val="20"/>
        </w:rPr>
        <w:lastRenderedPageBreak/>
        <w:t xml:space="preserve">uranium, clay and water. </w:t>
      </w:r>
      <w:r>
        <w:rPr>
          <w:rFonts w:ascii="Book Antiqua" w:hAnsi="Book Antiqua"/>
          <w:sz w:val="20"/>
        </w:rPr>
        <w:t>A chain reaction can only take place if neutrons expelled from the decaying uranium are slowed enough to be absorbed by other uranium atoms.  This requires a moderating substance.  C</w:t>
      </w:r>
      <w:r w:rsidRPr="005723B9">
        <w:rPr>
          <w:rFonts w:ascii="Book Antiqua" w:hAnsi="Book Antiqua"/>
          <w:sz w:val="20"/>
        </w:rPr>
        <w:t>lay and water are both good moderators of neutron velocity</w:t>
      </w:r>
      <w:r>
        <w:rPr>
          <w:rFonts w:ascii="Book Antiqua" w:hAnsi="Book Antiqua"/>
          <w:sz w:val="20"/>
        </w:rPr>
        <w:t xml:space="preserve">; </w:t>
      </w:r>
      <w:r w:rsidRPr="005723B9">
        <w:rPr>
          <w:rFonts w:ascii="Book Antiqua" w:hAnsi="Book Antiqua"/>
          <w:sz w:val="20"/>
        </w:rPr>
        <w:t xml:space="preserve">the reaction rate depends on the moderator to fuel ratio. </w:t>
      </w:r>
      <w:r>
        <w:rPr>
          <w:rFonts w:ascii="Book Antiqua" w:hAnsi="Book Antiqua"/>
          <w:sz w:val="20"/>
        </w:rPr>
        <w:t xml:space="preserve">The more </w:t>
      </w:r>
      <w:proofErr w:type="gramStart"/>
      <w:r>
        <w:rPr>
          <w:rFonts w:ascii="Book Antiqua" w:hAnsi="Book Antiqua"/>
          <w:sz w:val="20"/>
        </w:rPr>
        <w:t>moderator</w:t>
      </w:r>
      <w:proofErr w:type="gramEnd"/>
      <w:r>
        <w:rPr>
          <w:rFonts w:ascii="Book Antiqua" w:hAnsi="Book Antiqua"/>
          <w:sz w:val="20"/>
        </w:rPr>
        <w:t xml:space="preserve"> there is, the more slow neutrons will be in the mix, increasing the likelihood of a chain reaction. This means that</w:t>
      </w:r>
      <w:r w:rsidRPr="005723B9">
        <w:rPr>
          <w:rFonts w:ascii="Book Antiqua" w:hAnsi="Book Antiqua"/>
          <w:sz w:val="20"/>
        </w:rPr>
        <w:t xml:space="preserve"> the number of slow neutrons depend</w:t>
      </w:r>
      <w:r>
        <w:rPr>
          <w:rFonts w:ascii="Book Antiqua" w:hAnsi="Book Antiqua"/>
          <w:sz w:val="20"/>
        </w:rPr>
        <w:t>s</w:t>
      </w:r>
      <w:r w:rsidRPr="005723B9">
        <w:rPr>
          <w:rFonts w:ascii="Book Antiqua" w:hAnsi="Book Antiqua"/>
          <w:sz w:val="20"/>
        </w:rPr>
        <w:t xml:space="preserve"> significantly on the percentage of clay and water atoms compared with that of the uranium atoms, quite apart from ZPE conditions. </w:t>
      </w:r>
    </w:p>
    <w:p w:rsidR="00796231" w:rsidRPr="005723B9"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At Oklo, there were two types of fission reactions. First a spontaneous fission reaction occurred with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r>
          <w:rPr>
            <w:rFonts w:ascii="Cambria Math" w:hAnsi="Book Antiqua"/>
            <w:sz w:val="20"/>
          </w:rPr>
          <m:t xml:space="preserve"> </m:t>
        </m:r>
      </m:oMath>
      <w:r w:rsidRPr="007B001B">
        <w:rPr>
          <w:rFonts w:ascii="Book Antiqua" w:hAnsi="Book Antiqua"/>
          <w:sz w:val="20"/>
        </w:rPr>
        <w:t xml:space="preserve"> isotope, which has a current half-life of 4.46 billion years </w:t>
      </w:r>
      <w:hyperlink r:id="rId988" w:anchor="4a188" w:history="1">
        <w:r w:rsidRPr="007B001B">
          <w:rPr>
            <w:rStyle w:val="Hyperlink"/>
            <w:rFonts w:ascii="Book Antiqua" w:eastAsiaTheme="majorEastAsia" w:hAnsi="Book Antiqua"/>
            <w:sz w:val="20"/>
          </w:rPr>
          <w:t>[12]</w:t>
        </w:r>
      </w:hyperlink>
      <w:r w:rsidRPr="007B001B">
        <w:rPr>
          <w:rFonts w:ascii="Book Antiqua" w:hAnsi="Book Antiqua"/>
          <w:sz w:val="20"/>
        </w:rPr>
        <w:t xml:space="preserve">. This reaction’s fission tracks acting over geological time are used for atomic dating of the deposit. Second, there was an induced fission reaction which occurred with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 xml:space="preserve">isotope due to neutrons from the first reaction which had been slowed down. But for this second reaction to occur, it was essential that a supply of slow, not fast, neutrons was available. These neutrons came primarily from the first reaction, namely the spontaneous fission of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7B001B">
        <w:rPr>
          <w:rFonts w:ascii="Book Antiqua" w:hAnsi="Book Antiqua"/>
          <w:sz w:val="20"/>
        </w:rPr>
        <w:t xml:space="preserve">  isotope. The general idea is that the second, or</w:t>
      </w:r>
      <w:r w:rsidRPr="007B001B">
        <w:rPr>
          <w:rStyle w:val="style31"/>
          <w:rFonts w:ascii="Book Antiqua" w:hAnsi="Book Antiqua"/>
          <w:sz w:val="20"/>
        </w:rPr>
        <w:t xml:space="preserv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reaction, proves that fission rates are fixed. It is true that the strong, weak and electromagnetic forces were unchanged in this fission process. But let us examine these processes for a moment.</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In examining the first reaction due to spontaneous fission, it has been noted that, when the ZPE strength was lower, sub-atomic particle masses were also lower. The velocity of particles in the nucleus was thereby higher, just as for alpha particles. So for spontaneous fission, the important stable configurations of nucleons formed more quickly, and the nucleus split more rapidly. Thus spontaneous fission half-lives are proportional to the strength of the Zero Point Energy</w:t>
      </w:r>
      <w:proofErr w:type="gramStart"/>
      <w:r w:rsidRPr="007B001B">
        <w:rPr>
          <w:rFonts w:ascii="Book Antiqua" w:hAnsi="Book Antiqua"/>
          <w:sz w:val="20"/>
        </w:rPr>
        <w:t xml:space="preserve">, </w:t>
      </w:r>
      <m:oMath>
        <w:proofErr w:type="gramEnd"/>
        <m:r>
          <w:rPr>
            <w:rStyle w:val="Emphasis"/>
            <w:rFonts w:ascii="Cambria Math" w:eastAsia="SimSun" w:hAnsi="Cambria Math"/>
            <w:sz w:val="20"/>
          </w:rPr>
          <m:t>U</m:t>
        </m:r>
      </m:oMath>
      <w:r w:rsidRPr="007B001B">
        <w:rPr>
          <w:rFonts w:ascii="Book Antiqua" w:hAnsi="Book Antiqua"/>
          <w:sz w:val="20"/>
        </w:rPr>
        <w:t xml:space="preserve">, and Planck’s Constant, </w:t>
      </w:r>
      <m:oMath>
        <m:r>
          <w:rPr>
            <w:rStyle w:val="Emphasis"/>
            <w:rFonts w:ascii="Book Antiqua" w:eastAsia="SimSun" w:hAnsi="Cambria Math"/>
            <w:sz w:val="20"/>
          </w:rPr>
          <m:t>h</m:t>
        </m:r>
      </m:oMath>
      <w:r w:rsidRPr="007B001B">
        <w:rPr>
          <w:rFonts w:ascii="Book Antiqua" w:hAnsi="Book Antiqua"/>
          <w:sz w:val="20"/>
        </w:rPr>
        <w:t>, and were longer when the ZPE strength is greater.</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As far as the second fission reaction is concerned, the shorter spontaneous fission half-lives from the first reaction means there was a greater flux of neutrons in the past than there is now. But in the second reaction, neutron capture by a nucleus to form an activated complex only occurs if a neutron is near a nucleus for a relatively long time (requiring the slower neutrons). Short-range nuclear attractive forces then have a better chance to take effect. Such nuclei are called </w:t>
      </w:r>
      <m:oMath>
        <m:r>
          <w:rPr>
            <w:rStyle w:val="Emphasis"/>
            <w:rFonts w:ascii="Cambria Math" w:eastAsia="SimSun" w:hAnsi="Book Antiqua"/>
            <w:sz w:val="20"/>
          </w:rPr>
          <m:t>1/</m:t>
        </m:r>
        <m:r>
          <w:rPr>
            <w:rStyle w:val="Emphasis"/>
            <w:rFonts w:ascii="Cambria Math" w:eastAsia="SimSun" w:hAnsi="Cambria Math"/>
            <w:sz w:val="20"/>
          </w:rPr>
          <m:t>v</m:t>
        </m:r>
      </m:oMath>
      <w:r w:rsidRPr="007B001B">
        <w:rPr>
          <w:rStyle w:val="Emphasis"/>
          <w:rFonts w:ascii="Book Antiqua" w:eastAsia="SimSun" w:hAnsi="Book Antiqua"/>
          <w:sz w:val="20"/>
        </w:rPr>
        <w:t xml:space="preserve"> </w:t>
      </w:r>
      <w:r w:rsidRPr="007B001B">
        <w:rPr>
          <w:rFonts w:ascii="Book Antiqua" w:hAnsi="Book Antiqua"/>
          <w:sz w:val="20"/>
        </w:rPr>
        <w:t xml:space="preserve">absorbers, with </w:t>
      </w:r>
      <m:oMath>
        <m:r>
          <w:rPr>
            <w:rStyle w:val="Emphasis"/>
            <w:rFonts w:ascii="Cambria Math" w:eastAsia="SimSun" w:hAnsi="Cambria Math"/>
            <w:sz w:val="20"/>
          </w:rPr>
          <m:t>v</m:t>
        </m:r>
      </m:oMath>
      <w:r w:rsidRPr="007B001B">
        <w:rPr>
          <w:rStyle w:val="Emphasis"/>
          <w:rFonts w:ascii="Book Antiqua" w:eastAsia="SimSun" w:hAnsi="Book Antiqua"/>
          <w:sz w:val="20"/>
        </w:rPr>
        <w:t xml:space="preserve"> </w:t>
      </w:r>
      <w:r w:rsidRPr="007B001B">
        <w:rPr>
          <w:rFonts w:ascii="Book Antiqua" w:hAnsi="Book Antiqua"/>
          <w:sz w:val="20"/>
        </w:rPr>
        <w:t xml:space="preserve">the neutron velocity </w:t>
      </w:r>
      <w:hyperlink r:id="rId989" w:anchor="4a189" w:history="1">
        <w:r w:rsidRPr="007B001B">
          <w:rPr>
            <w:rStyle w:val="Hyperlink"/>
            <w:rFonts w:ascii="Book Antiqua" w:eastAsiaTheme="majorEastAsia" w:hAnsi="Book Antiqua"/>
            <w:sz w:val="20"/>
          </w:rPr>
          <w:t>[13]</w:t>
        </w:r>
      </w:hyperlink>
      <w:r w:rsidRPr="007B001B">
        <w:rPr>
          <w:rFonts w:ascii="Book Antiqua" w:hAnsi="Book Antiqua"/>
          <w:sz w:val="20"/>
        </w:rPr>
        <w:t xml:space="preserve">. </w:t>
      </w:r>
    </w:p>
    <w:p w:rsidR="00796231" w:rsidRPr="007B001B"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To model the effects of a neutron flux in the second reaction, we note from the equations in Chapter 4 that the number of approaches per second by neutrons to a nucleus is proportional to the speed of light</w:t>
      </w:r>
      <w:proofErr w:type="gramStart"/>
      <w:r w:rsidRPr="007B001B">
        <w:rPr>
          <w:rFonts w:ascii="Book Antiqua" w:hAnsi="Book Antiqua"/>
          <w:sz w:val="20"/>
        </w:rPr>
        <w:t xml:space="preserve">, </w:t>
      </w:r>
      <m:oMath>
        <w:proofErr w:type="gramEnd"/>
        <m:r>
          <w:rPr>
            <w:rStyle w:val="Emphasis"/>
            <w:rFonts w:ascii="Cambria Math" w:eastAsia="SimSun" w:hAnsi="Cambria Math"/>
            <w:sz w:val="20"/>
          </w:rPr>
          <m:t>c</m:t>
        </m:r>
      </m:oMath>
      <w:r w:rsidRPr="007B001B">
        <w:rPr>
          <w:rFonts w:ascii="Book Antiqua" w:hAnsi="Book Antiqua"/>
          <w:sz w:val="20"/>
        </w:rPr>
        <w:t xml:space="preserve">. Because the velocity of neutrons is faster when </w:t>
      </w:r>
      <m:oMath>
        <m:r>
          <w:rPr>
            <w:rStyle w:val="Emphasis"/>
            <w:rFonts w:ascii="Cambria Math" w:eastAsia="SimSun" w:hAnsi="Cambria Math"/>
            <w:sz w:val="20"/>
          </w:rPr>
          <m:t>c</m:t>
        </m:r>
      </m:oMath>
      <w:r w:rsidRPr="007B001B">
        <w:rPr>
          <w:rStyle w:val="Emphasis"/>
          <w:rFonts w:ascii="Book Antiqua" w:eastAsia="SimSun" w:hAnsi="Book Antiqua"/>
          <w:sz w:val="20"/>
        </w:rPr>
        <w:t xml:space="preserve"> </w:t>
      </w:r>
      <w:r w:rsidRPr="007B001B">
        <w:rPr>
          <w:rFonts w:ascii="Book Antiqua" w:hAnsi="Book Antiqua"/>
          <w:sz w:val="20"/>
        </w:rPr>
        <w:t>is higher, the time each one is in the vicinity of a nucleus is then proportional to</w:t>
      </w:r>
      <m:oMath>
        <m:r>
          <w:rPr>
            <w:rFonts w:ascii="Cambria Math" w:hAnsi="Book Antiqua"/>
            <w:sz w:val="20"/>
          </w:rPr>
          <m:t xml:space="preserve"> </m:t>
        </m:r>
        <m:r>
          <w:rPr>
            <w:rStyle w:val="Emphasis"/>
            <w:rFonts w:ascii="Cambria Math" w:eastAsia="SimSun" w:hAnsi="Book Antiqua"/>
            <w:sz w:val="20"/>
          </w:rPr>
          <m:t>1</m:t>
        </m:r>
        <m:r>
          <m:rPr>
            <m:sty m:val="bi"/>
          </m:rPr>
          <w:rPr>
            <w:rStyle w:val="Strong"/>
            <w:rFonts w:ascii="Cambria Math" w:eastAsia="Calibri" w:hAnsi="Book Antiqua"/>
            <w:sz w:val="20"/>
          </w:rPr>
          <m:t>/</m:t>
        </m:r>
        <m:r>
          <w:rPr>
            <w:rStyle w:val="Emphasis"/>
            <w:rFonts w:ascii="Cambria Math" w:eastAsia="SimSun" w:hAnsi="Cambria Math"/>
            <w:sz w:val="20"/>
          </w:rPr>
          <m:t>c</m:t>
        </m:r>
      </m:oMath>
      <w:r w:rsidRPr="007B001B">
        <w:rPr>
          <w:rFonts w:ascii="Book Antiqua" w:hAnsi="Book Antiqua"/>
          <w:sz w:val="20"/>
        </w:rPr>
        <w:t xml:space="preserve">. This results in the number of neutrons approaching the nucleus per second multiplied by the time they spend near the nucleus being unchanged for </w:t>
      </w:r>
      <w:proofErr w:type="gramStart"/>
      <w:r w:rsidRPr="007B001B">
        <w:rPr>
          <w:rFonts w:ascii="Book Antiqua" w:hAnsi="Book Antiqua"/>
          <w:sz w:val="20"/>
        </w:rPr>
        <w:t xml:space="preserve">all </w:t>
      </w:r>
      <m:oMath>
        <w:proofErr w:type="gramEnd"/>
        <m:r>
          <w:rPr>
            <w:rStyle w:val="Emphasis"/>
            <w:rFonts w:ascii="Cambria Math" w:eastAsia="SimSun" w:hAnsi="Cambria Math"/>
            <w:sz w:val="20"/>
          </w:rPr>
          <m:t>U</m:t>
        </m:r>
      </m:oMath>
      <w:r w:rsidRPr="007B001B">
        <w:rPr>
          <w:rFonts w:ascii="Book Antiqua" w:hAnsi="Book Antiqua"/>
          <w:sz w:val="20"/>
        </w:rPr>
        <w:t xml:space="preserve">, </w:t>
      </w:r>
      <m:oMath>
        <m:r>
          <w:rPr>
            <w:rStyle w:val="Emphasis"/>
            <w:rFonts w:ascii="Book Antiqua" w:eastAsia="SimSun" w:hAnsi="Cambria Math"/>
            <w:sz w:val="20"/>
          </w:rPr>
          <m:t>h</m:t>
        </m:r>
      </m:oMath>
      <w:r w:rsidRPr="007B001B">
        <w:rPr>
          <w:rFonts w:ascii="Book Antiqua" w:hAnsi="Book Antiqua"/>
          <w:sz w:val="20"/>
        </w:rPr>
        <w:t xml:space="preserve">, and </w:t>
      </w:r>
      <m:oMath>
        <m:r>
          <w:rPr>
            <w:rStyle w:val="Emphasis"/>
            <w:rFonts w:ascii="Cambria Math" w:eastAsia="SimSun" w:hAnsi="Cambria Math"/>
            <w:sz w:val="20"/>
          </w:rPr>
          <m:t>c</m:t>
        </m:r>
      </m:oMath>
      <w:r w:rsidRPr="007B001B">
        <w:rPr>
          <w:rFonts w:ascii="Book Antiqua" w:hAnsi="Book Antiqua"/>
          <w:sz w:val="20"/>
        </w:rPr>
        <w:t>.  Mathematically, the situation is as follows:</w:t>
      </w:r>
    </w:p>
    <w:p w:rsidR="00796231" w:rsidRPr="003A1AA9" w:rsidRDefault="00796231" w:rsidP="00796231">
      <w:pPr>
        <w:pStyle w:val="NormalWeb"/>
        <w:jc w:val="right"/>
        <w:rPr>
          <w:rFonts w:ascii="Book Antiqua" w:hAnsi="Book Antiqua"/>
          <w:sz w:val="20"/>
          <w:szCs w:val="20"/>
        </w:rPr>
      </w:pPr>
      <m:oMath>
        <m:r>
          <w:rPr>
            <w:rFonts w:ascii="Cambria Math" w:hAnsi="Cambria Math"/>
            <w:sz w:val="20"/>
            <w:szCs w:val="20"/>
          </w:rPr>
          <m:t>A</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Y</m:t>
            </m:r>
          </m:e>
          <m:sup>
            <m:r>
              <w:rPr>
                <w:rFonts w:ascii="Book Antiqua" w:hAnsi="Cambria Math"/>
                <w:sz w:val="20"/>
                <w:szCs w:val="20"/>
              </w:rPr>
              <m:t>*</m:t>
            </m:r>
          </m:sup>
        </m:sSup>
        <m:sSup>
          <m:sSupPr>
            <m:ctrlPr>
              <w:rPr>
                <w:rFonts w:ascii="Cambria Math" w:hAnsi="Book Antiqua"/>
                <w:i/>
                <w:sz w:val="20"/>
                <w:szCs w:val="20"/>
              </w:rPr>
            </m:ctrlPr>
          </m:sSupPr>
          <m:e>
            <m:r>
              <w:rPr>
                <w:rFonts w:ascii="Cambria Math" w:hAnsi="Cambria Math"/>
                <w:sz w:val="20"/>
                <w:szCs w:val="20"/>
              </w:rPr>
              <m:t>X</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constant</m:t>
        </m:r>
        <m:r>
          <w:rPr>
            <w:rFonts w:ascii="Cambria Math" w:hAnsi="Book Antiqua"/>
            <w:sz w:val="20"/>
            <w:szCs w:val="20"/>
          </w:rPr>
          <m:t xml:space="preserve"> </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(12)</w:t>
      </w:r>
    </w:p>
    <w:p w:rsidR="00796231" w:rsidRPr="003A1AA9" w:rsidRDefault="00796231" w:rsidP="00796231">
      <w:pPr>
        <w:pStyle w:val="NormalWeb"/>
        <w:ind w:firstLine="720"/>
        <w:jc w:val="both"/>
        <w:rPr>
          <w:rFonts w:ascii="Book Antiqua" w:hAnsi="Book Antiqua"/>
          <w:sz w:val="20"/>
          <w:szCs w:val="20"/>
        </w:rPr>
      </w:pPr>
      <w:r w:rsidRPr="003A1AA9">
        <w:rPr>
          <w:rFonts w:ascii="Book Antiqua" w:hAnsi="Book Antiqua"/>
          <w:sz w:val="20"/>
          <w:szCs w:val="20"/>
        </w:rPr>
        <w:t>In (12),</w:t>
      </w:r>
      <w:r w:rsidRPr="003A1AA9">
        <w:rPr>
          <w:rFonts w:ascii="Book Antiqua" w:hAnsi="Book Antiqua"/>
          <w:i/>
          <w:sz w:val="20"/>
          <w:szCs w:val="20"/>
        </w:rPr>
        <w:t xml:space="preserve"> </w:t>
      </w:r>
      <m:oMath>
        <m:r>
          <w:rPr>
            <w:rFonts w:ascii="Cambria Math" w:hAnsi="Cambria Math"/>
            <w:sz w:val="20"/>
            <w:szCs w:val="20"/>
          </w:rPr>
          <m:t>A</m:t>
        </m:r>
      </m:oMath>
      <w:r w:rsidRPr="003A1AA9">
        <w:rPr>
          <w:rFonts w:ascii="Book Antiqua" w:hAnsi="Book Antiqua"/>
          <w:sz w:val="20"/>
          <w:szCs w:val="20"/>
        </w:rPr>
        <w:t xml:space="preserve"> is the chance of forming the activated complex, </w:t>
      </w:r>
      <m:oMath>
        <m:sSup>
          <m:sSupPr>
            <m:ctrlPr>
              <w:rPr>
                <w:rFonts w:ascii="Cambria Math" w:hAnsi="Book Antiqua"/>
                <w:i/>
                <w:sz w:val="20"/>
                <w:szCs w:val="20"/>
              </w:rPr>
            </m:ctrlPr>
          </m:sSupPr>
          <m:e>
            <m:r>
              <w:rPr>
                <w:rFonts w:ascii="Cambria Math" w:hAnsi="Cambria Math"/>
                <w:sz w:val="20"/>
                <w:szCs w:val="20"/>
              </w:rPr>
              <m:t>Y</m:t>
            </m:r>
          </m:e>
          <m:sup>
            <m:r>
              <w:rPr>
                <w:rFonts w:ascii="Cambria Math" w:hAnsi="Cambria Math"/>
                <w:sz w:val="20"/>
                <w:szCs w:val="20"/>
              </w:rPr>
              <m:t>*</m:t>
            </m:r>
          </m:sup>
        </m:sSup>
      </m:oMath>
      <w:r w:rsidRPr="003A1AA9">
        <w:rPr>
          <w:rFonts w:ascii="Book Antiqua" w:hAnsi="Book Antiqua"/>
          <w:sz w:val="20"/>
          <w:szCs w:val="20"/>
        </w:rPr>
        <w:t xml:space="preserve"> is the number of approaches per second to a nucleus by neutrons (proportional </w:t>
      </w:r>
      <w:proofErr w:type="gramStart"/>
      <w:r w:rsidRPr="003A1AA9">
        <w:rPr>
          <w:rFonts w:ascii="Book Antiqua" w:hAnsi="Book Antiqua"/>
          <w:sz w:val="20"/>
          <w:szCs w:val="20"/>
        </w:rPr>
        <w:t xml:space="preserve">to </w:t>
      </w:r>
      <m:oMath>
        <w:proofErr w:type="gramEnd"/>
        <m:r>
          <w:rPr>
            <w:rFonts w:ascii="Cambria Math" w:hAnsi="Cambria Math"/>
            <w:sz w:val="20"/>
            <w:szCs w:val="20"/>
          </w:rPr>
          <m:t>c</m:t>
        </m:r>
      </m:oMath>
      <w:r w:rsidRPr="003A1AA9">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X</m:t>
            </m:r>
          </m:e>
          <m:sup>
            <m:r>
              <w:rPr>
                <w:rFonts w:ascii="Cambria Math" w:hAnsi="Cambria Math"/>
                <w:sz w:val="20"/>
                <w:szCs w:val="20"/>
              </w:rPr>
              <m:t>*</m:t>
            </m:r>
          </m:sup>
        </m:sSup>
      </m:oMath>
      <w:r w:rsidRPr="003A1AA9">
        <w:rPr>
          <w:rFonts w:ascii="Book Antiqua" w:hAnsi="Book Antiqua"/>
          <w:sz w:val="20"/>
          <w:szCs w:val="20"/>
        </w:rPr>
        <w:t xml:space="preserve"> is the time spent in the vicinity of the nucleus (proportional to </w:t>
      </w:r>
      <m:oMath>
        <m:r>
          <w:rPr>
            <w:rFonts w:ascii="Cambria Math" w:hAnsi="Book Antiqua"/>
            <w:sz w:val="20"/>
            <w:szCs w:val="20"/>
          </w:rPr>
          <m:t>1/</m:t>
        </m:r>
        <m:r>
          <w:rPr>
            <w:rFonts w:ascii="Cambria Math" w:hAnsi="Cambria Math"/>
            <w:sz w:val="20"/>
            <w:szCs w:val="20"/>
          </w:rPr>
          <m:t>c</m:t>
        </m:r>
      </m:oMath>
      <w:r w:rsidRPr="003A1AA9">
        <w:rPr>
          <w:rFonts w:ascii="Book Antiqua" w:hAnsi="Book Antiqua"/>
          <w:sz w:val="20"/>
          <w:szCs w:val="20"/>
        </w:rPr>
        <w:t xml:space="preserve">). Thus, the number of interactions to form the activated complex at any instant and initiate a reaction will also remain unchanged. As a consequence, the rate of the induced fission reactions in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235</m:t>
            </m:r>
          </m:sup>
        </m:sSup>
        <m:r>
          <w:rPr>
            <w:rFonts w:ascii="Cambria Math" w:hAnsi="Book Antiqua"/>
            <w:sz w:val="20"/>
            <w:szCs w:val="20"/>
          </w:rPr>
          <m:t xml:space="preserve"> </m:t>
        </m:r>
      </m:oMath>
      <w:r w:rsidRPr="003A1AA9">
        <w:rPr>
          <w:rFonts w:ascii="Book Antiqua" w:hAnsi="Book Antiqua"/>
          <w:sz w:val="20"/>
          <w:szCs w:val="20"/>
        </w:rPr>
        <w:t xml:space="preserve">at Oklo will be unaltered as the ZPE varies. </w:t>
      </w: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There is one thing which would change in the second</w:t>
      </w:r>
      <w:proofErr w:type="gramStart"/>
      <w:r w:rsidRPr="007B001B">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7B001B">
        <w:rPr>
          <w:rFonts w:ascii="Book Antiqua" w:hAnsi="Book Antiqua"/>
          <w:sz w:val="20"/>
        </w:rPr>
        <w:t xml:space="preserve">, reaction: the decay rate of the fission products themselves. As with all radioactive decay, their decay rate is inversely proportional to the ZPE strength. Thus, the radioactive isotopes generated by the induced fission reaction of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will decay more rapidly and give off heat accordingly. It was this rate of decay of these isotopes that was a determining factor in arriving at 3 hours as the total length of the cycle. Therefore, considering the lower ZPE strength at that time, it is possible that this cycle time of 3 hours could be significantly shorter than was initially determined [11].</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John Barrow and other scientists have looked at the Oklo reactor to see if there has been any change in the fine structure constant through time.  Since isotopes from this reaction placed limits on any fine structure constant variability </w:t>
      </w:r>
      <w:hyperlink r:id="rId990" w:anchor="4a186" w:history="1">
        <w:r w:rsidRPr="007B001B">
          <w:rPr>
            <w:rStyle w:val="Hyperlink"/>
            <w:rFonts w:ascii="Book Antiqua" w:eastAsiaTheme="majorEastAsia" w:hAnsi="Book Antiqua"/>
            <w:sz w:val="20"/>
          </w:rPr>
          <w:t>[14</w:t>
        </w:r>
      </w:hyperlink>
      <w:r w:rsidRPr="007B001B">
        <w:rPr>
          <w:rFonts w:ascii="Book Antiqua" w:hAnsi="Book Antiqua"/>
          <w:sz w:val="20"/>
        </w:rPr>
        <w:t xml:space="preserve">], these men then claimed </w:t>
      </w:r>
      <m:oMath>
        <m:r>
          <w:rPr>
            <w:rStyle w:val="Emphasis"/>
            <w:rFonts w:ascii="Cambria Math" w:eastAsia="SimSun" w:hAnsi="Cambria Math"/>
            <w:sz w:val="20"/>
          </w:rPr>
          <m:t>c</m:t>
        </m:r>
      </m:oMath>
      <w:r w:rsidRPr="007B001B">
        <w:rPr>
          <w:rStyle w:val="Emphasis"/>
          <w:rFonts w:ascii="Book Antiqua" w:eastAsia="SimSun" w:hAnsi="Book Antiqua"/>
          <w:sz w:val="20"/>
        </w:rPr>
        <w:t xml:space="preserve"> </w:t>
      </w:r>
      <w:r w:rsidRPr="007B001B">
        <w:rPr>
          <w:rFonts w:ascii="Book Antiqua" w:hAnsi="Book Antiqua"/>
          <w:sz w:val="20"/>
        </w:rPr>
        <w:t xml:space="preserve">could not have differed from today’s value by more than one part in ten million </w:t>
      </w:r>
      <w:hyperlink r:id="rId991" w:anchor="4a187" w:history="1">
        <w:r w:rsidRPr="007B001B">
          <w:rPr>
            <w:rStyle w:val="Hyperlink"/>
            <w:rFonts w:ascii="Book Antiqua" w:eastAsiaTheme="majorEastAsia" w:hAnsi="Book Antiqua"/>
            <w:sz w:val="20"/>
          </w:rPr>
          <w:t>[15]</w:t>
        </w:r>
      </w:hyperlink>
      <w:r w:rsidRPr="007B001B">
        <w:rPr>
          <w:rFonts w:ascii="Book Antiqua" w:hAnsi="Book Antiqua"/>
          <w:sz w:val="20"/>
        </w:rPr>
        <w:t xml:space="preserve">. </w:t>
      </w:r>
      <w:r w:rsidRPr="007B001B">
        <w:rPr>
          <w:rFonts w:ascii="Book Antiqua" w:hAnsi="Book Antiqua"/>
          <w:sz w:val="20"/>
        </w:rPr>
        <w:lastRenderedPageBreak/>
        <w:t xml:space="preserve">Barrow’s statement, which used the relationship usually attributed to Einstein that </w:t>
      </w:r>
      <m:oMath>
        <m:r>
          <w:rPr>
            <w:rStyle w:val="Emphasis"/>
            <w:rFonts w:ascii="Cambria Math" w:eastAsia="SimSun" w:hAnsi="Cambria Math"/>
            <w:sz w:val="20"/>
          </w:rPr>
          <m:t>E</m:t>
        </m:r>
        <m:r>
          <w:rPr>
            <w:rStyle w:val="Emphasis"/>
            <w:rFonts w:ascii="Cambria Math" w:eastAsia="SimSun" w:hAnsi="Book Antiqua"/>
            <w:sz w:val="20"/>
          </w:rPr>
          <m:t xml:space="preserve"> = </m:t>
        </m:r>
        <m:r>
          <w:rPr>
            <w:rStyle w:val="Emphasis"/>
            <w:rFonts w:ascii="Cambria Math" w:eastAsia="SimSun" w:hAnsi="Cambria Math"/>
            <w:sz w:val="20"/>
          </w:rPr>
          <m:t>m</m:t>
        </m:r>
        <m:sSup>
          <m:sSupPr>
            <m:ctrlPr>
              <w:rPr>
                <w:rStyle w:val="Emphasis"/>
                <w:rFonts w:ascii="Cambria Math" w:eastAsia="SimSun" w:hAnsi="Book Antiqua"/>
                <w:i w:val="0"/>
                <w:iCs w:val="0"/>
                <w:sz w:val="20"/>
              </w:rPr>
            </m:ctrlPr>
          </m:sSupPr>
          <m:e>
            <m:r>
              <w:rPr>
                <w:rStyle w:val="Emphasis"/>
                <w:rFonts w:ascii="Cambria Math" w:eastAsia="SimSun" w:hAnsi="Cambria Math"/>
                <w:sz w:val="20"/>
              </w:rPr>
              <m:t>c</m:t>
            </m:r>
          </m:e>
          <m:sup>
            <m:r>
              <w:rPr>
                <w:rStyle w:val="Emphasis"/>
                <w:rFonts w:ascii="Cambria Math" w:eastAsia="SimSun" w:hAnsi="Book Antiqua"/>
                <w:sz w:val="20"/>
              </w:rPr>
              <m:t>2</m:t>
            </m:r>
          </m:sup>
        </m:sSup>
        <m:r>
          <m:rPr>
            <m:sty m:val="p"/>
          </m:rPr>
          <w:rPr>
            <w:rFonts w:ascii="Cambria Math" w:hAnsi="Book Antiqua"/>
            <w:sz w:val="20"/>
          </w:rPr>
          <m:t xml:space="preserve"> </m:t>
        </m:r>
      </m:oMath>
      <w:r w:rsidRPr="007B001B">
        <w:rPr>
          <w:rFonts w:ascii="Book Antiqua" w:hAnsi="Book Antiqua"/>
          <w:sz w:val="20"/>
        </w:rPr>
        <w:t>as its basis</w:t>
      </w:r>
      <w:proofErr w:type="gramStart"/>
      <w:r w:rsidRPr="007B001B">
        <w:rPr>
          <w:rFonts w:ascii="Book Antiqua" w:hAnsi="Book Antiqua"/>
          <w:sz w:val="20"/>
        </w:rPr>
        <w:t>,  is</w:t>
      </w:r>
      <w:proofErr w:type="gramEnd"/>
      <w:r w:rsidRPr="007B001B">
        <w:rPr>
          <w:rFonts w:ascii="Book Antiqua" w:hAnsi="Book Antiqua"/>
          <w:sz w:val="20"/>
        </w:rPr>
        <w:t xml:space="preserve"> correct only if </w:t>
      </w:r>
      <m:oMath>
        <m:r>
          <w:rPr>
            <w:rStyle w:val="Emphasis"/>
            <w:rFonts w:ascii="Cambria Math" w:eastAsia="SimSun" w:hAnsi="Cambria Math"/>
            <w:sz w:val="20"/>
          </w:rPr>
          <m:t>c</m:t>
        </m:r>
      </m:oMath>
      <w:r w:rsidRPr="007B001B">
        <w:rPr>
          <w:rFonts w:ascii="Book Antiqua" w:hAnsi="Book Antiqua"/>
          <w:sz w:val="20"/>
        </w:rPr>
        <w:t xml:space="preserve"> alone has varied. But Barrow's problem disappears if other physical quantities, such as</w:t>
      </w:r>
      <m:oMath>
        <m:r>
          <w:rPr>
            <w:rFonts w:ascii="Cambria Math" w:hAnsi="Book Antiqua"/>
            <w:sz w:val="20"/>
          </w:rPr>
          <m:t xml:space="preserve">  </m:t>
        </m:r>
        <m:r>
          <w:rPr>
            <w:rStyle w:val="Emphasis"/>
            <w:rFonts w:ascii="Cambria Math" w:eastAsia="SimSun" w:hAnsi="Cambria Math"/>
            <w:sz w:val="20"/>
          </w:rPr>
          <m:t>m</m:t>
        </m:r>
      </m:oMath>
      <w:r w:rsidRPr="007B001B">
        <w:rPr>
          <w:rFonts w:ascii="Book Antiqua" w:hAnsi="Book Antiqua"/>
          <w:sz w:val="20"/>
        </w:rPr>
        <w:t xml:space="preserve">, </w:t>
      </w:r>
      <w:proofErr w:type="gramStart"/>
      <w:r w:rsidRPr="007B001B">
        <w:rPr>
          <w:rFonts w:ascii="Book Antiqua" w:hAnsi="Book Antiqua"/>
          <w:sz w:val="20"/>
        </w:rPr>
        <w:t xml:space="preserve">or </w:t>
      </w:r>
      <m:oMath>
        <w:proofErr w:type="gramEnd"/>
        <m:r>
          <w:rPr>
            <w:rFonts w:ascii="Cambria Math" w:hAnsi="Cambria Math"/>
            <w:sz w:val="20"/>
          </w:rPr>
          <m:t>h</m:t>
        </m:r>
      </m:oMath>
      <w:r w:rsidRPr="007B001B">
        <w:rPr>
          <w:rFonts w:ascii="Book Antiqua" w:hAnsi="Book Antiqua"/>
          <w:sz w:val="20"/>
        </w:rPr>
        <w:t>, have synchronously varied so energy has been conserved.  This is exactly what we find with a varying Zero Point Energy.</w:t>
      </w:r>
    </w:p>
    <w:p w:rsidR="00796231" w:rsidRPr="007B001B" w:rsidRDefault="00796231" w:rsidP="00796231">
      <w:pPr>
        <w:pStyle w:val="NoSpacing"/>
        <w:ind w:firstLine="720"/>
        <w:jc w:val="both"/>
        <w:rPr>
          <w:rFonts w:ascii="Book Antiqua" w:hAnsi="Book Antiqua"/>
          <w:sz w:val="20"/>
        </w:rPr>
      </w:pPr>
    </w:p>
    <w:p w:rsidR="00796231" w:rsidRPr="0013785B" w:rsidRDefault="00796231" w:rsidP="00796231">
      <w:pPr>
        <w:pStyle w:val="NoSpacing"/>
        <w:jc w:val="both"/>
        <w:rPr>
          <w:rFonts w:ascii="Book Antiqua" w:hAnsi="Book Antiqua"/>
          <w:b/>
          <w:sz w:val="20"/>
        </w:rPr>
      </w:pPr>
      <w:r w:rsidRPr="0013785B">
        <w:rPr>
          <w:rFonts w:ascii="Book Antiqua" w:hAnsi="Book Antiqua"/>
          <w:b/>
          <w:sz w:val="20"/>
        </w:rPr>
        <w:t>9.  Radioactive Heating</w:t>
      </w:r>
    </w:p>
    <w:p w:rsidR="00796231" w:rsidRPr="007B001B"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Radioactive decay produces heat.  But, contrary to what is often thought, the heat produced by earlier, faster radio decay processes was not greater than that produced now.  It is true that with lower ZPE, and higher decay rates, came a greater number of gamma and X-rays, which may be produced by all forms of radio decay. But this was moderated by the lower vacuum permittivity and permeability.  The lower permittivity and permeability resulted in lower amplitudes for all electromagnetic radiation. Thus the intensity of every individual electromagnetic wave or photon was lower.  Working this out mathematically, we find that more waves or more photons each with a lower intensity would result in the total radiation intensity being the same as today. </w:t>
      </w:r>
    </w:p>
    <w:p w:rsidR="00796231" w:rsidRPr="007B001B"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As previously mentioned, there are two basic types of radiation which come from radio decay:  particles (Alpha and Beta) and pure energy (Gamma or X-rays).    “High energy” and “low energy” forms of radiation refer to the kinetic energy attached to the ejection of an alpha or beta particle. It is high energy if the mass times the square of the velocity is high; it is low energy if the product is low.  </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When a high energy alpha or beta particle passes through another atom, it can strip an electron off the atom, ionizing it.  Gamma radiation can also do this.  The excitation caused by this interaction can also result in an electron being forced into a higher energy orbit in its atom.  When the electron returns to its proper orbit, the energy is released as a low energy photon, or heat.  This can happen in steps, or as a cascade, and heat will be released with each step until the atom is again in its ‘normal’ or ground state.</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In the case of ionization, where the electrons are stripped off, these electrons will cause the secondary excitation of other atoms with which they interact. The process continues until all the kinetic energy originally imparted to these electrons is used up by the excitation process. As the excited atoms return to their ground state, they all emit low energy photons that again result in heat. Gamma radiation produces ionization and the excitation of atoms over a relatively large distance, while alpha and beta particles produce results over shorter distances. </w:t>
      </w:r>
    </w:p>
    <w:p w:rsidR="00796231" w:rsidRDefault="00796231" w:rsidP="00796231">
      <w:pPr>
        <w:pStyle w:val="NoSpacing"/>
        <w:jc w:val="both"/>
        <w:rPr>
          <w:rFonts w:ascii="Book Antiqua" w:hAnsi="Book Antiqua"/>
          <w:sz w:val="20"/>
        </w:rPr>
      </w:pPr>
    </w:p>
    <w:p w:rsidR="00796231" w:rsidRPr="0013785B" w:rsidRDefault="00796231" w:rsidP="00796231">
      <w:pPr>
        <w:pStyle w:val="NoSpacing"/>
        <w:ind w:firstLine="720"/>
        <w:jc w:val="both"/>
        <w:rPr>
          <w:rFonts w:ascii="Book Antiqua" w:hAnsi="Book Antiqua"/>
          <w:sz w:val="20"/>
        </w:rPr>
      </w:pPr>
      <w:r w:rsidRPr="0013785B">
        <w:rPr>
          <w:rFonts w:ascii="Book Antiqua" w:hAnsi="Book Antiqua"/>
          <w:sz w:val="20"/>
        </w:rPr>
        <w:t xml:space="preserve">The majority of heat from radioactive decay is generated by these lower energy photons. Since they are electromagnetic in character, they are subject to the moderating effects of the permittivity and permeability of space. This moderation means that the amplitudes of all radiation will be lower when the ZPE strength is lower (see Chapter 2 equations </w:t>
      </w:r>
      <w:proofErr w:type="gramStart"/>
      <w:r w:rsidRPr="0013785B">
        <w:rPr>
          <w:rFonts w:ascii="Book Antiqua" w:hAnsi="Book Antiqua"/>
          <w:sz w:val="20"/>
        </w:rPr>
        <w:t>18-22,</w:t>
      </w:r>
      <w:proofErr w:type="gramEnd"/>
      <w:r w:rsidRPr="0013785B">
        <w:rPr>
          <w:rFonts w:ascii="Book Antiqua" w:hAnsi="Book Antiqua"/>
          <w:sz w:val="20"/>
        </w:rPr>
        <w:t xml:space="preserve"> and Appendix B equations 1 to 4).  Thus, even though a given radioactive source may have emitted more high and low energy photons per unit time in the past, their overall intensity would be the same as the fewer number of photons emitted by that same source today.</w:t>
      </w:r>
    </w:p>
    <w:p w:rsidR="00796231" w:rsidRPr="003A1AA9" w:rsidRDefault="00796231" w:rsidP="00796231">
      <w:pPr>
        <w:pStyle w:val="NormalWeb"/>
        <w:jc w:val="both"/>
        <w:rPr>
          <w:rFonts w:ascii="Book Antiqua" w:hAnsi="Book Antiqua"/>
        </w:rPr>
      </w:pPr>
      <w:r w:rsidRPr="003A1AA9">
        <w:rPr>
          <w:rFonts w:ascii="Book Antiqua" w:hAnsi="Book Antiqua"/>
          <w:b/>
          <w:sz w:val="20"/>
          <w:szCs w:val="20"/>
        </w:rPr>
        <w:t>10.   Heat and Radiation Intensities</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From our earlier work with radiation intensities, we note that radiant intensity remains constant from a given source even though the number of photons being emitted per second is higher when the ZPE strength is lower. The units of radiant intensity are Watts, and so the number of Watts remains unchanged when the ZPE is lower. And a Watt</w:t>
      </w:r>
      <w:proofErr w:type="gramStart"/>
      <w:r w:rsidRPr="00FD17B0">
        <w:rPr>
          <w:rFonts w:ascii="Book Antiqua" w:hAnsi="Book Antiqua"/>
          <w:sz w:val="20"/>
        </w:rPr>
        <w:t xml:space="preserve">, </w:t>
      </w:r>
      <m:oMath>
        <w:proofErr w:type="gramEnd"/>
        <m:r>
          <w:rPr>
            <w:rFonts w:ascii="Cambria Math" w:hAnsi="Cambria Math"/>
            <w:sz w:val="20"/>
          </w:rPr>
          <m:t>W</m:t>
        </m:r>
      </m:oMath>
      <w:r w:rsidRPr="00FD17B0">
        <w:rPr>
          <w:rFonts w:ascii="Book Antiqua" w:hAnsi="Book Antiqua"/>
          <w:sz w:val="20"/>
        </w:rPr>
        <w:t xml:space="preserve">, is equal to a Joule per second or </w:t>
      </w:r>
      <m:oMath>
        <m:r>
          <w:rPr>
            <w:rFonts w:ascii="Cambria Math" w:hAnsi="Cambria Math"/>
            <w:sz w:val="20"/>
          </w:rPr>
          <m:t>J</m:t>
        </m:r>
        <m:r>
          <w:rPr>
            <w:rFonts w:ascii="Cambria Math" w:hAnsi="Book Antiqua"/>
            <w:sz w:val="20"/>
          </w:rPr>
          <m:t>/</m:t>
        </m:r>
        <m:r>
          <w:rPr>
            <w:rFonts w:ascii="Cambria Math" w:hAnsi="Cambria Math"/>
            <w:sz w:val="20"/>
          </w:rPr>
          <m:t>s</m:t>
        </m:r>
      </m:oMath>
      <w:r w:rsidRPr="00FD17B0">
        <w:rPr>
          <w:rFonts w:ascii="Book Antiqua" w:hAnsi="Book Antiqua"/>
          <w:sz w:val="20"/>
        </w:rPr>
        <w:t>. So we have</w:t>
      </w:r>
    </w:p>
    <w:p w:rsidR="00796231" w:rsidRPr="003A1AA9" w:rsidRDefault="00796231" w:rsidP="00796231">
      <w:pPr>
        <w:ind w:firstLine="720"/>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W</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s</m:t>
        </m:r>
        <m:r>
          <w:rPr>
            <w:rFonts w:ascii="Cambria Math" w:hAnsi="Book Antiqua"/>
          </w:rPr>
          <m:t xml:space="preserve">  = </m:t>
        </m:r>
        <m:r>
          <w:rPr>
            <w:rFonts w:ascii="Cambria Math" w:hAnsi="Cambria Math"/>
          </w:rPr>
          <m:t>constant</m:t>
        </m:r>
      </m:oMath>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 xml:space="preserve"> (13)</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t>We also have the units of Joules as kg (meters/s</w:t>
      </w:r>
      <w:proofErr w:type="gramStart"/>
      <w:r w:rsidRPr="00FD17B0">
        <w:rPr>
          <w:rFonts w:ascii="Book Antiqua" w:hAnsi="Book Antiqua"/>
          <w:sz w:val="20"/>
        </w:rPr>
        <w:t>)</w:t>
      </w:r>
      <w:r w:rsidRPr="00FD17B0">
        <w:rPr>
          <w:rFonts w:ascii="Book Antiqua" w:hAnsi="Book Antiqua"/>
          <w:sz w:val="20"/>
          <w:vertAlign w:val="superscript"/>
        </w:rPr>
        <w:t>2</w:t>
      </w:r>
      <w:proofErr w:type="gramEnd"/>
      <w:r w:rsidRPr="00FD17B0">
        <w:rPr>
          <w:rFonts w:ascii="Book Antiqua" w:hAnsi="Book Antiqua"/>
          <w:sz w:val="20"/>
        </w:rPr>
        <w:t xml:space="preserve"> or mass multiplied by velocity squared. This comes from the definition of energy as the famous formula</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E</m:t>
        </m:r>
        <m:r>
          <w:rPr>
            <w:rFonts w:ascii="Cambria Math" w:hAnsi="Book Antiqua"/>
          </w:rPr>
          <m:t xml:space="preserve"> = </m:t>
        </m:r>
        <m:r>
          <w:rPr>
            <w:rFonts w:ascii="Cambria Math" w:hAnsi="Cambria Math"/>
          </w:rPr>
          <m:t>m</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 </m:t>
        </m:r>
        <m:r>
          <w:rPr>
            <w:rFonts w:ascii="Cambria Math" w:hAnsi="Cambria Math"/>
          </w:rPr>
          <m:t>co</m:t>
        </m:r>
        <m:r>
          <w:rPr>
            <w:rFonts w:ascii="Cambria Math" w:hAnsi="Cambria Math"/>
          </w:rPr>
          <m:t>nstant</m:t>
        </m:r>
      </m:oMath>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(14)</w:t>
      </w:r>
    </w:p>
    <w:p w:rsidR="00796231" w:rsidRPr="003A1AA9" w:rsidRDefault="00796231" w:rsidP="00796231">
      <w:pPr>
        <w:jc w:val="both"/>
        <w:rPr>
          <w:rFonts w:ascii="Book Antiqua" w:hAnsi="Book Antiqua"/>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Now heat capacity (the old thermal capacity)</w:t>
      </w:r>
      <w:proofErr w:type="gramStart"/>
      <w:r w:rsidRPr="00FD17B0">
        <w:rPr>
          <w:rFonts w:ascii="Book Antiqua" w:hAnsi="Book Antiqua"/>
          <w:sz w:val="20"/>
        </w:rPr>
        <w:t xml:space="preserve">, </w:t>
      </w:r>
      <m:oMath>
        <w:proofErr w:type="gramEnd"/>
        <m:r>
          <w:rPr>
            <w:rFonts w:ascii="Cambria Math" w:hAnsi="Cambria Math"/>
            <w:sz w:val="20"/>
          </w:rPr>
          <m:t>Q</m:t>
        </m:r>
      </m:oMath>
      <w:r w:rsidRPr="00FD17B0">
        <w:rPr>
          <w:rFonts w:ascii="Book Antiqua" w:hAnsi="Book Antiqua"/>
          <w:sz w:val="20"/>
        </w:rPr>
        <w:t xml:space="preserve">, has units of Joules/(degree </w:t>
      </w:r>
      <m:oMath>
        <m:r>
          <w:rPr>
            <w:rFonts w:ascii="Cambria Math" w:hAnsi="Cambria Math"/>
            <w:sz w:val="20"/>
          </w:rPr>
          <m:t>K</m:t>
        </m:r>
      </m:oMath>
      <w:r w:rsidRPr="00FD17B0">
        <w:rPr>
          <w:rFonts w:ascii="Book Antiqua" w:hAnsi="Book Antiqua"/>
          <w:sz w:val="20"/>
        </w:rPr>
        <w:t>). Since degrees are fixed and Joules remain unchanged with ZPE variation then we write:</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degrees</m:t>
        </m:r>
        <m:r>
          <w:rPr>
            <w:rFonts w:ascii="Cambria Math" w:hAnsi="Book Antiqua"/>
          </w:rPr>
          <m:t xml:space="preserve"> </m:t>
        </m:r>
        <m:r>
          <w:rPr>
            <w:rFonts w:ascii="Cambria Math" w:hAnsi="Cambria Math"/>
          </w:rPr>
          <m:t>K</m:t>
        </m:r>
        <m:r>
          <w:rPr>
            <w:rFonts w:ascii="Cambria Math" w:hAnsi="Book Antiqua"/>
          </w:rPr>
          <m:t xml:space="preserve">) = </m:t>
        </m:r>
        <m:r>
          <w:rPr>
            <w:rFonts w:ascii="Cambria Math" w:hAnsi="Cambria Math"/>
          </w:rPr>
          <m:t>constant</m:t>
        </m:r>
      </m:oMath>
      <w:r w:rsidRPr="003A1AA9">
        <w:rPr>
          <w:rFonts w:ascii="Book Antiqua" w:hAnsi="Book Antiqua"/>
          <w:i/>
        </w:rPr>
        <w:t xml:space="preserve"> </w:t>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(15)</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t>The definition of heat capacity,</w:t>
      </w:r>
      <m:oMath>
        <m:r>
          <w:rPr>
            <w:rFonts w:ascii="Cambria Math" w:hAnsi="Book Antiqua"/>
            <w:sz w:val="20"/>
          </w:rPr>
          <m:t xml:space="preserve"> </m:t>
        </m:r>
        <m:r>
          <w:rPr>
            <w:rFonts w:ascii="Cambria Math" w:hAnsi="Cambria Math"/>
            <w:sz w:val="20"/>
          </w:rPr>
          <m:t>Q</m:t>
        </m:r>
      </m:oMath>
      <w:proofErr w:type="gramStart"/>
      <w:r w:rsidRPr="00FD17B0">
        <w:rPr>
          <w:rFonts w:ascii="Book Antiqua" w:hAnsi="Book Antiqua"/>
          <w:sz w:val="20"/>
        </w:rPr>
        <w:t>,</w:t>
      </w:r>
      <w:proofErr w:type="gramEnd"/>
      <w:r w:rsidRPr="00FD17B0">
        <w:rPr>
          <w:rFonts w:ascii="Book Antiqua" w:hAnsi="Book Antiqua"/>
          <w:sz w:val="20"/>
        </w:rPr>
        <w:t xml:space="preserve"> of a body, is the quantity of heat required to raise its temperature one degree. The basic formula is usually given as:</w:t>
      </w:r>
    </w:p>
    <w:p w:rsidR="00796231" w:rsidRPr="003A1AA9" w:rsidRDefault="00796231" w:rsidP="00796231">
      <w:pPr>
        <w:jc w:val="both"/>
        <w:rPr>
          <w:oMath/>
          <w:rFonts w:ascii="Cambria Math" w:hAnsi="Book Antiqua"/>
        </w:rPr>
      </w:pPr>
    </w:p>
    <w:p w:rsidR="00796231" w:rsidRPr="003A1AA9" w:rsidRDefault="00796231" w:rsidP="00796231">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m</m:t>
        </m:r>
        <m:r>
          <w:rPr>
            <w:rFonts w:ascii="Cambria Math" w:hAnsi="Book Antiqua"/>
          </w:rPr>
          <m:t xml:space="preserve">. </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m:t>
        </m:r>
        <m:r>
          <w:rPr>
            <w:rFonts w:ascii="Cambria Math" w:hAnsi="Cambria Math"/>
          </w:rPr>
          <m:t>Δt</m:t>
        </m:r>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t>(16)</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In (16), </w:t>
      </w:r>
      <m:oMath>
        <m:r>
          <w:rPr>
            <w:rFonts w:ascii="Cambria Math" w:hAnsi="Cambria Math"/>
            <w:sz w:val="20"/>
          </w:rPr>
          <m:t>m</m:t>
        </m:r>
      </m:oMath>
      <w:r w:rsidRPr="00FD17B0">
        <w:rPr>
          <w:rFonts w:ascii="Book Antiqua" w:hAnsi="Book Antiqua"/>
          <w:sz w:val="20"/>
        </w:rPr>
        <w:t xml:space="preserve"> is atomic mass, </w:t>
      </w:r>
      <m:oMath>
        <m:r>
          <w:rPr>
            <w:rFonts w:ascii="Cambria Math" w:hAnsi="Cambria Math"/>
            <w:sz w:val="20"/>
          </w:rPr>
          <m:t>Δt</m:t>
        </m:r>
      </m:oMath>
      <w:r w:rsidRPr="00FD17B0">
        <w:rPr>
          <w:rFonts w:ascii="Book Antiqua" w:hAnsi="Book Antiqua"/>
          <w:sz w:val="20"/>
        </w:rPr>
        <w:t xml:space="preserve"> is temperature change in degrees</w:t>
      </w:r>
      <m:oMath>
        <m:r>
          <w:rPr>
            <w:rFonts w:ascii="Cambria Math" w:hAnsi="Book Antiqua"/>
            <w:sz w:val="20"/>
          </w:rPr>
          <m:t xml:space="preserve">, </m:t>
        </m:r>
        <m:r>
          <w:rPr>
            <w:rFonts w:ascii="Cambria Math" w:hAnsi="Cambria Math"/>
            <w:sz w:val="20"/>
          </w:rPr>
          <m:t>Q</m:t>
        </m:r>
      </m:oMath>
      <w:r w:rsidRPr="00FD17B0">
        <w:rPr>
          <w:rFonts w:ascii="Book Antiqua" w:hAnsi="Book Antiqua"/>
          <w:sz w:val="20"/>
        </w:rPr>
        <w:t xml:space="preserve"> is the heat capacity, and </w:t>
      </w:r>
      <m:oMath>
        <m:sSup>
          <m:sSupPr>
            <m:ctrlPr>
              <w:rPr>
                <w:rFonts w:ascii="Cambria Math" w:hAnsi="Book Antiqua"/>
                <w:i/>
                <w:sz w:val="20"/>
              </w:rPr>
            </m:ctrlPr>
          </m:sSupPr>
          <m:e>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is the specific heat of the substance involved. Since for our purposes here </w:t>
      </w:r>
      <m:oMath>
        <m:r>
          <w:rPr>
            <w:rFonts w:ascii="Cambria Math" w:hAnsi="Cambria Math"/>
            <w:sz w:val="20"/>
          </w:rPr>
          <m:t>Δt</m:t>
        </m:r>
      </m:oMath>
      <w:r w:rsidRPr="00FD17B0">
        <w:rPr>
          <w:rFonts w:ascii="Book Antiqua" w:hAnsi="Book Antiqua"/>
          <w:sz w:val="20"/>
        </w:rPr>
        <w:t xml:space="preserve"> is fixed at one degree, and mass</w:t>
      </w:r>
      <w:proofErr w:type="gramStart"/>
      <w:r w:rsidRPr="00FD17B0">
        <w:rPr>
          <w:rFonts w:ascii="Book Antiqua" w:hAnsi="Book Antiqua"/>
          <w:sz w:val="20"/>
        </w:rPr>
        <w:t xml:space="preserve">, </w:t>
      </w:r>
      <m:oMath>
        <w:proofErr w:type="gramEnd"/>
        <m:r>
          <w:rPr>
            <w:rFonts w:ascii="Cambria Math" w:hAnsi="Cambria Math"/>
            <w:sz w:val="20"/>
          </w:rPr>
          <m:t>m</m:t>
        </m:r>
      </m:oMath>
      <w:r w:rsidRPr="00FD17B0">
        <w:rPr>
          <w:rFonts w:ascii="Book Antiqua" w:hAnsi="Book Antiqua"/>
          <w:sz w:val="20"/>
        </w:rPr>
        <w:t xml:space="preserve">, is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FD17B0">
        <w:rPr>
          <w:rFonts w:ascii="Book Antiqua" w:hAnsi="Book Antiqua"/>
          <w:sz w:val="20"/>
        </w:rPr>
        <w:t>, then it follows that</w:t>
      </w:r>
    </w:p>
    <w:p w:rsidR="00796231" w:rsidRPr="003A1AA9" w:rsidRDefault="00796231" w:rsidP="00796231">
      <w:pPr>
        <w:jc w:val="both"/>
        <w:rPr>
          <w:rFonts w:ascii="Book Antiqua" w:hAnsi="Book Antiqua"/>
        </w:rPr>
      </w:pPr>
    </w:p>
    <w:p w:rsidR="00796231" w:rsidRPr="003A1AA9" w:rsidRDefault="00241D2F" w:rsidP="00796231">
      <w:pPr>
        <w:jc w:val="right"/>
        <w:rPr>
          <w:rFonts w:ascii="Book Antiqua" w:hAnsi="Book Antiqua"/>
          <w:i/>
        </w:rPr>
      </w:pPr>
      <m:oMath>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m:t>
        </m:r>
      </m:oMath>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r>
      <w:r w:rsidR="00796231" w:rsidRPr="003A1AA9">
        <w:rPr>
          <w:rFonts w:ascii="Book Antiqua" w:hAnsi="Book Antiqua"/>
          <w:i/>
        </w:rPr>
        <w:tab/>
        <w:t>(17)</w:t>
      </w:r>
    </w:p>
    <w:p w:rsidR="00796231" w:rsidRPr="003A1AA9" w:rsidRDefault="00796231" w:rsidP="00796231">
      <w:pPr>
        <w:jc w:val="both"/>
        <w:rPr>
          <w:rFonts w:ascii="Book Antiqua" w:hAnsi="Book Antiqua"/>
        </w:rPr>
      </w:pPr>
    </w:p>
    <w:p w:rsidR="00796231" w:rsidRPr="009F29CB" w:rsidRDefault="00796231" w:rsidP="00796231">
      <w:pPr>
        <w:jc w:val="both"/>
        <w:rPr>
          <w:rFonts w:ascii="Book Antiqua" w:hAnsi="Book Antiqua"/>
        </w:rPr>
      </w:pPr>
      <w:r w:rsidRPr="009F29CB">
        <w:rPr>
          <w:rFonts w:ascii="Book Antiqua" w:hAnsi="Book Antiqua"/>
        </w:rPr>
        <w:t>So that</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m</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t xml:space="preserve"> (18)</w:t>
      </w:r>
    </w:p>
    <w:p w:rsidR="00796231" w:rsidRPr="003A1AA9" w:rsidRDefault="00796231" w:rsidP="00796231">
      <w:pPr>
        <w:jc w:val="both"/>
        <w:rPr>
          <w:rFonts w:ascii="Book Antiqua" w:hAnsi="Book Antiqua"/>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Equation (18) follows since </w:t>
      </w:r>
      <m:oMath>
        <m:sSup>
          <m:sSupPr>
            <m:ctrlPr>
              <w:rPr>
                <w:rFonts w:ascii="Cambria Math" w:hAnsi="Book Antiqua"/>
                <w:i/>
                <w:sz w:val="20"/>
              </w:rPr>
            </m:ctrlPr>
          </m:sSupPr>
          <m:e>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bears the units of Joules</w:t>
      </w:r>
      <w:proofErr w:type="gramStart"/>
      <w:r w:rsidRPr="00FD17B0">
        <w:rPr>
          <w:rFonts w:ascii="Book Antiqua" w:hAnsi="Book Antiqua"/>
          <w:sz w:val="20"/>
        </w:rPr>
        <w:t>/(</w:t>
      </w:r>
      <w:proofErr w:type="gramEnd"/>
      <w:r w:rsidRPr="00FD17B0">
        <w:rPr>
          <w:rFonts w:ascii="Book Antiqua" w:hAnsi="Book Antiqua"/>
          <w:sz w:val="20"/>
        </w:rPr>
        <w:t xml:space="preserve">kg degree </w:t>
      </w:r>
      <m:oMath>
        <m:r>
          <w:rPr>
            <w:rFonts w:ascii="Cambria Math" w:hAnsi="Cambria Math"/>
            <w:sz w:val="20"/>
          </w:rPr>
          <m:t>K</m:t>
        </m:r>
      </m:oMath>
      <w:r w:rsidRPr="00FD17B0">
        <w:rPr>
          <w:rFonts w:ascii="Book Antiqua" w:hAnsi="Book Antiqua"/>
          <w:sz w:val="20"/>
        </w:rPr>
        <w:t xml:space="preserve">). Joules is unchanged as is </w:t>
      </w:r>
      <m:oMath>
        <m:r>
          <w:rPr>
            <w:rFonts w:ascii="Cambria Math" w:hAnsi="Cambria Math"/>
            <w:sz w:val="20"/>
          </w:rPr>
          <m:t>Δt</m:t>
        </m:r>
      </m:oMath>
      <w:r w:rsidRPr="00FD17B0">
        <w:rPr>
          <w:rFonts w:ascii="Book Antiqua" w:hAnsi="Book Antiqua"/>
          <w:sz w:val="20"/>
        </w:rPr>
        <w:t xml:space="preserve"> so the kilograms give the result that we have for</w:t>
      </w:r>
      <m:oMath>
        <m:sSup>
          <m:sSupPr>
            <m:ctrlPr>
              <w:rPr>
                <w:rFonts w:ascii="Cambria Math" w:hAnsi="Book Antiqua"/>
                <w:i/>
                <w:sz w:val="20"/>
              </w:rPr>
            </m:ctrlPr>
          </m:sSupPr>
          <m:e>
            <m:r>
              <w:rPr>
                <w:rFonts w:ascii="Cambria Math" w:hAnsi="Book Antiqua"/>
                <w:sz w:val="20"/>
              </w:rPr>
              <m:t xml:space="preserve"> </m:t>
            </m:r>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in (17).</w:t>
      </w:r>
    </w:p>
    <w:p w:rsidR="00796231" w:rsidRPr="00FD17B0"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 outcome is that with more rapid radioactive decay, temperatures will be unaffected by the greater flux of photons, gamma rays etc.</w:t>
      </w:r>
    </w:p>
    <w:p w:rsidR="00796231" w:rsidRPr="003A1AA9" w:rsidRDefault="00796231" w:rsidP="00796231">
      <w:pPr>
        <w:pStyle w:val="NormalWeb"/>
        <w:jc w:val="both"/>
        <w:rPr>
          <w:rFonts w:ascii="Book Antiqua" w:hAnsi="Book Antiqua"/>
          <w:sz w:val="20"/>
          <w:szCs w:val="20"/>
        </w:rPr>
      </w:pPr>
      <w:r w:rsidRPr="003A1AA9">
        <w:rPr>
          <w:rFonts w:ascii="Book Antiqua" w:hAnsi="Book Antiqua"/>
          <w:b/>
          <w:sz w:val="20"/>
          <w:szCs w:val="20"/>
        </w:rPr>
        <w:t xml:space="preserve">11.   Radiometric Dates and Carbon 14 Data </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Radiometric decay processes are affected by variations in the Zero Point Energy strength (see equations 1 to 8 in this chapter).  What this means is that the radiometric “clock” ticks at a rate inversely proportional to </w:t>
      </w:r>
      <m:oMath>
        <m:r>
          <w:rPr>
            <w:rFonts w:ascii="Cambria Math" w:hAnsi="Cambria Math"/>
            <w:sz w:val="20"/>
          </w:rPr>
          <m:t>U</m:t>
        </m:r>
      </m:oMath>
      <w:r w:rsidRPr="00FD17B0">
        <w:rPr>
          <w:rFonts w:ascii="Book Antiqua" w:hAnsi="Book Antiqua"/>
          <w:i/>
          <w:sz w:val="20"/>
        </w:rPr>
        <w:t xml:space="preserve"> – </w:t>
      </w:r>
      <w:r w:rsidRPr="00FD17B0">
        <w:rPr>
          <w:rFonts w:ascii="Book Antiqua" w:hAnsi="Book Antiqua"/>
          <w:sz w:val="20"/>
        </w:rPr>
        <w:t>the stronger the ZPE became, the slower the atomic processes progressed.  In other words, atomic time intervals were shorter when the speed of light was higher and the strength of the ZPE was less.  If we go back to Chapter 4 and the equations in Chapter 5, it was shown that the basic equation which connects atomic or radiometric dates with orbital dates is as follows:</w:t>
      </w:r>
    </w:p>
    <w:p w:rsidR="00796231" w:rsidRPr="003A1AA9" w:rsidRDefault="00796231" w:rsidP="00796231">
      <w:pPr>
        <w:pStyle w:val="NormalWeb"/>
        <w:jc w:val="right"/>
        <w:rPr>
          <w:rFonts w:ascii="Book Antiqua" w:hAnsi="Book Antiqua"/>
          <w:i/>
          <w:sz w:val="20"/>
          <w:szCs w:val="20"/>
        </w:rPr>
      </w:pPr>
      <m:oMath>
        <m:r>
          <w:rPr>
            <w:rFonts w:ascii="Book Antiqua" w:hAnsi="Cambria Math"/>
            <w:sz w:val="20"/>
            <w:szCs w:val="20"/>
          </w:rPr>
          <m:t>ʃ</m:t>
        </m:r>
        <m:r>
          <w:rPr>
            <w:rFonts w:ascii="Cambria Math" w:hAnsi="Book Antiqua"/>
            <w:sz w:val="20"/>
            <w:szCs w:val="20"/>
          </w:rPr>
          <m:t xml:space="preserve"> </m:t>
        </m:r>
        <m:r>
          <w:rPr>
            <w:rFonts w:ascii="Cambria Math" w:hAnsi="Cambria Math"/>
            <w:sz w:val="20"/>
            <w:szCs w:val="20"/>
          </w:rPr>
          <m:t>f</m:t>
        </m:r>
        <m:r>
          <w:rPr>
            <w:rFonts w:ascii="Cambria Math" w:hAnsi="Book Antiqua"/>
            <w:sz w:val="20"/>
            <w:szCs w:val="20"/>
          </w:rPr>
          <m:t>(</m:t>
        </m:r>
        <m:r>
          <w:rPr>
            <w:rFonts w:ascii="Cambria Math" w:hAnsi="Cambria Math"/>
            <w:sz w:val="20"/>
            <w:szCs w:val="20"/>
          </w:rPr>
          <m:t>T</m:t>
        </m:r>
        <m:r>
          <w:rPr>
            <w:rFonts w:ascii="Cambria Math" w:hAnsi="Book Antiqua"/>
            <w:sz w:val="20"/>
            <w:szCs w:val="20"/>
          </w:rPr>
          <m:t xml:space="preserve">) </m:t>
        </m:r>
        <m:r>
          <w:rPr>
            <w:rFonts w:ascii="Cambria Math" w:hAnsi="Cambria Math"/>
            <w:sz w:val="20"/>
            <w:szCs w:val="20"/>
          </w:rPr>
          <m:t>dt</m:t>
        </m:r>
        <m:r>
          <w:rPr>
            <w:rFonts w:ascii="Cambria Math" w:hAnsi="Book Antiqua"/>
            <w:sz w:val="20"/>
            <w:szCs w:val="20"/>
          </w:rPr>
          <m:t xml:space="preserve">  =  </m:t>
        </m:r>
        <m:r>
          <w:rPr>
            <w:rFonts w:ascii="Cambria Math" w:hAnsi="Cambria Math"/>
            <w:sz w:val="20"/>
            <w:szCs w:val="20"/>
          </w:rPr>
          <m:t>K</m:t>
        </m:r>
        <m:r>
          <w:rPr>
            <w:rFonts w:ascii="Cambria Math" w:hAnsi="Book Antiqua"/>
            <w:sz w:val="20"/>
            <w:szCs w:val="20"/>
          </w:rPr>
          <m:t>[</m:t>
        </m:r>
        <m:r>
          <w:rPr>
            <w:rFonts w:ascii="Cambria Math" w:hAnsi="Cambria Math"/>
            <w:sz w:val="20"/>
            <w:szCs w:val="20"/>
          </w:rPr>
          <m:t>Arcsin</m:t>
        </m:r>
        <m:r>
          <w:rPr>
            <w:rFonts w:ascii="Cambria Math" w:hAnsi="Book Antiqua"/>
            <w:sz w:val="20"/>
            <w:szCs w:val="20"/>
          </w:rPr>
          <m:t xml:space="preserve"> </m:t>
        </m:r>
        <m:r>
          <w:rPr>
            <w:rFonts w:ascii="Cambria Math" w:hAnsi="Cambria Math"/>
            <w:sz w:val="20"/>
            <w:szCs w:val="20"/>
          </w:rPr>
          <m:t>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(1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2</m:t>
            </m:r>
          </m:sup>
        </m:sSup>
        <m:r>
          <w:rPr>
            <w:rFonts w:ascii="Cambria Math" w:hAnsi="Book Antiqua"/>
            <w:sz w:val="20"/>
            <w:szCs w:val="20"/>
          </w:rPr>
          <m:t>) + 1]</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 xml:space="preserve"> (19)</w:t>
      </w:r>
    </w:p>
    <w:p w:rsidR="00900E06" w:rsidRDefault="00796231" w:rsidP="00796231">
      <w:pPr>
        <w:pStyle w:val="NoSpacing"/>
        <w:ind w:firstLine="720"/>
        <w:jc w:val="both"/>
        <w:rPr>
          <w:rFonts w:ascii="Book Antiqua" w:hAnsi="Book Antiqua"/>
          <w:sz w:val="20"/>
        </w:rPr>
      </w:pPr>
      <w:r w:rsidRPr="00FD17B0">
        <w:rPr>
          <w:rFonts w:ascii="Book Antiqua" w:hAnsi="Book Antiqua"/>
          <w:sz w:val="20"/>
        </w:rPr>
        <w:t xml:space="preserve">In (19) the quantity K is equal to </w:t>
      </w:r>
      <m:oMath>
        <m:r>
          <w:rPr>
            <w:rFonts w:ascii="Cambria Math" w:hAnsi="Book Antiqua"/>
            <w:sz w:val="20"/>
          </w:rPr>
          <m:t xml:space="preserve">4.745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9</m:t>
            </m:r>
          </m:sup>
        </m:sSup>
      </m:oMath>
      <w:r w:rsidRPr="00FD17B0">
        <w:rPr>
          <w:rFonts w:ascii="Book Antiqua" w:hAnsi="Book Antiqua"/>
          <w:sz w:val="20"/>
        </w:rPr>
        <w:t xml:space="preserve"> as shown in Chapter 5 equation (61). This process can also be used in reverse to determine the behavior of the ZPE in the past by comparing radiometric dates obtained for objects of known or approximately known orbital dates. </w:t>
      </w:r>
    </w:p>
    <w:p w:rsidR="00900E06" w:rsidRDefault="00900E06" w:rsidP="00796231">
      <w:pPr>
        <w:pStyle w:val="NoSpacing"/>
        <w:ind w:firstLine="72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The difference between the two dates for the same object reveals the disparity for that particular point in time. When a number of these objects of known dates are used, a curve begins to emerge which shows us how fast or slow the atomic clock was ticking at that time compared to our normal, orbital clock. This then gives a direct measure of how the speed of light was behaving (or an inverse measure of the ZPE behavior).</w:t>
      </w:r>
    </w:p>
    <w:p w:rsidR="00796231" w:rsidRPr="00FD17B0" w:rsidRDefault="00796231" w:rsidP="00796231">
      <w:pPr>
        <w:pStyle w:val="NoSpacing"/>
        <w:ind w:firstLine="720"/>
        <w:jc w:val="both"/>
        <w:rPr>
          <w:rFonts w:ascii="Book Antiqua" w:hAnsi="Book Antiqua"/>
          <w:sz w:val="20"/>
        </w:rPr>
      </w:pPr>
    </w:p>
    <w:p w:rsidR="00796231" w:rsidRPr="003A1AA9" w:rsidRDefault="00796231" w:rsidP="00796231">
      <w:pPr>
        <w:pStyle w:val="NormalWeb"/>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5076825" cy="3228975"/>
            <wp:effectExtent l="19050" t="0" r="9525" b="0"/>
            <wp:docPr id="186" name="Picture 67" descr="Behavior of Carbon 14 -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havior of Carbon 14 - Graph"/>
                    <pic:cNvPicPr>
                      <a:picLocks noChangeAspect="1" noChangeArrowheads="1"/>
                    </pic:cNvPicPr>
                  </pic:nvPicPr>
                  <pic:blipFill>
                    <a:blip r:embed="rId992" cstate="print">
                      <a:lum bright="-20000" contrast="60000"/>
                    </a:blip>
                    <a:srcRect l="13094" t="12958" r="17253" b="9334"/>
                    <a:stretch>
                      <a:fillRect/>
                    </a:stretch>
                  </pic:blipFill>
                  <pic:spPr bwMode="auto">
                    <a:xfrm>
                      <a:off x="0" y="0"/>
                      <a:ext cx="5083447" cy="3233187"/>
                    </a:xfrm>
                    <a:prstGeom prst="rect">
                      <a:avLst/>
                    </a:prstGeom>
                    <a:noFill/>
                    <a:ln w="9525">
                      <a:noFill/>
                      <a:miter lim="800000"/>
                      <a:headEnd/>
                      <a:tailEnd/>
                    </a:ln>
                  </pic:spPr>
                </pic:pic>
              </a:graphicData>
            </a:graphic>
          </wp:inline>
        </w:drawing>
      </w:r>
    </w:p>
    <w:p w:rsidR="00796231" w:rsidRPr="0040460D" w:rsidRDefault="00796231" w:rsidP="00796231">
      <w:pPr>
        <w:pStyle w:val="NormalWeb"/>
        <w:rPr>
          <w:rStyle w:val="Strong"/>
          <w:rFonts w:ascii="Book Antiqua" w:eastAsia="Calibri" w:hAnsi="Book Antiqua"/>
          <w:b w:val="0"/>
          <w:i/>
          <w:sz w:val="18"/>
          <w:szCs w:val="18"/>
        </w:rPr>
      </w:pPr>
      <w:r w:rsidRPr="0040460D">
        <w:rPr>
          <w:rStyle w:val="Strong"/>
          <w:rFonts w:ascii="Book Antiqua" w:eastAsia="Calibri" w:hAnsi="Book Antiqua"/>
          <w:i/>
          <w:sz w:val="18"/>
          <w:szCs w:val="18"/>
        </w:rPr>
        <w:t xml:space="preserve">Figure 8: Graph of rate of ticking of an atomic clock, Carbon 14, (vertically) compared with orbital time (horizontally). Positive is a faster atomic clock, negative is slower. These C-14 data have a </w:t>
      </w:r>
      <m:oMath>
        <m:sSup>
          <m:sSupPr>
            <m:ctrlPr>
              <w:rPr>
                <w:rStyle w:val="Strong"/>
                <w:rFonts w:ascii="Cambria Math" w:eastAsia="Calibri" w:hAnsi="Book Antiqua"/>
                <w:b w:val="0"/>
                <w:i/>
                <w:sz w:val="18"/>
                <w:szCs w:val="18"/>
              </w:rPr>
            </m:ctrlPr>
          </m:sSupPr>
          <m:e>
            <m:r>
              <m:rPr>
                <m:sty m:val="bi"/>
              </m:rPr>
              <w:rPr>
                <w:rStyle w:val="Strong"/>
                <w:rFonts w:ascii="Cambria Math" w:eastAsia="Calibri" w:hAnsi="Cambria Math"/>
                <w:sz w:val="18"/>
                <w:szCs w:val="18"/>
              </w:rPr>
              <m:t>c</m:t>
            </m:r>
          </m:e>
          <m:sup>
            <m:r>
              <m:rPr>
                <m:sty m:val="bi"/>
              </m:rPr>
              <w:rPr>
                <w:rStyle w:val="Strong"/>
                <w:rFonts w:ascii="Cambria Math" w:eastAsia="Calibri" w:hAnsi="Cambria Math"/>
                <w:sz w:val="18"/>
                <w:szCs w:val="18"/>
              </w:rPr>
              <m:t>3</m:t>
            </m:r>
            <m:r>
              <m:rPr>
                <m:sty m:val="bi"/>
              </m:rPr>
              <w:rPr>
                <w:rStyle w:val="Strong"/>
                <w:rFonts w:ascii="Cambria Math" w:eastAsia="Calibri" w:hAnsi="Book Antiqua"/>
                <w:sz w:val="18"/>
                <w:szCs w:val="18"/>
              </w:rPr>
              <m:t>/</m:t>
            </m:r>
            <m:r>
              <m:rPr>
                <m:sty m:val="bi"/>
              </m:rPr>
              <w:rPr>
                <w:rStyle w:val="Strong"/>
                <w:rFonts w:ascii="Cambria Math" w:eastAsia="Calibri" w:hAnsi="Cambria Math"/>
                <w:sz w:val="18"/>
                <w:szCs w:val="18"/>
              </w:rPr>
              <m:t>2</m:t>
            </m:r>
          </m:sup>
        </m:sSup>
      </m:oMath>
      <w:r w:rsidRPr="0040460D">
        <w:rPr>
          <w:rStyle w:val="Strong"/>
          <w:rFonts w:ascii="Book Antiqua" w:eastAsia="Calibri" w:hAnsi="Book Antiqua"/>
          <w:i/>
          <w:sz w:val="18"/>
          <w:szCs w:val="18"/>
        </w:rPr>
        <w:t xml:space="preserve"> dependency. This oscillation is probably part of the oscillation of the cosmos indicated by the work of Narlikar and Arp [37] which affects the strength of the ZPE cosmologically.</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Figure 8 graphs the results of just such a comparison between orbital and/or historical dates and the resultant Carbon 14 dates from Reimer et al., which were published in the journal </w:t>
      </w:r>
      <w:r w:rsidRPr="00FD17B0">
        <w:rPr>
          <w:rStyle w:val="Emphasis"/>
          <w:rFonts w:ascii="Book Antiqua" w:hAnsi="Book Antiqua"/>
          <w:sz w:val="20"/>
        </w:rPr>
        <w:t>Radiocarbon</w:t>
      </w:r>
      <w:r w:rsidRPr="00FD17B0">
        <w:rPr>
          <w:rFonts w:ascii="Book Antiqua" w:hAnsi="Book Antiqua"/>
          <w:sz w:val="20"/>
        </w:rPr>
        <w:t xml:space="preserve"> [16].</w:t>
      </w:r>
    </w:p>
    <w:p w:rsidR="00796231" w:rsidRDefault="00796231" w:rsidP="00796231">
      <w:pPr>
        <w:pStyle w:val="NoSpacing"/>
        <w:ind w:firstLine="72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Carbon 14 forms as a result of the collision of cosmic rays with atoms in our atmosphere. This collision produces free neutrons unattached to any nucleus. When such a neutron is absorbed by a Nitrogen nucleus, it ejects a proton, and thus becomes a Carbon 14.  However, unlike other radioactive decay forms, Carbon 14 formation is also dependent on the strength of the earth’s magnetic field. When the magnetic moment of that dipole field was stronger, fewer cosmic rays entered our atmosphere and so the production rate of C-14 dropped. It was shown in Chapter 6 (near Table 1 and Figure 5), that the earth’s magnetic moment is inversely proportional to the square root of the ZPE strength, or directly proportional to the square root of light-speed. Therefore, C-14 decay rates have a two-fold dependence; the first being inversely on the ZPE strength, the second on the magnetic moment of the Earth’s geo-magnetic field. Now the second has </w:t>
      </w:r>
      <w:proofErr w:type="gramStart"/>
      <w:r w:rsidRPr="00FD17B0">
        <w:rPr>
          <w:rFonts w:ascii="Book Antiqua" w:hAnsi="Book Antiqua"/>
          <w:sz w:val="20"/>
        </w:rPr>
        <w:t xml:space="preserve">a </w:t>
      </w:r>
      <m:oMath>
        <m:r>
          <w:rPr>
            <w:rFonts w:ascii="Cambria Math" w:hAnsi="Book Antiqua"/>
            <w:sz w:val="20"/>
          </w:rPr>
          <m:t>√</m:t>
        </m:r>
        <m:r>
          <w:rPr>
            <w:rFonts w:ascii="Cambria Math" w:hAnsi="Cambria Math"/>
            <w:sz w:val="20"/>
          </w:rPr>
          <m:t>c</m:t>
        </m:r>
      </m:oMath>
      <w:r w:rsidRPr="00FD17B0">
        <w:rPr>
          <w:rFonts w:ascii="Book Antiqua" w:hAnsi="Book Antiqua"/>
          <w:sz w:val="20"/>
        </w:rPr>
        <w:t xml:space="preserve"> dependence</w:t>
      </w:r>
      <w:proofErr w:type="gramEnd"/>
      <w:r w:rsidRPr="00FD17B0">
        <w:rPr>
          <w:rFonts w:ascii="Book Antiqua" w:hAnsi="Book Antiqua"/>
          <w:sz w:val="20"/>
        </w:rPr>
        <w:t xml:space="preserve">, and the first has a direct </w:t>
      </w:r>
      <m:oMath>
        <m:r>
          <w:rPr>
            <w:rFonts w:ascii="Cambria Math" w:hAnsi="Cambria Math"/>
            <w:sz w:val="20"/>
          </w:rPr>
          <m:t>c</m:t>
        </m:r>
      </m:oMath>
      <w:r w:rsidRPr="00FD17B0">
        <w:rPr>
          <w:rFonts w:ascii="Book Antiqua" w:hAnsi="Book Antiqua"/>
          <w:sz w:val="20"/>
        </w:rPr>
        <w:t xml:space="preserve"> dependence, like other radioactive decay processes. Therefore, the final outcome is that any graph of the rate of ticking of the C-14 clock against the orbital clock, such as that in Figure 8, will actually show a </w:t>
      </w:r>
      <m:oMath>
        <m:sSup>
          <m:sSupPr>
            <m:ctrlPr>
              <w:rPr>
                <w:rFonts w:ascii="Cambria Math" w:hAnsi="Book Antiqua"/>
                <w:i/>
                <w:sz w:val="20"/>
              </w:rPr>
            </m:ctrlPr>
          </m:sSupPr>
          <m:e>
            <m:r>
              <w:rPr>
                <w:rFonts w:ascii="Cambria Math" w:hAnsi="Cambria Math"/>
                <w:sz w:val="20"/>
              </w:rPr>
              <m:t>c</m:t>
            </m:r>
          </m:e>
          <m:sup>
            <m:r>
              <w:rPr>
                <w:rFonts w:ascii="Cambria Math" w:hAnsi="Book Antiqua"/>
                <w:sz w:val="20"/>
              </w:rPr>
              <m:t>3/2</m:t>
            </m:r>
          </m:sup>
        </m:sSup>
      </m:oMath>
      <w:r w:rsidRPr="00FD17B0">
        <w:rPr>
          <w:rFonts w:ascii="Book Antiqua" w:hAnsi="Book Antiqua"/>
          <w:sz w:val="20"/>
        </w:rPr>
        <w:t xml:space="preserve"> dependency. This atomic clock will therefore be more sensitive to ZPE changes than some others. </w:t>
      </w:r>
    </w:p>
    <w:p w:rsidR="00796231" w:rsidRDefault="00796231" w:rsidP="00796231">
      <w:pPr>
        <w:pStyle w:val="NoSpacing"/>
        <w:ind w:firstLine="720"/>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This graph in Figure 8 illustrates an oscillation which shows up as part of the measurements of many atomic processes.   This is an indication that the ZPE strength is also oscillating, but in an inverse function. The oscillation appears to have begun about 2600 BC.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As an aside, Figure 8 also illustrates the effect of the rampant industrialization that occurred in the 20th century, as the burning of fossil fuels put large amounts of extra carbon into the atmosphere. This is why the final data points on that graph from 1910 to 1950 are extremely high, even though the general trend of the graph at that point is downwards. </w:t>
      </w:r>
    </w:p>
    <w:p w:rsidR="00796231" w:rsidRDefault="00796231" w:rsidP="00796231">
      <w:pPr>
        <w:pStyle w:val="NoSpacing"/>
        <w:jc w:val="both"/>
        <w:rPr>
          <w:rFonts w:ascii="Book Antiqua" w:hAnsi="Book Antiqua"/>
          <w:sz w:val="20"/>
        </w:rPr>
      </w:pPr>
      <w:r w:rsidRPr="00FD17B0">
        <w:rPr>
          <w:rFonts w:ascii="Book Antiqua" w:hAnsi="Book Antiqua"/>
          <w:sz w:val="20"/>
        </w:rPr>
        <w:t xml:space="preserve">If these data points are ignored, then the zero deviation line is in the position shown for 1950. As we go back from 1950 AD we see a general rise in the trend of the graph which peaks between 500 and 800 AD. From that point there is a </w:t>
      </w:r>
      <w:r w:rsidRPr="00FD17B0">
        <w:rPr>
          <w:rFonts w:ascii="Book Antiqua" w:hAnsi="Book Antiqua"/>
          <w:sz w:val="20"/>
        </w:rPr>
        <w:lastRenderedPageBreak/>
        <w:t>steady, general decline as we continue going back in time. By 500 BC it is again on the zero deviation line and continues dropping.</w:t>
      </w: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  </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As indicated by the graph, radiocarbon or C-14 dates require standardized and known corrections in order for them to be converted to orbital or historical dates.  This actually implies an understanding that C-14 dating does not correspond accurately with known historical dates.  The reasons most commonly given for this discrepancy are changes in solar activity or the earth’s magnetic field.  While it is true that the Sun has cycles of 11 years, 22 years, and about 440 years, this is already apparent in the C-14 data and its short-term variations. However, the long-term overall trend appears to have some other overarching cause, as there is no really satisfying solar or geomagnetic explanation for this need to consistently correct radiocarbon dates.</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In 2004 a list was published from the Radiocarbon Institute showing all C-14 date corrections needed back several thousand years.  Back to 1550 BC the date corrections are in basic agreement with R.H. Brown who considered dates back to 3500 BP to be valid [17]. </w:t>
      </w:r>
      <w:proofErr w:type="gramStart"/>
      <w:r w:rsidRPr="00FD17B0">
        <w:rPr>
          <w:rFonts w:ascii="Book Antiqua" w:hAnsi="Book Antiqua"/>
          <w:sz w:val="20"/>
        </w:rPr>
        <w:t>(The designation BP means Before Present where 1950 AD marks the zero, so that 3500 BP corresponds with 1550 BC).</w:t>
      </w:r>
      <w:proofErr w:type="gramEnd"/>
      <w:r w:rsidRPr="00FD17B0">
        <w:rPr>
          <w:rFonts w:ascii="Book Antiqua" w:hAnsi="Book Antiqua"/>
          <w:sz w:val="20"/>
        </w:rPr>
        <w:t xml:space="preserve">  More recent developments reported in </w:t>
      </w:r>
      <w:r w:rsidRPr="00FD17B0">
        <w:rPr>
          <w:rStyle w:val="Emphasis"/>
          <w:rFonts w:ascii="Book Antiqua" w:hAnsi="Book Antiqua"/>
          <w:sz w:val="20"/>
        </w:rPr>
        <w:t xml:space="preserve">Science, </w:t>
      </w:r>
      <w:r w:rsidRPr="00FD17B0">
        <w:rPr>
          <w:rFonts w:ascii="Book Antiqua" w:hAnsi="Book Antiqua"/>
          <w:sz w:val="20"/>
        </w:rPr>
        <w:t xml:space="preserve">indicated that this method of C-14 dating, with the standard corrections, yields dates for the Santorini (Thera) eruption between 1627 and 1600 BC [18]. But the closing sentence by Friedrich et al. in their Abstract indicates a long-standing problem with the standard correction procedure. They say </w:t>
      </w:r>
      <w:r w:rsidRPr="00FD17B0">
        <w:rPr>
          <w:rStyle w:val="Emphasis"/>
          <w:rFonts w:ascii="Book Antiqua" w:hAnsi="Book Antiqua"/>
          <w:sz w:val="20"/>
        </w:rPr>
        <w:t>"Our result is in the range of previous, less precise, and less direct results of several scientific dating methods, but it is a century earlier than the date derived from traditional Egyptian chronologies."</w:t>
      </w:r>
      <w:r w:rsidRPr="00FD17B0">
        <w:rPr>
          <w:rFonts w:ascii="Book Antiqua" w:hAnsi="Book Antiqua"/>
          <w:sz w:val="20"/>
        </w:rPr>
        <w:t xml:space="preserve"> [18]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 conclusion is, therefore, that earlier than about 1650 BC discrepancies appear in the correction applied to the data that are the cause for some concern. An example of this can be found in an article entitled “How Old are the Pyramids?” by the Ancient Egypt Research Associates (AERA) in January 2007 [19].  Another relevant article is entitled “Dating the Pyramids,</w:t>
      </w:r>
      <w:proofErr w:type="gramStart"/>
      <w:r w:rsidRPr="00FD17B0">
        <w:rPr>
          <w:rFonts w:ascii="Book Antiqua" w:hAnsi="Book Antiqua"/>
          <w:sz w:val="20"/>
        </w:rPr>
        <w:t>”[</w:t>
      </w:r>
      <w:proofErr w:type="gramEnd"/>
      <w:r w:rsidRPr="00FD17B0">
        <w:rPr>
          <w:rFonts w:ascii="Book Antiqua" w:hAnsi="Book Antiqua"/>
          <w:sz w:val="20"/>
        </w:rPr>
        <w:t>20], or  another by Bonani et al., in Radiocarbon [21].</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 xml:space="preserve">12.   Tracing Back the ZPE Oscillation </w:t>
      </w:r>
    </w:p>
    <w:p w:rsidR="00796231" w:rsidRDefault="00796231" w:rsidP="00796231">
      <w:pPr>
        <w:pStyle w:val="NoSpacing"/>
        <w:jc w:val="both"/>
        <w:rPr>
          <w:rFonts w:ascii="Book Antiqua" w:hAnsi="Book Antiqua"/>
          <w:sz w:val="20"/>
        </w:rPr>
      </w:pPr>
      <w:r w:rsidRPr="00FD17B0">
        <w:rPr>
          <w:rFonts w:ascii="Book Antiqua" w:hAnsi="Book Antiqua"/>
          <w:sz w:val="20"/>
        </w:rPr>
        <w:t>Dendrochronology is the process whereby a tree’s rings are counted to determine the age of the tree.  It is considered normal for a tree to form one ring per year.  Because of this, dendrochronology is often used to correct radiocarbon dating.  The oldest living tree, a bristlecone pine dubbed the “Methuselah Tree,” began growing in 2766 BC.  It is nearly 1000 years older than the next living specimen. This second oldest tree thus began growing around 1700 BC or a little earlier [22].</w:t>
      </w:r>
    </w:p>
    <w:p w:rsidR="00796231" w:rsidRPr="00FD17B0"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These two living trees provide the absolute maximum to which any reliable dendrochronology correction can be applied to C-14 dates. Yet even here, the longest continuous tree-ring sequence, starting from near the present, that the Methuselah Tree has produced only goes back as far as 1203 BC. This is given in the sample labelled MWK975. The extension of the record from this important tree back into the past beyond 1203 BC is itself dependent upon the cross-matching of rings from other, older, parts of the tree. Since a similar situation may apply to the second oldest tree, the actual date at which these two trees really began growing may be open to question. The raw data itself in 10 year intervals for the Methuselah Tree is available at reference [23].</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These tree-ring sequences need to be anchored by historical events. Indeed, Brown, op. cit., has stated that </w:t>
      </w:r>
      <w:r w:rsidRPr="00FD17B0">
        <w:rPr>
          <w:rStyle w:val="Emphasis"/>
          <w:rFonts w:ascii="Book Antiqua" w:hAnsi="Book Antiqua"/>
          <w:sz w:val="20"/>
        </w:rPr>
        <w:t xml:space="preserve">“The validity of tree-ring master sequences on which the data is based is controlled by the availability of material which can be C-14 dated and also has an unquestioned historical age. The time range from which such samples are available extends to the vicinity of 3500 BP (about 1500 BC).” </w:t>
      </w:r>
      <w:r w:rsidRPr="00FD17B0">
        <w:rPr>
          <w:rStyle w:val="Emphasis"/>
          <w:rFonts w:ascii="Book Antiqua" w:hAnsi="Book Antiqua"/>
          <w:i w:val="0"/>
          <w:sz w:val="20"/>
        </w:rPr>
        <w:t xml:space="preserve">[17] </w:t>
      </w:r>
      <w:r w:rsidRPr="00FD17B0">
        <w:rPr>
          <w:rFonts w:ascii="Book Antiqua" w:hAnsi="Book Antiqua"/>
          <w:sz w:val="20"/>
        </w:rPr>
        <w:t xml:space="preserve">It therefore becomes apparent why this system of correction breaks down for dates earlier than about 1650 BC. The Santorini explosion is the last historical event that shows up in the tree-ring sequences. Baillie and Munro have pointed out that it does so as frost-rings in Irish (bog) oaks [24].  </w:t>
      </w:r>
      <w:proofErr w:type="gramStart"/>
      <w:r w:rsidRPr="00FD17B0">
        <w:rPr>
          <w:rFonts w:ascii="Book Antiqua" w:hAnsi="Book Antiqua"/>
          <w:sz w:val="20"/>
        </w:rPr>
        <w:t>[</w:t>
      </w:r>
      <w:r w:rsidRPr="00FD17B0">
        <w:rPr>
          <w:rStyle w:val="Emphasis"/>
          <w:rFonts w:ascii="Book Antiqua" w:hAnsi="Book Antiqua"/>
          <w:sz w:val="20"/>
        </w:rPr>
        <w:t>Nature</w:t>
      </w:r>
      <w:r w:rsidRPr="00FD17B0">
        <w:rPr>
          <w:rFonts w:ascii="Book Antiqua" w:hAnsi="Book Antiqua"/>
          <w:sz w:val="20"/>
        </w:rPr>
        <w:t xml:space="preserve">, </w:t>
      </w:r>
      <w:r w:rsidRPr="00FD17B0">
        <w:rPr>
          <w:rStyle w:val="Strong"/>
          <w:rFonts w:ascii="Book Antiqua" w:eastAsia="Calibri" w:hAnsi="Book Antiqua"/>
          <w:sz w:val="20"/>
        </w:rPr>
        <w:t>332</w:t>
      </w:r>
      <w:r w:rsidRPr="00FD17B0">
        <w:rPr>
          <w:rFonts w:ascii="Book Antiqua" w:hAnsi="Book Antiqua"/>
          <w:sz w:val="20"/>
        </w:rPr>
        <w:t xml:space="preserve"> (1988), pp.344-346].</w:t>
      </w:r>
      <w:proofErr w:type="gramEnd"/>
      <w:r w:rsidRPr="00FD17B0">
        <w:rPr>
          <w:rFonts w:ascii="Book Antiqua" w:hAnsi="Book Antiqua"/>
          <w:sz w:val="20"/>
        </w:rPr>
        <w:t xml:space="preserve"> The bristlecone pine data also have a significant frost-ring event near 1626 BC [25].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However, prior to 1650 BC the correction supplied by dendrochronology gives results that do not accord with archaeological data. Even as late as 1626 BC, C-14 results seem to show divergence from historical dates, and, as mentioned above, the problem appears to get worse the further back we go. Therefore 1650 BC </w:t>
      </w:r>
      <w:proofErr w:type="gramStart"/>
      <w:r w:rsidRPr="00FD17B0">
        <w:rPr>
          <w:rFonts w:ascii="Book Antiqua" w:hAnsi="Book Antiqua"/>
          <w:sz w:val="20"/>
        </w:rPr>
        <w:t>is</w:t>
      </w:r>
      <w:proofErr w:type="gramEnd"/>
      <w:r w:rsidRPr="00FD17B0">
        <w:rPr>
          <w:rFonts w:ascii="Book Antiqua" w:hAnsi="Book Antiqua"/>
          <w:sz w:val="20"/>
        </w:rPr>
        <w:t xml:space="preserve"> taken as the limit to </w:t>
      </w:r>
      <w:r w:rsidRPr="00FD17B0">
        <w:rPr>
          <w:rFonts w:ascii="Book Antiqua" w:hAnsi="Book Antiqua"/>
          <w:sz w:val="20"/>
        </w:rPr>
        <w:lastRenderedPageBreak/>
        <w:t>which reliable corrections can be applied. The ‘wiggle matching’ techniques used to extend the tree-ring chronology further back into the past can only do so after the sample has first been C-14 dated. This is an extension based on a seemingly circular argument and the results obtained from this must therefore be viewed with extreme caution.</w:t>
      </w: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This is emphasized by the comments of D.K. Yamaguchi, who, when trying to match a single tree to the whole sequence of rings, found 113 matches that were false. Yet each of these matches had a high t-statistic score [26]. Nor is this a problem of the past. Grissino-Mayer </w:t>
      </w:r>
      <w:proofErr w:type="gramStart"/>
      <w:r w:rsidRPr="00FD17B0">
        <w:rPr>
          <w:rFonts w:ascii="Book Antiqua" w:hAnsi="Book Antiqua"/>
          <w:sz w:val="20"/>
        </w:rPr>
        <w:t>et</w:t>
      </w:r>
      <w:proofErr w:type="gramEnd"/>
      <w:r w:rsidRPr="00FD17B0">
        <w:rPr>
          <w:rFonts w:ascii="Book Antiqua" w:hAnsi="Book Antiqua"/>
          <w:sz w:val="20"/>
        </w:rPr>
        <w:t xml:space="preserve">. </w:t>
      </w:r>
      <w:proofErr w:type="gramStart"/>
      <w:r w:rsidRPr="00FD17B0">
        <w:rPr>
          <w:rFonts w:ascii="Book Antiqua" w:hAnsi="Book Antiqua"/>
          <w:sz w:val="20"/>
        </w:rPr>
        <w:t>al</w:t>
      </w:r>
      <w:proofErr w:type="gramEnd"/>
      <w:r w:rsidRPr="00FD17B0">
        <w:rPr>
          <w:rFonts w:ascii="Book Antiqua" w:hAnsi="Book Antiqua"/>
          <w:sz w:val="20"/>
        </w:rPr>
        <w:t>. have stated in 2004 that "</w:t>
      </w:r>
      <w:r w:rsidRPr="00FD17B0">
        <w:rPr>
          <w:rStyle w:val="Emphasis"/>
          <w:rFonts w:ascii="Book Antiqua" w:hAnsi="Book Antiqua"/>
          <w:sz w:val="20"/>
        </w:rPr>
        <w:t>crossdating autocorrelated tree-ring series against a reference chronology can result in many 'false positives,' i.e., a placement may be found for the chronology being dated that is temporally [time] incorrect.</w:t>
      </w:r>
      <w:r w:rsidRPr="00FD17B0">
        <w:rPr>
          <w:rFonts w:ascii="Book Antiqua" w:hAnsi="Book Antiqua"/>
          <w:sz w:val="20"/>
        </w:rPr>
        <w:t>" [27]. As a result, the statistical techniques used for tree-ring matching have produced some degree of embarrassment. On three occasions the published matches were found to be in error, each time after strong assertions of reliability [28, 29]. These factors indicate that 1650 BC is the reliable limit to which C-14 corrections, based on dendrochronology, can be taken.</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However, we do have a comparison with historical objects of closely known orbital age and C-14 data in one period prior to 1650 BC. Dynasty 4 in Egypt produced pyramids over a span of 85 years centering on 2550 BC. The standardized tree-ring correction to C-14 dates around 2550 BC requires the </w:t>
      </w:r>
      <w:r w:rsidRPr="00FD17B0">
        <w:rPr>
          <w:rFonts w:ascii="Book Antiqua" w:hAnsi="Book Antiqua"/>
          <w:b/>
          <w:sz w:val="20"/>
        </w:rPr>
        <w:t>addition</w:t>
      </w:r>
      <w:r w:rsidRPr="00FD17B0">
        <w:rPr>
          <w:rFonts w:ascii="Book Antiqua" w:hAnsi="Book Antiqua"/>
          <w:sz w:val="20"/>
        </w:rPr>
        <w:t xml:space="preserve"> of about 300 years to get what is considered to be the true historical date. In 1984 and 1995 the members of the David H. Koch Pyramids Radiocarbon Project took many C-14 samples and published the Abstract containing their results in reference [20]. Their 1984 results gave the corrected carbon 14 age, which had the recommended 300 years added. However those corrected C-14 dates gave results that averaged 374 years </w:t>
      </w:r>
      <w:r w:rsidRPr="00FD17B0">
        <w:rPr>
          <w:rStyle w:val="Strong"/>
          <w:rFonts w:ascii="Book Antiqua" w:eastAsia="Calibri" w:hAnsi="Book Antiqua"/>
          <w:sz w:val="20"/>
        </w:rPr>
        <w:t>older</w:t>
      </w:r>
      <w:r w:rsidRPr="00FD17B0">
        <w:rPr>
          <w:rFonts w:ascii="Book Antiqua" w:hAnsi="Book Antiqua"/>
          <w:sz w:val="20"/>
        </w:rPr>
        <w:t xml:space="preserve"> than the recommended </w:t>
      </w:r>
      <w:r w:rsidRPr="00FD17B0">
        <w:rPr>
          <w:rStyle w:val="Emphasis"/>
          <w:rFonts w:ascii="Book Antiqua" w:hAnsi="Book Antiqua"/>
          <w:sz w:val="20"/>
        </w:rPr>
        <w:t>Cambridge Ancient History</w:t>
      </w:r>
      <w:r w:rsidRPr="00FD17B0">
        <w:rPr>
          <w:rFonts w:ascii="Book Antiqua" w:hAnsi="Book Antiqua"/>
          <w:sz w:val="20"/>
        </w:rPr>
        <w:t xml:space="preserve"> historical dates. The 1995 corrected C-14 results ranged from 100 to 350 years </w:t>
      </w:r>
      <w:r w:rsidRPr="00FD17B0">
        <w:rPr>
          <w:rStyle w:val="Strong"/>
          <w:rFonts w:ascii="Book Antiqua" w:eastAsia="Calibri" w:hAnsi="Book Antiqua"/>
          <w:sz w:val="20"/>
        </w:rPr>
        <w:t>older</w:t>
      </w:r>
      <w:r w:rsidRPr="00FD17B0">
        <w:rPr>
          <w:rFonts w:ascii="Book Antiqua" w:hAnsi="Book Antiqua"/>
          <w:sz w:val="20"/>
        </w:rPr>
        <w:t xml:space="preserve"> than the historical data. Data from Bonani et al. [21</w:t>
      </w:r>
      <w:proofErr w:type="gramStart"/>
      <w:r w:rsidRPr="00FD17B0">
        <w:rPr>
          <w:rFonts w:ascii="Book Antiqua" w:hAnsi="Book Antiqua"/>
          <w:sz w:val="20"/>
        </w:rPr>
        <w:t>],</w:t>
      </w:r>
      <w:proofErr w:type="gramEnd"/>
      <w:r w:rsidRPr="00FD17B0">
        <w:rPr>
          <w:rFonts w:ascii="Book Antiqua" w:hAnsi="Book Antiqua"/>
          <w:sz w:val="20"/>
        </w:rPr>
        <w:t xml:space="preserve"> support this contention throughout most of the period covered by the Old Kingdom. These two discrepancies are shown as the two points on the far left of Figure 8. </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Here we find approximately 300 years had been </w:t>
      </w:r>
      <w:r w:rsidRPr="00FD17B0">
        <w:rPr>
          <w:rStyle w:val="Strong"/>
          <w:rFonts w:ascii="Book Antiqua" w:eastAsia="Calibri" w:hAnsi="Book Antiqua"/>
          <w:sz w:val="20"/>
        </w:rPr>
        <w:t>added</w:t>
      </w:r>
      <w:r w:rsidRPr="00FD17B0">
        <w:rPr>
          <w:rFonts w:ascii="Book Antiqua" w:hAnsi="Book Antiqua"/>
          <w:sz w:val="20"/>
        </w:rPr>
        <w:t xml:space="preserve"> to get the corrected C-14 date for a suggested historical date. But the suggested date then averages about 300 years </w:t>
      </w:r>
      <w:r w:rsidRPr="00FD17B0">
        <w:rPr>
          <w:rStyle w:val="Strong"/>
          <w:rFonts w:ascii="Book Antiqua" w:eastAsia="Calibri" w:hAnsi="Book Antiqua"/>
          <w:sz w:val="20"/>
        </w:rPr>
        <w:t>too old</w:t>
      </w:r>
      <w:r w:rsidRPr="00FD17B0">
        <w:rPr>
          <w:rFonts w:ascii="Book Antiqua" w:hAnsi="Book Antiqua"/>
          <w:sz w:val="20"/>
        </w:rPr>
        <w:t>. This means that the uncorrected C-14 date and the historical date were the same and the dendro-correction from wiggle-matching was inaccurate. In other words, a zero correction applies as the C-14 clock is, at that point, ticking at the same rate as it is today. Thus, going backwards in time, the actual curve prior to 1650 BC rose from near a minimum then to reach a near-zero-correction level again near 2550 BC. If we allow for about 50 years of error in the data, then 2600 BC is the point at which the C-14 clock was again ticking at the same rate as today. Going back in time from there means an increased rate of ticking of atomic clocks compared with today’s values.</w:t>
      </w:r>
    </w:p>
    <w:p w:rsidR="00796231" w:rsidRDefault="00796231" w:rsidP="00796231">
      <w:pPr>
        <w:pStyle w:val="NoSpacing"/>
        <w:ind w:firstLine="720"/>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13.    C-14 Content in Ancient Coal and Diamonds.</w:t>
      </w:r>
    </w:p>
    <w:p w:rsidR="00796231" w:rsidRPr="0006366B" w:rsidRDefault="00796231" w:rsidP="00796231">
      <w:pPr>
        <w:pStyle w:val="NoSpacing"/>
        <w:jc w:val="both"/>
        <w:rPr>
          <w:rFonts w:ascii="Book Antiqua" w:hAnsi="Book Antiqua"/>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In dealing with Carbon 14, there is the question about a significant C-14 content in ancient substances such as coal and diamonds. In the case of diamonds, most date from the Archaeozoic about 3 billion atomic years ago or thereabouts. Nevertheless the measurable C-14 present would normally indicate a young age. In looking at the composition of inclusions in diamonds, there is a minimum value of about 1.7% by volume of nitrogen. This can be as high as 31% of the volume on occasion in some stones from Africa [30]. </w:t>
      </w:r>
    </w:p>
    <w:p w:rsidR="00796231" w:rsidRPr="0006366B" w:rsidRDefault="00796231" w:rsidP="00796231">
      <w:pPr>
        <w:pStyle w:val="NoSpacing"/>
        <w:jc w:val="both"/>
        <w:rPr>
          <w:rFonts w:ascii="Book Antiqua" w:hAnsi="Book Antiqua"/>
          <w:sz w:val="20"/>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The other component in this, apart from the high nitrogen content, is the supply of neutrons or cosmic rays. When the ZPE was lower, inevitably the neutron flux from a radioactive source was higher, and so was the cosmic ray flux from the sun and galaxy. If we consider just the neutrons for a moment, they would interact with the nitrogen to form C-14. If the neutrons came from a radioactive source, the timing of the formation of the C-14 would be dependent upon when the radioactive source was intruded nearby. </w:t>
      </w:r>
    </w:p>
    <w:p w:rsidR="00796231" w:rsidRPr="0006366B" w:rsidRDefault="00796231" w:rsidP="00796231">
      <w:pPr>
        <w:pStyle w:val="NoSpacing"/>
        <w:jc w:val="both"/>
        <w:rPr>
          <w:rFonts w:ascii="Book Antiqua" w:hAnsi="Book Antiqua"/>
          <w:sz w:val="20"/>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The flux of cosmic rays, as we have noted, was higher when the ZPE was lower. But even though their flux was greater with lower ZPE, the deflection by our magnetic field would also be greater as the field strength was greater (see Chapter 6).   It might be expected that these cosmic rays might only have a maximum effect once the magnetic field had tapered somewhat. If so, then the conversion of nitrogen to C-14 might be a relatively recent geological event in these samples. In </w:t>
      </w:r>
      <w:r w:rsidRPr="0006366B">
        <w:rPr>
          <w:rFonts w:ascii="Book Antiqua" w:hAnsi="Book Antiqua"/>
          <w:sz w:val="20"/>
        </w:rPr>
        <w:lastRenderedPageBreak/>
        <w:t xml:space="preserve">addition, the diamonds, or whatever is being considered, would only have this conversion occur from cosmic rays once they came near the surface, and hence accessible to human activity. Of course, if they were near a radioactive source deeper inside the earth then that would obviously mean the conversion could occur at any depth. </w:t>
      </w:r>
    </w:p>
    <w:p w:rsidR="00796231" w:rsidRPr="0006366B" w:rsidRDefault="00796231" w:rsidP="00796231">
      <w:pPr>
        <w:pStyle w:val="NoSpacing"/>
        <w:jc w:val="both"/>
        <w:rPr>
          <w:rFonts w:ascii="Book Antiqua" w:hAnsi="Book Antiqua"/>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14.   The ZPE and Accelerated Decay Rates.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The parent element of any radioactive decay will only have about 3.1% of its original number of atoms left after 5 half-lives have elapsed. After 6 half-lives have elapsed only about 1.5% of the parent product will remain. After 7 half-lives, only 0.7% (or 1/128</w:t>
      </w:r>
      <w:r w:rsidRPr="003A1AA9">
        <w:rPr>
          <w:rFonts w:ascii="Book Antiqua" w:hAnsi="Book Antiqua"/>
          <w:sz w:val="20"/>
          <w:vertAlign w:val="superscript"/>
        </w:rPr>
        <w:t>th</w:t>
      </w:r>
      <w:r w:rsidRPr="003A1AA9">
        <w:rPr>
          <w:rFonts w:ascii="Book Antiqua" w:hAnsi="Book Antiqua"/>
          <w:sz w:val="20"/>
        </w:rPr>
        <w:t>) remains. By the time 8 or 9 half-lives have elapsed, virtually nothing is left of the parent; only the daughter products remain. Therefore, if we only find the daughter products occurring naturally while the parent is absent, the logical conclusion is that the parent element has gone through 7 or more half-lives. This conclusion can be cross-checked by the relative concentrations of the daughter products.</w:t>
      </w:r>
    </w:p>
    <w:p w:rsidR="00796231" w:rsidRPr="003A1AA9" w:rsidRDefault="00796231" w:rsidP="00796231">
      <w:pPr>
        <w:pStyle w:val="NoSpacing"/>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It is then a simple matter to draw up a list of naturally occurring radioactive isotopes and their half-lives. When this is done, it can be seen that, at the current rate of decay, there are no naturally occurring radioactive isotopes with half-lives less than 710 million years. The isotope with that half-life </w:t>
      </w:r>
      <w:proofErr w:type="gramStart"/>
      <w:r w:rsidRPr="003A1AA9">
        <w:rPr>
          <w:rFonts w:ascii="Book Antiqua" w:hAnsi="Book Antiqua"/>
          <w:sz w:val="20"/>
        </w:rPr>
        <w:t xml:space="preserve">is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However, there are 46 radioactive isotopes with half-lives greater than 650 years and less than 710 million years which are no longer in their original form, but whose daughter elements are all that we find today.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This seems to indicate that these isotopes have already gone through 8 or 9 half-lives since the earth was formed. This conclusion is reinforced by the fact that all of the other 20 radioactive isotopes with half-lives greater than 710 million years do occur naturally, along with their relevant daughter products. The conclusion from these data is that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must have gone through about 6 half-lives for the observed concentration of parent and daughter products to exist on earth, and all the longer half-life isotopes something less.  It is because of the observed concentration of parent and daughter products of various radioactive elements, as compared to their currently known half-lives that the earth is thought to be 4.5 billion years old, or about six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half-lives of 710 million years.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When these radiometric data first came in during the early part of the 20</w:t>
      </w:r>
      <w:r w:rsidRPr="003A1AA9">
        <w:rPr>
          <w:rFonts w:ascii="Book Antiqua" w:hAnsi="Book Antiqua"/>
          <w:sz w:val="20"/>
          <w:vertAlign w:val="superscript"/>
        </w:rPr>
        <w:t>th</w:t>
      </w:r>
      <w:r w:rsidRPr="003A1AA9">
        <w:rPr>
          <w:rFonts w:ascii="Book Antiqua" w:hAnsi="Book Antiqua"/>
          <w:sz w:val="20"/>
        </w:rPr>
        <w:t xml:space="preserve"> century, no-one had any idea as to precisely how old the earth was going to be when dated radiometrically. Consequently, the researchers at that time were not under any ideological pressure to conform to a specific timescale. </w:t>
      </w:r>
      <w:r>
        <w:rPr>
          <w:rFonts w:ascii="Book Antiqua" w:hAnsi="Book Antiqua"/>
          <w:sz w:val="20"/>
        </w:rPr>
        <w:t>As a result,</w:t>
      </w:r>
      <w:r w:rsidRPr="003A1AA9">
        <w:rPr>
          <w:rFonts w:ascii="Book Antiqua" w:hAnsi="Book Antiqua"/>
          <w:sz w:val="20"/>
        </w:rPr>
        <w:t xml:space="preserve"> the timescale we now have emerged freely from a genuine scientific consensus, and it testifies to the consistency of the data trend. Even though the measurements of the data have been refined somewhat since then, the trend remains basically intact. The fact that there are no naturally occurring short half-life radioactive elements means that all 46 isotopes whose half-lives are currently shorter than about </w:t>
      </w:r>
      <w:r w:rsidRPr="00F26BF5">
        <w:rPr>
          <w:rFonts w:ascii="Book Antiqua" w:hAnsi="Book Antiqua"/>
          <w:sz w:val="20"/>
        </w:rPr>
        <w:t xml:space="preserve">700 million </w:t>
      </w:r>
      <w:r>
        <w:rPr>
          <w:rFonts w:ascii="Book Antiqua" w:hAnsi="Book Antiqua"/>
          <w:sz w:val="20"/>
        </w:rPr>
        <w:t xml:space="preserve">atomic </w:t>
      </w:r>
      <w:r w:rsidRPr="00F26BF5">
        <w:rPr>
          <w:rFonts w:ascii="Book Antiqua" w:hAnsi="Book Antiqua"/>
          <w:sz w:val="20"/>
        </w:rPr>
        <w:t>years</w:t>
      </w:r>
      <w:r w:rsidRPr="003A1AA9">
        <w:rPr>
          <w:rFonts w:ascii="Book Antiqua" w:hAnsi="Book Antiqua"/>
          <w:sz w:val="20"/>
        </w:rPr>
        <w:t xml:space="preserve"> have gone through at least 6 or more half-lives in their decay sequence. This is the necessary conclusion forced on us from the data. This conclusion is reinforced by three additional lines of evidence.</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first line of evidence consists of the presence on earth of all the daughter elements in the decay chain of these long half-life isotopes in their correct abundances. This is emphasized on a microscopic scale by the ion microprobe analysis of zircon crystals containing </w:t>
      </w:r>
      <w:r w:rsidRPr="00436421">
        <w:rPr>
          <w:rFonts w:ascii="Book Antiqua" w:hAnsi="Book Antiqua"/>
          <w:i/>
          <w:sz w:val="20"/>
        </w:rPr>
        <w:t>U</w:t>
      </w:r>
      <m:oMath>
        <m:sSup>
          <m:sSupPr>
            <m:ctrlPr>
              <w:rPr>
                <w:rFonts w:ascii="Book Antiqua" w:hAnsi="Book Antiqua"/>
                <w:i/>
                <w:sz w:val="20"/>
              </w:rPr>
            </m:ctrlPr>
          </m:sSupPr>
          <m:e>
            <m:r>
              <w:rPr>
                <w:rFonts w:ascii="Book Antiqua" w:hAnsi="Cambria Math"/>
                <w:sz w:val="20"/>
              </w:rPr>
              <m:t>U</m:t>
            </m:r>
          </m:e>
          <m:sup>
            <m:r>
              <w:rPr>
                <w:rFonts w:ascii="Book Antiqua" w:hAnsi="Book Antiqua"/>
                <w:sz w:val="20"/>
              </w:rPr>
              <m:t>238</m:t>
            </m:r>
          </m:sup>
        </m:sSup>
      </m:oMath>
      <w:r w:rsidRPr="003A1AA9">
        <w:rPr>
          <w:rFonts w:ascii="Book Antiqua" w:hAnsi="Book Antiqua"/>
          <w:sz w:val="20"/>
        </w:rPr>
        <w:t xml:space="preserve">. This uranium isotope has a half-life today of 4.47 </w:t>
      </w:r>
      <w:r w:rsidRPr="00F26BF5">
        <w:rPr>
          <w:rFonts w:ascii="Book Antiqua" w:hAnsi="Book Antiqua"/>
          <w:sz w:val="20"/>
        </w:rPr>
        <w:t>billion</w:t>
      </w:r>
      <w:r>
        <w:rPr>
          <w:rFonts w:ascii="Book Antiqua" w:hAnsi="Book Antiqua"/>
          <w:sz w:val="20"/>
        </w:rPr>
        <w:t xml:space="preserve"> atomic</w:t>
      </w:r>
      <w:r w:rsidRPr="00F26BF5">
        <w:rPr>
          <w:rFonts w:ascii="Book Antiqua" w:hAnsi="Book Antiqua"/>
          <w:sz w:val="20"/>
        </w:rPr>
        <w:t xml:space="preserve"> years.</w:t>
      </w:r>
      <w:r w:rsidRPr="003A1AA9">
        <w:rPr>
          <w:rFonts w:ascii="Book Antiqua" w:hAnsi="Book Antiqua"/>
          <w:sz w:val="20"/>
        </w:rPr>
        <w:t xml:space="preserve"> It has been found that the zircons in which </w:t>
      </w:r>
      <w:proofErr w:type="gramStart"/>
      <w:r w:rsidRPr="003A1AA9">
        <w:rPr>
          <w:rFonts w:ascii="Book Antiqua" w:hAnsi="Book Antiqua"/>
          <w:sz w:val="20"/>
        </w:rPr>
        <w:t xml:space="preserve">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occurs</w:t>
      </w:r>
      <w:proofErr w:type="gramEnd"/>
      <w:r w:rsidRPr="003A1AA9">
        <w:rPr>
          <w:rFonts w:ascii="Book Antiqua" w:hAnsi="Book Antiqua"/>
          <w:sz w:val="20"/>
        </w:rPr>
        <w:t xml:space="preserve"> usually have all 15 daughter elements from the decay chain trapped within them, and in their right abundances [31]. In addition, the alpha particles emitted during the decay have also been retained in the zircons in about the right quantities as helium atoms. In other words genuine decay has occurred with the correct number of half-lives having elapsed.</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second line of evidence consists of the concentric rings of discoloration, called pleochroic or radio-halos, in mica and other minerals from the decay of radioactive isotopes. Discoloration is produced by both the alpha particles emitted from the decaying isotope and the decaying daughter products at the center of the concentric rings. </w:t>
      </w:r>
      <w:proofErr w:type="gramStart"/>
      <w:r w:rsidRPr="003A1AA9">
        <w:rPr>
          <w:rFonts w:ascii="Book Antiqua" w:hAnsi="Book Antiqua"/>
          <w:sz w:val="20"/>
        </w:rPr>
        <w:t>Gentry has</w:t>
      </w:r>
      <w:proofErr w:type="gramEnd"/>
      <w:r w:rsidRPr="003A1AA9">
        <w:rPr>
          <w:rFonts w:ascii="Book Antiqua" w:hAnsi="Book Antiqua"/>
          <w:sz w:val="20"/>
        </w:rPr>
        <w:t xml:space="preserve"> pointed out that if each ring is fully formed, then there must have been at least 50 million alpha decays [32]. Gentry then </w:t>
      </w:r>
      <w:r>
        <w:rPr>
          <w:rFonts w:ascii="Book Antiqua" w:hAnsi="Book Antiqua"/>
          <w:sz w:val="20"/>
        </w:rPr>
        <w:t>sta</w:t>
      </w:r>
      <w:r w:rsidRPr="003A1AA9">
        <w:rPr>
          <w:rFonts w:ascii="Book Antiqua" w:hAnsi="Book Antiqua"/>
          <w:sz w:val="20"/>
        </w:rPr>
        <w:t xml:space="preserve">tes that a typical one-micron radio-center for these rings must contain at least 5 billion members of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decay chain [33]. Given these facts, </w:t>
      </w:r>
      <w:proofErr w:type="gramStart"/>
      <w:r w:rsidRPr="003A1AA9">
        <w:rPr>
          <w:rFonts w:ascii="Book Antiqua" w:hAnsi="Book Antiqua"/>
          <w:sz w:val="20"/>
        </w:rPr>
        <w:t>Humphreys</w:t>
      </w:r>
      <w:proofErr w:type="gramEnd"/>
      <w:r w:rsidRPr="003A1AA9">
        <w:rPr>
          <w:rFonts w:ascii="Book Antiqua" w:hAnsi="Book Antiqua"/>
          <w:sz w:val="20"/>
        </w:rPr>
        <w:t xml:space="preserve"> points out that </w:t>
      </w:r>
      <w:r w:rsidRPr="003A1AA9">
        <w:rPr>
          <w:rFonts w:ascii="Book Antiqua" w:hAnsi="Book Antiqua"/>
          <w:i/>
          <w:sz w:val="20"/>
        </w:rPr>
        <w:t>“For five billion of those [U</w:t>
      </w:r>
      <w:r w:rsidRPr="003A1AA9">
        <w:rPr>
          <w:rFonts w:ascii="Book Antiqua" w:hAnsi="Book Antiqua"/>
          <w:i/>
          <w:sz w:val="20"/>
          <w:vertAlign w:val="superscript"/>
        </w:rPr>
        <w:t>238</w:t>
      </w:r>
      <w:r w:rsidRPr="003A1AA9">
        <w:rPr>
          <w:rFonts w:ascii="Book Antiqua" w:hAnsi="Book Antiqua"/>
          <w:i/>
          <w:sz w:val="20"/>
        </w:rPr>
        <w:t xml:space="preserve">] nuclei to undergo fifty million alpha-decays would require, at the present rate of decay, over 150 million years. Thus these halos are visible marks of decay, [and] direct </w:t>
      </w:r>
      <w:r w:rsidRPr="003A1AA9">
        <w:rPr>
          <w:rFonts w:ascii="Book Antiqua" w:hAnsi="Book Antiqua"/>
          <w:i/>
          <w:sz w:val="20"/>
        </w:rPr>
        <w:lastRenderedPageBreak/>
        <w:t xml:space="preserve">evidence for at least ‘hundreds of millions’ of </w:t>
      </w:r>
      <w:proofErr w:type="gramStart"/>
      <w:r w:rsidRPr="003A1AA9">
        <w:rPr>
          <w:rFonts w:ascii="Book Antiqua" w:hAnsi="Book Antiqua"/>
          <w:i/>
          <w:sz w:val="20"/>
        </w:rPr>
        <w:t>years</w:t>
      </w:r>
      <w:proofErr w:type="gramEnd"/>
      <w:r w:rsidRPr="003A1AA9">
        <w:rPr>
          <w:rFonts w:ascii="Book Antiqua" w:hAnsi="Book Antiqua"/>
          <w:i/>
          <w:sz w:val="20"/>
        </w:rPr>
        <w:t xml:space="preserve"> worth of nuclear decay.”</w:t>
      </w:r>
      <w:r w:rsidRPr="003A1AA9">
        <w:rPr>
          <w:rFonts w:ascii="Book Antiqua" w:hAnsi="Book Antiqua"/>
          <w:sz w:val="20"/>
        </w:rPr>
        <w:t xml:space="preserve"> [34]. If there has been a steady rate of decay, the conclusion is inevitable that long periods of time must have elapsed.</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third line of evidence comes from the tracks left in crystals by radioactive nuclei which split in two. Such spontaneous fission of nuclei, like that </w:t>
      </w:r>
      <w:proofErr w:type="gramStart"/>
      <w:r w:rsidRPr="003A1AA9">
        <w:rPr>
          <w:rFonts w:ascii="Book Antiqua" w:hAnsi="Book Antiqua"/>
          <w:sz w:val="20"/>
        </w:rPr>
        <w:t>of</w:t>
      </w:r>
      <w:r>
        <w:rPr>
          <w:rFonts w:ascii="Book Antiqua" w:hAnsi="Book Antiqua"/>
          <w:sz w:val="20"/>
        </w:rPr>
        <w:t xml:space="preserve"> </w:t>
      </w:r>
      <m:oMath>
        <m:sSup>
          <m:sSupPr>
            <m:ctrlPr>
              <w:rPr>
                <w:rFonts w:ascii="Cambria Math" w:hAnsi="Book Antiqua"/>
                <w:i/>
                <w:sz w:val="20"/>
              </w:rPr>
            </m:ctrlPr>
          </m:sSupPr>
          <m:e>
            <w:proofErr w:type="gramEnd"/>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 then leaves fission tracks in the host crystal, which has been damaged by these two large nuclei violently moving away from each other. Some isotopes have a slow rate of fission, such as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when it is not triggered by a neutron flux. Nevertheless such isotopes have produced large numbers of tracks. For example, a study of Miocene volcanic glass revealed thousands of times more fission tracks than would be possible in only a few thousand years of fission at today’s rates [35]. Therefore, fission tracks are also evidence that extremely long periods of time must have elapsed if radioactive decay rates have been constant. These tracks suggest that the Miocene epoch really did last from about 23 million atomic years down to about 5 million atomic years ago, as other radiometric dates also indicate.</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In summary there </w:t>
      </w:r>
      <w:r>
        <w:rPr>
          <w:rFonts w:ascii="Book Antiqua" w:hAnsi="Book Antiqua"/>
          <w:sz w:val="20"/>
        </w:rPr>
        <w:t>is a wealth of evidence from 1)</w:t>
      </w:r>
      <w:r w:rsidRPr="003A1AA9">
        <w:rPr>
          <w:rFonts w:ascii="Book Antiqua" w:hAnsi="Book Antiqua"/>
          <w:sz w:val="20"/>
        </w:rPr>
        <w:t xml:space="preserve"> the relative abundance of naturally occurring radioactive isotopes and the daughter elements a</w:t>
      </w:r>
      <w:r>
        <w:rPr>
          <w:rFonts w:ascii="Book Antiqua" w:hAnsi="Book Antiqua"/>
          <w:sz w:val="20"/>
        </w:rPr>
        <w:t>long the whole decay chain</w:t>
      </w:r>
      <w:proofErr w:type="gramStart"/>
      <w:r>
        <w:rPr>
          <w:rFonts w:ascii="Book Antiqua" w:hAnsi="Book Antiqua"/>
          <w:sz w:val="20"/>
        </w:rPr>
        <w:t>;  2</w:t>
      </w:r>
      <w:proofErr w:type="gramEnd"/>
      <w:r>
        <w:rPr>
          <w:rFonts w:ascii="Book Antiqua" w:hAnsi="Book Antiqua"/>
          <w:sz w:val="20"/>
        </w:rPr>
        <w:t>)</w:t>
      </w:r>
      <w:r w:rsidRPr="003A1AA9">
        <w:rPr>
          <w:rFonts w:ascii="Book Antiqua" w:hAnsi="Book Antiqua"/>
          <w:sz w:val="20"/>
        </w:rPr>
        <w:t xml:space="preserve"> the rings making up radio-halos and the required number of atoms of the original isotope and daughter elements that are needed to produ</w:t>
      </w:r>
      <w:r>
        <w:rPr>
          <w:rFonts w:ascii="Book Antiqua" w:hAnsi="Book Antiqua"/>
          <w:sz w:val="20"/>
        </w:rPr>
        <w:t>ce the visible results; and  3)</w:t>
      </w:r>
      <w:r w:rsidRPr="003A1AA9">
        <w:rPr>
          <w:rFonts w:ascii="Book Antiqua" w:hAnsi="Book Antiqua"/>
          <w:sz w:val="20"/>
        </w:rPr>
        <w:t xml:space="preserve"> fission tracks in crystals and the number involved. In each case these data all point to the fact that millions of years worth of radioactive decay must have occurred if decay rates have remained approximately constant.</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Pr>
          <w:rFonts w:ascii="Book Antiqua" w:hAnsi="Book Antiqua"/>
          <w:sz w:val="20"/>
        </w:rPr>
        <w:t>If decay rates have remained approximately constant, a problem emerges.</w:t>
      </w:r>
      <w:r w:rsidRPr="003A1AA9">
        <w:rPr>
          <w:rFonts w:ascii="Book Antiqua" w:hAnsi="Book Antiqua"/>
          <w:sz w:val="20"/>
        </w:rPr>
        <w:t xml:space="preserve">  As things stand today, it is assumed by mainstream science that a constancy of decay rates means that we can measure orbital (calendar) years by the same measure that we use for radiometric dating.  However, as has been shown, any variation in the strength of the Zero Point Energy (ZPE) will affect the rate of ticking of atomic clocks –   including radiometric clocks. The ZPE controls the electric and magnetic properties of the vacuum, and a variety of data suggest that the ZPE strength was much lower in the past. A lower ZPE means a proportionally lower value for Planck’s constant</w:t>
      </w:r>
      <w:proofErr w:type="gramStart"/>
      <w:r w:rsidRPr="003A1AA9">
        <w:rPr>
          <w:rFonts w:ascii="Book Antiqua" w:hAnsi="Book Antiqua"/>
          <w:sz w:val="20"/>
        </w:rPr>
        <w:t xml:space="preserve">, </w:t>
      </w:r>
      <m:oMath>
        <w:proofErr w:type="gramEnd"/>
        <m:r>
          <w:rPr>
            <w:rFonts w:ascii="Book Antiqua" w:hAnsi="Cambria Math"/>
            <w:sz w:val="20"/>
          </w:rPr>
          <m:t>h</m:t>
        </m:r>
      </m:oMath>
      <w:r w:rsidRPr="003A1AA9">
        <w:rPr>
          <w:rFonts w:ascii="Book Antiqua" w:hAnsi="Book Antiqua"/>
          <w:sz w:val="20"/>
        </w:rPr>
        <w:t xml:space="preserve">, and a higher value for the speed of light, </w:t>
      </w:r>
      <m:oMath>
        <m:r>
          <w:rPr>
            <w:rFonts w:ascii="Book Antiqua" w:hAnsi="Cambria Math"/>
            <w:sz w:val="20"/>
          </w:rPr>
          <m:t>c</m:t>
        </m:r>
      </m:oMath>
      <w:r w:rsidRPr="003A1AA9">
        <w:rPr>
          <w:rFonts w:ascii="Book Antiqua" w:hAnsi="Book Antiqua"/>
          <w:sz w:val="20"/>
        </w:rPr>
        <w:t>, in inverse proportion to ZPE strength. A lower ZPE strength also means that atomic masses</w:t>
      </w:r>
      <w:proofErr w:type="gramStart"/>
      <w:r w:rsidRPr="003A1AA9">
        <w:rPr>
          <w:rFonts w:ascii="Book Antiqua" w:hAnsi="Book Antiqua"/>
          <w:sz w:val="20"/>
        </w:rPr>
        <w:t xml:space="preserve">, </w:t>
      </w:r>
      <m:oMath>
        <w:proofErr w:type="gramEnd"/>
        <m:r>
          <w:rPr>
            <w:rFonts w:ascii="Cambria Math" w:hAnsi="Cambria Math"/>
            <w:sz w:val="20"/>
          </w:rPr>
          <m:t>m</m:t>
        </m:r>
        <m:r>
          <w:rPr>
            <w:rFonts w:ascii="Book Antiqua" w:hAnsi="Cambria Math"/>
            <w:sz w:val="20"/>
          </w:rPr>
          <m:t>m</m:t>
        </m:r>
      </m:oMath>
      <w:r w:rsidRPr="003A1AA9">
        <w:rPr>
          <w:rFonts w:ascii="Book Antiqua" w:hAnsi="Book Antiqua"/>
          <w:sz w:val="20"/>
        </w:rPr>
        <w:t xml:space="preserve">, were lower in proportion to </w:t>
      </w:r>
      <m:oMath>
        <m:sSup>
          <m:sSupPr>
            <m:ctrlPr>
              <w:rPr>
                <w:rFonts w:ascii="Book Antiqua" w:hAnsi="Book Antiqua"/>
                <w:i/>
                <w:sz w:val="20"/>
              </w:rPr>
            </m:ctrlPr>
          </m:sSupPr>
          <m:e>
            <m:r>
              <w:rPr>
                <w:rFonts w:ascii="Book Antiqua" w:hAnsi="Cambria Math"/>
                <w:sz w:val="20"/>
              </w:rPr>
              <m:t>h</m:t>
            </m:r>
          </m:e>
          <m:sup>
            <m:r>
              <w:rPr>
                <w:rFonts w:ascii="Book Antiqua" w:hAnsi="Book Antiqua"/>
                <w:sz w:val="20"/>
              </w:rPr>
              <m:t>2</m:t>
            </m:r>
          </m:sup>
        </m:sSup>
      </m:oMath>
      <w:r w:rsidRPr="003A1AA9">
        <w:rPr>
          <w:rFonts w:ascii="Book Antiqua" w:hAnsi="Book Antiqua"/>
          <w:sz w:val="20"/>
        </w:rPr>
        <w:t xml:space="preserve"> or to </w:t>
      </w:r>
      <m:oMath>
        <m:r>
          <w:rPr>
            <w:rFonts w:ascii="Book Antiqua" w:hAnsi="Book Antiqua"/>
            <w:sz w:val="20"/>
          </w:rPr>
          <m:t>1/</m:t>
        </m:r>
        <m:sSup>
          <m:sSupPr>
            <m:ctrlPr>
              <w:rPr>
                <w:rFonts w:ascii="Book Antiqua" w:hAnsi="Book Antiqua"/>
                <w:i/>
                <w:sz w:val="20"/>
              </w:rPr>
            </m:ctrlPr>
          </m:sSupPr>
          <m:e>
            <m:r>
              <w:rPr>
                <w:rFonts w:ascii="Book Antiqua" w:hAnsi="Cambria Math"/>
                <w:sz w:val="20"/>
              </w:rPr>
              <m:t>c</m:t>
            </m:r>
            <m:r>
              <w:rPr>
                <w:rFonts w:ascii="Cambria Math" w:hAnsi="Cambria Math"/>
                <w:sz w:val="20"/>
              </w:rPr>
              <m:t>c</m:t>
            </m:r>
          </m:e>
          <m:sup>
            <m:r>
              <w:rPr>
                <w:rFonts w:ascii="Book Antiqua" w:hAnsi="Book Antiqua"/>
                <w:sz w:val="20"/>
              </w:rPr>
              <m:t>2</m:t>
            </m:r>
          </m:sup>
        </m:sSup>
      </m:oMath>
      <w:r w:rsidRPr="003A1AA9">
        <w:rPr>
          <w:rFonts w:ascii="Book Antiqua" w:hAnsi="Book Antiqua"/>
          <w:sz w:val="20"/>
        </w:rPr>
        <w:t xml:space="preserve">, so energy is conserved in atomic interactions. When these changes are factored into the equations describing the various types of radio-decay, these equations indicate that the rate of decay of all radioactive isotopes is directly proportional to </w:t>
      </w:r>
      <w:r w:rsidRPr="00E436CC">
        <w:rPr>
          <w:rFonts w:ascii="Book Antiqua" w:hAnsi="Book Antiqua"/>
          <w:i/>
          <w:sz w:val="20"/>
        </w:rPr>
        <w:t>c</w:t>
      </w:r>
      <m:oMath>
        <m:r>
          <w:rPr>
            <w:rFonts w:ascii="Book Antiqua" w:hAnsi="Cambria Math"/>
            <w:sz w:val="20"/>
          </w:rPr>
          <m:t>c</m:t>
        </m:r>
      </m:oMath>
      <w:r w:rsidRPr="003A1AA9">
        <w:rPr>
          <w:rFonts w:ascii="Book Antiqua" w:hAnsi="Book Antiqua"/>
          <w:sz w:val="20"/>
        </w:rPr>
        <w:t xml:space="preserve">, or inversely proportional to </w:t>
      </w:r>
      <m:oMath>
        <m:r>
          <w:rPr>
            <w:rFonts w:ascii="Book Antiqua" w:hAnsi="Cambria Math"/>
            <w:sz w:val="20"/>
          </w:rPr>
          <m:t>h</m:t>
        </m:r>
      </m:oMath>
      <w:r w:rsidRPr="003A1AA9">
        <w:rPr>
          <w:rFonts w:ascii="Book Antiqua" w:hAnsi="Book Antiqua"/>
          <w:sz w:val="20"/>
        </w:rPr>
        <w:t xml:space="preserve"> and</w:t>
      </w:r>
      <w:r>
        <w:rPr>
          <w:rFonts w:ascii="Book Antiqua" w:hAnsi="Book Antiqua"/>
          <w:sz w:val="20"/>
        </w:rPr>
        <w:t xml:space="preserve"> </w:t>
      </w:r>
      <w:r w:rsidRPr="00E436CC">
        <w:rPr>
          <w:rFonts w:ascii="Book Antiqua" w:hAnsi="Book Antiqua"/>
          <w:i/>
          <w:sz w:val="20"/>
        </w:rPr>
        <w:t>U</w:t>
      </w:r>
      <w:r w:rsidRPr="003A1AA9">
        <w:rPr>
          <w:rFonts w:ascii="Book Antiqua" w:hAnsi="Book Antiqua"/>
          <w:sz w:val="20"/>
        </w:rPr>
        <w:t xml:space="preserve"> </w:t>
      </w:r>
      <m:oMath>
        <m:r>
          <w:rPr>
            <w:rFonts w:ascii="Book Antiqua" w:hAnsi="Cambria Math"/>
            <w:sz w:val="20"/>
          </w:rPr>
          <m:t>U</m:t>
        </m:r>
      </m:oMath>
      <w:r w:rsidRPr="003A1AA9">
        <w:rPr>
          <w:rFonts w:ascii="Book Antiqua" w:hAnsi="Book Antiqua"/>
          <w:sz w:val="20"/>
        </w:rPr>
        <w:t xml:space="preserve"> as shown above. That is to say, the greater the strength of the ZPE, then the slower will be decay rates. Conversely, the weaker the ZPE strength, the faster will be the decay rates.  The physical reason behind this behavior is that the increasing energy density of the vacuum ZPE means an increasing density of virtual particle pairs. This effectively makes space a “thicker” medium for atoms to be immersed in and changes the electric and magnetic properties of the vacuum. Since many atomic processes are electric and magnetic in character, a thicker electro-magnetic medium will slow all them in proportion.  As a result, and in contrast to many of the creationist attempts to reconcile atomic dating with their models, the majority of dates given by radiometric dating will be in concordance.  The major exceptions to these concordant dates would </w:t>
      </w:r>
      <w:r>
        <w:rPr>
          <w:rFonts w:ascii="Book Antiqua" w:hAnsi="Book Antiqua"/>
          <w:sz w:val="20"/>
        </w:rPr>
        <w:t>be</w:t>
      </w:r>
      <w:r w:rsidRPr="003A1AA9">
        <w:rPr>
          <w:rFonts w:ascii="Book Antiqua" w:hAnsi="Book Antiqua"/>
          <w:sz w:val="20"/>
        </w:rPr>
        <w:t xml:space="preserve"> carbon dating, as mentioned above, because of its severe time limitations, and dating methods relying on argon, which migrates through other materials very easily.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In a private conversation with the manager of a dating laboratory, I was told that from 15% to 20% </w:t>
      </w:r>
      <w:r w:rsidRPr="002B6251">
        <w:rPr>
          <w:rFonts w:ascii="Book Antiqua" w:hAnsi="Book Antiqua"/>
          <w:sz w:val="20"/>
        </w:rPr>
        <w:t>of radiometric</w:t>
      </w:r>
      <w:r w:rsidRPr="003A1AA9">
        <w:rPr>
          <w:rFonts w:ascii="Book Antiqua" w:hAnsi="Book Antiqua"/>
          <w:sz w:val="20"/>
        </w:rPr>
        <w:t xml:space="preserve"> dates can be discrepant. That leaves a solid core of 80% to 85% reliable dates.  But it is important to look at the discrepant data as well.  This is what critics of radiometric dating concentrate on. However, instead of concluding (as some critics do) that all radiometric dates are unreliable because of this, there may be an explanation related to the increase in Zero Point Energy through time. Here are two examples: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b/>
          <w:i/>
          <w:sz w:val="20"/>
        </w:rPr>
        <w:t>Example 1:</w:t>
      </w:r>
      <w:r w:rsidRPr="003A1AA9">
        <w:rPr>
          <w:rFonts w:ascii="Book Antiqua" w:hAnsi="Book Antiqua"/>
          <w:sz w:val="20"/>
        </w:rPr>
        <w:t xml:space="preserve"> In all geological eras, many intrusions of molten rock, called plutons, were emplaced in the surrounding strata. These intrusions take time to cool. The cooling starts first at the edge where the molten material is in contact with the surrounding rock and chills rapidly. The interior takes much longer to cool.  In cooled magma the radioactive isotopes are locked in position and can no longer migrate. It is at this point that the radiometric clock (an atomic clock) is reset and starts “ticking.”  However, the radioactive isotopes in the still molten center of the pluton may continue to migrate for a number of years before they become locked into position. Their atomic or radiometric clock will only start ticking at that point.</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Let us postulate that the cooling process took up to 100 years in the Archaeozoic. At that time, the astronomical data indicate that the ZPE strength was so low that radiometric clocks were ticking very fast compared with today’s rate. So if, for the sake of this example, we assume that atomic and radiometric clocks were ticking something like a million times faster than now, then analysis of the atomic dates gotten from this intrusion could show a spread of a hundred million years or more.  The time of actual emplacement of the pluton would be given by the isotopes gathered near the edge of the structure. However, laboratories testing for an atomic age for the pluton would indicate that dates from nearer the center of the pluton were discrepant.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b/>
          <w:i/>
          <w:sz w:val="20"/>
        </w:rPr>
        <w:t>Example 2:</w:t>
      </w:r>
      <w:r w:rsidRPr="003A1AA9">
        <w:rPr>
          <w:rFonts w:ascii="Book Antiqua" w:hAnsi="Book Antiqua"/>
          <w:sz w:val="20"/>
        </w:rPr>
        <w:t xml:space="preserve"> The Mesozoic Era ended with a number of massive asteroid impacts. Because of the pressure pulse they sent through the earth, and the subsequent rarefaction (area of lower pressure behind the pulse), there erupted a plume of magma bursting through the surface to form the Deccan Traps in India. These events, associated with the extinction of the dinosaurs, are dated at 65.5 million atomic years ago. The problem which has surfaced as a result of a careful analysis of atomic dates for these strata is that it seems the last of the dinosaurs did not die out until some 2 million years or more afterward. This is why some paleontologists are searching for other mechanisms for the demise of the dinosaurs.</w:t>
      </w:r>
      <w:r>
        <w:rPr>
          <w:rFonts w:ascii="Book Antiqua" w:hAnsi="Book Antiqua"/>
          <w:sz w:val="20"/>
        </w:rPr>
        <w:t xml:space="preserve"> </w:t>
      </w:r>
      <w:r w:rsidRPr="003A1AA9">
        <w:rPr>
          <w:rFonts w:ascii="Book Antiqua" w:hAnsi="Book Antiqua"/>
          <w:sz w:val="20"/>
        </w:rPr>
        <w:t>However, if, for the sake of this example, we assume that atomic and radiometric clocks were ticking over a quarter of a million times faster at the end of the Mesozoic, then the 2 million atomic years translates into eight years of actual orbital time. This suggests that the dinosaurs were indeed wiped out by the catastrophic events ending the</w:t>
      </w:r>
      <w:r>
        <w:rPr>
          <w:rFonts w:ascii="Book Antiqua" w:hAnsi="Book Antiqua"/>
          <w:sz w:val="20"/>
        </w:rPr>
        <w:t xml:space="preserve"> Era.</w:t>
      </w:r>
    </w:p>
    <w:p w:rsidR="00796231" w:rsidRPr="003A1AA9" w:rsidRDefault="00796231" w:rsidP="00796231">
      <w:pPr>
        <w:pStyle w:val="NoSpacing"/>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These examples not only illustrate the reality of discrepant dating, but they offer a clue as to why that occurs.  The fact that 80% of the dates are in agreement with one another shows the general trend of successively older and older dates the further back into the past we go.  The fact that 20% of the dates are discordant shows that something else is happening.  The greater the accelerated decay, the larger the discrepancy is likely to be. These discrepant dates are themselves an indication that radioactive decay rates (and the rate of ticking of all atomic clocks) were faster in the past.  The Zero Point Energy explains why that is so.  Fig</w:t>
      </w:r>
      <w:r>
        <w:rPr>
          <w:rFonts w:ascii="Book Antiqua" w:hAnsi="Book Antiqua"/>
          <w:sz w:val="20"/>
        </w:rPr>
        <w:t xml:space="preserve">. </w:t>
      </w:r>
      <w:r w:rsidRPr="003A1AA9">
        <w:rPr>
          <w:rFonts w:ascii="Book Antiqua" w:hAnsi="Book Antiqua"/>
          <w:sz w:val="20"/>
        </w:rPr>
        <w:t xml:space="preserve">9 illustrates the scatter of discrepant dates around the basic trend.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jc w:val="center"/>
        <w:rPr>
          <w:rFonts w:ascii="Book Antiqua" w:hAnsi="Book Antiqua"/>
          <w:sz w:val="20"/>
        </w:rPr>
      </w:pPr>
      <w:r w:rsidRPr="003A1AA9">
        <w:rPr>
          <w:rFonts w:ascii="Book Antiqua" w:hAnsi="Book Antiqua"/>
          <w:noProof/>
          <w:sz w:val="20"/>
        </w:rPr>
        <w:drawing>
          <wp:inline distT="0" distB="0" distL="0" distR="0">
            <wp:extent cx="4097649" cy="2950669"/>
            <wp:effectExtent l="19050" t="0" r="0" b="0"/>
            <wp:docPr id="187" name="il_fi" descr="rad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radchart"/>
                    <pic:cNvPicPr>
                      <a:picLocks noChangeAspect="1" noChangeArrowheads="1"/>
                    </pic:cNvPicPr>
                  </pic:nvPicPr>
                  <pic:blipFill>
                    <a:blip r:embed="rId993" cstate="print"/>
                    <a:srcRect l="11142" r="4898" b="9111"/>
                    <a:stretch>
                      <a:fillRect/>
                    </a:stretch>
                  </pic:blipFill>
                  <pic:spPr bwMode="auto">
                    <a:xfrm>
                      <a:off x="0" y="0"/>
                      <a:ext cx="4095874" cy="2949391"/>
                    </a:xfrm>
                    <a:prstGeom prst="rect">
                      <a:avLst/>
                    </a:prstGeom>
                    <a:noFill/>
                    <a:ln w="9525">
                      <a:noFill/>
                      <a:miter lim="800000"/>
                      <a:headEnd/>
                      <a:tailEnd/>
                    </a:ln>
                  </pic:spPr>
                </pic:pic>
              </a:graphicData>
            </a:graphic>
          </wp:inline>
        </w:drawing>
      </w:r>
    </w:p>
    <w:p w:rsidR="00796231" w:rsidRPr="003A1AA9" w:rsidRDefault="00796231" w:rsidP="00796231">
      <w:pPr>
        <w:pStyle w:val="NoSpacing"/>
        <w:ind w:firstLine="720"/>
        <w:jc w:val="both"/>
        <w:rPr>
          <w:rFonts w:ascii="Book Antiqua" w:hAnsi="Book Antiqua"/>
          <w:sz w:val="20"/>
        </w:rPr>
      </w:pPr>
    </w:p>
    <w:p w:rsidR="00796231" w:rsidRPr="0040460D" w:rsidRDefault="00796231" w:rsidP="00796231">
      <w:pPr>
        <w:pStyle w:val="NoSpacing"/>
        <w:jc w:val="center"/>
        <w:rPr>
          <w:rFonts w:ascii="Book Antiqua" w:hAnsi="Book Antiqua"/>
          <w:i/>
          <w:sz w:val="18"/>
          <w:szCs w:val="18"/>
        </w:rPr>
      </w:pPr>
      <w:r w:rsidRPr="0040460D">
        <w:rPr>
          <w:rFonts w:ascii="Book Antiqua" w:hAnsi="Book Antiqua"/>
          <w:b/>
          <w:i/>
          <w:sz w:val="18"/>
          <w:szCs w:val="18"/>
        </w:rPr>
        <w:t>Figure 9:</w:t>
      </w:r>
      <w:r w:rsidRPr="0040460D">
        <w:rPr>
          <w:rFonts w:ascii="Book Antiqua" w:hAnsi="Book Antiqua"/>
          <w:i/>
          <w:sz w:val="18"/>
          <w:szCs w:val="18"/>
        </w:rPr>
        <w:t xml:space="preserve"> A plot of published discrepant radiometric data [36].</w:t>
      </w:r>
    </w:p>
    <w:p w:rsidR="00796231" w:rsidRDefault="00796231" w:rsidP="00796231">
      <w:pPr>
        <w:pStyle w:val="NoSpacing"/>
        <w:ind w:firstLine="72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3A1AA9">
        <w:rPr>
          <w:rFonts w:ascii="Book Antiqua" w:hAnsi="Book Antiqua"/>
          <w:sz w:val="20"/>
        </w:rPr>
        <w:t>In Fig</w:t>
      </w:r>
      <w:r>
        <w:rPr>
          <w:rFonts w:ascii="Book Antiqua" w:hAnsi="Book Antiqua"/>
          <w:sz w:val="20"/>
        </w:rPr>
        <w:t xml:space="preserve">. </w:t>
      </w:r>
      <w:r w:rsidRPr="003A1AA9">
        <w:rPr>
          <w:rFonts w:ascii="Book Antiqua" w:hAnsi="Book Antiqua"/>
          <w:sz w:val="20"/>
        </w:rPr>
        <w:t>9, the horizontal axis is the expected atomic age in millions of years. The vertical axis is the age by the</w:t>
      </w:r>
      <w:r>
        <w:rPr>
          <w:rFonts w:ascii="Book Antiqua" w:hAnsi="Book Antiqua"/>
          <w:sz w:val="20"/>
        </w:rPr>
        <w:t xml:space="preserve"> </w:t>
      </w:r>
      <w:r w:rsidRPr="003A1AA9">
        <w:rPr>
          <w:rFonts w:ascii="Book Antiqua" w:hAnsi="Book Antiqua"/>
          <w:sz w:val="20"/>
        </w:rPr>
        <w:t>radiometric clock. The scatter of points illustrates the published discrepant dates obtained by radiometric dating lab</w:t>
      </w:r>
      <w:r>
        <w:rPr>
          <w:rFonts w:ascii="Book Antiqua" w:hAnsi="Book Antiqua"/>
          <w:sz w:val="20"/>
        </w:rPr>
        <w:t xml:space="preserve">s. </w:t>
      </w:r>
      <w:r w:rsidRPr="003A1AA9">
        <w:rPr>
          <w:rFonts w:ascii="Book Antiqua" w:hAnsi="Book Antiqua"/>
          <w:sz w:val="20"/>
        </w:rPr>
        <w:t>Uniformly accelerated decay rates do hold the potential to resolve what would otherwise be anomalous geological data.</w:t>
      </w:r>
    </w:p>
    <w:p w:rsidR="00796231" w:rsidRPr="003A1AA9" w:rsidRDefault="00796231" w:rsidP="00796231">
      <w:pPr>
        <w:pStyle w:val="NormalWeb"/>
        <w:jc w:val="both"/>
        <w:rPr>
          <w:rStyle w:val="Strong"/>
          <w:rFonts w:ascii="Book Antiqua" w:eastAsia="Calibri" w:hAnsi="Book Antiqua"/>
          <w:sz w:val="20"/>
          <w:szCs w:val="20"/>
        </w:rPr>
      </w:pPr>
      <w:r w:rsidRPr="003A1AA9">
        <w:rPr>
          <w:rStyle w:val="Strong"/>
          <w:rFonts w:ascii="Book Antiqua" w:eastAsia="Calibri" w:hAnsi="Book Antiqua"/>
          <w:sz w:val="20"/>
          <w:szCs w:val="20"/>
        </w:rPr>
        <w:lastRenderedPageBreak/>
        <w:t xml:space="preserve">References </w:t>
      </w:r>
      <w:r w:rsidRPr="003A1AA9">
        <w:rPr>
          <w:rStyle w:val="Strong"/>
          <w:rFonts w:ascii="Book Antiqua" w:eastAsia="Calibri" w:hAnsi="Book Antiqua"/>
          <w:i/>
          <w:sz w:val="20"/>
          <w:szCs w:val="20"/>
        </w:rPr>
        <w:t>– All URL’s retrieved 9/13/12</w:t>
      </w:r>
    </w:p>
    <w:p w:rsidR="00796231" w:rsidRPr="003A1AA9" w:rsidRDefault="00796231" w:rsidP="00796231">
      <w:pPr>
        <w:pStyle w:val="NoSpacing"/>
        <w:rPr>
          <w:rFonts w:ascii="Book Antiqua" w:hAnsi="Book Antiqua"/>
          <w:sz w:val="16"/>
          <w:szCs w:val="16"/>
        </w:rPr>
      </w:pPr>
      <w:proofErr w:type="gramStart"/>
      <w:r w:rsidRPr="003A1AA9">
        <w:rPr>
          <w:rFonts w:ascii="Book Antiqua" w:hAnsi="Book Antiqua"/>
          <w:sz w:val="16"/>
          <w:szCs w:val="16"/>
        </w:rPr>
        <w:t xml:space="preserve">[1] A. P. French, </w:t>
      </w:r>
      <w:r w:rsidRPr="003A1AA9">
        <w:rPr>
          <w:rFonts w:ascii="Book Antiqua" w:hAnsi="Book Antiqua"/>
          <w:i/>
          <w:sz w:val="16"/>
          <w:szCs w:val="16"/>
        </w:rPr>
        <w:t>Principles of Modern Physics</w:t>
      </w:r>
      <w:r w:rsidRPr="003A1AA9">
        <w:rPr>
          <w:rFonts w:ascii="Book Antiqua" w:hAnsi="Book Antiqua"/>
          <w:sz w:val="16"/>
          <w:szCs w:val="16"/>
        </w:rPr>
        <w:t xml:space="preserve">, p. 298 (Wiley, New York, 1959) </w:t>
      </w:r>
      <w:r w:rsidRPr="003A1AA9">
        <w:rPr>
          <w:rFonts w:ascii="Book Antiqua" w:hAnsi="Book Antiqua"/>
          <w:sz w:val="16"/>
          <w:szCs w:val="16"/>
        </w:rPr>
        <w:br/>
        <w:t xml:space="preserve">[2] S. Glasstone, </w:t>
      </w:r>
      <w:r w:rsidRPr="003A1AA9">
        <w:rPr>
          <w:rStyle w:val="Emphasis"/>
          <w:rFonts w:ascii="Book Antiqua" w:hAnsi="Book Antiqua"/>
          <w:iCs w:val="0"/>
          <w:sz w:val="16"/>
          <w:szCs w:val="16"/>
        </w:rPr>
        <w:t>Sourcebook on Atomic Energy</w:t>
      </w:r>
      <w:r w:rsidRPr="003A1AA9">
        <w:rPr>
          <w:rFonts w:ascii="Book Antiqua" w:hAnsi="Book Antiqua"/>
          <w:sz w:val="16"/>
          <w:szCs w:val="16"/>
        </w:rPr>
        <w:t>, 1st Edition, p. 158 (Macmillan, London, 1950).</w:t>
      </w:r>
      <w:proofErr w:type="gramEnd"/>
      <w:r w:rsidRPr="003A1AA9">
        <w:rPr>
          <w:rFonts w:ascii="Book Antiqua" w:hAnsi="Book Antiqua"/>
          <w:sz w:val="16"/>
          <w:szCs w:val="16"/>
        </w:rPr>
        <w:br/>
        <w:t xml:space="preserve">[3] H. Von Buttlar, </w:t>
      </w:r>
      <w:r w:rsidRPr="003A1AA9">
        <w:rPr>
          <w:rStyle w:val="Emphasis"/>
          <w:rFonts w:ascii="Book Antiqua" w:hAnsi="Book Antiqua"/>
          <w:iCs w:val="0"/>
          <w:sz w:val="16"/>
          <w:szCs w:val="16"/>
        </w:rPr>
        <w:t>Nuclear Physics</w:t>
      </w:r>
      <w:r w:rsidRPr="003A1AA9">
        <w:rPr>
          <w:rStyle w:val="Emphasis"/>
          <w:rFonts w:ascii="Book Antiqua" w:hAnsi="Book Antiqua"/>
          <w:b/>
          <w:i w:val="0"/>
          <w:iCs w:val="0"/>
          <w:sz w:val="16"/>
          <w:szCs w:val="16"/>
        </w:rPr>
        <w:t>,</w:t>
      </w:r>
      <w:r w:rsidRPr="003A1AA9">
        <w:rPr>
          <w:rStyle w:val="Emphasis"/>
          <w:rFonts w:ascii="Book Antiqua" w:hAnsi="Book Antiqua"/>
          <w:i w:val="0"/>
          <w:iCs w:val="0"/>
          <w:sz w:val="16"/>
          <w:szCs w:val="16"/>
        </w:rPr>
        <w:t xml:space="preserve"> pp. </w:t>
      </w:r>
      <w:r w:rsidRPr="003A1AA9">
        <w:rPr>
          <w:rFonts w:ascii="Book Antiqua" w:hAnsi="Book Antiqua"/>
          <w:sz w:val="16"/>
          <w:szCs w:val="16"/>
        </w:rPr>
        <w:t>448-449 (Academic Press, New York, 1968).</w:t>
      </w:r>
      <w:r w:rsidRPr="003A1AA9">
        <w:rPr>
          <w:rFonts w:ascii="Book Antiqua" w:hAnsi="Book Antiqua"/>
          <w:sz w:val="16"/>
          <w:szCs w:val="16"/>
        </w:rPr>
        <w:br/>
        <w:t>[4] Ibid, pp. 485, 492.</w:t>
      </w:r>
      <w:r w:rsidRPr="003A1AA9">
        <w:rPr>
          <w:rFonts w:ascii="Book Antiqua" w:hAnsi="Book Antiqua"/>
          <w:sz w:val="16"/>
          <w:szCs w:val="16"/>
        </w:rPr>
        <w:br/>
        <w:t xml:space="preserve">[5] W. E. Burcham, </w:t>
      </w:r>
      <w:r w:rsidRPr="003A1AA9">
        <w:rPr>
          <w:rStyle w:val="Emphasis"/>
          <w:rFonts w:ascii="Book Antiqua" w:hAnsi="Book Antiqua"/>
          <w:iCs w:val="0"/>
          <w:sz w:val="16"/>
          <w:szCs w:val="16"/>
        </w:rPr>
        <w:t>Nuclear Physics</w:t>
      </w:r>
      <w:r w:rsidRPr="003A1AA9">
        <w:rPr>
          <w:rFonts w:ascii="Book Antiqua" w:hAnsi="Book Antiqua"/>
          <w:sz w:val="16"/>
          <w:szCs w:val="16"/>
        </w:rPr>
        <w:t>, p. 606 (McGraw-Hill, New York, 1963).</w:t>
      </w:r>
      <w:r w:rsidRPr="003A1AA9">
        <w:rPr>
          <w:rFonts w:ascii="Book Antiqua" w:hAnsi="Book Antiqua"/>
          <w:sz w:val="16"/>
          <w:szCs w:val="16"/>
        </w:rPr>
        <w:br/>
        <w:t>[6] Ibid, p.609.</w:t>
      </w:r>
      <w:r w:rsidRPr="003A1AA9">
        <w:rPr>
          <w:rFonts w:ascii="Book Antiqua" w:hAnsi="Book Antiqua"/>
          <w:sz w:val="16"/>
          <w:szCs w:val="16"/>
        </w:rPr>
        <w:br/>
        <w:t>[7] Ibid, p.604.</w:t>
      </w:r>
      <w:r w:rsidRPr="003A1AA9">
        <w:rPr>
          <w:rFonts w:ascii="Book Antiqua" w:hAnsi="Book Antiqua"/>
          <w:sz w:val="16"/>
          <w:szCs w:val="16"/>
        </w:rPr>
        <w:br/>
        <w:t xml:space="preserve">[8] P. S. Wesson, </w:t>
      </w:r>
      <w:r w:rsidRPr="003A1AA9">
        <w:rPr>
          <w:rFonts w:ascii="Book Antiqua" w:hAnsi="Book Antiqua"/>
          <w:i/>
          <w:sz w:val="16"/>
          <w:szCs w:val="16"/>
        </w:rPr>
        <w:t>Cosmology and Geophysics</w:t>
      </w:r>
      <w:r w:rsidRPr="003A1AA9">
        <w:rPr>
          <w:rFonts w:ascii="Book Antiqua" w:hAnsi="Book Antiqua"/>
          <w:sz w:val="16"/>
          <w:szCs w:val="16"/>
        </w:rPr>
        <w:t xml:space="preserve">, Monographs on Astronomical Subjects, pp. 65-66, (Adam Hilger Ltd, Bristol, 1978). </w:t>
      </w:r>
      <w:hyperlink r:id="rId994" w:history="1">
        <w:r w:rsidRPr="003A1AA9">
          <w:rPr>
            <w:rStyle w:val="Hyperlink"/>
            <w:rFonts w:ascii="Book Antiqua" w:hAnsi="Book Antiqua"/>
            <w:szCs w:val="16"/>
          </w:rPr>
          <w:t xml:space="preserve"> </w:t>
        </w:r>
      </w:hyperlink>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[9] A. P. French, </w:t>
      </w:r>
      <w:proofErr w:type="gramStart"/>
      <w:r w:rsidRPr="003A1AA9">
        <w:rPr>
          <w:rFonts w:ascii="Book Antiqua" w:hAnsi="Book Antiqua"/>
          <w:sz w:val="16"/>
          <w:szCs w:val="16"/>
        </w:rPr>
        <w:t>op.cit.,</w:t>
      </w:r>
      <w:proofErr w:type="gramEnd"/>
      <w:r w:rsidRPr="003A1AA9">
        <w:rPr>
          <w:rFonts w:ascii="Book Antiqua" w:hAnsi="Book Antiqua"/>
          <w:sz w:val="16"/>
          <w:szCs w:val="16"/>
        </w:rPr>
        <w:t xml:space="preserve"> p.31.  </w:t>
      </w:r>
      <w:r w:rsidRPr="003A1AA9">
        <w:rPr>
          <w:rFonts w:ascii="Book Antiqua" w:hAnsi="Book Antiqua"/>
          <w:sz w:val="16"/>
          <w:szCs w:val="16"/>
        </w:rPr>
        <w:br/>
        <w:t xml:space="preserve">[10] A. P. Meshik, C.M. Hohenberg, O.V. Pravdivtseva, </w:t>
      </w:r>
      <w:r w:rsidRPr="003A1AA9">
        <w:rPr>
          <w:rStyle w:val="Emphasis"/>
          <w:rFonts w:ascii="Book Antiqua" w:hAnsi="Book Antiqua"/>
          <w:iCs w:val="0"/>
          <w:sz w:val="16"/>
          <w:szCs w:val="16"/>
        </w:rPr>
        <w:t>Phys. Rev. Lett</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proofErr w:type="gramStart"/>
      <w:r w:rsidRPr="003A1AA9">
        <w:rPr>
          <w:rStyle w:val="Strong"/>
          <w:rFonts w:ascii="Book Antiqua" w:eastAsia="Calibri" w:hAnsi="Book Antiqua"/>
          <w:sz w:val="16"/>
          <w:szCs w:val="16"/>
        </w:rPr>
        <w:t>93</w:t>
      </w:r>
      <w:r w:rsidRPr="003A1AA9">
        <w:rPr>
          <w:rFonts w:ascii="Book Antiqua" w:hAnsi="Book Antiqua"/>
          <w:sz w:val="16"/>
          <w:szCs w:val="16"/>
        </w:rPr>
        <w:t>, p. 182302 (2004).</w:t>
      </w:r>
      <w:proofErr w:type="gramEnd"/>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[11] A. P. Meshik et al., </w:t>
      </w:r>
      <w:r w:rsidRPr="00A76FD3">
        <w:rPr>
          <w:rStyle w:val="citation"/>
          <w:rFonts w:ascii="Book Antiqua" w:hAnsi="Book Antiqua"/>
          <w:sz w:val="16"/>
          <w:szCs w:val="16"/>
        </w:rPr>
        <w:t xml:space="preserve">"Record of Cycling Operation of the Natural Nuclear Reactor in the Oklo/Okelobondo Area in Gabon". </w:t>
      </w:r>
      <w:hyperlink r:id="rId995" w:tooltip="Physical Review Letters" w:history="1">
        <w:r w:rsidRPr="00A76FD3">
          <w:rPr>
            <w:rStyle w:val="Hyperlink"/>
            <w:rFonts w:ascii="Book Antiqua" w:hAnsi="Book Antiqua"/>
            <w:i/>
            <w:iCs/>
            <w:szCs w:val="16"/>
          </w:rPr>
          <w:t>Physical Review Letters</w:t>
        </w:r>
      </w:hyperlink>
      <w:r w:rsidRPr="00A76FD3">
        <w:rPr>
          <w:rStyle w:val="citation"/>
          <w:rFonts w:ascii="Book Antiqua" w:hAnsi="Book Antiqua"/>
          <w:sz w:val="16"/>
          <w:szCs w:val="16"/>
        </w:rPr>
        <w:t xml:space="preserve"> </w:t>
      </w:r>
      <w:r w:rsidRPr="00A76FD3">
        <w:rPr>
          <w:rStyle w:val="citation"/>
          <w:rFonts w:ascii="Book Antiqua" w:hAnsi="Book Antiqua"/>
          <w:b/>
          <w:bCs/>
          <w:sz w:val="16"/>
          <w:szCs w:val="16"/>
        </w:rPr>
        <w:t>93</w:t>
      </w:r>
      <w:r w:rsidRPr="00A76FD3">
        <w:rPr>
          <w:rStyle w:val="citation"/>
          <w:rFonts w:ascii="Book Antiqua" w:hAnsi="Book Antiqua"/>
          <w:sz w:val="16"/>
          <w:szCs w:val="16"/>
        </w:rPr>
        <w:t xml:space="preserve"> (18): 182302 (2004) and references therein. The length of the geyser cycle has been disputed, however.</w:t>
      </w:r>
      <w:r w:rsidRPr="003A1AA9">
        <w:rPr>
          <w:rStyle w:val="citation"/>
          <w:rFonts w:ascii="Book Antiqua" w:hAnsi="Book Antiqua"/>
        </w:rPr>
        <w:t xml:space="preserve"> </w:t>
      </w:r>
      <w:r w:rsidRPr="003A1AA9">
        <w:rPr>
          <w:rFonts w:ascii="Book Antiqua" w:hAnsi="Book Antiqua"/>
          <w:sz w:val="16"/>
          <w:szCs w:val="16"/>
        </w:rPr>
        <w:t xml:space="preserve">The researchers themselves suggest it was only an estimate. Marc Caffee of Purdue University, West Lafayette, Indiana, USA, states that the timing and other details remain less certain than the fact that a cyclical reaction did occur. See </w:t>
      </w:r>
      <w:r w:rsidRPr="003A1AA9">
        <w:rPr>
          <w:rFonts w:ascii="Book Antiqua" w:hAnsi="Book Antiqua"/>
          <w:i/>
          <w:sz w:val="16"/>
          <w:szCs w:val="16"/>
        </w:rPr>
        <w:t>Physical Review Focus</w:t>
      </w:r>
      <w:r w:rsidRPr="003A1AA9">
        <w:rPr>
          <w:rFonts w:ascii="Book Antiqua" w:hAnsi="Book Antiqua"/>
          <w:sz w:val="16"/>
          <w:szCs w:val="16"/>
        </w:rPr>
        <w:t xml:space="preserve"> </w:t>
      </w:r>
      <w:r w:rsidRPr="003A1AA9">
        <w:rPr>
          <w:rFonts w:ascii="Book Antiqua" w:hAnsi="Book Antiqua"/>
          <w:b/>
          <w:sz w:val="16"/>
          <w:szCs w:val="16"/>
        </w:rPr>
        <w:t>14</w:t>
      </w:r>
      <w:r w:rsidRPr="003A1AA9">
        <w:rPr>
          <w:rFonts w:ascii="Book Antiqua" w:hAnsi="Book Antiqua"/>
          <w:sz w:val="16"/>
          <w:szCs w:val="16"/>
        </w:rPr>
        <w:t xml:space="preserve">, p.18 (2004) 3 November 2004 </w:t>
      </w:r>
      <w:proofErr w:type="gramStart"/>
      <w:r w:rsidRPr="003A1AA9">
        <w:rPr>
          <w:rFonts w:ascii="Book Antiqua" w:hAnsi="Book Antiqua"/>
          <w:sz w:val="16"/>
          <w:szCs w:val="16"/>
        </w:rPr>
        <w:t xml:space="preserve">or  </w:t>
      </w:r>
      <w:proofErr w:type="gramEnd"/>
      <w:r w:rsidR="00241D2F">
        <w:fldChar w:fldCharType="begin"/>
      </w:r>
      <w:r>
        <w:instrText>HYPERLINK "http://physics.aps.org/story/v14/st18" \t "_blank"</w:instrText>
      </w:r>
      <w:r w:rsidR="00241D2F">
        <w:fldChar w:fldCharType="separate"/>
      </w:r>
      <w:r w:rsidRPr="003A1AA9">
        <w:rPr>
          <w:rStyle w:val="yshortcuts"/>
          <w:rFonts w:ascii="Book Antiqua" w:hAnsi="Book Antiqua"/>
          <w:i/>
          <w:sz w:val="16"/>
          <w:szCs w:val="16"/>
        </w:rPr>
        <w:t>http://physics.aps.org/story/v14/st18</w:t>
      </w:r>
      <w:r w:rsidR="00241D2F">
        <w:fldChar w:fldCharType="end"/>
      </w:r>
      <w:r w:rsidRPr="003A1AA9">
        <w:rPr>
          <w:rFonts w:ascii="Book Antiqua" w:hAnsi="Book Antiqua"/>
          <w:sz w:val="16"/>
          <w:szCs w:val="16"/>
        </w:rPr>
        <w:t xml:space="preserve"> .</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[12] M. R. Wehr, J. A. Richards, </w:t>
      </w:r>
      <w:r w:rsidRPr="003A1AA9">
        <w:rPr>
          <w:rStyle w:val="Emphasis"/>
          <w:rFonts w:ascii="Book Antiqua" w:hAnsi="Book Antiqua"/>
          <w:iCs w:val="0"/>
          <w:sz w:val="16"/>
          <w:szCs w:val="16"/>
        </w:rPr>
        <w:t>Physics of the Atom,</w:t>
      </w:r>
      <w:r w:rsidRPr="003A1AA9">
        <w:rPr>
          <w:rFonts w:ascii="Book Antiqua" w:hAnsi="Book Antiqua"/>
          <w:sz w:val="16"/>
          <w:szCs w:val="16"/>
        </w:rPr>
        <w:t xml:space="preserve"> p. 311, (Addison-Wesley, 1960).</w:t>
      </w:r>
    </w:p>
    <w:p w:rsidR="00796231" w:rsidRPr="003A1AA9" w:rsidRDefault="00796231" w:rsidP="00796231">
      <w:pPr>
        <w:pStyle w:val="NoSpacing"/>
        <w:rPr>
          <w:rStyle w:val="citation"/>
          <w:rFonts w:ascii="Book Antiqua" w:hAnsi="Book Antiqua"/>
        </w:rPr>
      </w:pPr>
      <w:r w:rsidRPr="003A1AA9">
        <w:rPr>
          <w:rFonts w:ascii="Book Antiqua" w:hAnsi="Book Antiqua"/>
          <w:sz w:val="16"/>
          <w:szCs w:val="16"/>
        </w:rPr>
        <w:t>[13] Ibid, pp. 321-323.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[14] F. Dyson, T. Damour, </w:t>
      </w:r>
      <w:r w:rsidRPr="003A1AA9">
        <w:rPr>
          <w:rStyle w:val="Emphasis"/>
          <w:rFonts w:ascii="Book Antiqua" w:hAnsi="Book Antiqua"/>
          <w:iCs w:val="0"/>
          <w:sz w:val="16"/>
          <w:szCs w:val="16"/>
        </w:rPr>
        <w:t>Nuclear Physics B</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r w:rsidRPr="003A1AA9">
        <w:rPr>
          <w:rStyle w:val="Strong"/>
          <w:rFonts w:ascii="Book Antiqua" w:eastAsia="Calibri" w:hAnsi="Book Antiqua"/>
          <w:sz w:val="16"/>
          <w:szCs w:val="16"/>
        </w:rPr>
        <w:t>480</w:t>
      </w:r>
      <w:r w:rsidRPr="003A1AA9">
        <w:rPr>
          <w:rFonts w:ascii="Book Antiqua" w:hAnsi="Book Antiqua"/>
          <w:sz w:val="16"/>
          <w:szCs w:val="16"/>
        </w:rPr>
        <w:t>, p. 37 (1997).</w:t>
      </w:r>
      <w:r w:rsidRPr="003A1AA9">
        <w:rPr>
          <w:rFonts w:ascii="Book Antiqua" w:hAnsi="Book Antiqua"/>
          <w:sz w:val="16"/>
          <w:szCs w:val="16"/>
        </w:rPr>
        <w:br/>
        <w:t xml:space="preserve">[15] J. D. Barrow, </w:t>
      </w:r>
      <w:r w:rsidRPr="003A1AA9">
        <w:rPr>
          <w:rStyle w:val="Emphasis"/>
          <w:rFonts w:ascii="Book Antiqua" w:hAnsi="Book Antiqua"/>
          <w:iCs w:val="0"/>
          <w:sz w:val="16"/>
          <w:szCs w:val="16"/>
        </w:rPr>
        <w:t>Impossibility: the limits of science and the science of limits</w:t>
      </w:r>
      <w:r w:rsidRPr="003A1AA9">
        <w:rPr>
          <w:rStyle w:val="Emphasis"/>
          <w:rFonts w:ascii="Book Antiqua" w:hAnsi="Book Antiqua"/>
          <w:i w:val="0"/>
          <w:iCs w:val="0"/>
          <w:sz w:val="16"/>
          <w:szCs w:val="16"/>
        </w:rPr>
        <w:t>,</w:t>
      </w:r>
      <w:r w:rsidRPr="003A1AA9">
        <w:rPr>
          <w:rFonts w:ascii="Book Antiqua" w:hAnsi="Book Antiqua"/>
          <w:sz w:val="16"/>
          <w:szCs w:val="16"/>
        </w:rPr>
        <w:t xml:space="preserve"> pp.186-187 (Oxford University Press, 1998).</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[16] P. J. Reimer et al.,</w:t>
      </w:r>
      <w:r w:rsidRPr="003A1AA9">
        <w:rPr>
          <w:rStyle w:val="Emphasis"/>
          <w:rFonts w:ascii="Book Antiqua" w:hAnsi="Book Antiqua"/>
          <w:sz w:val="16"/>
          <w:szCs w:val="16"/>
        </w:rPr>
        <w:t xml:space="preserve"> “</w:t>
      </w:r>
      <w:r w:rsidRPr="003A1AA9">
        <w:rPr>
          <w:rFonts w:ascii="Book Antiqua" w:hAnsi="Book Antiqua"/>
          <w:sz w:val="16"/>
          <w:szCs w:val="16"/>
        </w:rPr>
        <w:t>IntCal04 Terrestrial radiocarbon age calibration,”</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eastAsia="Calibri" w:hAnsi="Book Antiqua"/>
          <w:sz w:val="16"/>
          <w:szCs w:val="16"/>
        </w:rPr>
        <w:t>46</w:t>
      </w:r>
      <w:r w:rsidRPr="003A1AA9">
        <w:rPr>
          <w:rFonts w:ascii="Book Antiqua" w:hAnsi="Book Antiqua"/>
          <w:sz w:val="16"/>
          <w:szCs w:val="16"/>
        </w:rPr>
        <w:t xml:space="preserve"> (3), pp. 1029-1058, (2004).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[17] R.H. Brown, </w:t>
      </w:r>
      <w:r w:rsidRPr="003A1AA9">
        <w:rPr>
          <w:rStyle w:val="Emphasis"/>
          <w:rFonts w:ascii="Book Antiqua" w:hAnsi="Book Antiqua"/>
          <w:sz w:val="16"/>
          <w:szCs w:val="16"/>
        </w:rPr>
        <w:t>Origins</w:t>
      </w:r>
      <w:r w:rsidRPr="003A1AA9">
        <w:rPr>
          <w:rFonts w:ascii="Book Antiqua" w:hAnsi="Book Antiqua"/>
          <w:sz w:val="16"/>
          <w:szCs w:val="16"/>
        </w:rPr>
        <w:t xml:space="preserve"> </w:t>
      </w:r>
      <w:r w:rsidRPr="003A1AA9">
        <w:rPr>
          <w:rStyle w:val="Strong"/>
          <w:rFonts w:ascii="Book Antiqua" w:eastAsia="Calibri" w:hAnsi="Book Antiqua"/>
          <w:sz w:val="16"/>
          <w:szCs w:val="16"/>
        </w:rPr>
        <w:t>21</w:t>
      </w:r>
      <w:r w:rsidRPr="003A1AA9">
        <w:rPr>
          <w:rFonts w:ascii="Book Antiqua" w:hAnsi="Book Antiqua"/>
          <w:sz w:val="16"/>
          <w:szCs w:val="16"/>
        </w:rPr>
        <w:t xml:space="preserve"> (2):66-79, Figure 1 (1994).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[18] W. L. Friedrich et al., “</w:t>
      </w:r>
      <w:r w:rsidRPr="003A1AA9">
        <w:rPr>
          <w:rFonts w:ascii="Book Antiqua" w:hAnsi="Book Antiqua"/>
          <w:bCs/>
          <w:kern w:val="36"/>
          <w:sz w:val="16"/>
          <w:szCs w:val="16"/>
        </w:rPr>
        <w:t>Santorini Eruption Radiocarbon Dated to 1627-1600 B.C”</w:t>
      </w:r>
      <w:r w:rsidRPr="003A1AA9">
        <w:rPr>
          <w:rStyle w:val="Emphasis"/>
          <w:rFonts w:ascii="Book Antiqua" w:hAnsi="Book Antiqua"/>
          <w:sz w:val="16"/>
          <w:szCs w:val="16"/>
        </w:rPr>
        <w:t xml:space="preserve"> Science, </w:t>
      </w:r>
      <w:r w:rsidRPr="003A1AA9">
        <w:rPr>
          <w:rStyle w:val="Strong"/>
          <w:rFonts w:ascii="Book Antiqua" w:eastAsia="Calibri" w:hAnsi="Book Antiqua"/>
          <w:sz w:val="16"/>
          <w:szCs w:val="16"/>
        </w:rPr>
        <w:t>312</w:t>
      </w:r>
      <w:r w:rsidRPr="003A1AA9">
        <w:rPr>
          <w:rFonts w:ascii="Book Antiqua" w:hAnsi="Book Antiqua"/>
          <w:sz w:val="16"/>
          <w:szCs w:val="16"/>
        </w:rPr>
        <w:t>, p. 548 (28th April 2006).</w:t>
      </w:r>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 xml:space="preserve">[19] AERA, “How Old are the Pyramids,” (January 2007) at: </w:t>
      </w:r>
      <w:hyperlink r:id="rId996" w:history="1">
        <w:r w:rsidRPr="003A1AA9">
          <w:rPr>
            <w:rStyle w:val="Hyperlink"/>
            <w:rFonts w:ascii="Book Antiqua" w:hAnsi="Book Antiqua"/>
            <w:i/>
            <w:szCs w:val="16"/>
          </w:rPr>
          <w:t>http://www.aeraweb.org/projects/how-old-are-the-pyramids/</w:t>
        </w:r>
      </w:hyperlink>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[20] D. H. Koch Radiocarbon Project</w:t>
      </w:r>
      <w:proofErr w:type="gramStart"/>
      <w:r w:rsidRPr="003A1AA9">
        <w:rPr>
          <w:rFonts w:ascii="Book Antiqua" w:hAnsi="Book Antiqua"/>
          <w:sz w:val="16"/>
          <w:szCs w:val="16"/>
        </w:rPr>
        <w:t>, ”</w:t>
      </w:r>
      <w:proofErr w:type="gramEnd"/>
      <w:r w:rsidRPr="003A1AA9">
        <w:rPr>
          <w:rFonts w:ascii="Book Antiqua" w:hAnsi="Book Antiqua"/>
          <w:sz w:val="16"/>
          <w:szCs w:val="16"/>
        </w:rPr>
        <w:t xml:space="preserve">Dating the Pyramids,” in </w:t>
      </w:r>
      <w:r w:rsidRPr="003A1AA9">
        <w:rPr>
          <w:rStyle w:val="Emphasis"/>
          <w:rFonts w:ascii="Book Antiqua" w:hAnsi="Book Antiqua"/>
          <w:sz w:val="16"/>
          <w:szCs w:val="16"/>
        </w:rPr>
        <w:t>Archaeology Abstracts</w:t>
      </w:r>
      <w:r w:rsidRPr="003A1AA9">
        <w:rPr>
          <w:rFonts w:ascii="Book Antiqua" w:hAnsi="Book Antiqua"/>
          <w:sz w:val="16"/>
          <w:szCs w:val="16"/>
        </w:rPr>
        <w:t xml:space="preserve"> </w:t>
      </w:r>
      <w:r w:rsidRPr="003A1AA9">
        <w:rPr>
          <w:rFonts w:ascii="Book Antiqua" w:hAnsi="Book Antiqua"/>
          <w:b/>
          <w:sz w:val="16"/>
          <w:szCs w:val="16"/>
        </w:rPr>
        <w:t xml:space="preserve">52 </w:t>
      </w:r>
      <w:r w:rsidRPr="003A1AA9">
        <w:rPr>
          <w:rFonts w:ascii="Book Antiqua" w:hAnsi="Book Antiqua"/>
          <w:sz w:val="16"/>
          <w:szCs w:val="16"/>
        </w:rPr>
        <w:t xml:space="preserve">(5) (September/October 1999), available at: </w:t>
      </w:r>
      <w:hyperlink r:id="rId997" w:history="1">
        <w:r w:rsidRPr="003A1AA9">
          <w:rPr>
            <w:rStyle w:val="Hyperlink"/>
            <w:rFonts w:ascii="Book Antiqua" w:hAnsi="Book Antiqua"/>
            <w:i/>
            <w:szCs w:val="16"/>
          </w:rPr>
          <w:t>http://www.archaeology.org/9909/abstracts/pyramids.html</w:t>
        </w:r>
      </w:hyperlink>
    </w:p>
    <w:p w:rsidR="00796231" w:rsidRPr="003A1AA9" w:rsidRDefault="00796231" w:rsidP="00796231">
      <w:pPr>
        <w:pStyle w:val="NoSpacing"/>
        <w:rPr>
          <w:rFonts w:ascii="Book Antiqua" w:hAnsi="Book Antiqua"/>
          <w:sz w:val="16"/>
          <w:szCs w:val="16"/>
        </w:rPr>
      </w:pPr>
      <w:proofErr w:type="gramStart"/>
      <w:r w:rsidRPr="003A1AA9">
        <w:rPr>
          <w:rFonts w:ascii="Book Antiqua" w:hAnsi="Book Antiqua"/>
          <w:sz w:val="16"/>
          <w:szCs w:val="16"/>
        </w:rPr>
        <w:t xml:space="preserve">[21] G. Bonani et al., </w:t>
      </w:r>
      <w:r w:rsidRPr="003A1AA9">
        <w:rPr>
          <w:rFonts w:ascii="Book Antiqua" w:hAnsi="Book Antiqua"/>
          <w:i/>
          <w:sz w:val="16"/>
          <w:szCs w:val="16"/>
        </w:rPr>
        <w:t>Radiocarbon</w:t>
      </w:r>
      <w:r w:rsidRPr="003A1AA9">
        <w:rPr>
          <w:rFonts w:ascii="Book Antiqua" w:hAnsi="Book Antiqua"/>
          <w:sz w:val="16"/>
          <w:szCs w:val="16"/>
        </w:rPr>
        <w:t xml:space="preserve"> </w:t>
      </w:r>
      <w:r w:rsidRPr="003A1AA9">
        <w:rPr>
          <w:rFonts w:ascii="Book Antiqua" w:hAnsi="Book Antiqua"/>
          <w:b/>
          <w:sz w:val="16"/>
          <w:szCs w:val="16"/>
        </w:rPr>
        <w:t>43</w:t>
      </w:r>
      <w:r w:rsidRPr="003A1AA9">
        <w:rPr>
          <w:rFonts w:ascii="Book Antiqua" w:hAnsi="Book Antiqua"/>
          <w:sz w:val="16"/>
          <w:szCs w:val="16"/>
        </w:rPr>
        <w:t xml:space="preserve"> (3) pp.1297 ff. (May 2001).</w:t>
      </w:r>
      <w:proofErr w:type="gramEnd"/>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[22] See US National Parks Service comments at: </w:t>
      </w:r>
      <w:hyperlink r:id="rId998" w:history="1">
        <w:r w:rsidRPr="003A1AA9">
          <w:rPr>
            <w:rStyle w:val="Hyperlink"/>
            <w:rFonts w:ascii="Book Antiqua" w:hAnsi="Book Antiqua"/>
            <w:i/>
            <w:szCs w:val="16"/>
          </w:rPr>
          <w:t>http://www.nps.gov/brca/naturescience/bristleconepine.htm</w:t>
        </w:r>
      </w:hyperlink>
      <w:r w:rsidRPr="003A1AA9">
        <w:rPr>
          <w:rFonts w:ascii="Book Antiqua" w:hAnsi="Book Antiqua"/>
          <w:sz w:val="16"/>
          <w:szCs w:val="16"/>
        </w:rPr>
        <w:t>.</w:t>
      </w:r>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 xml:space="preserve">[23] Data available at: </w:t>
      </w:r>
      <w:hyperlink r:id="rId999" w:history="1">
        <w:r w:rsidRPr="003A1AA9">
          <w:rPr>
            <w:rStyle w:val="Hyperlink"/>
            <w:rFonts w:ascii="Book Antiqua" w:hAnsi="Book Antiqua"/>
            <w:i/>
            <w:szCs w:val="16"/>
          </w:rPr>
          <w:t>http://www1.ncdc.noaa.gov/pub/data/paleo/treering/measurements/northamerica/usa/ca535.rwl</w:t>
        </w:r>
      </w:hyperlink>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[24] M. G. L. Baillie, M. A. R. Munro, “</w:t>
      </w:r>
      <w:r w:rsidRPr="003A1AA9">
        <w:rPr>
          <w:rFonts w:ascii="Book Antiqua" w:hAnsi="Book Antiqua"/>
          <w:bCs/>
          <w:sz w:val="16"/>
          <w:szCs w:val="16"/>
        </w:rPr>
        <w:t>Irish tree rings, Santorini and volcanic dust veils,”</w:t>
      </w:r>
      <w:r w:rsidRPr="003A1AA9">
        <w:rPr>
          <w:rFonts w:ascii="Book Antiqua" w:hAnsi="Book Antiqua"/>
          <w:sz w:val="16"/>
          <w:szCs w:val="16"/>
        </w:rPr>
        <w:t xml:space="preserve">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eastAsia="Calibri" w:hAnsi="Book Antiqua"/>
          <w:sz w:val="16"/>
          <w:szCs w:val="16"/>
        </w:rPr>
        <w:t>332</w:t>
      </w:r>
      <w:r w:rsidRPr="003A1AA9">
        <w:rPr>
          <w:rFonts w:ascii="Book Antiqua" w:hAnsi="Book Antiqua"/>
          <w:sz w:val="16"/>
          <w:szCs w:val="16"/>
        </w:rPr>
        <w:t xml:space="preserve">, pp.344-346, (24 March 1988) at: </w:t>
      </w:r>
      <w:hyperlink r:id="rId1000" w:history="1">
        <w:r w:rsidRPr="003A1AA9">
          <w:rPr>
            <w:rStyle w:val="Hyperlink"/>
            <w:rFonts w:ascii="Book Antiqua" w:hAnsi="Book Antiqua"/>
            <w:i/>
            <w:szCs w:val="16"/>
          </w:rPr>
          <w:t>http://www.nature.com/nature/journal/v332/n6162/abs/332344a0.html</w:t>
        </w:r>
      </w:hyperlink>
      <w:r w:rsidRPr="003A1AA9">
        <w:rPr>
          <w:rFonts w:ascii="Book Antiqua" w:hAnsi="Book Antiqua"/>
          <w:i/>
          <w:sz w:val="16"/>
          <w:szCs w:val="16"/>
        </w:rPr>
        <w:t>.</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[25] V.C. LaMarche, K.K. Hirschboeck,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eastAsia="Calibri" w:hAnsi="Book Antiqua"/>
          <w:sz w:val="16"/>
          <w:szCs w:val="16"/>
        </w:rPr>
        <w:t>307</w:t>
      </w:r>
      <w:r w:rsidRPr="003A1AA9">
        <w:rPr>
          <w:rFonts w:ascii="Book Antiqua" w:hAnsi="Book Antiqua"/>
          <w:sz w:val="16"/>
          <w:szCs w:val="16"/>
        </w:rPr>
        <w:t>, pp. 121-126, (1984).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[26] D.K. Yamaguchi, </w:t>
      </w:r>
      <w:r w:rsidRPr="003A1AA9">
        <w:rPr>
          <w:rStyle w:val="Emphasis"/>
          <w:rFonts w:ascii="Book Antiqua" w:hAnsi="Book Antiqua"/>
          <w:sz w:val="16"/>
          <w:szCs w:val="16"/>
        </w:rPr>
        <w:t>Tree Ring Bulletin</w:t>
      </w:r>
      <w:r w:rsidRPr="003A1AA9">
        <w:rPr>
          <w:rFonts w:ascii="Book Antiqua" w:hAnsi="Book Antiqua"/>
          <w:sz w:val="16"/>
          <w:szCs w:val="16"/>
        </w:rPr>
        <w:t xml:space="preserve"> </w:t>
      </w:r>
      <w:r w:rsidRPr="003A1AA9">
        <w:rPr>
          <w:rStyle w:val="Strong"/>
          <w:rFonts w:ascii="Book Antiqua" w:eastAsia="Calibri" w:hAnsi="Book Antiqua"/>
          <w:sz w:val="16"/>
          <w:szCs w:val="16"/>
        </w:rPr>
        <w:t>46</w:t>
      </w:r>
      <w:r w:rsidRPr="003A1AA9">
        <w:rPr>
          <w:rFonts w:ascii="Book Antiqua" w:hAnsi="Book Antiqua"/>
          <w:sz w:val="16"/>
          <w:szCs w:val="16"/>
        </w:rPr>
        <w:t>: 47-54 (1986).</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[27] H. D. Grissino-Mayer </w:t>
      </w:r>
      <w:proofErr w:type="gramStart"/>
      <w:r w:rsidRPr="003A1AA9">
        <w:rPr>
          <w:rFonts w:ascii="Book Antiqua" w:hAnsi="Book Antiqua"/>
          <w:sz w:val="16"/>
          <w:szCs w:val="16"/>
        </w:rPr>
        <w:t>et</w:t>
      </w:r>
      <w:proofErr w:type="gramEnd"/>
      <w:r w:rsidRPr="003A1AA9">
        <w:rPr>
          <w:rFonts w:ascii="Book Antiqua" w:hAnsi="Book Antiqua"/>
          <w:sz w:val="16"/>
          <w:szCs w:val="16"/>
        </w:rPr>
        <w:t xml:space="preserve">. al., </w:t>
      </w:r>
      <w:r w:rsidRPr="003A1AA9">
        <w:rPr>
          <w:rStyle w:val="Emphasis"/>
          <w:rFonts w:ascii="Book Antiqua" w:hAnsi="Book Antiqua"/>
          <w:sz w:val="16"/>
          <w:szCs w:val="16"/>
        </w:rPr>
        <w:t>Journal of Archaeological Science</w:t>
      </w:r>
      <w:r w:rsidRPr="003A1AA9">
        <w:rPr>
          <w:rFonts w:ascii="Book Antiqua" w:hAnsi="Book Antiqua"/>
          <w:sz w:val="16"/>
          <w:szCs w:val="16"/>
        </w:rPr>
        <w:t xml:space="preserve">, </w:t>
      </w:r>
      <w:r w:rsidRPr="003A1AA9">
        <w:rPr>
          <w:rStyle w:val="Strong"/>
          <w:rFonts w:ascii="Book Antiqua" w:eastAsia="Calibri" w:hAnsi="Book Antiqua"/>
          <w:sz w:val="16"/>
          <w:szCs w:val="16"/>
        </w:rPr>
        <w:t>31</w:t>
      </w:r>
      <w:r w:rsidRPr="003A1AA9">
        <w:rPr>
          <w:rFonts w:ascii="Book Antiqua" w:hAnsi="Book Antiqua"/>
          <w:sz w:val="16"/>
          <w:szCs w:val="16"/>
        </w:rPr>
        <w:t>: 167-174, (2004).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[28] M. G. L. Baillie, </w:t>
      </w:r>
      <w:r w:rsidRPr="003A1AA9">
        <w:rPr>
          <w:rStyle w:val="Emphasis"/>
          <w:rFonts w:ascii="Book Antiqua" w:hAnsi="Book Antiqua"/>
          <w:sz w:val="16"/>
          <w:szCs w:val="16"/>
        </w:rPr>
        <w:t>A Slice Through Time: dendrochronology and precision dating</w:t>
      </w:r>
      <w:r w:rsidRPr="003A1AA9">
        <w:rPr>
          <w:rStyle w:val="Emphasis"/>
          <w:rFonts w:ascii="Book Antiqua" w:hAnsi="Book Antiqua"/>
          <w:b/>
          <w:i w:val="0"/>
          <w:sz w:val="16"/>
          <w:szCs w:val="16"/>
        </w:rPr>
        <w:t>,</w:t>
      </w:r>
      <w:r w:rsidRPr="003A1AA9">
        <w:rPr>
          <w:rFonts w:ascii="Book Antiqua" w:hAnsi="Book Antiqua"/>
          <w:sz w:val="16"/>
          <w:szCs w:val="16"/>
        </w:rPr>
        <w:t xml:space="preserve"> Chapter 2, (London: Batsford</w:t>
      </w:r>
      <w:proofErr w:type="gramStart"/>
      <w:r w:rsidRPr="003A1AA9">
        <w:rPr>
          <w:rFonts w:ascii="Book Antiqua" w:hAnsi="Book Antiqua"/>
          <w:sz w:val="16"/>
          <w:szCs w:val="16"/>
        </w:rPr>
        <w:t>,1995</w:t>
      </w:r>
      <w:proofErr w:type="gramEnd"/>
      <w:r w:rsidRPr="003A1AA9">
        <w:rPr>
          <w:rFonts w:ascii="Book Antiqua" w:hAnsi="Book Antiqua"/>
          <w:sz w:val="16"/>
          <w:szCs w:val="16"/>
        </w:rPr>
        <w:t>).</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[29] M. Spurk </w:t>
      </w:r>
      <w:proofErr w:type="gramStart"/>
      <w:r w:rsidRPr="003A1AA9">
        <w:rPr>
          <w:rFonts w:ascii="Book Antiqua" w:hAnsi="Book Antiqua"/>
          <w:sz w:val="16"/>
          <w:szCs w:val="16"/>
        </w:rPr>
        <w:t>et</w:t>
      </w:r>
      <w:proofErr w:type="gramEnd"/>
      <w:r w:rsidRPr="003A1AA9">
        <w:rPr>
          <w:rFonts w:ascii="Book Antiqua" w:hAnsi="Book Antiqua"/>
          <w:sz w:val="16"/>
          <w:szCs w:val="16"/>
        </w:rPr>
        <w:t xml:space="preserve">. al., </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eastAsia="Calibri" w:hAnsi="Book Antiqua"/>
          <w:sz w:val="16"/>
          <w:szCs w:val="16"/>
        </w:rPr>
        <w:t>40</w:t>
      </w:r>
      <w:r w:rsidRPr="003A1AA9">
        <w:rPr>
          <w:rFonts w:ascii="Book Antiqua" w:hAnsi="Book Antiqua"/>
          <w:sz w:val="16"/>
          <w:szCs w:val="16"/>
        </w:rPr>
        <w:t>: 1107-1116 (1998).</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[30] C. E. Melton, </w:t>
      </w:r>
      <w:r w:rsidRPr="003A1AA9">
        <w:rPr>
          <w:rFonts w:ascii="Book Antiqua" w:hAnsi="Book Antiqua"/>
          <w:i/>
          <w:sz w:val="16"/>
          <w:szCs w:val="16"/>
        </w:rPr>
        <w:t>Ancient Diamond Time Capsules</w:t>
      </w:r>
      <w:r w:rsidRPr="003A1AA9">
        <w:rPr>
          <w:rFonts w:ascii="Book Antiqua" w:hAnsi="Book Antiqua"/>
          <w:sz w:val="16"/>
          <w:szCs w:val="16"/>
        </w:rPr>
        <w:t>, p.16, Table 2.1 (Melton-Giardini Book Company, Hull, Georgia, 1985).</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[31] R. V. Gentry et al., </w:t>
      </w:r>
      <w:r w:rsidRPr="003A1AA9">
        <w:rPr>
          <w:rFonts w:ascii="Book Antiqua" w:hAnsi="Book Antiqua"/>
          <w:i/>
          <w:sz w:val="16"/>
          <w:szCs w:val="16"/>
        </w:rPr>
        <w:t>Nature</w:t>
      </w:r>
      <w:r w:rsidRPr="003A1AA9">
        <w:rPr>
          <w:rFonts w:ascii="Book Antiqua" w:hAnsi="Book Antiqua"/>
          <w:sz w:val="16"/>
          <w:szCs w:val="16"/>
        </w:rPr>
        <w:t xml:space="preserve"> </w:t>
      </w:r>
      <w:r w:rsidRPr="003A1AA9">
        <w:rPr>
          <w:rFonts w:ascii="Book Antiqua" w:hAnsi="Book Antiqua"/>
          <w:b/>
          <w:sz w:val="16"/>
          <w:szCs w:val="16"/>
        </w:rPr>
        <w:t>244</w:t>
      </w:r>
      <w:r w:rsidRPr="003A1AA9">
        <w:rPr>
          <w:rFonts w:ascii="Book Antiqua" w:hAnsi="Book Antiqua"/>
          <w:sz w:val="16"/>
          <w:szCs w:val="16"/>
        </w:rPr>
        <w:t xml:space="preserve"> (1973), pp.282-283.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[32] R.V. Gentry, </w:t>
      </w:r>
      <w:r w:rsidRPr="003A1AA9">
        <w:rPr>
          <w:rFonts w:ascii="Book Antiqua" w:hAnsi="Book Antiqua"/>
          <w:i/>
          <w:sz w:val="16"/>
          <w:szCs w:val="16"/>
        </w:rPr>
        <w:t>Annual Review of Nuclear Science</w:t>
      </w:r>
      <w:r w:rsidRPr="003A1AA9">
        <w:rPr>
          <w:rFonts w:ascii="Book Antiqua" w:hAnsi="Book Antiqua"/>
          <w:sz w:val="16"/>
          <w:szCs w:val="16"/>
        </w:rPr>
        <w:t xml:space="preserve">, </w:t>
      </w:r>
      <w:r w:rsidRPr="003A1AA9">
        <w:rPr>
          <w:rFonts w:ascii="Book Antiqua" w:hAnsi="Book Antiqua"/>
          <w:b/>
          <w:sz w:val="16"/>
          <w:szCs w:val="16"/>
        </w:rPr>
        <w:t>23</w:t>
      </w:r>
      <w:r w:rsidRPr="003A1AA9">
        <w:rPr>
          <w:rFonts w:ascii="Book Antiqua" w:hAnsi="Book Antiqua"/>
          <w:sz w:val="16"/>
          <w:szCs w:val="16"/>
        </w:rPr>
        <w:t>, pp. 350, 360, (1973).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[33] R.V. Gentry, </w:t>
      </w:r>
      <w:r w:rsidRPr="003A1AA9">
        <w:rPr>
          <w:rFonts w:ascii="Book Antiqua" w:hAnsi="Book Antiqua"/>
          <w:i/>
          <w:sz w:val="16"/>
          <w:szCs w:val="16"/>
        </w:rPr>
        <w:t>Science,</w:t>
      </w:r>
      <w:r w:rsidRPr="003A1AA9">
        <w:rPr>
          <w:rFonts w:ascii="Book Antiqua" w:hAnsi="Book Antiqua"/>
          <w:sz w:val="16"/>
          <w:szCs w:val="16"/>
        </w:rPr>
        <w:t xml:space="preserve"> </w:t>
      </w:r>
      <w:r w:rsidRPr="003A1AA9">
        <w:rPr>
          <w:rFonts w:ascii="Book Antiqua" w:hAnsi="Book Antiqua"/>
          <w:b/>
          <w:sz w:val="16"/>
          <w:szCs w:val="16"/>
        </w:rPr>
        <w:t>184</w:t>
      </w:r>
      <w:r w:rsidRPr="003A1AA9">
        <w:rPr>
          <w:rFonts w:ascii="Book Antiqua" w:hAnsi="Book Antiqua"/>
          <w:sz w:val="16"/>
          <w:szCs w:val="16"/>
        </w:rPr>
        <w:t>, pp. 62-66, (1974).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[34] D. R. Humphreys in </w:t>
      </w:r>
      <w:r w:rsidRPr="003A1AA9">
        <w:rPr>
          <w:rFonts w:ascii="Book Antiqua" w:hAnsi="Book Antiqua"/>
          <w:i/>
          <w:sz w:val="16"/>
          <w:szCs w:val="16"/>
        </w:rPr>
        <w:t>Radioisotopes and the age of the earth</w:t>
      </w:r>
      <w:r w:rsidRPr="003A1AA9">
        <w:rPr>
          <w:rFonts w:ascii="Book Antiqua" w:hAnsi="Book Antiqua"/>
          <w:sz w:val="16"/>
          <w:szCs w:val="16"/>
        </w:rPr>
        <w:t>, Chapter 7, L. Vardiman et al., Editors, ICR-CRS, 2000].</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[35] J.W. Bielecki, Masters Thesis, ICR, Santee, CA, 1994, quoted in reference [33].</w:t>
      </w:r>
    </w:p>
    <w:p w:rsidR="00796231" w:rsidRDefault="00796231" w:rsidP="00796231">
      <w:pPr>
        <w:pStyle w:val="NoSpacing"/>
        <w:rPr>
          <w:rFonts w:ascii="Book Antiqua" w:hAnsi="Book Antiqua"/>
          <w:sz w:val="16"/>
          <w:szCs w:val="16"/>
        </w:rPr>
      </w:pPr>
      <w:r w:rsidRPr="003A1AA9">
        <w:rPr>
          <w:rFonts w:ascii="Book Antiqua" w:hAnsi="Book Antiqua"/>
          <w:sz w:val="16"/>
          <w:szCs w:val="16"/>
        </w:rPr>
        <w:t xml:space="preserve">[36] After J. Woodmorappe, </w:t>
      </w:r>
      <w:r w:rsidRPr="003A1AA9">
        <w:rPr>
          <w:rFonts w:ascii="Book Antiqua" w:hAnsi="Book Antiqua"/>
          <w:i/>
          <w:sz w:val="16"/>
          <w:szCs w:val="16"/>
        </w:rPr>
        <w:t>CRSQ</w:t>
      </w:r>
      <w:r w:rsidRPr="003A1AA9">
        <w:rPr>
          <w:rFonts w:ascii="Book Antiqua" w:hAnsi="Book Antiqua"/>
          <w:sz w:val="16"/>
          <w:szCs w:val="16"/>
        </w:rPr>
        <w:t xml:space="preserve"> </w:t>
      </w:r>
      <w:r w:rsidRPr="003A1AA9">
        <w:rPr>
          <w:rFonts w:ascii="Book Antiqua" w:hAnsi="Book Antiqua"/>
          <w:b/>
          <w:sz w:val="16"/>
          <w:szCs w:val="16"/>
        </w:rPr>
        <w:t>16</w:t>
      </w:r>
      <w:r w:rsidRPr="003A1AA9">
        <w:rPr>
          <w:rFonts w:ascii="Book Antiqua" w:hAnsi="Book Antiqua"/>
          <w:sz w:val="16"/>
          <w:szCs w:val="16"/>
        </w:rPr>
        <w:t xml:space="preserve">, pp. 102-129; 147-148 (1979). </w:t>
      </w:r>
    </w:p>
    <w:p w:rsidR="00796231" w:rsidRPr="003A1AA9" w:rsidRDefault="00796231" w:rsidP="00796231">
      <w:pPr>
        <w:pStyle w:val="NoSpacing"/>
        <w:rPr>
          <w:rFonts w:ascii="Book Antiqua" w:hAnsi="Book Antiqua"/>
          <w:sz w:val="16"/>
          <w:szCs w:val="16"/>
        </w:rPr>
      </w:pPr>
      <w:r>
        <w:rPr>
          <w:rFonts w:ascii="Book Antiqua" w:hAnsi="Book Antiqua"/>
          <w:sz w:val="16"/>
          <w:szCs w:val="16"/>
        </w:rPr>
        <w:t xml:space="preserve">[37] </w:t>
      </w:r>
      <w:r w:rsidRPr="005627CB">
        <w:rPr>
          <w:rFonts w:ascii="Book Antiqua" w:hAnsi="Book Antiqua"/>
          <w:sz w:val="16"/>
          <w:szCs w:val="16"/>
        </w:rPr>
        <w:t>J</w:t>
      </w:r>
      <w:r>
        <w:rPr>
          <w:rFonts w:ascii="Book Antiqua" w:hAnsi="Book Antiqua"/>
          <w:sz w:val="16"/>
          <w:szCs w:val="16"/>
        </w:rPr>
        <w:t>.</w:t>
      </w:r>
      <w:r w:rsidRPr="005627CB">
        <w:rPr>
          <w:rFonts w:ascii="Book Antiqua" w:hAnsi="Book Antiqua"/>
          <w:sz w:val="16"/>
          <w:szCs w:val="16"/>
        </w:rPr>
        <w:t xml:space="preserve"> Narlikar &amp; H</w:t>
      </w:r>
      <w:r>
        <w:rPr>
          <w:rFonts w:ascii="Book Antiqua" w:hAnsi="Book Antiqua"/>
          <w:sz w:val="16"/>
          <w:szCs w:val="16"/>
        </w:rPr>
        <w:t>.</w:t>
      </w:r>
      <w:r w:rsidRPr="005627CB">
        <w:rPr>
          <w:rFonts w:ascii="Book Antiqua" w:hAnsi="Book Antiqua"/>
          <w:sz w:val="16"/>
          <w:szCs w:val="16"/>
        </w:rPr>
        <w:t xml:space="preserve"> Arp, </w:t>
      </w:r>
      <w:r>
        <w:rPr>
          <w:rFonts w:ascii="Book Antiqua" w:hAnsi="Book Antiqua"/>
          <w:sz w:val="16"/>
          <w:szCs w:val="16"/>
        </w:rPr>
        <w:t>“Flat Spacetime Cosmology: A Unified Framework for Extragalactic Redshifts”</w:t>
      </w:r>
      <w:r w:rsidRPr="005627CB">
        <w:rPr>
          <w:rFonts w:ascii="Book Antiqua" w:hAnsi="Book Antiqua"/>
          <w:i/>
          <w:iCs/>
          <w:sz w:val="16"/>
          <w:szCs w:val="16"/>
        </w:rPr>
        <w:t xml:space="preserve">Astrophysical Journal </w:t>
      </w:r>
      <w:r w:rsidRPr="005627CB">
        <w:rPr>
          <w:rFonts w:ascii="Book Antiqua" w:hAnsi="Book Antiqua"/>
          <w:b/>
          <w:bCs/>
          <w:sz w:val="16"/>
          <w:szCs w:val="16"/>
        </w:rPr>
        <w:t>405</w:t>
      </w:r>
      <w:r w:rsidRPr="005627CB">
        <w:rPr>
          <w:rFonts w:ascii="Book Antiqua" w:hAnsi="Book Antiqua"/>
          <w:sz w:val="16"/>
          <w:szCs w:val="16"/>
        </w:rPr>
        <w:t>:</w:t>
      </w:r>
      <w:r>
        <w:rPr>
          <w:rFonts w:ascii="Book Antiqua" w:hAnsi="Book Antiqua"/>
          <w:sz w:val="16"/>
          <w:szCs w:val="16"/>
        </w:rPr>
        <w:t>1, pp.</w:t>
      </w:r>
      <w:r w:rsidRPr="005627CB">
        <w:rPr>
          <w:rFonts w:ascii="Book Antiqua" w:hAnsi="Book Antiqua"/>
          <w:sz w:val="16"/>
          <w:szCs w:val="16"/>
        </w:rPr>
        <w:t>51</w:t>
      </w:r>
      <w:r>
        <w:rPr>
          <w:rFonts w:ascii="Book Antiqua" w:hAnsi="Book Antiqua"/>
          <w:sz w:val="16"/>
          <w:szCs w:val="16"/>
        </w:rPr>
        <w:t>-56, (</w:t>
      </w:r>
      <w:r w:rsidRPr="005627CB">
        <w:rPr>
          <w:rFonts w:ascii="Book Antiqua" w:hAnsi="Book Antiqua"/>
          <w:sz w:val="16"/>
          <w:szCs w:val="16"/>
        </w:rPr>
        <w:t>1993).</w:t>
      </w:r>
    </w:p>
    <w:p w:rsidR="00796231" w:rsidRPr="003A1AA9" w:rsidRDefault="00796231" w:rsidP="00796231">
      <w:pPr>
        <w:pStyle w:val="Default"/>
        <w:rPr>
          <w:rFonts w:ascii="Book Antiqua" w:hAnsi="Book Antiqua"/>
          <w:color w:val="auto"/>
          <w:sz w:val="16"/>
          <w:szCs w:val="16"/>
        </w:rPr>
      </w:pPr>
    </w:p>
    <w:p w:rsidR="00796231" w:rsidRPr="003A1AA9" w:rsidRDefault="00796231" w:rsidP="00796231">
      <w:pPr>
        <w:pStyle w:val="Default"/>
        <w:rPr>
          <w:rFonts w:ascii="Book Antiqua" w:hAnsi="Book Antiqua"/>
          <w:b/>
          <w:color w:val="auto"/>
          <w:sz w:val="20"/>
          <w:szCs w:val="20"/>
        </w:rPr>
      </w:pPr>
      <w:r w:rsidRPr="003A1AA9">
        <w:rPr>
          <w:rFonts w:ascii="Book Antiqua" w:hAnsi="Book Antiqua"/>
          <w:b/>
          <w:color w:val="auto"/>
          <w:sz w:val="20"/>
          <w:szCs w:val="20"/>
        </w:rPr>
        <w:t xml:space="preserve">Figure References </w:t>
      </w:r>
      <w:r w:rsidRPr="003A1AA9">
        <w:rPr>
          <w:rFonts w:ascii="Book Antiqua" w:hAnsi="Book Antiqua"/>
          <w:i/>
          <w:color w:val="auto"/>
          <w:sz w:val="20"/>
          <w:szCs w:val="20"/>
        </w:rPr>
        <w:t>– All URL’s retrieved 9/13/12</w:t>
      </w:r>
    </w:p>
    <w:p w:rsidR="00796231" w:rsidRPr="003A1AA9" w:rsidRDefault="00796231" w:rsidP="00796231">
      <w:pPr>
        <w:pStyle w:val="Default"/>
        <w:rPr>
          <w:rFonts w:ascii="Book Antiqua" w:hAnsi="Book Antiqua"/>
          <w:color w:val="auto"/>
          <w:sz w:val="16"/>
          <w:szCs w:val="16"/>
        </w:rPr>
      </w:pPr>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 xml:space="preserve">Figure 1: Potential energy wells in an atomic nucleus. </w:t>
      </w:r>
      <w:hyperlink r:id="rId1001" w:history="1">
        <w:r w:rsidRPr="003A1AA9">
          <w:rPr>
            <w:rStyle w:val="Hyperlink"/>
            <w:rFonts w:ascii="Book Antiqua" w:hAnsi="Book Antiqua"/>
            <w:i/>
            <w:szCs w:val="16"/>
          </w:rPr>
          <w:t>http://electron6.phys.utk.edu/phys250/modules/module%205/nuclear_models.htm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2: Alpha decay process.</w:t>
      </w:r>
      <w:r>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1002" w:history="1">
        <w:r w:rsidRPr="003A1AA9">
          <w:rPr>
            <w:rStyle w:val="Hyperlink"/>
            <w:rFonts w:ascii="Book Antiqua" w:hAnsi="Book Antiqua"/>
            <w:i/>
            <w:szCs w:val="16"/>
          </w:rPr>
          <w:t>http://kgortney.pbworks.com/w/page/28715420/Class%20Notes</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3: Beta decay process</w:t>
      </w:r>
      <w:r>
        <w:rPr>
          <w:rFonts w:ascii="Book Antiqua" w:hAnsi="Book Antiqua"/>
          <w:color w:val="auto"/>
          <w:sz w:val="16"/>
          <w:szCs w:val="16"/>
        </w:rPr>
        <w:t xml:space="preserve">.  </w:t>
      </w:r>
      <w:hyperlink r:id="rId1003" w:history="1">
        <w:r w:rsidRPr="003A1AA9">
          <w:rPr>
            <w:rStyle w:val="Hyperlink"/>
            <w:rFonts w:ascii="Book Antiqua" w:hAnsi="Book Antiqua"/>
            <w:i/>
            <w:szCs w:val="16"/>
          </w:rPr>
          <w:t>http://kgortney.pbworks.com/w/page/28715420/Class%20Notes</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4: Electron capture illustrated (1).</w:t>
      </w:r>
      <w:r>
        <w:rPr>
          <w:rFonts w:ascii="Book Antiqua" w:hAnsi="Book Antiqua"/>
          <w:color w:val="auto"/>
          <w:sz w:val="16"/>
          <w:szCs w:val="16"/>
        </w:rPr>
        <w:t xml:space="preserve"> </w:t>
      </w:r>
      <w:hyperlink r:id="rId1004" w:history="1">
        <w:r w:rsidRPr="003A1AA9">
          <w:rPr>
            <w:rStyle w:val="Hyperlink"/>
            <w:rFonts w:ascii="Book Antiqua" w:hAnsi="Book Antiqua"/>
            <w:i/>
            <w:szCs w:val="16"/>
          </w:rPr>
          <w:t>http://mail.rdcrd.ab.ca/~smolesky/Physics30/5Matter/day_8%20objective.htm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5: Electron capture illustrated (2).</w:t>
      </w:r>
      <w:r>
        <w:rPr>
          <w:rFonts w:ascii="Book Antiqua" w:hAnsi="Book Antiqua"/>
          <w:color w:val="auto"/>
          <w:sz w:val="16"/>
          <w:szCs w:val="16"/>
        </w:rPr>
        <w:t xml:space="preserve"> </w:t>
      </w:r>
      <w:hyperlink r:id="rId1005" w:history="1">
        <w:r w:rsidRPr="00AE01FC">
          <w:rPr>
            <w:rStyle w:val="Hyperlink"/>
            <w:rFonts w:ascii="Book Antiqua" w:hAnsi="Book Antiqua"/>
            <w:i/>
            <w:szCs w:val="16"/>
          </w:rPr>
          <w:t>http://nuclearpowertraining.tpub.com/h1019v1/css/h1019v1_49.htm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6: Pleochroic halos or radio halos – top left.</w:t>
      </w:r>
      <w:r>
        <w:rPr>
          <w:rFonts w:ascii="Book Antiqua" w:hAnsi="Book Antiqua"/>
          <w:color w:val="auto"/>
          <w:sz w:val="16"/>
          <w:szCs w:val="16"/>
        </w:rPr>
        <w:t xml:space="preserve"> </w:t>
      </w:r>
      <w:hyperlink r:id="rId1006" w:history="1">
        <w:r w:rsidRPr="003A1AA9">
          <w:rPr>
            <w:rStyle w:val="Hyperlink"/>
            <w:rFonts w:ascii="Book Antiqua" w:hAnsi="Book Antiqua"/>
            <w:i/>
            <w:szCs w:val="16"/>
          </w:rPr>
          <w:t>http://www.creationinthecrossfire.com/documents/pohalos/polonium_pleochroic_halos.htm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6:</w:t>
      </w:r>
      <w:r>
        <w:rPr>
          <w:rFonts w:ascii="Book Antiqua" w:hAnsi="Book Antiqua"/>
          <w:color w:val="auto"/>
          <w:sz w:val="16"/>
          <w:szCs w:val="16"/>
        </w:rPr>
        <w:t xml:space="preserve"> R</w:t>
      </w:r>
      <w:r w:rsidRPr="003A1AA9">
        <w:rPr>
          <w:rFonts w:ascii="Book Antiqua" w:hAnsi="Book Antiqua"/>
          <w:color w:val="auto"/>
          <w:sz w:val="16"/>
          <w:szCs w:val="16"/>
        </w:rPr>
        <w:t>ings from radioactive emitter - top right</w:t>
      </w:r>
      <w:r>
        <w:rPr>
          <w:rFonts w:ascii="Book Antiqua" w:hAnsi="Book Antiqua"/>
          <w:color w:val="auto"/>
          <w:sz w:val="16"/>
          <w:szCs w:val="16"/>
        </w:rPr>
        <w:t xml:space="preserve"> </w:t>
      </w:r>
      <w:hyperlink r:id="rId1007" w:history="1">
        <w:r w:rsidRPr="003A1AA9">
          <w:rPr>
            <w:rStyle w:val="Hyperlink"/>
            <w:rFonts w:ascii="Book Antiqua" w:hAnsi="Book Antiqua"/>
            <w:i/>
            <w:szCs w:val="16"/>
          </w:rPr>
          <w:t>http://www.religiousforums.com/forum/science-religion/74134-how-does-yec-explain-trees-50-a-9.html</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7: Site of the Oklo natural reactor in Gabon, W. Africa.</w:t>
      </w:r>
      <w:r>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1008" w:history="1">
        <w:r w:rsidRPr="003A1AA9">
          <w:rPr>
            <w:rStyle w:val="Hyperlink"/>
            <w:rFonts w:ascii="Book Antiqua" w:hAnsi="Book Antiqua"/>
            <w:i/>
            <w:szCs w:val="16"/>
          </w:rPr>
          <w:t>http://article.wn.com/view/2010/07/09/The_Oklo_natural_reactor/</w:t>
        </w:r>
      </w:hyperlink>
    </w:p>
    <w:p w:rsidR="00796231" w:rsidRPr="003A1AA9" w:rsidRDefault="00796231" w:rsidP="00796231">
      <w:pPr>
        <w:pStyle w:val="Default"/>
        <w:rPr>
          <w:rFonts w:ascii="Book Antiqua" w:hAnsi="Book Antiqua"/>
          <w:color w:val="auto"/>
          <w:sz w:val="16"/>
          <w:szCs w:val="16"/>
        </w:rPr>
      </w:pPr>
    </w:p>
    <w:p w:rsidR="00796231" w:rsidRDefault="00796231" w:rsidP="00796231">
      <w:pPr>
        <w:pStyle w:val="Default"/>
        <w:jc w:val="center"/>
        <w:rPr>
          <w:rFonts w:ascii="Book Antiqua" w:hAnsi="Book Antiqua"/>
          <w:b/>
          <w:color w:val="auto"/>
          <w:sz w:val="28"/>
          <w:szCs w:val="28"/>
        </w:rPr>
      </w:pPr>
      <w:r w:rsidRPr="00E62572">
        <w:rPr>
          <w:rFonts w:ascii="Book Antiqua" w:hAnsi="Book Antiqua"/>
          <w:b/>
          <w:color w:val="auto"/>
          <w:sz w:val="28"/>
          <w:szCs w:val="28"/>
        </w:rPr>
        <w:t>*  *  *  *  *  *  *</w:t>
      </w:r>
    </w:p>
    <w:p w:rsidR="00796231" w:rsidRDefault="00796231">
      <w:pPr>
        <w:widowControl/>
        <w:spacing w:after="200" w:line="276" w:lineRule="auto"/>
        <w:rPr>
          <w:rFonts w:ascii="Book Antiqua" w:eastAsia="Calibri" w:hAnsi="Book Antiqua"/>
          <w:b/>
          <w:sz w:val="28"/>
          <w:szCs w:val="28"/>
          <w:lang w:val="en-US"/>
        </w:rPr>
      </w:pPr>
      <w:r>
        <w:rPr>
          <w:rFonts w:ascii="Book Antiqua" w:hAnsi="Book Antiqua"/>
          <w:b/>
          <w:sz w:val="28"/>
          <w:szCs w:val="28"/>
        </w:rPr>
        <w:br w:type="page"/>
      </w:r>
    </w:p>
    <w:p w:rsidR="00700009" w:rsidRPr="00BD541D" w:rsidRDefault="00700009" w:rsidP="00700009">
      <w:pPr>
        <w:jc w:val="center"/>
        <w:rPr>
          <w:rFonts w:ascii="Book Antiqua" w:hAnsi="Book Antiqua"/>
          <w:b/>
        </w:rPr>
      </w:pPr>
      <w:r w:rsidRPr="00F32EE9">
        <w:rPr>
          <w:rFonts w:ascii="Book Antiqua" w:hAnsi="Book Antiqua"/>
          <w:b/>
        </w:rPr>
        <w:lastRenderedPageBreak/>
        <w:t>Ch</w:t>
      </w:r>
      <w:r w:rsidRPr="00BD541D">
        <w:rPr>
          <w:rFonts w:ascii="Book Antiqua" w:hAnsi="Book Antiqua"/>
          <w:b/>
        </w:rPr>
        <w:t xml:space="preserve">apter 9: </w:t>
      </w:r>
      <w:r w:rsidRPr="007F223B">
        <w:rPr>
          <w:rFonts w:ascii="Book Antiqua" w:hAnsi="Book Antiqua"/>
          <w:b/>
          <w:i/>
        </w:rPr>
        <w:t>The ZPE, Cosmic Ray Exposure Ages and Solar System History</w:t>
      </w:r>
    </w:p>
    <w:p w:rsidR="00700009" w:rsidRPr="00BD541D" w:rsidRDefault="00700009" w:rsidP="00700009">
      <w:pPr>
        <w:pStyle w:val="NormalWeb"/>
        <w:jc w:val="both"/>
        <w:rPr>
          <w:rFonts w:ascii="Book Antiqua" w:hAnsi="Book Antiqua"/>
          <w:b/>
          <w:sz w:val="20"/>
          <w:szCs w:val="20"/>
        </w:rPr>
      </w:pPr>
      <w:r w:rsidRPr="00BD541D">
        <w:rPr>
          <w:rFonts w:ascii="Book Antiqua" w:hAnsi="Book Antiqua"/>
          <w:b/>
          <w:sz w:val="20"/>
          <w:szCs w:val="20"/>
        </w:rPr>
        <w:t>1.  Cosmic Ray Exposure (CRE) and Meteorite Ages.</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Various types of meteorites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Many craters exist on all the inner planets, their moons, and the moons of the outer planets.  It is usually assumed that these craters are the result of meteorite bombardment, although the option of Electrical Discharge Machining (EDM) has received attent</w:t>
      </w:r>
      <w:r>
        <w:rPr>
          <w:rFonts w:ascii="Book Antiqua" w:hAnsi="Book Antiqua"/>
          <w:sz w:val="20"/>
        </w:rPr>
        <w:t>ion recently</w:t>
      </w:r>
      <w:r w:rsidRPr="00BD541D">
        <w:rPr>
          <w:rFonts w:ascii="Book Antiqua" w:hAnsi="Book Antiqua"/>
          <w:sz w:val="20"/>
        </w:rPr>
        <w:t xml:space="preserve"> </w:t>
      </w:r>
      <w:r>
        <w:rPr>
          <w:rFonts w:ascii="Book Antiqua" w:hAnsi="Book Antiqua"/>
          <w:sz w:val="20"/>
        </w:rPr>
        <w:t xml:space="preserve">(see Appendix E for more detail). </w:t>
      </w:r>
      <w:r w:rsidRPr="00BD541D">
        <w:rPr>
          <w:rFonts w:ascii="Book Antiqua" w:hAnsi="Book Antiqua"/>
          <w:sz w:val="20"/>
        </w:rPr>
        <w:t xml:space="preserve"> Meteorites are generally considered to be fragments of larger bodies that originally populated the solar system. If so, they may give data from processes that operated in the early solar system.</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There are three main classes of meteorites: 94% are stony meteorites (86% are chondrites and 7% are achondrites); 5% are iron meteorites or siderites; and about 1% are litho-siderites or stony-irons.  Chondrites get their name from chondrules, their spherically shaped, millimeter-sized inclusions of glassy rock and metals.  In </w:t>
      </w:r>
      <w:hyperlink r:id="rId1009" w:history="1">
        <w:r w:rsidRPr="00BD541D">
          <w:rPr>
            <w:rStyle w:val="Hyperlink"/>
            <w:rFonts w:ascii="Book Antiqua" w:hAnsi="Book Antiqua"/>
            <w:sz w:val="20"/>
          </w:rPr>
          <w:t xml:space="preserve">some cases </w:t>
        </w:r>
      </w:hyperlink>
      <w:r w:rsidRPr="00BD541D">
        <w:rPr>
          <w:rFonts w:ascii="Book Antiqua" w:hAnsi="Book Antiqua"/>
          <w:sz w:val="20"/>
        </w:rPr>
        <w:t>at least, they are considered to have been the “building blocks” of our solar system and some of the oldest material in it.  In contrast, the achondrites lack these spherical inclusions.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One form of chondrite that makes up 6% of all meteorites is the carbonaceous chondrite.  They may contain up to 20% water, which is found in minerals such as serpentine, which is often present within them.  This type of chondrite also contains 15% iron sulphide and around 3% carbon.    These carbonaceous chondrites are classified on the abundance of these components.  They are also considered to represent the chemical composition of the material from which the solar system was formed. This is because, apart from hydrogen, their relative abundance of elements (not minerals or compounds)</w:t>
      </w:r>
      <w:hyperlink r:id="rId1010" w:history="1">
        <w:r w:rsidRPr="00BD541D">
          <w:rPr>
            <w:rStyle w:val="Hyperlink"/>
            <w:rFonts w:ascii="Book Antiqua" w:hAnsi="Book Antiqua"/>
            <w:sz w:val="20"/>
          </w:rPr>
          <w:t xml:space="preserve"> closely corresponds to those in the solar atmosphere.</w:t>
        </w:r>
      </w:hyperlink>
      <w:r w:rsidRPr="00BD541D">
        <w:rPr>
          <w:rFonts w:ascii="Book Antiqua" w:hAnsi="Book Antiqua"/>
          <w:sz w:val="20"/>
        </w:rPr>
        <w:t xml:space="preserve">  In addition, carbonaceous chondrites have not been submitted to temperatures high enough to alter the main minerals. Instead, they are a heterogeneous agglomeration of minerals in a very fine carbon-rich matrix. They are the only type of meteorite where sheets of mica occur, usually in the hydrated form.</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By contrast, ordinary chondrites, which are classified according to their iron content and their 'chondrules,' have undergone phase changes due to heating.  Achondrites, siderites, and litho-siderites also give evidence of heating effects which resulted in a re-crystallization process. </w:t>
      </w:r>
      <w:r>
        <w:rPr>
          <w:rFonts w:ascii="Book Antiqua" w:hAnsi="Book Antiqua"/>
          <w:sz w:val="20"/>
        </w:rPr>
        <w:t xml:space="preserve"> </w:t>
      </w:r>
      <w:r w:rsidRPr="00BD541D">
        <w:rPr>
          <w:rFonts w:ascii="Book Antiqua" w:hAnsi="Book Antiqua"/>
          <w:sz w:val="20"/>
        </w:rPr>
        <w:t xml:space="preserve">Almost half the meteorites are breccias, which are classified by composition.  Monomict breccias are compressed fragments of the same materials and polymict breccias are compressed fragments of differing materials.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 xml:space="preserve">1.2 Cosmic Ray Exposure (CRE) Ages and Meteorites </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Although radiometric dating has been discussed in detail in Chapter 8, Cosmic Ray Exposure is another form of atomic dating relating to events in our solar system which are important to understand. Cosmic rays come both from the sun and from our galaxy. They are high energy elementary particles. The most energetic particles come from sources in our galaxy. These protons and other atomic nuclei have been accelerated to high energies by the shock acceleration mechanisms which operate in supernova processes [1, 2] and the various electric and magnetic fields within our galaxy. Cosmic rays from our galaxy were recognized as early as 1912. [3] The solar cosmic rays come from energetic solar flare particles and the solar wind. This source was first recognized in 1942. [3]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Cosmic Ray Exposure age of a meteorite is a measure of how long it has been exposed to cosmic rays, free from a larger body (perhaps a planet, a dwarf planet or large asteroid) and circling in interplanetary space.  As these cosmic rays hit a meteorite, they interact with the isotopes in the meteorite and produce new isotopes of the elements already existing there. These nuclear interactions often involve the capture of a cosmic-ray produced neutron. The new isotopes may be either stable, or radioactive. The stable isotopes are usually the noble gases like helium 3 and 4, neon 20, 21 and 22, argon 36 and 38, krypton 78, 80, 82 and 83, and xenon 124-132.  In addition potassium 39 and 41 isotopes, as well as samarium 150 and gandolinium 156 and 158, are all stable products of radio decay found in these meteorites.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longer a meteorite is in orbit away from the shielding of its parent, the longer it is exposed to cosmic rays and so the more of these new isotopes are present in the meteorite. The radioactive isotopes produced by cosmic-ray induced neutron capture, all decay in a characteristic way forming daughter products whose time-dependent concentrations can be measured. These radioactive isotopes include potassium 40, calcium 41, nickel 59, and cobalt 60. There is also lattice damage in the crystal structures which results when the particles are brought to a stop in the meteorite. These damage trails are called “nuclear tracks” and are readily observed.</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1.3 Break-up Times for the Parent Body</w:t>
      </w:r>
    </w:p>
    <w:p w:rsidR="00700009" w:rsidRDefault="00700009" w:rsidP="00700009">
      <w:pPr>
        <w:pStyle w:val="NormalWeb"/>
        <w:ind w:firstLine="720"/>
        <w:jc w:val="both"/>
        <w:rPr>
          <w:rFonts w:ascii="Book Antiqua" w:hAnsi="Book Antiqua"/>
          <w:sz w:val="20"/>
          <w:szCs w:val="20"/>
        </w:rPr>
      </w:pPr>
      <w:r w:rsidRPr="00BD541D">
        <w:rPr>
          <w:rFonts w:ascii="Book Antiqua" w:hAnsi="Book Antiqua"/>
          <w:sz w:val="20"/>
          <w:szCs w:val="20"/>
        </w:rPr>
        <w:t xml:space="preserve">The Cosmic Ray Exposure (CRE) age of a meteorite is thus relatively easy to establish from the relationship between the quantity of stable isotopes compared with radioactive isotopes and the various types of nuclear tracks which are present. The earliest CRE date is considered to be the one associated with the initial breakup of the parent body. This is because of the limited penetration of cosmic rays into solid objects. Once the initial breakup occurs, other lesser breakup events may follow fragmenting some of the pieces. O. Eugster et al. have discussed this fully in  </w:t>
      </w:r>
      <w:r w:rsidRPr="00BD541D">
        <w:rPr>
          <w:rFonts w:ascii="Book Antiqua" w:hAnsi="Book Antiqua"/>
          <w:i/>
          <w:sz w:val="20"/>
          <w:szCs w:val="20"/>
        </w:rPr>
        <w:t>“Irradiation Records, Cosmic Ray Exposure Ages, and Transfer Times of Meteorites”</w:t>
      </w:r>
      <w:r w:rsidRPr="00BD541D">
        <w:rPr>
          <w:rFonts w:ascii="Book Antiqua" w:hAnsi="Book Antiqua"/>
          <w:sz w:val="20"/>
          <w:szCs w:val="20"/>
        </w:rPr>
        <w:t xml:space="preserve"> [3]. </w:t>
      </w:r>
      <w:r>
        <w:rPr>
          <w:rFonts w:ascii="Book Antiqua" w:hAnsi="Book Antiqua"/>
          <w:sz w:val="20"/>
          <w:szCs w:val="20"/>
        </w:rPr>
        <w:t>That</w:t>
      </w:r>
      <w:r w:rsidRPr="00BD541D">
        <w:rPr>
          <w:rFonts w:ascii="Book Antiqua" w:hAnsi="Book Antiqua"/>
          <w:sz w:val="20"/>
          <w:szCs w:val="20"/>
        </w:rPr>
        <w:t xml:space="preserve"> paper has all the data from the 18,000 or so meteorites which have been collected. When the histograms of CRE ages of the various meteorite types are looked at in this way, the following data and conclusions emerge as displayed in Tables 1 to 3.</w:t>
      </w:r>
    </w:p>
    <w:p w:rsidR="00700009" w:rsidRPr="00FB1A27" w:rsidRDefault="00700009" w:rsidP="008E78C0">
      <w:pPr>
        <w:pStyle w:val="NoSpacing"/>
        <w:jc w:val="center"/>
        <w:rPr>
          <w:rFonts w:ascii="Book Antiqua" w:hAnsi="Book Antiqua"/>
          <w:b/>
          <w:i/>
          <w:sz w:val="18"/>
          <w:szCs w:val="18"/>
        </w:rPr>
      </w:pPr>
      <w:r w:rsidRPr="00FB1A27">
        <w:rPr>
          <w:rFonts w:ascii="Book Antiqua" w:hAnsi="Book Antiqua"/>
          <w:b/>
          <w:sz w:val="18"/>
          <w:szCs w:val="18"/>
        </w:rPr>
        <w:t>TABLE 1:</w:t>
      </w:r>
      <w:r w:rsidRPr="00FB1A27">
        <w:rPr>
          <w:rFonts w:ascii="Book Antiqua" w:hAnsi="Book Antiqua"/>
          <w:b/>
          <w:i/>
          <w:sz w:val="18"/>
          <w:szCs w:val="18"/>
        </w:rPr>
        <w:t xml:space="preserve"> Breakup times of the 3 types of stony meteorite.</w:t>
      </w:r>
    </w:p>
    <w:p w:rsidR="00700009" w:rsidRPr="00BD541D" w:rsidRDefault="00700009" w:rsidP="00700009">
      <w:pPr>
        <w:pStyle w:val="NoSpacing"/>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12"/>
        <w:gridCol w:w="3012"/>
      </w:tblGrid>
      <w:tr w:rsidR="00700009" w:rsidRPr="00BD541D" w:rsidTr="008E78C0">
        <w:trPr>
          <w:trHeight w:val="782"/>
          <w:jc w:val="center"/>
        </w:trPr>
        <w:tc>
          <w:tcPr>
            <w:tcW w:w="3012" w:type="dxa"/>
          </w:tcPr>
          <w:p w:rsidR="00700009" w:rsidRPr="00FB1A27" w:rsidRDefault="00700009" w:rsidP="003442EA">
            <w:pPr>
              <w:pStyle w:val="NoSpacing"/>
              <w:rPr>
                <w:rFonts w:ascii="Book Antiqua" w:hAnsi="Book Antiqua"/>
                <w:b/>
                <w:i/>
                <w:sz w:val="18"/>
                <w:szCs w:val="18"/>
              </w:rPr>
            </w:pPr>
          </w:p>
          <w:p w:rsidR="00700009" w:rsidRPr="00FB1A27" w:rsidRDefault="00700009" w:rsidP="003442EA">
            <w:pPr>
              <w:pStyle w:val="NoSpacing"/>
              <w:rPr>
                <w:rFonts w:ascii="Book Antiqua" w:hAnsi="Book Antiqua"/>
                <w:b/>
                <w:i/>
                <w:sz w:val="18"/>
                <w:szCs w:val="18"/>
              </w:rPr>
            </w:pPr>
            <w:r w:rsidRPr="00FB1A27">
              <w:rPr>
                <w:rFonts w:ascii="Book Antiqua" w:hAnsi="Book Antiqua"/>
                <w:b/>
                <w:i/>
                <w:sz w:val="18"/>
                <w:szCs w:val="18"/>
              </w:rPr>
              <w:t>Type of stony meteorite</w:t>
            </w:r>
          </w:p>
          <w:p w:rsidR="00700009" w:rsidRPr="00FB1A27" w:rsidRDefault="00700009" w:rsidP="003442EA">
            <w:pPr>
              <w:pStyle w:val="NoSpacing"/>
              <w:rPr>
                <w:rFonts w:ascii="Book Antiqua" w:hAnsi="Book Antiqua"/>
                <w:b/>
                <w:i/>
                <w:sz w:val="18"/>
                <w:szCs w:val="18"/>
              </w:rPr>
            </w:pPr>
          </w:p>
        </w:tc>
        <w:tc>
          <w:tcPr>
            <w:tcW w:w="3012" w:type="dxa"/>
          </w:tcPr>
          <w:p w:rsidR="00700009" w:rsidRPr="00FB1A27" w:rsidRDefault="00700009" w:rsidP="003442EA">
            <w:pPr>
              <w:pStyle w:val="NoSpacing"/>
              <w:rPr>
                <w:rFonts w:ascii="Book Antiqua" w:hAnsi="Book Antiqua"/>
                <w:b/>
                <w:i/>
                <w:sz w:val="18"/>
                <w:szCs w:val="18"/>
              </w:rPr>
            </w:pPr>
          </w:p>
          <w:p w:rsidR="00700009" w:rsidRPr="00FB1A27" w:rsidRDefault="00700009" w:rsidP="003442EA">
            <w:pPr>
              <w:pStyle w:val="NoSpacing"/>
              <w:rPr>
                <w:rFonts w:ascii="Book Antiqua" w:hAnsi="Book Antiqua"/>
                <w:b/>
                <w:i/>
                <w:sz w:val="18"/>
                <w:szCs w:val="18"/>
              </w:rPr>
            </w:pPr>
            <w:r w:rsidRPr="00FB1A27">
              <w:rPr>
                <w:rFonts w:ascii="Book Antiqua" w:hAnsi="Book Antiqua"/>
                <w:b/>
                <w:i/>
                <w:sz w:val="18"/>
                <w:szCs w:val="18"/>
              </w:rPr>
              <w:t xml:space="preserve">CRE breakup age. </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H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80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L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LL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E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R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45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CK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55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CO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65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Eucrites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80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Diogenites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50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Howardites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Aubrites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Angrites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65 million atomic years</w:t>
            </w:r>
          </w:p>
        </w:tc>
      </w:tr>
      <w:tr w:rsidR="00700009" w:rsidRPr="00BD541D" w:rsidTr="008E78C0">
        <w:trPr>
          <w:trHeight w:val="917"/>
          <w:jc w:val="center"/>
        </w:trPr>
        <w:tc>
          <w:tcPr>
            <w:tcW w:w="3012" w:type="dxa"/>
          </w:tcPr>
          <w:p w:rsidR="00700009"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r w:rsidRPr="00FB1A27">
              <w:rPr>
                <w:rFonts w:ascii="Book Antiqua" w:hAnsi="Book Antiqua"/>
                <w:i/>
                <w:sz w:val="18"/>
                <w:szCs w:val="18"/>
              </w:rPr>
              <w:t>Chondrites, carbonaceous chondrites and achondrites are included here.</w:t>
            </w:r>
          </w:p>
          <w:p w:rsidR="00700009" w:rsidRPr="00FB1A27" w:rsidRDefault="00700009" w:rsidP="003442EA">
            <w:pPr>
              <w:pStyle w:val="NoSpacing"/>
              <w:rPr>
                <w:rFonts w:ascii="Book Antiqua" w:hAnsi="Book Antiqua"/>
                <w:i/>
                <w:sz w:val="18"/>
                <w:szCs w:val="18"/>
              </w:rPr>
            </w:pPr>
          </w:p>
        </w:tc>
        <w:tc>
          <w:tcPr>
            <w:tcW w:w="3012" w:type="dxa"/>
          </w:tcPr>
          <w:p w:rsidR="00700009"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r w:rsidRPr="00FB1A27">
              <w:rPr>
                <w:rFonts w:ascii="Book Antiqua" w:hAnsi="Book Antiqua"/>
                <w:i/>
                <w:sz w:val="18"/>
                <w:szCs w:val="18"/>
              </w:rPr>
              <w:t>Average breakup age for these types is 65.8 million atomic years.</w:t>
            </w:r>
          </w:p>
        </w:tc>
      </w:tr>
    </w:tbl>
    <w:p w:rsidR="00700009" w:rsidRDefault="00700009" w:rsidP="00700009">
      <w:pPr>
        <w:pStyle w:val="NoSpacing"/>
        <w:ind w:firstLine="720"/>
        <w:jc w:val="both"/>
        <w:rPr>
          <w:rFonts w:ascii="Book Antiqua" w:hAnsi="Book Antiqua"/>
          <w:sz w:val="20"/>
        </w:rPr>
      </w:pPr>
    </w:p>
    <w:p w:rsidR="008E78C0" w:rsidRDefault="008E78C0"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Three inliers were omitted from this count as it appeared they came from a secondary breakup: the CV Chondrites (30 million), the Acapulcoites (15 million) and Ureilites (30 million atomic years). Taking that into consideration, the majority of stony meteorites give a consistent testimony that the breakup of the parent body occurred about 65.8 million atomic years ago.</w:t>
      </w:r>
    </w:p>
    <w:p w:rsidR="00700009" w:rsidRDefault="00700009" w:rsidP="00700009">
      <w:pPr>
        <w:pStyle w:val="NoSpacing"/>
        <w:ind w:firstLine="720"/>
        <w:jc w:val="both"/>
        <w:rPr>
          <w:rFonts w:ascii="Book Antiqua" w:hAnsi="Book Antiqua"/>
          <w:sz w:val="20"/>
        </w:rPr>
      </w:pPr>
    </w:p>
    <w:p w:rsidR="00397D22" w:rsidRDefault="00397D22" w:rsidP="00700009">
      <w:pPr>
        <w:pStyle w:val="NoSpacing"/>
        <w:ind w:firstLine="720"/>
        <w:jc w:val="both"/>
        <w:rPr>
          <w:rFonts w:ascii="Book Antiqua" w:hAnsi="Book Antiqua"/>
          <w:sz w:val="20"/>
        </w:rPr>
      </w:pPr>
    </w:p>
    <w:p w:rsidR="00A6583F" w:rsidRPr="00BD541D" w:rsidRDefault="00A6583F" w:rsidP="00700009">
      <w:pPr>
        <w:pStyle w:val="NoSpacing"/>
        <w:ind w:firstLine="720"/>
        <w:jc w:val="both"/>
        <w:rPr>
          <w:rFonts w:ascii="Book Antiqua" w:hAnsi="Book Antiqua"/>
          <w:sz w:val="20"/>
        </w:rPr>
      </w:pPr>
    </w:p>
    <w:p w:rsidR="00700009" w:rsidRPr="00FB1A27" w:rsidRDefault="00700009" w:rsidP="008E78C0">
      <w:pPr>
        <w:pStyle w:val="NoSpacing"/>
        <w:jc w:val="center"/>
        <w:rPr>
          <w:rFonts w:ascii="Book Antiqua" w:hAnsi="Book Antiqua"/>
          <w:b/>
          <w:i/>
          <w:sz w:val="18"/>
          <w:szCs w:val="18"/>
        </w:rPr>
      </w:pPr>
      <w:r w:rsidRPr="00FB1A27">
        <w:rPr>
          <w:rFonts w:ascii="Book Antiqua" w:hAnsi="Book Antiqua"/>
          <w:b/>
          <w:sz w:val="18"/>
          <w:szCs w:val="18"/>
        </w:rPr>
        <w:lastRenderedPageBreak/>
        <w:t>TABLE 2:</w:t>
      </w:r>
      <w:r w:rsidRPr="00FB1A27">
        <w:rPr>
          <w:rFonts w:ascii="Book Antiqua" w:hAnsi="Book Antiqua"/>
          <w:b/>
          <w:i/>
          <w:sz w:val="18"/>
          <w:szCs w:val="18"/>
        </w:rPr>
        <w:t xml:space="preserve"> Breakup times of the 5 types of iron meteorite.</w:t>
      </w:r>
    </w:p>
    <w:p w:rsidR="00700009" w:rsidRPr="00BD541D" w:rsidRDefault="00700009" w:rsidP="00700009">
      <w:pPr>
        <w:pStyle w:val="NoSpacing"/>
        <w:rPr>
          <w:rFonts w:ascii="Book Antiqua" w:hAnsi="Book Antiqua"/>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7"/>
        <w:gridCol w:w="2997"/>
      </w:tblGrid>
      <w:tr w:rsidR="00700009" w:rsidRPr="00BD541D" w:rsidTr="008E78C0">
        <w:trPr>
          <w:trHeight w:val="935"/>
          <w:jc w:val="center"/>
        </w:trPr>
        <w:tc>
          <w:tcPr>
            <w:tcW w:w="2997" w:type="dxa"/>
          </w:tcPr>
          <w:p w:rsidR="00700009" w:rsidRPr="00FB1A27" w:rsidRDefault="00700009" w:rsidP="003442EA">
            <w:pPr>
              <w:pStyle w:val="NoSpacing"/>
              <w:rPr>
                <w:rStyle w:val="Strong"/>
                <w:rFonts w:ascii="Book Antiqua" w:eastAsia="Calibri" w:hAnsi="Book Antiqua"/>
                <w:bCs w:val="0"/>
                <w:i/>
                <w:sz w:val="18"/>
                <w:szCs w:val="18"/>
              </w:rPr>
            </w:pPr>
          </w:p>
          <w:p w:rsidR="00700009" w:rsidRPr="00FB1A27" w:rsidRDefault="00700009" w:rsidP="003442EA">
            <w:pPr>
              <w:pStyle w:val="NoSpacing"/>
              <w:rPr>
                <w:rStyle w:val="Strong"/>
                <w:rFonts w:ascii="Book Antiqua" w:eastAsia="Calibri" w:hAnsi="Book Antiqua"/>
                <w:bCs w:val="0"/>
                <w:i/>
                <w:sz w:val="18"/>
                <w:szCs w:val="18"/>
              </w:rPr>
            </w:pPr>
            <w:r w:rsidRPr="00FB1A27">
              <w:rPr>
                <w:rStyle w:val="Strong"/>
                <w:rFonts w:ascii="Book Antiqua" w:eastAsia="Calibri" w:hAnsi="Book Antiqua"/>
                <w:i/>
                <w:sz w:val="18"/>
                <w:szCs w:val="18"/>
              </w:rPr>
              <w:t>Type of iron meteorite</w:t>
            </w:r>
          </w:p>
          <w:p w:rsidR="00700009" w:rsidRPr="00FB1A27" w:rsidRDefault="00700009" w:rsidP="003442EA">
            <w:pPr>
              <w:pStyle w:val="NoSpacing"/>
              <w:rPr>
                <w:rStyle w:val="Strong"/>
                <w:rFonts w:ascii="Book Antiqua" w:eastAsia="Calibri" w:hAnsi="Book Antiqua"/>
                <w:bCs w:val="0"/>
                <w:i/>
                <w:sz w:val="18"/>
                <w:szCs w:val="18"/>
              </w:rPr>
            </w:pPr>
          </w:p>
        </w:tc>
        <w:tc>
          <w:tcPr>
            <w:tcW w:w="2997" w:type="dxa"/>
          </w:tcPr>
          <w:p w:rsidR="00700009" w:rsidRPr="00FB1A27" w:rsidRDefault="00700009" w:rsidP="003442EA">
            <w:pPr>
              <w:pStyle w:val="NoSpacing"/>
              <w:rPr>
                <w:rStyle w:val="Strong"/>
                <w:rFonts w:ascii="Book Antiqua" w:eastAsia="Calibri" w:hAnsi="Book Antiqua"/>
                <w:bCs w:val="0"/>
                <w:i/>
                <w:sz w:val="18"/>
                <w:szCs w:val="18"/>
              </w:rPr>
            </w:pPr>
          </w:p>
          <w:p w:rsidR="00700009" w:rsidRPr="00FB1A27" w:rsidRDefault="00700009" w:rsidP="003442EA">
            <w:pPr>
              <w:pStyle w:val="NoSpacing"/>
              <w:rPr>
                <w:rStyle w:val="Strong"/>
                <w:rFonts w:ascii="Book Antiqua" w:eastAsia="Calibri" w:hAnsi="Book Antiqua"/>
                <w:bCs w:val="0"/>
                <w:i/>
                <w:sz w:val="18"/>
                <w:szCs w:val="18"/>
              </w:rPr>
            </w:pPr>
            <w:r w:rsidRPr="00FB1A27">
              <w:rPr>
                <w:rStyle w:val="Strong"/>
                <w:rFonts w:ascii="Book Antiqua" w:eastAsia="Calibri" w:hAnsi="Book Antiqua"/>
                <w:i/>
                <w:sz w:val="18"/>
                <w:szCs w:val="18"/>
              </w:rPr>
              <w:t>CRE breakup age</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900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700 million atomic years</w:t>
            </w:r>
          </w:p>
        </w:tc>
      </w:tr>
      <w:tr w:rsidR="00700009" w:rsidRPr="00BD541D" w:rsidTr="008E78C0">
        <w:trPr>
          <w:trHeight w:val="326"/>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III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800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IV</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900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Ungrouped</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750 million atomic years</w:t>
            </w:r>
          </w:p>
        </w:tc>
      </w:tr>
      <w:tr w:rsidR="00700009" w:rsidRPr="00BD541D" w:rsidTr="008E78C0">
        <w:trPr>
          <w:trHeight w:val="1115"/>
          <w:jc w:val="center"/>
        </w:trPr>
        <w:tc>
          <w:tcPr>
            <w:tcW w:w="2997" w:type="dxa"/>
          </w:tcPr>
          <w:p w:rsidR="00700009"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r w:rsidRPr="00FB1A27">
              <w:rPr>
                <w:rStyle w:val="Strong"/>
                <w:rFonts w:ascii="Book Antiqua" w:eastAsia="Calibri" w:hAnsi="Book Antiqua"/>
                <w:i/>
                <w:sz w:val="18"/>
                <w:szCs w:val="18"/>
              </w:rPr>
              <w:t>All iron meteorites included in this list.</w:t>
            </w:r>
          </w:p>
          <w:p w:rsidR="00700009" w:rsidRPr="00FB1A27" w:rsidRDefault="00700009" w:rsidP="003442EA">
            <w:pPr>
              <w:pStyle w:val="NoSpacing"/>
              <w:rPr>
                <w:rStyle w:val="Strong"/>
                <w:rFonts w:ascii="Book Antiqua" w:eastAsia="Calibri" w:hAnsi="Book Antiqua"/>
                <w:b w:val="0"/>
                <w:i/>
                <w:sz w:val="18"/>
                <w:szCs w:val="18"/>
              </w:rPr>
            </w:pPr>
          </w:p>
        </w:tc>
        <w:tc>
          <w:tcPr>
            <w:tcW w:w="2997" w:type="dxa"/>
          </w:tcPr>
          <w:p w:rsidR="00700009"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r w:rsidRPr="00FB1A27">
              <w:rPr>
                <w:rStyle w:val="Strong"/>
                <w:rFonts w:ascii="Book Antiqua" w:eastAsia="Calibri" w:hAnsi="Book Antiqua"/>
                <w:i/>
                <w:sz w:val="18"/>
                <w:szCs w:val="18"/>
              </w:rPr>
              <w:t>Average age for these meteorites is 810 million atomic years.</w:t>
            </w:r>
          </w:p>
        </w:tc>
      </w:tr>
    </w:tbl>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Iron meteorites, however, all give CRE ages with peak representation about 650 million atomic years regardless of the method used. [3] Interestingly, this appears to be sometime after the initial breakup. This breakup time of the iron meteorite parent body is consistent if the method of noble gas analysis is used. Table 2 reveals the earliest CRE ages by this method for the various types of iron meteorite or siderites.</w:t>
      </w:r>
    </w:p>
    <w:p w:rsidR="00700009" w:rsidRDefault="00700009" w:rsidP="00700009">
      <w:pPr>
        <w:pStyle w:val="NoSpacing"/>
        <w:ind w:firstLine="720"/>
        <w:jc w:val="both"/>
        <w:rPr>
          <w:rStyle w:val="Strong"/>
          <w:rFonts w:ascii="Book Antiqua" w:eastAsia="Calibri" w:hAnsi="Book Antiqua"/>
          <w:b w:val="0"/>
          <w:bCs w:val="0"/>
          <w:sz w:val="20"/>
        </w:rPr>
      </w:pPr>
    </w:p>
    <w:p w:rsidR="00700009" w:rsidRPr="008E78C0" w:rsidRDefault="00700009" w:rsidP="00700009">
      <w:pPr>
        <w:pStyle w:val="NoSpacing"/>
        <w:ind w:firstLine="720"/>
        <w:jc w:val="both"/>
        <w:rPr>
          <w:rStyle w:val="Strong"/>
          <w:rFonts w:ascii="Book Antiqua" w:eastAsia="Calibri" w:hAnsi="Book Antiqua"/>
          <w:b w:val="0"/>
          <w:bCs w:val="0"/>
          <w:sz w:val="20"/>
        </w:rPr>
      </w:pPr>
      <w:r w:rsidRPr="008E78C0">
        <w:rPr>
          <w:rStyle w:val="Strong"/>
          <w:rFonts w:ascii="Book Antiqua" w:eastAsia="Calibri" w:hAnsi="Book Antiqua"/>
          <w:b w:val="0"/>
          <w:sz w:val="20"/>
        </w:rPr>
        <w:t xml:space="preserve">The conclusion is that the iron meteorite parent body first broke up about 810 million atomic years ago with subsequent fragmentation events peaking about 650 million atomic years ago. The third main type of meteorite is the stony-iron or litho-siderite. We link them together with the IVA subgroup of the irons with the following results: </w:t>
      </w:r>
    </w:p>
    <w:p w:rsidR="00700009" w:rsidRPr="00BD541D" w:rsidRDefault="00700009" w:rsidP="00700009">
      <w:pPr>
        <w:pStyle w:val="NoSpacing"/>
        <w:rPr>
          <w:rFonts w:ascii="Book Antiqua" w:hAnsi="Book Antiqua"/>
          <w:sz w:val="20"/>
        </w:rPr>
      </w:pPr>
    </w:p>
    <w:p w:rsidR="00700009" w:rsidRPr="0061515E" w:rsidRDefault="00700009" w:rsidP="008E78C0">
      <w:pPr>
        <w:pStyle w:val="NoSpacing"/>
        <w:jc w:val="center"/>
        <w:rPr>
          <w:rFonts w:ascii="Book Antiqua" w:hAnsi="Book Antiqua"/>
          <w:b/>
          <w:i/>
          <w:sz w:val="18"/>
          <w:szCs w:val="18"/>
        </w:rPr>
      </w:pPr>
      <w:r w:rsidRPr="0061515E">
        <w:rPr>
          <w:rFonts w:ascii="Book Antiqua" w:hAnsi="Book Antiqua"/>
          <w:b/>
          <w:sz w:val="18"/>
          <w:szCs w:val="18"/>
        </w:rPr>
        <w:t>TABLE 3:</w:t>
      </w:r>
      <w:r w:rsidRPr="0061515E">
        <w:rPr>
          <w:rFonts w:ascii="Book Antiqua" w:hAnsi="Book Antiqua"/>
          <w:b/>
          <w:i/>
          <w:sz w:val="18"/>
          <w:szCs w:val="18"/>
        </w:rPr>
        <w:t xml:space="preserve">  Breakup times of the stony-iron meteorites</w:t>
      </w:r>
    </w:p>
    <w:p w:rsidR="00700009" w:rsidRPr="0061515E" w:rsidRDefault="00700009" w:rsidP="00700009">
      <w:pPr>
        <w:pStyle w:val="NoSpacing"/>
        <w:rPr>
          <w:rStyle w:val="Strong"/>
          <w:rFonts w:ascii="Book Antiqua" w:eastAsia="Calibri" w:hAnsi="Book Antiqua"/>
          <w:b w:val="0"/>
          <w:i/>
          <w:sz w:val="18"/>
          <w:szCs w:val="18"/>
        </w:rPr>
      </w:pPr>
      <w:r w:rsidRPr="0061515E">
        <w:rPr>
          <w:rFonts w:ascii="Book Antiqua" w:hAnsi="Book Antiqua"/>
          <w:b/>
          <w:i/>
          <w:sz w:val="18"/>
          <w:szCs w:val="1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4"/>
        <w:gridCol w:w="2884"/>
      </w:tblGrid>
      <w:tr w:rsidR="00700009" w:rsidRPr="00BD541D" w:rsidTr="008E78C0">
        <w:trPr>
          <w:trHeight w:val="989"/>
          <w:jc w:val="center"/>
        </w:trPr>
        <w:tc>
          <w:tcPr>
            <w:tcW w:w="2884" w:type="dxa"/>
          </w:tcPr>
          <w:p w:rsidR="00700009" w:rsidRPr="0061515E" w:rsidRDefault="00700009" w:rsidP="003442EA">
            <w:pPr>
              <w:pStyle w:val="NoSpacing"/>
              <w:rPr>
                <w:rStyle w:val="Strong"/>
                <w:rFonts w:ascii="Book Antiqua" w:eastAsia="Calibri" w:hAnsi="Book Antiqua"/>
                <w:i/>
                <w:sz w:val="18"/>
                <w:szCs w:val="18"/>
              </w:rPr>
            </w:pPr>
          </w:p>
          <w:p w:rsidR="00700009" w:rsidRPr="0061515E" w:rsidRDefault="00700009" w:rsidP="003442EA">
            <w:pPr>
              <w:pStyle w:val="NoSpacing"/>
              <w:rPr>
                <w:rStyle w:val="Strong"/>
                <w:rFonts w:ascii="Book Antiqua" w:eastAsia="Calibri" w:hAnsi="Book Antiqua"/>
                <w:i/>
                <w:sz w:val="18"/>
                <w:szCs w:val="18"/>
              </w:rPr>
            </w:pPr>
            <w:r w:rsidRPr="0061515E">
              <w:rPr>
                <w:rStyle w:val="Strong"/>
                <w:rFonts w:ascii="Book Antiqua" w:eastAsia="Calibri" w:hAnsi="Book Antiqua"/>
                <w:i/>
                <w:sz w:val="18"/>
                <w:szCs w:val="18"/>
              </w:rPr>
              <w:t>Type of stony-iron</w:t>
            </w:r>
          </w:p>
          <w:p w:rsidR="00700009" w:rsidRPr="0061515E" w:rsidRDefault="00700009" w:rsidP="003442EA">
            <w:pPr>
              <w:pStyle w:val="NoSpacing"/>
              <w:rPr>
                <w:rStyle w:val="Strong"/>
                <w:rFonts w:ascii="Book Antiqua" w:eastAsia="Calibri" w:hAnsi="Book Antiqua"/>
                <w:i/>
                <w:sz w:val="18"/>
                <w:szCs w:val="18"/>
              </w:rPr>
            </w:pPr>
          </w:p>
        </w:tc>
        <w:tc>
          <w:tcPr>
            <w:tcW w:w="2884" w:type="dxa"/>
          </w:tcPr>
          <w:p w:rsidR="00700009" w:rsidRPr="0061515E" w:rsidRDefault="00700009" w:rsidP="003442EA">
            <w:pPr>
              <w:pStyle w:val="NoSpacing"/>
              <w:rPr>
                <w:rStyle w:val="Strong"/>
                <w:rFonts w:ascii="Book Antiqua" w:eastAsia="Calibri" w:hAnsi="Book Antiqua"/>
                <w:i/>
                <w:sz w:val="18"/>
                <w:szCs w:val="18"/>
              </w:rPr>
            </w:pPr>
          </w:p>
          <w:p w:rsidR="00700009" w:rsidRPr="0061515E" w:rsidRDefault="00700009" w:rsidP="003442EA">
            <w:pPr>
              <w:pStyle w:val="NoSpacing"/>
              <w:rPr>
                <w:rStyle w:val="Strong"/>
                <w:rFonts w:ascii="Book Antiqua" w:eastAsia="Calibri" w:hAnsi="Book Antiqua"/>
                <w:i/>
                <w:sz w:val="18"/>
                <w:szCs w:val="18"/>
              </w:rPr>
            </w:pPr>
            <w:r w:rsidRPr="0061515E">
              <w:rPr>
                <w:rStyle w:val="Strong"/>
                <w:rFonts w:ascii="Book Antiqua" w:eastAsia="Calibri" w:hAnsi="Book Antiqua"/>
                <w:i/>
                <w:sz w:val="18"/>
                <w:szCs w:val="18"/>
              </w:rPr>
              <w:t>CRE breakup age.</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Meso-siderites</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330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Pallasites</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230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Group IVA irons (a)</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255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Group IVA irons (b)</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217 million atomic years</w:t>
            </w:r>
          </w:p>
        </w:tc>
      </w:tr>
      <w:tr w:rsidR="00700009" w:rsidRPr="00BD541D" w:rsidTr="008E78C0">
        <w:trPr>
          <w:trHeight w:val="1133"/>
          <w:jc w:val="center"/>
        </w:trPr>
        <w:tc>
          <w:tcPr>
            <w:tcW w:w="2884" w:type="dxa"/>
          </w:tcPr>
          <w:p w:rsidR="00700009"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r w:rsidRPr="0061515E">
              <w:rPr>
                <w:rStyle w:val="Strong"/>
                <w:rFonts w:ascii="Book Antiqua" w:eastAsia="Calibri" w:hAnsi="Book Antiqua"/>
                <w:i/>
                <w:sz w:val="18"/>
                <w:szCs w:val="18"/>
              </w:rPr>
              <w:t>The stony-irons and associated types are all included.</w:t>
            </w:r>
          </w:p>
          <w:p w:rsidR="00700009" w:rsidRPr="0061515E" w:rsidRDefault="00700009" w:rsidP="003442EA">
            <w:pPr>
              <w:pStyle w:val="NoSpacing"/>
              <w:rPr>
                <w:rStyle w:val="Strong"/>
                <w:rFonts w:ascii="Book Antiqua" w:eastAsia="Calibri" w:hAnsi="Book Antiqua"/>
                <w:b w:val="0"/>
                <w:i/>
                <w:sz w:val="18"/>
                <w:szCs w:val="18"/>
              </w:rPr>
            </w:pPr>
          </w:p>
        </w:tc>
        <w:tc>
          <w:tcPr>
            <w:tcW w:w="2884" w:type="dxa"/>
          </w:tcPr>
          <w:p w:rsidR="00700009"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r w:rsidRPr="0061515E">
              <w:rPr>
                <w:rStyle w:val="Strong"/>
                <w:rFonts w:ascii="Book Antiqua" w:eastAsia="Calibri" w:hAnsi="Book Antiqua"/>
                <w:i/>
                <w:sz w:val="18"/>
                <w:szCs w:val="18"/>
              </w:rPr>
              <w:t>Average break-up age for stony irons is 258 million atomic years</w:t>
            </w:r>
          </w:p>
        </w:tc>
      </w:tr>
    </w:tbl>
    <w:p w:rsidR="00700009"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Though the data are a little more sparse and scattered in this case, the stony-irons seem to indicate that the breakup of their parent body occurred around 258 million atomic years ago.</w:t>
      </w:r>
    </w:p>
    <w:p w:rsidR="00700009" w:rsidRPr="0006025F" w:rsidRDefault="00700009" w:rsidP="00700009">
      <w:pPr>
        <w:pStyle w:val="NormalWeb"/>
        <w:ind w:firstLine="720"/>
        <w:jc w:val="both"/>
        <w:rPr>
          <w:rStyle w:val="Strong"/>
          <w:rFonts w:ascii="Book Antiqua" w:eastAsia="Calibri" w:hAnsi="Book Antiqua"/>
          <w:b w:val="0"/>
          <w:bCs w:val="0"/>
          <w:i/>
          <w:sz w:val="20"/>
          <w:szCs w:val="20"/>
        </w:rPr>
      </w:pPr>
      <w:proofErr w:type="gramStart"/>
      <w:r w:rsidRPr="0006025F">
        <w:rPr>
          <w:rFonts w:ascii="Book Antiqua" w:hAnsi="Book Antiqua"/>
          <w:i/>
          <w:sz w:val="20"/>
          <w:szCs w:val="20"/>
        </w:rPr>
        <w:t>1.4  CRE</w:t>
      </w:r>
      <w:proofErr w:type="gramEnd"/>
      <w:r w:rsidRPr="0006025F">
        <w:rPr>
          <w:rFonts w:ascii="Book Antiqua" w:hAnsi="Book Antiqua"/>
          <w:i/>
          <w:sz w:val="20"/>
          <w:szCs w:val="20"/>
        </w:rPr>
        <w:t xml:space="preserve"> Ages and the Zero Point Energy</w:t>
      </w: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 xml:space="preserve">In a changing Zero Point Energy (ZPE) scenario we must ask how firm these dates are. In the case of the radioactive elements, which were produced by the cosmic rays, the radio decay rate has been previously established as </w:t>
      </w:r>
      <w:r w:rsidRPr="00397D22">
        <w:rPr>
          <w:rStyle w:val="Strong"/>
          <w:rFonts w:ascii="Book Antiqua" w:eastAsia="Calibri" w:hAnsi="Book Antiqua"/>
          <w:b w:val="0"/>
          <w:sz w:val="20"/>
        </w:rPr>
        <w:lastRenderedPageBreak/>
        <w:t>being inversely proportional to the ZPE strength. In the case of CRE dating, however, the key component is the production rate of radioactive elements and noble gases by the cosmic rays. This depends on cosmic ray production rates which in turn depend on supernova explosions, solar flare activity, and the electric and magnetic fields threading through the galaxy.</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Appendix B on Radiant Energy Emission, as well as in Chapter 6 on the ZPE and Plasma Behavior, the rate of burning of stars, both by nuclear and plasma/electrical processes, is discussed. It is shown there that the rate of stellar burning, whether nuclear or plasma/electrical, is inversely proportional to the ZPE strength in the same way that radioactive decay is. This necessarily means the</w:t>
      </w:r>
      <w:r w:rsidRPr="00BD541D">
        <w:rPr>
          <w:rStyle w:val="Strong"/>
          <w:rFonts w:ascii="Book Antiqua" w:eastAsia="Calibri" w:hAnsi="Book Antiqua"/>
          <w:sz w:val="20"/>
        </w:rPr>
        <w:t xml:space="preserve"> </w:t>
      </w:r>
      <w:r w:rsidRPr="00BD541D">
        <w:rPr>
          <w:rFonts w:ascii="Book Antiqua" w:hAnsi="Book Antiqua"/>
          <w:sz w:val="20"/>
        </w:rPr>
        <w:t xml:space="preserve">production rate of cosmic rays is also inversely proportional to the ZPE strength, and was therefore proportionally higher in the past. In other words, the various methods by which the atomic age of objects is established are all working in synchrony with one another. Understanding that cosmic ray production is moving in concert with other atomic data, we can then safely presume that the production of the new isotopes was similarly affected.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2.  Geological Significance of CRE Ages</w:t>
      </w:r>
    </w:p>
    <w:p w:rsidR="00700009" w:rsidRPr="00BD541D" w:rsidRDefault="00700009" w:rsidP="00700009">
      <w:pPr>
        <w:pStyle w:val="NoSpacing"/>
        <w:ind w:firstLine="720"/>
        <w:jc w:val="both"/>
        <w:rPr>
          <w:rFonts w:ascii="Book Antiqua" w:hAnsi="Book Antiqua"/>
          <w:sz w:val="20"/>
        </w:rPr>
      </w:pPr>
    </w:p>
    <w:p w:rsidR="00874664" w:rsidRDefault="00700009" w:rsidP="00700009">
      <w:pPr>
        <w:pStyle w:val="NoSpacing"/>
        <w:jc w:val="both"/>
        <w:rPr>
          <w:rStyle w:val="Strong"/>
          <w:rFonts w:ascii="Book Antiqua" w:eastAsia="Calibri" w:hAnsi="Book Antiqua"/>
          <w:b w:val="0"/>
          <w:sz w:val="20"/>
        </w:rPr>
      </w:pPr>
      <w:r w:rsidRPr="00397D22">
        <w:rPr>
          <w:rStyle w:val="Strong"/>
          <w:rFonts w:ascii="Book Antiqua" w:eastAsia="Calibri" w:hAnsi="Book Antiqua"/>
          <w:b w:val="0"/>
          <w:sz w:val="20"/>
        </w:rPr>
        <w:t xml:space="preserve">There is a geological significance regarding the three break-up dates of the meteorite parent bodies. In the geological column, there are 4 main Eras separated by 3 catastrophic events which ended each Era (see Figure 1). </w:t>
      </w:r>
    </w:p>
    <w:p w:rsidR="00874664" w:rsidRDefault="00874664" w:rsidP="00700009">
      <w:pPr>
        <w:pStyle w:val="NoSpacing"/>
        <w:jc w:val="both"/>
        <w:rPr>
          <w:rStyle w:val="Strong"/>
          <w:rFonts w:ascii="Book Antiqua" w:eastAsia="Calibri" w:hAnsi="Book Antiqua"/>
          <w:b w:val="0"/>
          <w:sz w:val="20"/>
        </w:rPr>
      </w:pPr>
    </w:p>
    <w:p w:rsidR="00700009" w:rsidRPr="00397D22" w:rsidRDefault="00700009" w:rsidP="00874664">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 xml:space="preserve">The first Era, the Archaeozoic (sometimes called the Precambrian), which started about 4.5 billion atomic years ago, was effectively ended with what has often been termed the “Snowball Earth” catastrophe (discussed later in this chapter). This event occurred during the Neoproterozoic in what has come to be termed the Cryogenian Period. This period extends from 850 to 635 million atomic years ago, which closely corresponds to the 810 to 650 million atomic years we have noted from the break-up of the parent body for the iron meteorites. </w:t>
      </w:r>
    </w:p>
    <w:p w:rsidR="00700009" w:rsidRPr="00397D22" w:rsidRDefault="00700009" w:rsidP="00700009">
      <w:pPr>
        <w:pStyle w:val="NoSpacing"/>
        <w:jc w:val="both"/>
        <w:rPr>
          <w:rStyle w:val="Strong"/>
          <w:rFonts w:ascii="Book Antiqua" w:eastAsia="Calibri" w:hAnsi="Book Antiqua"/>
          <w:b w:val="0"/>
          <w:bCs w:val="0"/>
          <w:sz w:val="20"/>
        </w:rPr>
      </w:pPr>
    </w:p>
    <w:p w:rsidR="00874664" w:rsidRDefault="00700009" w:rsidP="00700009">
      <w:pPr>
        <w:pStyle w:val="NoSpacing"/>
        <w:ind w:firstLine="720"/>
        <w:jc w:val="both"/>
        <w:rPr>
          <w:rStyle w:val="Strong"/>
          <w:rFonts w:ascii="Book Antiqua" w:eastAsia="Calibri" w:hAnsi="Book Antiqua"/>
          <w:b w:val="0"/>
          <w:sz w:val="20"/>
        </w:rPr>
      </w:pPr>
      <w:r w:rsidRPr="00397D22">
        <w:rPr>
          <w:rStyle w:val="Strong"/>
          <w:rFonts w:ascii="Book Antiqua" w:eastAsia="Calibri" w:hAnsi="Book Antiqua"/>
          <w:b w:val="0"/>
          <w:sz w:val="20"/>
        </w:rPr>
        <w:t xml:space="preserve">In earth geology, the Paleozoic Era followed the Archaeozoic and ended with the Permian extinction event which occurred about 251 million atomic years ago. This closely corresponds with the date for the break-up of the stony-iron parent body at 258 million atomic years. </w:t>
      </w:r>
    </w:p>
    <w:p w:rsidR="00874664" w:rsidRDefault="00874664" w:rsidP="00700009">
      <w:pPr>
        <w:pStyle w:val="NoSpacing"/>
        <w:ind w:firstLine="720"/>
        <w:jc w:val="both"/>
        <w:rPr>
          <w:rStyle w:val="Strong"/>
          <w:rFonts w:ascii="Book Antiqua" w:eastAsia="Calibri" w:hAnsi="Book Antiqua"/>
          <w:b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The Mesozoic Era, which followed the Paleozoic, ended with the Cretaceous/Tertiary extinction event at 65 million atomic years. This is closely mirrored in the data for the stony meteorites which gives a break-up age of 65.8 million atomic years for the parent planet or asteroid. The Cenozoic Era which followed was punctuated by the last Ice-age.</w:t>
      </w:r>
    </w:p>
    <w:p w:rsidR="00700009" w:rsidRPr="00397D22" w:rsidRDefault="00700009" w:rsidP="00700009">
      <w:pPr>
        <w:pStyle w:val="NoSpacing"/>
        <w:ind w:firstLine="720"/>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Whatever caused the break-up of the parent bodies of these meteorites appears to have been related to the main catastrophes recorded in the geological column. Coincidently, we note that there are massive craters of the appropriate atomic age at the end of each of the geological Eras.</w:t>
      </w:r>
    </w:p>
    <w:p w:rsidR="00700009" w:rsidRPr="00397D22"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 xml:space="preserve"> The first of these is in the Neoproterozoic in 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[4]. Figure 2 gives more details.</w:t>
      </w:r>
    </w:p>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center"/>
        <w:rPr>
          <w:rStyle w:val="Strong"/>
          <w:rFonts w:ascii="Book Antiqua" w:eastAsia="Calibri" w:hAnsi="Book Antiqua"/>
          <w:bCs w:val="0"/>
          <w:i/>
          <w:sz w:val="20"/>
        </w:rPr>
      </w:pPr>
      <w:r w:rsidRPr="00BD541D">
        <w:rPr>
          <w:rFonts w:ascii="Book Antiqua" w:hAnsi="Book Antiqua"/>
          <w:b/>
          <w:i/>
          <w:noProof/>
          <w:sz w:val="20"/>
        </w:rPr>
        <w:lastRenderedPageBreak/>
        <w:drawing>
          <wp:inline distT="0" distB="0" distL="0" distR="0">
            <wp:extent cx="4147067" cy="5314950"/>
            <wp:effectExtent l="19050" t="0" r="5833" b="0"/>
            <wp:docPr id="8" name="il_fi" descr="http://strattonweb.tripod.com/geocolum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rattonweb.tripod.com/geocolumn.gif"/>
                    <pic:cNvPicPr>
                      <a:picLocks noChangeAspect="1" noChangeArrowheads="1"/>
                    </pic:cNvPicPr>
                  </pic:nvPicPr>
                  <pic:blipFill>
                    <a:blip r:embed="rId1011" cstate="print"/>
                    <a:srcRect r="33745"/>
                    <a:stretch>
                      <a:fillRect/>
                    </a:stretch>
                  </pic:blipFill>
                  <pic:spPr bwMode="auto">
                    <a:xfrm>
                      <a:off x="0" y="0"/>
                      <a:ext cx="4156341" cy="532683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Style w:val="Strong"/>
          <w:rFonts w:ascii="Book Antiqua" w:eastAsia="Calibri" w:hAnsi="Book Antiqua"/>
          <w:bCs w:val="0"/>
          <w:i/>
          <w:sz w:val="20"/>
        </w:rPr>
      </w:pPr>
    </w:p>
    <w:p w:rsidR="00700009" w:rsidRPr="00B07237"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Figure 1: The Geological column showing the 4 major Eras. The boundaries of each Era are marked by geological catastrophes. Note that the Archaeozoic is often called the Precambrian, and the snowball earth strata (now called the Cryogenian) extends from the jagged line at 700 million atomic years up to the change in color about 590 million atomic years. This geological boundary is being reassessed. Ascending in the rock record, the next major catastrophe is the Permian extinction at the end of the Paleozoic around 251million atomic years ago. The latest catastrophe closed the Mesozoic at the Cretaceous-Tertiary extinction, 65 million atomic years ago.</w:t>
      </w:r>
    </w:p>
    <w:p w:rsidR="00700009" w:rsidRPr="00BD541D" w:rsidRDefault="00700009" w:rsidP="00700009">
      <w:pPr>
        <w:pStyle w:val="NoSpacing"/>
        <w:jc w:val="both"/>
        <w:rPr>
          <w:rStyle w:val="Strong"/>
          <w:rFonts w:ascii="Book Antiqua" w:eastAsia="Calibri" w:hAnsi="Book Antiqua"/>
          <w:b w:val="0"/>
          <w:bCs w:val="0"/>
          <w:i/>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Daniel Connelly who is doing the main research on MAPCIS has taken the youngest age of the rocks in the area to give an age for the structure of about 545 million atomic years. This is near the Neoproterozoic/Cambrian boundary. However, Neoproterozoic strata exist near the impact zone. In addition, the Adelaide Geosyncline (also known as the Adelaide Rift Complex) forms part of the outer ring in Figure 2, so the impression is that it seems to have been initiated by the impact. Since the.Complex has a Neoproterozoic age [5], it is taken here that this is probably the formation time of MAPCIS rather than at the Cambrian boundary</w:t>
      </w:r>
    </w:p>
    <w:p w:rsidR="00700009" w:rsidRPr="00A61369" w:rsidRDefault="00700009" w:rsidP="00700009">
      <w:pPr>
        <w:pStyle w:val="NoSpacing"/>
        <w:jc w:val="both"/>
        <w:rPr>
          <w:rStyle w:val="Strong"/>
          <w:rFonts w:ascii="Book Antiqua" w:eastAsia="Calibri"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3"/>
        <w:gridCol w:w="5150"/>
      </w:tblGrid>
      <w:tr w:rsidR="00700009" w:rsidRPr="00BD541D" w:rsidTr="00A61369">
        <w:trPr>
          <w:trHeight w:val="3255"/>
          <w:jc w:val="center"/>
        </w:trPr>
        <w:tc>
          <w:tcPr>
            <w:tcW w:w="5383"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color w:val="333333"/>
                <w:sz w:val="20"/>
              </w:rPr>
              <w:lastRenderedPageBreak/>
              <w:drawing>
                <wp:inline distT="0" distB="0" distL="0" distR="0">
                  <wp:extent cx="3261453" cy="2933700"/>
                  <wp:effectExtent l="19050" t="0" r="0" b="0"/>
                  <wp:docPr id="23" name="Picture 24" descr="craterfrmspacebr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raterfrmspacebrght"/>
                          <pic:cNvPicPr>
                            <a:picLocks noChangeAspect="1" noChangeArrowheads="1"/>
                          </pic:cNvPicPr>
                        </pic:nvPicPr>
                        <pic:blipFill>
                          <a:blip r:embed="rId1012" cstate="print">
                            <a:lum contrast="30000"/>
                          </a:blip>
                          <a:srcRect r="3990" b="4098"/>
                          <a:stretch>
                            <a:fillRect/>
                          </a:stretch>
                        </pic:blipFill>
                        <pic:spPr bwMode="auto">
                          <a:xfrm>
                            <a:off x="0" y="0"/>
                            <a:ext cx="3266068" cy="2937851"/>
                          </a:xfrm>
                          <a:prstGeom prst="rect">
                            <a:avLst/>
                          </a:prstGeom>
                          <a:noFill/>
                          <a:ln w="9525">
                            <a:noFill/>
                            <a:miter lim="800000"/>
                            <a:headEnd/>
                            <a:tailEnd/>
                          </a:ln>
                        </pic:spPr>
                      </pic:pic>
                    </a:graphicData>
                  </a:graphic>
                </wp:inline>
              </w:drawing>
            </w:r>
          </w:p>
        </w:tc>
        <w:tc>
          <w:tcPr>
            <w:tcW w:w="5150"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3113652" cy="2933700"/>
                  <wp:effectExtent l="19050" t="0" r="0" b="0"/>
                  <wp:docPr id="769" name="il_fi" descr="http://www.mapcis.net/img/craterspacecirc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pcis.net/img/craterspacecirccrop.jpg"/>
                          <pic:cNvPicPr>
                            <a:picLocks noChangeAspect="1" noChangeArrowheads="1"/>
                          </pic:cNvPicPr>
                        </pic:nvPicPr>
                        <pic:blipFill>
                          <a:blip r:embed="rId1013" cstate="print"/>
                          <a:srcRect/>
                          <a:stretch>
                            <a:fillRect/>
                          </a:stretch>
                        </pic:blipFill>
                        <pic:spPr bwMode="auto">
                          <a:xfrm>
                            <a:off x="0" y="0"/>
                            <a:ext cx="3122476" cy="294201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center"/>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4030500" cy="3503919"/>
            <wp:effectExtent l="19050" t="0" r="8100" b="0"/>
            <wp:docPr id="778"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14" cstate="print"/>
                    <a:srcRect r="199" b="4027"/>
                    <a:stretch>
                      <a:fillRect/>
                    </a:stretch>
                  </pic:blipFill>
                  <pic:spPr bwMode="auto">
                    <a:xfrm>
                      <a:off x="0" y="0"/>
                      <a:ext cx="4044645" cy="351621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Style w:val="Strong"/>
          <w:rFonts w:ascii="Book Antiqua" w:eastAsia="Calibri" w:hAnsi="Book Antiqua"/>
          <w:bCs w:val="0"/>
          <w:i/>
          <w:sz w:val="20"/>
        </w:rPr>
      </w:pPr>
    </w:p>
    <w:p w:rsidR="00700009" w:rsidRPr="00B07237"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 xml:space="preserve">Figure 2: </w:t>
      </w:r>
      <w:r w:rsidRPr="00A61369">
        <w:rPr>
          <w:rStyle w:val="Strong"/>
          <w:rFonts w:ascii="Book Antiqua" w:eastAsia="Calibri" w:hAnsi="Book Antiqua"/>
          <w:b w:val="0"/>
          <w:i/>
          <w:sz w:val="18"/>
          <w:szCs w:val="18"/>
        </w:rPr>
        <w:t>The MAPCIS structure in Australia from satellite images. Pseudotachylite, a rare rock that is formed by intense friction, has been found in arcing deposits up to 161 km long and many kilometers wide ringing the impact zone. A web of ground faults radiates from this zone. The bolide was about 30 km in diameter, impacted at 40+ km/s, and penetrated 45 km into the crust exposing eclogite, a form of rock only found at that depth. A rare alloy concentrated in iron meteorites is osmiridium. It is found in Neoproterozoic strata in the impact zone and in a radiating pattern in the same strata across eastern Australia, Tasmania, New Zealand and New Caledonia.</w:t>
      </w:r>
      <w:r w:rsidRPr="00B07237">
        <w:rPr>
          <w:rStyle w:val="Strong"/>
          <w:rFonts w:ascii="Book Antiqua" w:eastAsia="Calibri" w:hAnsi="Book Antiqua"/>
          <w:i/>
          <w:sz w:val="18"/>
          <w:szCs w:val="18"/>
        </w:rPr>
        <w:t xml:space="preserve">   </w:t>
      </w:r>
    </w:p>
    <w:p w:rsidR="0070000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lastRenderedPageBreak/>
        <w:t>The second Catastrophe, the Permian extinction, dates at about 250 million atomic years ago.  There is a crater 380 km wide in Wilkes Land, Antarctica, as well as the Bedout crater off Australia’s northwest coast, which is 250 km in diameter.  Both craters date from this period.  The Antarctic structure is shown in detail in Figure 3.</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44"/>
        <w:gridCol w:w="4926"/>
      </w:tblGrid>
      <w:tr w:rsidR="00700009" w:rsidRPr="00BD541D" w:rsidTr="00A61369">
        <w:trPr>
          <w:trHeight w:val="3403"/>
          <w:jc w:val="center"/>
        </w:trPr>
        <w:tc>
          <w:tcPr>
            <w:tcW w:w="3169"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anchor distT="0" distB="0" distL="0" distR="0" simplePos="0" relativeHeight="251667456" behindDoc="0" locked="0" layoutInCell="1" allowOverlap="0">
                  <wp:simplePos x="0" y="0"/>
                  <wp:positionH relativeFrom="column">
                    <wp:posOffset>19050</wp:posOffset>
                  </wp:positionH>
                  <wp:positionV relativeFrom="line">
                    <wp:posOffset>91440</wp:posOffset>
                  </wp:positionV>
                  <wp:extent cx="3491230" cy="2914650"/>
                  <wp:effectExtent l="19050" t="0" r="0" b="0"/>
                  <wp:wrapSquare wrapText="bothSides"/>
                  <wp:docPr id="779"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15" cstate="print"/>
                          <a:srcRect l="16983" t="3311"/>
                          <a:stretch>
                            <a:fillRect/>
                          </a:stretch>
                        </pic:blipFill>
                        <pic:spPr bwMode="auto">
                          <a:xfrm>
                            <a:off x="0" y="0"/>
                            <a:ext cx="3491230" cy="2914650"/>
                          </a:xfrm>
                          <a:prstGeom prst="rect">
                            <a:avLst/>
                          </a:prstGeom>
                          <a:noFill/>
                          <a:ln w="9525">
                            <a:noFill/>
                            <a:miter lim="800000"/>
                            <a:headEnd/>
                            <a:tailEnd/>
                          </a:ln>
                        </pic:spPr>
                      </pic:pic>
                    </a:graphicData>
                  </a:graphic>
                </wp:anchor>
              </w:drawing>
            </w:r>
          </w:p>
        </w:tc>
        <w:tc>
          <w:tcPr>
            <w:tcW w:w="3041" w:type="dxa"/>
          </w:tcPr>
          <w:p w:rsidR="00700009" w:rsidRPr="00BD541D" w:rsidRDefault="00700009" w:rsidP="003442EA">
            <w:pPr>
              <w:pStyle w:val="NoSpacing"/>
              <w:jc w:val="both"/>
              <w:rPr>
                <w:rFonts w:ascii="Book Antiqua" w:hAnsi="Book Antiqua"/>
                <w:noProof/>
                <w:sz w:val="20"/>
              </w:rPr>
            </w:pPr>
          </w:p>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2968309" cy="2847975"/>
                  <wp:effectExtent l="19050" t="0" r="3491" b="0"/>
                  <wp:docPr id="782"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16" cstate="print"/>
                          <a:srcRect l="42735" t="55009"/>
                          <a:stretch>
                            <a:fillRect/>
                          </a:stretch>
                        </pic:blipFill>
                        <pic:spPr bwMode="auto">
                          <a:xfrm>
                            <a:off x="0" y="0"/>
                            <a:ext cx="2974145" cy="285357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rPr>
          <w:rFonts w:ascii="Book Antiqua" w:hAnsi="Book Antiqua"/>
          <w:sz w:val="18"/>
          <w:szCs w:val="18"/>
        </w:rPr>
      </w:pPr>
      <w:r w:rsidRPr="00B07237">
        <w:rPr>
          <w:rFonts w:ascii="Book Antiqua" w:hAnsi="Book Antiqua"/>
          <w:b/>
          <w:i/>
          <w:sz w:val="18"/>
          <w:szCs w:val="18"/>
        </w:rPr>
        <w:t>Figure 3:</w:t>
      </w:r>
      <w:r w:rsidRPr="00B07237">
        <w:rPr>
          <w:rFonts w:ascii="Book Antiqua" w:hAnsi="Book Antiqua"/>
          <w:i/>
          <w:sz w:val="18"/>
          <w:szCs w:val="18"/>
        </w:rPr>
        <w:t xml:space="preserve"> </w:t>
      </w:r>
      <w:proofErr w:type="gramStart"/>
      <w:r w:rsidRPr="00B07237">
        <w:rPr>
          <w:rFonts w:ascii="Book Antiqua" w:hAnsi="Book Antiqua"/>
          <w:b/>
          <w:i/>
          <w:sz w:val="18"/>
          <w:szCs w:val="18"/>
        </w:rPr>
        <w:t>On</w:t>
      </w:r>
      <w:proofErr w:type="gramEnd"/>
      <w:r w:rsidRPr="00B07237">
        <w:rPr>
          <w:rFonts w:ascii="Book Antiqua" w:hAnsi="Book Antiqua"/>
          <w:b/>
          <w:i/>
          <w:sz w:val="18"/>
          <w:szCs w:val="18"/>
        </w:rPr>
        <w:t xml:space="preserve"> left</w:t>
      </w:r>
      <w:r w:rsidRPr="00B07237">
        <w:rPr>
          <w:rFonts w:ascii="Book Antiqua" w:hAnsi="Book Antiqua"/>
          <w:i/>
          <w:sz w:val="18"/>
          <w:szCs w:val="18"/>
        </w:rPr>
        <w:t xml:space="preserve">, a combined image of gravity fluctuations and airborne radar in the Wilkes Land region of East Antarctica. The edges of the crater are colored red and blue; a concentration of mantle material is colored orange (center). </w:t>
      </w:r>
      <w:r w:rsidRPr="00B07237">
        <w:rPr>
          <w:rFonts w:ascii="Book Antiqua" w:hAnsi="Book Antiqua"/>
          <w:b/>
          <w:i/>
          <w:sz w:val="18"/>
          <w:szCs w:val="18"/>
        </w:rPr>
        <w:t>On right,</w:t>
      </w:r>
      <w:r w:rsidRPr="00B07237">
        <w:rPr>
          <w:rFonts w:ascii="Book Antiqua" w:hAnsi="Book Antiqua"/>
          <w:i/>
          <w:sz w:val="18"/>
          <w:szCs w:val="18"/>
        </w:rPr>
        <w:t xml:space="preserve"> an outline of East Antarctica with the mascon circled</w:t>
      </w:r>
      <w:r w:rsidRPr="00BD541D">
        <w:rPr>
          <w:rFonts w:ascii="Book Antiqua" w:hAnsi="Book Antiqua"/>
          <w:sz w:val="18"/>
          <w:szCs w:val="18"/>
        </w:rPr>
        <w:t>.</w:t>
      </w:r>
    </w:p>
    <w:p w:rsidR="00700009" w:rsidRPr="00BD541D" w:rsidRDefault="00700009" w:rsidP="00700009">
      <w:pPr>
        <w:pStyle w:val="NoSpacing"/>
        <w:jc w:val="both"/>
        <w:rPr>
          <w:rFonts w:ascii="Book Antiqua" w:hAnsi="Book Antiqua"/>
          <w:i/>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 xml:space="preserve">Also dating from this same time are about 3 million cubic kilometers of basalt which form the Siberian Traps.  This outpouring is near the antipodal point of the Wilkes Land crater. We see this phenomenon on other planets. The objects which formed these craters transmitted a pressure pulse through the planets. For instance, at the antipodal point on Mercury, chaotic terrain was formed. On Mars, uplift and volcanism resulted at the antipodal points. </w:t>
      </w:r>
    </w:p>
    <w:p w:rsidR="00700009" w:rsidRPr="00A6136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In the case of the earth, the rarefaction following the pulse released pressure from the antipodal crust. This pressure release caused the hot rock in the upper mantle to liquefy, which increases its volume 10%. This excess was outpoured on the surface as flood basalts through fissures in the slightly updomed strata now beneath the Traps. The coal measures which we find immediately under the Traps indicate the pressure was from below and not from an impact at the site.  The upwelling magma covered the existing coal strata.</w:t>
      </w:r>
    </w:p>
    <w:p w:rsidR="00700009" w:rsidRPr="00A61369" w:rsidRDefault="00700009" w:rsidP="00700009">
      <w:pPr>
        <w:pStyle w:val="NoSpacing"/>
        <w:jc w:val="both"/>
        <w:rPr>
          <w:rFonts w:ascii="Book Antiqua" w:hAnsi="Book Antiqua"/>
          <w:i/>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 xml:space="preserve">A similar event is linked to the Cretaceous Tertiary extinction episode, 65 million atomic years ago. The Chicxulub crater in the Yucatan dates from that time and is accompanied by a handful of other craters of approximately the same age. The Yucatan crater was initially assessed as being 180 km wide. However, more recent work suggests that this is only the inner ring to a complex crater which is over 300 km wide. Images of the structure are shown in Figure 4. </w:t>
      </w:r>
    </w:p>
    <w:p w:rsidR="00700009" w:rsidRPr="00A6136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India was at the antipodal point of one of the impacts at the time, which occurred in North America. As a result, over a million cubic kilometers of basalt was outpoured to form the Deccan Traps in Western India. Since this event, however, India has drifted north to its present position and is no longer antipodal to the impact site.  In each of these three catastrophes ending geological Eras on earth, we see associated massive craters. In all three cases, the</w:t>
      </w:r>
      <w:r w:rsidRPr="0006025F">
        <w:rPr>
          <w:rStyle w:val="Strong"/>
          <w:rFonts w:ascii="Book Antiqua" w:eastAsia="Calibri" w:hAnsi="Book Antiqua"/>
          <w:sz w:val="20"/>
        </w:rPr>
        <w:t xml:space="preserve"> </w:t>
      </w:r>
      <w:r w:rsidRPr="00A61369">
        <w:rPr>
          <w:rStyle w:val="Strong"/>
          <w:rFonts w:ascii="Book Antiqua" w:eastAsia="Calibri" w:hAnsi="Book Antiqua"/>
          <w:b w:val="0"/>
          <w:sz w:val="20"/>
        </w:rPr>
        <w:t xml:space="preserve">break-up </w:t>
      </w:r>
      <w:r w:rsidRPr="00A61369">
        <w:rPr>
          <w:rStyle w:val="Strong"/>
          <w:rFonts w:ascii="Book Antiqua" w:eastAsia="Calibri" w:hAnsi="Book Antiqua"/>
          <w:b w:val="0"/>
          <w:sz w:val="20"/>
        </w:rPr>
        <w:lastRenderedPageBreak/>
        <w:t>times of planetary bodies in our solar system preceded these geological catastrophes by a very short amount of astronomical time.</w:t>
      </w:r>
    </w:p>
    <w:p w:rsidR="00700009" w:rsidRPr="00BD541D" w:rsidRDefault="00700009" w:rsidP="00700009">
      <w:pPr>
        <w:pStyle w:val="NoSpacing"/>
        <w:ind w:firstLine="720"/>
        <w:jc w:val="both"/>
        <w:rPr>
          <w:rStyle w:val="Strong"/>
          <w:rFonts w:ascii="Book Antiqua" w:eastAsia="Calibri" w:hAnsi="Book Antiqua"/>
          <w:b w:val="0"/>
          <w:bCs w:val="0"/>
          <w:sz w:val="20"/>
        </w:rPr>
      </w:pPr>
    </w:p>
    <w:tbl>
      <w:tblPr>
        <w:tblStyle w:val="TableGrid"/>
        <w:tblW w:w="0" w:type="auto"/>
        <w:jc w:val="center"/>
        <w:tblLook w:val="04A0"/>
      </w:tblPr>
      <w:tblGrid>
        <w:gridCol w:w="3497"/>
        <w:gridCol w:w="3228"/>
        <w:gridCol w:w="4212"/>
      </w:tblGrid>
      <w:tr w:rsidR="00700009" w:rsidRPr="00BD541D" w:rsidTr="00A61369">
        <w:trPr>
          <w:jc w:val="center"/>
        </w:trPr>
        <w:tc>
          <w:tcPr>
            <w:tcW w:w="2808"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Style w:val="Strong"/>
                <w:rFonts w:ascii="Book Antiqua" w:eastAsia="Calibri" w:hAnsi="Book Antiqua"/>
                <w:b w:val="0"/>
                <w:bCs w:val="0"/>
                <w:noProof/>
                <w:sz w:val="20"/>
              </w:rPr>
              <w:drawing>
                <wp:anchor distT="0" distB="0" distL="95250" distR="95250" simplePos="0" relativeHeight="251668480" behindDoc="0" locked="0" layoutInCell="1" allowOverlap="0">
                  <wp:simplePos x="0" y="0"/>
                  <wp:positionH relativeFrom="column">
                    <wp:align>left</wp:align>
                  </wp:positionH>
                  <wp:positionV relativeFrom="line">
                    <wp:posOffset>52705</wp:posOffset>
                  </wp:positionV>
                  <wp:extent cx="2064385" cy="1819275"/>
                  <wp:effectExtent l="19050" t="0" r="0" b="0"/>
                  <wp:wrapSquare wrapText="bothSides"/>
                  <wp:docPr id="783"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17" cstate="print"/>
                          <a:srcRect l="7655" t="10701" b="26015"/>
                          <a:stretch>
                            <a:fillRect/>
                          </a:stretch>
                        </pic:blipFill>
                        <pic:spPr bwMode="auto">
                          <a:xfrm>
                            <a:off x="0" y="0"/>
                            <a:ext cx="2064385" cy="1819275"/>
                          </a:xfrm>
                          <a:prstGeom prst="rect">
                            <a:avLst/>
                          </a:prstGeom>
                          <a:noFill/>
                          <a:ln w="9525">
                            <a:noFill/>
                            <a:miter lim="800000"/>
                            <a:headEnd/>
                            <a:tailEnd/>
                          </a:ln>
                        </pic:spPr>
                      </pic:pic>
                    </a:graphicData>
                  </a:graphic>
                </wp:anchor>
              </w:drawing>
            </w:r>
          </w:p>
        </w:tc>
        <w:tc>
          <w:tcPr>
            <w:tcW w:w="2610"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Style w:val="Strong"/>
                <w:rFonts w:ascii="Book Antiqua" w:eastAsia="Calibri" w:hAnsi="Book Antiqua"/>
                <w:b w:val="0"/>
                <w:bCs w:val="0"/>
                <w:noProof/>
                <w:sz w:val="20"/>
              </w:rPr>
              <w:drawing>
                <wp:anchor distT="0" distB="0" distL="95250" distR="95250" simplePos="0" relativeHeight="251669504" behindDoc="0" locked="0" layoutInCell="1" allowOverlap="0">
                  <wp:simplePos x="0" y="0"/>
                  <wp:positionH relativeFrom="column">
                    <wp:align>left</wp:align>
                  </wp:positionH>
                  <wp:positionV relativeFrom="line">
                    <wp:posOffset>100330</wp:posOffset>
                  </wp:positionV>
                  <wp:extent cx="1893570" cy="1771650"/>
                  <wp:effectExtent l="19050" t="0" r="0" b="0"/>
                  <wp:wrapSquare wrapText="bothSides"/>
                  <wp:docPr id="785"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18" cstate="print"/>
                          <a:srcRect/>
                          <a:stretch>
                            <a:fillRect/>
                          </a:stretch>
                        </pic:blipFill>
                        <pic:spPr bwMode="auto">
                          <a:xfrm>
                            <a:off x="0" y="0"/>
                            <a:ext cx="1893570" cy="1771650"/>
                          </a:xfrm>
                          <a:prstGeom prst="rect">
                            <a:avLst/>
                          </a:prstGeom>
                          <a:noFill/>
                          <a:ln w="9525">
                            <a:noFill/>
                            <a:miter lim="800000"/>
                            <a:headEnd/>
                            <a:tailEnd/>
                          </a:ln>
                        </pic:spPr>
                      </pic:pic>
                    </a:graphicData>
                  </a:graphic>
                </wp:anchor>
              </w:drawing>
            </w:r>
          </w:p>
        </w:tc>
        <w:tc>
          <w:tcPr>
            <w:tcW w:w="3302"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rPr>
              <w:drawing>
                <wp:inline distT="0" distB="0" distL="0" distR="0">
                  <wp:extent cx="2518041" cy="1876425"/>
                  <wp:effectExtent l="19050" t="0" r="0" b="0"/>
                  <wp:docPr id="788"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pic:cNvPicPr>
                            <a:picLocks noChangeAspect="1" noChangeArrowheads="1"/>
                          </pic:cNvPicPr>
                        </pic:nvPicPr>
                        <pic:blipFill>
                          <a:blip r:embed="rId1019" cstate="print"/>
                          <a:srcRect/>
                          <a:stretch>
                            <a:fillRect/>
                          </a:stretch>
                        </pic:blipFill>
                        <pic:spPr bwMode="auto">
                          <a:xfrm>
                            <a:off x="0" y="0"/>
                            <a:ext cx="2529890" cy="1885255"/>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 xml:space="preserve">Figure 4: </w:t>
      </w:r>
      <w:r w:rsidRPr="00A61369">
        <w:rPr>
          <w:rStyle w:val="Strong"/>
          <w:rFonts w:ascii="Book Antiqua" w:eastAsia="Calibri" w:hAnsi="Book Antiqua"/>
          <w:b w:val="0"/>
          <w:i/>
          <w:sz w:val="18"/>
          <w:szCs w:val="18"/>
        </w:rPr>
        <w:t xml:space="preserve">Left - Chicxulub structure showing 2 inner rings; Yucatan coast in white. </w:t>
      </w:r>
      <w:proofErr w:type="gramStart"/>
      <w:r w:rsidRPr="00A61369">
        <w:rPr>
          <w:rStyle w:val="Strong"/>
          <w:rFonts w:ascii="Book Antiqua" w:eastAsia="Calibri" w:hAnsi="Book Antiqua"/>
          <w:b w:val="0"/>
          <w:i/>
          <w:sz w:val="18"/>
          <w:szCs w:val="18"/>
        </w:rPr>
        <w:t>Middle - vertical plot of gravity anomaly; outer rim bottom right shown in red.</w:t>
      </w:r>
      <w:proofErr w:type="gramEnd"/>
      <w:r w:rsidRPr="00A61369">
        <w:rPr>
          <w:rStyle w:val="Strong"/>
          <w:rFonts w:ascii="Book Antiqua" w:eastAsia="Calibri" w:hAnsi="Book Antiqua"/>
          <w:b w:val="0"/>
          <w:i/>
          <w:sz w:val="18"/>
          <w:szCs w:val="18"/>
        </w:rPr>
        <w:t xml:space="preserve"> Right – Reconstruction of crater with two main rings and central peak. </w:t>
      </w:r>
    </w:p>
    <w:p w:rsidR="00700009" w:rsidRPr="00BD541D" w:rsidRDefault="00700009" w:rsidP="00700009">
      <w:pPr>
        <w:pStyle w:val="NoSpacing"/>
        <w:jc w:val="both"/>
        <w:rPr>
          <w:rStyle w:val="Strong"/>
          <w:rFonts w:ascii="Book Antiqua" w:eastAsia="Calibri" w:hAnsi="Book Antiqua"/>
          <w:b w:val="0"/>
          <w:bCs w:val="0"/>
          <w:sz w:val="18"/>
          <w:szCs w:val="18"/>
        </w:rPr>
      </w:pPr>
    </w:p>
    <w:p w:rsidR="00700009" w:rsidRPr="00BD541D" w:rsidRDefault="00700009" w:rsidP="00700009">
      <w:pPr>
        <w:pStyle w:val="NoSpacing"/>
        <w:jc w:val="both"/>
        <w:rPr>
          <w:rStyle w:val="Strong"/>
          <w:rFonts w:ascii="Book Antiqua" w:eastAsia="Calibri" w:hAnsi="Book Antiqua"/>
          <w:bCs w:val="0"/>
          <w:sz w:val="20"/>
        </w:rPr>
      </w:pPr>
      <w:r w:rsidRPr="00BD541D">
        <w:rPr>
          <w:rStyle w:val="Strong"/>
          <w:rFonts w:ascii="Book Antiqua" w:eastAsia="Calibri" w:hAnsi="Book Antiqua"/>
          <w:sz w:val="20"/>
        </w:rPr>
        <w:t>3.  The Parent Body for Meteorites</w:t>
      </w:r>
    </w:p>
    <w:p w:rsidR="00700009" w:rsidRPr="00BD541D" w:rsidRDefault="00700009" w:rsidP="00700009">
      <w:pPr>
        <w:pStyle w:val="NoSpacing"/>
        <w:jc w:val="both"/>
        <w:rPr>
          <w:rStyle w:val="Strong"/>
          <w:rFonts w:ascii="Book Antiqua" w:eastAsia="Calibri" w:hAnsi="Book Antiqua"/>
          <w:b w:val="0"/>
          <w:bCs w:val="0"/>
          <w:i/>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r w:rsidRPr="00BD541D">
        <w:rPr>
          <w:rFonts w:ascii="Book Antiqua" w:hAnsi="Book Antiqua"/>
          <w:sz w:val="20"/>
        </w:rPr>
        <w:t xml:space="preserve">Meteorites are only fragments. It is presumed they originated in a larger, parent body that broke up. The cause of the breakup is </w:t>
      </w:r>
      <w:r>
        <w:rPr>
          <w:rFonts w:ascii="Book Antiqua" w:hAnsi="Book Antiqua"/>
          <w:sz w:val="20"/>
        </w:rPr>
        <w:t>discussed</w:t>
      </w:r>
      <w:r w:rsidRPr="00BD541D">
        <w:rPr>
          <w:rFonts w:ascii="Book Antiqua" w:hAnsi="Book Antiqua"/>
          <w:sz w:val="20"/>
        </w:rPr>
        <w:t xml:space="preserve"> in Section 6 below. The question then </w:t>
      </w:r>
      <w:r>
        <w:rPr>
          <w:rFonts w:ascii="Book Antiqua" w:hAnsi="Book Antiqua"/>
          <w:sz w:val="20"/>
        </w:rPr>
        <w:t>arises</w:t>
      </w:r>
      <w:r w:rsidRPr="00BD541D">
        <w:rPr>
          <w:rFonts w:ascii="Book Antiqua" w:hAnsi="Book Antiqua"/>
          <w:sz w:val="20"/>
        </w:rPr>
        <w:t xml:space="preserve"> 'Where was that parent body?' Astronomers are fairly certain of the answer.   J. Audouze and G. Israel in Cambridge Atlas of Astronomy, p. 122, state: </w:t>
      </w:r>
      <w:r w:rsidRPr="00BD541D">
        <w:rPr>
          <w:rFonts w:ascii="Book Antiqua" w:hAnsi="Book Antiqua"/>
          <w:i/>
          <w:sz w:val="20"/>
        </w:rPr>
        <w:t>"Therefore it is now thought that the majority of meteorites come from the asteroids, whose diversity amply covers all classes of meteorites."</w:t>
      </w:r>
      <w:r w:rsidRPr="00BD541D">
        <w:rPr>
          <w:rFonts w:ascii="Book Antiqua" w:hAnsi="Book Antiqua"/>
          <w:sz w:val="20"/>
        </w:rPr>
        <w:t>[6] The majority of asteroids orbit between Mars and Jupiter. There is some diversity in these asteroids.  About 60% of them are dark and are concentrated in the outer regions of the main belt, while 30% of them are light and are found predominantly in the inner regions of the main belt. The remaining 10% are made up of several other minor categories.</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dark asteroids of the outer belt are rich in hydrated minerals, or minerals that contain water locked up in their crystal structure, while their darkness </w:t>
      </w:r>
      <w:r w:rsidRPr="00BD541D">
        <w:rPr>
          <w:rFonts w:ascii="Book Antiqua" w:hAnsi="Book Antiqua"/>
          <w:i/>
          <w:sz w:val="20"/>
        </w:rPr>
        <w:t>"is attributed to the presence of a few per cent of carbon on the surface"</w:t>
      </w:r>
      <w:r w:rsidRPr="00BD541D">
        <w:rPr>
          <w:rFonts w:ascii="Book Antiqua" w:hAnsi="Book Antiqua"/>
          <w:sz w:val="20"/>
        </w:rPr>
        <w:t xml:space="preserve">[7] [Cambridge Atlas, p. 152]. They are therefore classified as C-type (carbonaceous) asteroids. These asteroids are considered to be the specific originators of the carbonaceous chondrites. This view has recently been strengthened by data obtained from the NEAR spacecraft examination of the 66 km long C-class asteroid Mathilde, whose surface has the same spectroscopic signature as the carbonaceous chondrite meteorites [8].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30% of asteroids which are light colored are classified as S (silicaceous) because they are made up of silicates (including pyroxenes and olivines), similar to the Moon, as well as metals (iron and nickel). This class of asteroid is thought to give rise to the stony-iron meteorites. Though most of the S type asteroids inhabit the inner region of the main belt, a number of them have orbits which carry them into the inner solar system, past the earth and towards the sun. The Apollo-Amor asteroids are one such group.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r w:rsidRPr="00BD541D">
        <w:rPr>
          <w:rFonts w:ascii="Book Antiqua" w:hAnsi="Book Antiqua"/>
          <w:sz w:val="20"/>
        </w:rPr>
        <w:t>The 10% of asteroids in the minor category include a significant proportion of class M (metal) asteroids, such as 260 km Psyche, which is entirely nickel-iron [9]. The metallic meteorites seem to derive from these M class asteroids or from their parent body.</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A61369">
        <w:rPr>
          <w:rStyle w:val="Strong"/>
          <w:rFonts w:ascii="Book Antiqua" w:eastAsia="Calibri" w:hAnsi="Book Antiqua"/>
          <w:b w:val="0"/>
          <w:sz w:val="20"/>
        </w:rPr>
        <w:t>Although the relationship between asteroids and the meteorites which hit us is an ongoing matter of discussion, the</w:t>
      </w:r>
      <w:r w:rsidRPr="00BD541D">
        <w:rPr>
          <w:rStyle w:val="Strong"/>
          <w:rFonts w:ascii="Book Antiqua" w:eastAsia="Calibri" w:hAnsi="Book Antiqua"/>
          <w:sz w:val="20"/>
        </w:rPr>
        <w:t xml:space="preserve"> </w:t>
      </w:r>
      <w:r w:rsidRPr="00BD541D">
        <w:rPr>
          <w:rFonts w:ascii="Book Antiqua" w:hAnsi="Book Antiqua"/>
          <w:sz w:val="20"/>
        </w:rPr>
        <w:t xml:space="preserve">Cambridge Atlas states: </w:t>
      </w:r>
      <w:r w:rsidRPr="00BD541D">
        <w:rPr>
          <w:rFonts w:ascii="Book Antiqua" w:hAnsi="Book Antiqua"/>
          <w:i/>
          <w:sz w:val="20"/>
        </w:rPr>
        <w:t>"the majority of the asteroids are fragments of primordial bodies of greater size, metallic asteroids originating, for example, from the core of a larger, differentiated body."</w:t>
      </w:r>
      <w:r w:rsidRPr="00BD541D">
        <w:rPr>
          <w:rFonts w:ascii="Book Antiqua" w:hAnsi="Book Antiqua"/>
          <w:sz w:val="20"/>
        </w:rPr>
        <w:t>[10]</w:t>
      </w:r>
      <w:r w:rsidRPr="00BD541D">
        <w:rPr>
          <w:rFonts w:ascii="Book Antiqua" w:hAnsi="Book Antiqua"/>
          <w:i/>
          <w:sz w:val="20"/>
        </w:rPr>
        <w:t xml:space="preserve"> </w:t>
      </w:r>
      <w:r w:rsidRPr="00BD541D">
        <w:rPr>
          <w:rFonts w:ascii="Book Antiqua" w:hAnsi="Book Antiqua"/>
          <w:sz w:val="20"/>
        </w:rPr>
        <w:t xml:space="preserve">So while it is generally considered that the </w:t>
      </w:r>
      <w:r w:rsidRPr="00BD541D">
        <w:rPr>
          <w:rFonts w:ascii="Book Antiqua" w:hAnsi="Book Antiqua"/>
          <w:sz w:val="20"/>
        </w:rPr>
        <w:lastRenderedPageBreak/>
        <w:t>meteorites are in the majority from the asteroid belt, it is also acknowledged that the asteroids themselves came from some larger parent body.</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Cambridge Atlas then presents two possibilities for the larger parent body. </w:t>
      </w:r>
      <w:r w:rsidRPr="00BD541D">
        <w:rPr>
          <w:rFonts w:ascii="Book Antiqua" w:hAnsi="Book Antiqua"/>
          <w:i/>
          <w:sz w:val="20"/>
        </w:rPr>
        <w:t>"The first involves the existence of a mother planet, orbiting between Mars and Jupiter, which itself was fragmented."</w:t>
      </w:r>
      <w:r w:rsidRPr="00BD541D">
        <w:rPr>
          <w:rFonts w:ascii="Book Antiqua" w:hAnsi="Book Antiqua"/>
          <w:sz w:val="20"/>
        </w:rPr>
        <w:t>[10] However, because it was uncertain why this original planet should disrupt or explode, it was decided that the gravitational might of Jupiter must have prevented a large planet from forming. As a result, it is therefore usual to conclude that a whole population of smaller parent objects was formed, and that these later fragmented through collisions.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 </w:t>
      </w:r>
    </w:p>
    <w:p w:rsidR="00700009" w:rsidRPr="00BD541D" w:rsidRDefault="00700009" w:rsidP="00700009">
      <w:pPr>
        <w:pStyle w:val="Heading3"/>
        <w:widowControl/>
        <w:pBdr>
          <w:top w:val="none" w:sz="0" w:space="0" w:color="auto"/>
          <w:left w:val="none" w:sz="0" w:space="0" w:color="auto"/>
          <w:bottom w:val="none" w:sz="0" w:space="0" w:color="auto"/>
          <w:right w:val="none" w:sz="0" w:space="0" w:color="auto"/>
        </w:pBdr>
        <w:tabs>
          <w:tab w:val="left" w:pos="288"/>
        </w:tabs>
        <w:spacing w:before="120" w:after="120" w:line="240" w:lineRule="atLeast"/>
        <w:jc w:val="both"/>
        <w:rPr>
          <w:rFonts w:ascii="Book Antiqua" w:hAnsi="Book Antiqua"/>
          <w:sz w:val="20"/>
          <w:szCs w:val="20"/>
        </w:rPr>
      </w:pPr>
      <w:r w:rsidRPr="00BD541D">
        <w:rPr>
          <w:rFonts w:ascii="Book Antiqua" w:hAnsi="Book Antiqua"/>
          <w:sz w:val="20"/>
          <w:szCs w:val="20"/>
        </w:rPr>
        <w:t>4.  An Explosion or Collisions?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six lines of evidence favor the explosive disruption of a mother planet [11-12]. One of the most basic explosion indicators is the entrapment of smaller debris into orbits around more massive pieces. This happens because the region around the explosion is initially thick with debris. Many of the larger pieces would find smaller fragments within their own gravitational sphere of influence and would retain them as permanent satellites. This is difficult to explain if Jupiter’s pull had prevented a large parent body from forming and the debris was formed by collision processes. In fact, such collisions generally accelerate particles to speeds which cause them to escape the colliding </w:t>
      </w:r>
      <w:proofErr w:type="gramStart"/>
      <w:r w:rsidRPr="00BD541D">
        <w:rPr>
          <w:rFonts w:ascii="Book Antiqua" w:hAnsi="Book Antiqua"/>
          <w:sz w:val="20"/>
        </w:rPr>
        <w:t>bodies</w:t>
      </w:r>
      <w:proofErr w:type="gramEnd"/>
      <w:r w:rsidRPr="00BD541D">
        <w:rPr>
          <w:rFonts w:ascii="Book Antiqua" w:hAnsi="Book Antiqua"/>
          <w:sz w:val="20"/>
        </w:rPr>
        <w:t xml:space="preserve"> gravity entirely. For this reason, the fact that </w:t>
      </w:r>
      <w:r>
        <w:rPr>
          <w:rFonts w:ascii="Book Antiqua" w:hAnsi="Book Antiqua"/>
          <w:sz w:val="20"/>
        </w:rPr>
        <w:t xml:space="preserve">16% </w:t>
      </w:r>
      <w:r w:rsidRPr="00BD541D">
        <w:rPr>
          <w:rFonts w:ascii="Book Antiqua" w:hAnsi="Book Antiqua"/>
          <w:sz w:val="20"/>
        </w:rPr>
        <w:t>of asteroids</w:t>
      </w:r>
      <w:r>
        <w:rPr>
          <w:rFonts w:ascii="Book Antiqua" w:hAnsi="Book Antiqua"/>
          <w:sz w:val="20"/>
        </w:rPr>
        <w:t xml:space="preserve"> and space rocks are binary or triple systems or</w:t>
      </w:r>
      <w:r w:rsidRPr="00BD541D">
        <w:rPr>
          <w:rFonts w:ascii="Book Antiqua" w:hAnsi="Book Antiqua"/>
          <w:sz w:val="20"/>
        </w:rPr>
        <w:t xml:space="preserve"> have subsidiary moons in orbit around them</w:t>
      </w:r>
      <w:r>
        <w:rPr>
          <w:rFonts w:ascii="Book Antiqua" w:hAnsi="Book Antiqua"/>
          <w:sz w:val="20"/>
        </w:rPr>
        <w:t>,</w:t>
      </w:r>
      <w:r w:rsidRPr="00BD541D">
        <w:rPr>
          <w:rFonts w:ascii="Book Antiqua" w:hAnsi="Book Antiqua"/>
          <w:sz w:val="20"/>
        </w:rPr>
        <w:t xml:space="preserve"> indicates they are the result of an explosion.</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Second, there is also the suggestion of an explosion seen in the pattern of dark residue on moons in the outer solar system.  This may have resulted from a blast wave travelling through (see Figure 5, left panel).  The third line of evidence comes from the NEAR space probe. Its data indicate that some asteroidal bodies like Eros are heavily fractured and contain fragments that have undergone small displacement [13], while the characteristics of others like Mathilde, or Itokawa in Figure 5 (right), can only be explained if they are a "rubble pile" rather than a monolithic fragment [14, 15]. These data indicate that the asteroids themselves came from some larger parent body by an explosive process.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tbl>
      <w:tblPr>
        <w:tblStyle w:val="TableGrid"/>
        <w:tblW w:w="0" w:type="auto"/>
        <w:jc w:val="center"/>
        <w:tblLook w:val="04A0"/>
      </w:tblPr>
      <w:tblGrid>
        <w:gridCol w:w="5496"/>
        <w:gridCol w:w="4658"/>
      </w:tblGrid>
      <w:tr w:rsidR="00700009" w:rsidRPr="00BD541D" w:rsidTr="00BA27CF">
        <w:trPr>
          <w:jc w:val="center"/>
        </w:trPr>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329647" cy="2828925"/>
                  <wp:effectExtent l="19050" t="0" r="4103" b="0"/>
                  <wp:docPr id="790" name="Picture 1" descr="Iap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petus"/>
                          <pic:cNvPicPr>
                            <a:picLocks noChangeAspect="1" noChangeArrowheads="1"/>
                          </pic:cNvPicPr>
                        </pic:nvPicPr>
                        <pic:blipFill>
                          <a:blip r:embed="rId1020" cstate="print"/>
                          <a:srcRect/>
                          <a:stretch>
                            <a:fillRect/>
                          </a:stretch>
                        </pic:blipFill>
                        <pic:spPr bwMode="auto">
                          <a:xfrm>
                            <a:off x="0" y="0"/>
                            <a:ext cx="3353082" cy="2848836"/>
                          </a:xfrm>
                          <a:prstGeom prst="rect">
                            <a:avLst/>
                          </a:prstGeom>
                          <a:noFill/>
                          <a:ln w="9525">
                            <a:noFill/>
                            <a:miter lim="800000"/>
                            <a:headEnd/>
                            <a:tailEnd/>
                          </a:ln>
                        </pic:spPr>
                      </pic:pic>
                    </a:graphicData>
                  </a:graphic>
                </wp:inline>
              </w:drawing>
            </w:r>
          </w:p>
        </w:tc>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2820565" cy="2286247"/>
                  <wp:effectExtent l="0" t="266700" r="0" b="247403"/>
                  <wp:docPr id="791" name="il_fi" descr="http://www.psi.edu/sites/default/files/imported/pgwg/images/Itok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i.edu/sites/default/files/imported/pgwg/images/Itokawa.jpg"/>
                          <pic:cNvPicPr>
                            <a:picLocks noChangeAspect="1" noChangeArrowheads="1"/>
                          </pic:cNvPicPr>
                        </pic:nvPicPr>
                        <pic:blipFill>
                          <a:blip r:embed="rId1021" cstate="print"/>
                          <a:srcRect/>
                          <a:stretch>
                            <a:fillRect/>
                          </a:stretch>
                        </pic:blipFill>
                        <pic:spPr bwMode="auto">
                          <a:xfrm rot="5400000">
                            <a:off x="0" y="0"/>
                            <a:ext cx="2851848" cy="231160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5: Left</w:t>
      </w:r>
      <w:r w:rsidRPr="00B07237">
        <w:rPr>
          <w:rFonts w:ascii="Book Antiqua" w:hAnsi="Book Antiqua"/>
          <w:i/>
          <w:sz w:val="18"/>
          <w:szCs w:val="18"/>
        </w:rPr>
        <w:t xml:space="preserve"> – The leading edge of Saturn’s moon Iapetus is covered with a brownish deposit that is evidence for a blast wave passing through the system. The untouched surface appears whitish; shadows are black. </w:t>
      </w:r>
      <w:r w:rsidRPr="00B07237">
        <w:rPr>
          <w:rFonts w:ascii="Book Antiqua" w:hAnsi="Book Antiqua"/>
          <w:b/>
          <w:i/>
          <w:sz w:val="18"/>
          <w:szCs w:val="18"/>
        </w:rPr>
        <w:t>Right –</w:t>
      </w:r>
      <w:r w:rsidRPr="00B07237">
        <w:rPr>
          <w:rFonts w:ascii="Book Antiqua" w:hAnsi="Book Antiqua"/>
          <w:i/>
          <w:sz w:val="18"/>
          <w:szCs w:val="18"/>
        </w:rPr>
        <w:t xml:space="preserve"> Asteroid Itokawa imaged by Japanese Hayabusa spacecraft in 2005 is just a rubble pile.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 xml:space="preserve">The fourth bit of evidence needs some explanation.  If Jupiter had prevented bits and pieces of original material from coalescing to become another planet, the bits and pieces at the same distance from the sun would be orbiting at very close to the same speed. It would be a similar situation to the particles next to each other in Saturn’s rings. They do not “bump” into each other. They simply slightly accelerate and then slightly retard the neighboring particle as they pass by. In this way the neighboring particles are pushed away rather than being attracted. In addition, there is no great difference in their relative speeds.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what we are seeing in the asteroid belt is relative velocity differences averaging 5 km/sec.  This is far too high to result from the interaction of similarly circling fragments. Indeed, it is close to the limit that is allowed by the laws of dynamics for stable orbits. In other words, the stability of the system has been compromised because mass has been lost to the system. This in itself indicates that the asteroid belt is all that remains of a much larger mass. This loss of mass to the system seems to indicate that an explosive event occurred which expelled much debris from the region.</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EF16F7">
        <w:rPr>
          <w:rFonts w:ascii="Book Antiqua" w:hAnsi="Book Antiqua"/>
          <w:sz w:val="20"/>
        </w:rPr>
        <w:t>This fourth piece of evidence leads on to the fifth. I</w:t>
      </w:r>
      <w:r w:rsidRPr="00BD541D">
        <w:rPr>
          <w:rFonts w:ascii="Book Antiqua" w:hAnsi="Book Antiqua"/>
          <w:sz w:val="20"/>
        </w:rPr>
        <w:t xml:space="preserve">f the solar nebula hypothesis is correct and Jupiter prevented a planet from forming, then circular orbits (that is with zero eccentricity) would be expected. They would also be in basically the same plane. One illustration of the principle is given by Saturn’s rings. They all orbit in the same plane around the planet and those orbits are very close to circular. In the case of the particles between Mars and Jupiter, the drag from the original nebula and collisions would also ensure that circular orbits which lay in a flat plane would have occurred.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if explosive disruption of a mother planet occurred, there would be many asteroids in orbits outside the main plane. Two additional features would be expected. There would be a position in the asteroid belt which corresponded to the original position of the planet. It might be expected that there would be relatively few such objects left in that position after the explosion. Therefore a graph should show a zone of avoidance at that location. In addition, the further the objects were thrown by the explosion, then the greater would be the expected eccentricity of their final orbits.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Van Flandern found both of these features existed when he plotted the data</w:t>
      </w:r>
      <w:r>
        <w:rPr>
          <w:rFonts w:ascii="Book Antiqua" w:hAnsi="Book Antiqua"/>
          <w:sz w:val="20"/>
        </w:rPr>
        <w:t xml:space="preserve"> from the asteroid belt</w:t>
      </w:r>
      <w:r w:rsidRPr="00BD541D">
        <w:rPr>
          <w:rFonts w:ascii="Book Antiqua" w:hAnsi="Book Antiqua"/>
          <w:sz w:val="20"/>
        </w:rPr>
        <w:t xml:space="preserve">. There was a sharp zone of avoidance at 2.82 AU; Mars is at 1.52 AU and Jupiter at 5.20 AU. (An Astronomical Unit, AU, is the mean distance of the Earth from the Sun). On either side of the zone of avoidance are two large groupings of asteroids, one starting at 2.55 AU, the other at 3.15 AU. The orbital eccentricities of both groups ranged from 0.15 to 0.20 [11].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sixth piece of evidence comes from the composition of these objects. This evidence appears to indicate that the objects in the asteroid belt, which also gave rise to the objects which hit earth, are from an exploded planet.  Because of the mineralogy of the S-type asteroids, it appears that they are the remains of the major parent planet, which we will call Planet Y here, with an interior that contained a core, a mantle and a crust. The C-type asteroids do not seem to have been so differentiated, and may have come from a smaller body, perhaps the moon of this planet, which may have had a chondritic interior which had undergone some phase changes due to heating, and an unheated, carbonaceous chondritic upper layer.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coincidence in the timing of the breakup of planet Y and its possible moon </w:t>
      </w:r>
      <w:r>
        <w:rPr>
          <w:rFonts w:ascii="Book Antiqua" w:hAnsi="Book Antiqua"/>
          <w:sz w:val="20"/>
        </w:rPr>
        <w:t>with</w:t>
      </w:r>
      <w:r w:rsidRPr="00BD541D">
        <w:rPr>
          <w:rFonts w:ascii="Book Antiqua" w:hAnsi="Book Antiqua"/>
          <w:sz w:val="20"/>
        </w:rPr>
        <w:t xml:space="preserve"> the events which closed the major eras on earth now needs to be examined, along with the cause of that breakup.</w:t>
      </w:r>
    </w:p>
    <w:p w:rsidR="00700009" w:rsidRPr="00BD541D" w:rsidRDefault="00700009" w:rsidP="00700009">
      <w:pPr>
        <w:pStyle w:val="NoSpacing"/>
        <w:jc w:val="both"/>
        <w:rPr>
          <w:rFonts w:ascii="Book Antiqua" w:hAnsi="Book Antiqua"/>
          <w:b/>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5.  Radioactive Elements in Planetary Cores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As shown,</w:t>
      </w:r>
      <w:r w:rsidRPr="00F147F2">
        <w:rPr>
          <w:rFonts w:ascii="Book Antiqua" w:hAnsi="Book Antiqua"/>
          <w:sz w:val="20"/>
        </w:rPr>
        <w:t xml:space="preserve"> both the asteroids and meteorites probably came from a larger body (or bodies) many of whose minerals have either undergone phase changes or else have been changed by heating.</w:t>
      </w:r>
      <w:r w:rsidRPr="00BD541D">
        <w:rPr>
          <w:rFonts w:ascii="Book Antiqua" w:hAnsi="Book Antiqua"/>
          <w:sz w:val="20"/>
        </w:rPr>
        <w:t xml:space="preserve"> A major source of heat is needed to perform this task.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earth is layered, as are all the planets, with heavy metal cores surrounded by less heavy elements.  Arthur Calderwood, from the University of Nevada at Las Vegas, pointed out that it is possible to construct a model of the earth's </w:t>
      </w:r>
      <w:r w:rsidRPr="00BD541D">
        <w:rPr>
          <w:rFonts w:ascii="Book Antiqua" w:hAnsi="Book Antiqua"/>
          <w:sz w:val="20"/>
        </w:rPr>
        <w:lastRenderedPageBreak/>
        <w:t xml:space="preserve">interior using the full standard C1 chondrite abundance of uranium and thorium within the silicate earth. When this is done, the model also requires that the core be enriched by 1420 parts </w:t>
      </w:r>
      <w:proofErr w:type="gramStart"/>
      <w:r w:rsidRPr="00BD541D">
        <w:rPr>
          <w:rFonts w:ascii="Book Antiqua" w:hAnsi="Book Antiqua"/>
          <w:sz w:val="20"/>
        </w:rPr>
        <w:t>per million in potassium [16]</w:t>
      </w:r>
      <w:proofErr w:type="gramEnd"/>
      <w:r w:rsidRPr="00BD541D">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suggested reason why the enrichment occurs is that potassium forms a stable, high pressure metal alloy with nickel-iron in its liquid state, and so would be incorporated into the core during its formation. As a result, this model predicts that most of today's mantle heat flux comes from the core rather than from the mantle as required by the traditional interpretation [17]. Calderwood pointed out that the traditional interpretation requires the lower mantle, below 660 kilometers, to be a chemically distinct reservoir rich in potassium, uranium, thorium, and argon 40 [16].</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Plasma physics supports some of this scenario. It indicates that, as a result of Marklund convection, planets were formed already layered. The majority of radioactive elements were concentrated towards planetary centers by this convection process, not by any heating mechanism.</w:t>
      </w:r>
      <w:r>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in fairness to the traditional model, it must be pointed out that a 1999 re-assessment of 1997data indicated that it is the bottom 1000 kilometers of the mantle, starting at a depth of 1700 kilometers, that contains anomalous reservoirs of heat producing elements [18].  This becomes a middle position between the Calderwood proposal and the traditional view, and both are basically in accord with the plasma model.</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6.  The Role of Radioactive Heating</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formation of the planets as a result of a pinching of a fragmented plasma filament not only sorted the elements, resulting in the layering we see in each planet, but it also resulted in cool planets whose interiors then heated up.  The heavier elements, layered in the cores, were </w:t>
      </w:r>
      <w:r w:rsidRPr="00F147F2">
        <w:rPr>
          <w:rFonts w:ascii="Book Antiqua" w:hAnsi="Book Antiqua"/>
          <w:sz w:val="20"/>
        </w:rPr>
        <w:t>also</w:t>
      </w:r>
      <w:r w:rsidRPr="00BD541D">
        <w:rPr>
          <w:rFonts w:ascii="Book Antiqua" w:hAnsi="Book Antiqua"/>
          <w:sz w:val="20"/>
        </w:rPr>
        <w:t xml:space="preserve"> the elements subject to radio decay, and it is from this process the heat originated.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evidence favors this position for our own planet. A study by William Peck and Stephen Mojzsis of zircons from the Jack Hills rock formation in Western Australia has revealed that oceans, continents and flowing water existed 4.3 to 4.4 billion atomic years ago [19-21]. Having those radiometric dates, these zircons are the oldest items found so far on earth. The data thus indicate a hydrological cycle in operation and hence a cool surface for the earth from the earliest times.  This is in startling contrast to the hot, molten beginnings presented by standard astronomy which resulted from the gravitational accretion of material.  In the gravitational model, the planets then had to cool and the crust formed later.  </w:t>
      </w:r>
      <w:r>
        <w:rPr>
          <w:rFonts w:ascii="Book Antiqua" w:hAnsi="Book Antiqua"/>
          <w:sz w:val="20"/>
        </w:rPr>
        <w:t>Even now</w:t>
      </w:r>
      <w:r w:rsidRPr="00F147F2">
        <w:rPr>
          <w:rFonts w:ascii="Book Antiqua" w:hAnsi="Book Antiqua"/>
          <w:sz w:val="20"/>
        </w:rPr>
        <w:t xml:space="preserve"> we observe heat flux from planetary surfaces</w:t>
      </w:r>
      <w:r>
        <w:rPr>
          <w:rFonts w:ascii="Book Antiqua" w:hAnsi="Book Antiqua"/>
          <w:sz w:val="20"/>
        </w:rPr>
        <w:t xml:space="preserve"> – some planets are giving off more heat than they are receiving from the sun</w:t>
      </w:r>
      <w:r w:rsidRPr="00F147F2">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Pl</w:t>
      </w:r>
      <w:r w:rsidRPr="00F147F2">
        <w:rPr>
          <w:rFonts w:ascii="Book Antiqua" w:hAnsi="Book Antiqua"/>
          <w:sz w:val="20"/>
        </w:rPr>
        <w:t xml:space="preserve">anet Y and its moon would </w:t>
      </w:r>
      <w:r>
        <w:rPr>
          <w:rFonts w:ascii="Book Antiqua" w:hAnsi="Book Antiqua"/>
          <w:sz w:val="20"/>
        </w:rPr>
        <w:t xml:space="preserve">also </w:t>
      </w:r>
      <w:r w:rsidRPr="00F147F2">
        <w:rPr>
          <w:rFonts w:ascii="Book Antiqua" w:hAnsi="Book Antiqua"/>
          <w:sz w:val="20"/>
        </w:rPr>
        <w:t xml:space="preserve">have started in a cool condition.  As with the other planets, their cores would have then heated up due to radioactive decay.  </w:t>
      </w:r>
      <w:r w:rsidRPr="00BD541D">
        <w:rPr>
          <w:rFonts w:ascii="Book Antiqua" w:hAnsi="Book Antiqua"/>
          <w:sz w:val="20"/>
        </w:rPr>
        <w:t xml:space="preserve">Interestingly, in the case of meteorites </w:t>
      </w:r>
      <w:r>
        <w:rPr>
          <w:rFonts w:ascii="Book Antiqua" w:hAnsi="Book Antiqua"/>
          <w:sz w:val="20"/>
        </w:rPr>
        <w:t>(</w:t>
      </w:r>
      <w:r w:rsidRPr="00F147F2">
        <w:rPr>
          <w:rFonts w:ascii="Book Antiqua" w:hAnsi="Book Antiqua"/>
          <w:sz w:val="20"/>
        </w:rPr>
        <w:t>and hence asteroids</w:t>
      </w:r>
      <w:r>
        <w:rPr>
          <w:rFonts w:ascii="Book Antiqua" w:hAnsi="Book Antiqua"/>
          <w:sz w:val="20"/>
        </w:rPr>
        <w:t>)</w:t>
      </w:r>
      <w:r w:rsidRPr="00BD541D">
        <w:rPr>
          <w:rFonts w:ascii="Book Antiqua" w:hAnsi="Book Antiqua"/>
          <w:sz w:val="20"/>
        </w:rPr>
        <w:t xml:space="preserve">, the source of heat is already known and acknowledged. Isotopic anomalies have been seen to occur in meteorites.  Compared to Earth, there is a super-abundance of the daughter element magnesium 26, which is correlated with the abundance of the mother element, aluminum 26, in the samples. The Cambridge Atlas states: </w:t>
      </w:r>
      <w:r w:rsidRPr="00BD541D">
        <w:rPr>
          <w:rFonts w:ascii="Book Antiqua" w:hAnsi="Book Antiqua"/>
          <w:i/>
          <w:sz w:val="20"/>
        </w:rPr>
        <w:t>"This excess of magnesium 26 very probably results from the radio-active decay of aluminium 26. Heat from a 'short'-period radioactive element, such as aluminium 26, would be sufficient to melt bodies of a size greater than 10 kilometres."</w:t>
      </w:r>
      <w:r w:rsidRPr="00BD541D">
        <w:rPr>
          <w:rFonts w:ascii="Book Antiqua" w:hAnsi="Book Antiqua"/>
          <w:sz w:val="20"/>
        </w:rPr>
        <w:t>[6] When it is remembered that aluminum 26 would have an accelerated decay rate with low ZPE values, a potentially viable scenario opens up.</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mechanism whereby the heat from rapid radioactive decay of short half-life elements caused a fracturing of Planet Y and its moon may be found in the composition of the original material making up these bodies. As noted for the carbonaceous chondrites, both (1) interstitial water and (2) water locked up in the crystal lattices of minerals such as serpentine are present. In the case of (1), the gaps between the mineral grains, the interstices, range from 0% up to 15% in ordinary chondrites.  This is expected to be similar for the carbonaceous chondrites [13]. In the case of (2), the mineral serpentine contains 13% water in its crystal lattices and, when it is heated, the water is expelled.  The resulting mineral is olivine. This makes it possible that some of the olivine in differentiated bodies may have derived from serpentine. In some of these bodies, water content is as high as 20% [22].  </w:t>
      </w:r>
    </w:p>
    <w:p w:rsidR="00700009" w:rsidRPr="00BD541D" w:rsidRDefault="00700009" w:rsidP="00700009">
      <w:pPr>
        <w:pStyle w:val="NoSpacing"/>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What we appear to have found in our solar system is that there is more water, in one form or another, the further out from the sun a planet gets.  While Earth has the liquid water we require </w:t>
      </w:r>
      <w:proofErr w:type="gramStart"/>
      <w:r w:rsidRPr="00BD541D">
        <w:rPr>
          <w:rFonts w:ascii="Book Antiqua" w:hAnsi="Book Antiqua"/>
          <w:sz w:val="20"/>
        </w:rPr>
        <w:t>to sustain</w:t>
      </w:r>
      <w:proofErr w:type="gramEnd"/>
      <w:r w:rsidRPr="00BD541D">
        <w:rPr>
          <w:rFonts w:ascii="Book Antiqua" w:hAnsi="Book Antiqua"/>
          <w:sz w:val="20"/>
        </w:rPr>
        <w:t xml:space="preserve"> life, vast amounts of frozen water are found on Uranus and Neptune.  Saturn and Jupiter have very large amounts of water surrounding their cores.  Mars has strong evidence of having flooded on a planet-wide scale in its past.  Planet Y, between Mars and Jupiter, would then have had quite a bit of water, again in one form or another, in its body.  As the heat </w:t>
      </w:r>
      <w:r>
        <w:rPr>
          <w:rFonts w:ascii="Book Antiqua" w:hAnsi="Book Antiqua"/>
          <w:sz w:val="20"/>
        </w:rPr>
        <w:t>built</w:t>
      </w:r>
      <w:r w:rsidRPr="00BD541D">
        <w:rPr>
          <w:rFonts w:ascii="Book Antiqua" w:hAnsi="Book Antiqua"/>
          <w:sz w:val="20"/>
        </w:rPr>
        <w:t xml:space="preserve"> up deep in </w:t>
      </w:r>
      <w:r>
        <w:rPr>
          <w:rFonts w:ascii="Book Antiqua" w:hAnsi="Book Antiqua"/>
          <w:sz w:val="20"/>
        </w:rPr>
        <w:t>its</w:t>
      </w:r>
      <w:r w:rsidRPr="00BD541D">
        <w:rPr>
          <w:rFonts w:ascii="Book Antiqua" w:hAnsi="Book Antiqua"/>
          <w:sz w:val="20"/>
        </w:rPr>
        <w:t xml:space="preserve"> interior, </w:t>
      </w:r>
      <w:r>
        <w:rPr>
          <w:rFonts w:ascii="Book Antiqua" w:hAnsi="Book Antiqua"/>
          <w:sz w:val="20"/>
        </w:rPr>
        <w:t>the</w:t>
      </w:r>
      <w:r w:rsidRPr="00BD541D">
        <w:rPr>
          <w:rFonts w:ascii="Book Antiqua" w:hAnsi="Book Antiqua"/>
          <w:sz w:val="20"/>
        </w:rPr>
        <w:t xml:space="preserve"> water </w:t>
      </w:r>
      <w:r>
        <w:rPr>
          <w:rFonts w:ascii="Book Antiqua" w:hAnsi="Book Antiqua"/>
          <w:sz w:val="20"/>
        </w:rPr>
        <w:t>was</w:t>
      </w:r>
      <w:r w:rsidRPr="00BD541D">
        <w:rPr>
          <w:rFonts w:ascii="Book Antiqua" w:hAnsi="Book Antiqua"/>
          <w:sz w:val="20"/>
        </w:rPr>
        <w:t xml:space="preserve"> expelled from the pores and the hydrated minerals</w:t>
      </w:r>
      <w:r>
        <w:rPr>
          <w:rFonts w:ascii="Book Antiqua" w:hAnsi="Book Antiqua"/>
          <w:sz w:val="20"/>
        </w:rPr>
        <w:t>.  As the water was driven out</w:t>
      </w:r>
      <w:proofErr w:type="gramStart"/>
      <w:r>
        <w:rPr>
          <w:rFonts w:ascii="Book Antiqua" w:hAnsi="Book Antiqua"/>
          <w:sz w:val="20"/>
        </w:rPr>
        <w:t xml:space="preserve">, </w:t>
      </w:r>
      <w:r w:rsidRPr="00BD541D">
        <w:rPr>
          <w:rFonts w:ascii="Book Antiqua" w:hAnsi="Book Antiqua"/>
          <w:sz w:val="20"/>
        </w:rPr>
        <w:t xml:space="preserve"> tremendous</w:t>
      </w:r>
      <w:proofErr w:type="gramEnd"/>
      <w:r w:rsidRPr="00BD541D">
        <w:rPr>
          <w:rFonts w:ascii="Book Antiqua" w:hAnsi="Book Antiqua"/>
          <w:sz w:val="20"/>
        </w:rPr>
        <w:t xml:space="preserve"> </w:t>
      </w:r>
      <w:r w:rsidRPr="00B87559">
        <w:rPr>
          <w:rFonts w:ascii="Book Antiqua" w:hAnsi="Book Antiqua"/>
          <w:sz w:val="20"/>
        </w:rPr>
        <w:t>pressures result</w:t>
      </w:r>
      <w:r>
        <w:rPr>
          <w:rFonts w:ascii="Book Antiqua" w:hAnsi="Book Antiqua"/>
          <w:sz w:val="20"/>
        </w:rPr>
        <w:t>ed</w:t>
      </w:r>
      <w:r w:rsidRPr="00BD541D">
        <w:rPr>
          <w:rFonts w:ascii="Book Antiqua" w:hAnsi="Book Antiqua"/>
          <w:sz w:val="20"/>
        </w:rPr>
        <w:t xml:space="preserve">.  </w:t>
      </w:r>
    </w:p>
    <w:p w:rsidR="00700009" w:rsidRDefault="00700009" w:rsidP="00700009">
      <w:pPr>
        <w:pStyle w:val="NoSpacing"/>
        <w:jc w:val="both"/>
        <w:rPr>
          <w:rFonts w:ascii="Book Antiqua" w:hAnsi="Book Antiqua"/>
          <w:sz w:val="20"/>
        </w:rPr>
      </w:pPr>
      <w:r>
        <w:rPr>
          <w:rFonts w:ascii="Book Antiqua" w:hAnsi="Book Antiqua"/>
          <w:sz w:val="20"/>
        </w:rPr>
        <w:t xml:space="preserve">The building heat caused </w:t>
      </w:r>
      <w:r w:rsidRPr="00BD541D">
        <w:rPr>
          <w:rFonts w:ascii="Book Antiqua" w:hAnsi="Book Antiqua"/>
          <w:sz w:val="20"/>
        </w:rPr>
        <w:t>some of the rocks themselves to melt, gaining 10% in volume as they did.  The planet had to respond to this pressure in one way or another.  It shattered.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We have evidence of the </w:t>
      </w:r>
      <w:r>
        <w:rPr>
          <w:rFonts w:ascii="Book Antiqua" w:hAnsi="Book Antiqua"/>
          <w:sz w:val="20"/>
        </w:rPr>
        <w:t>action</w:t>
      </w:r>
      <w:r w:rsidRPr="00BD541D">
        <w:rPr>
          <w:rFonts w:ascii="Book Antiqua" w:hAnsi="Book Antiqua"/>
          <w:sz w:val="20"/>
        </w:rPr>
        <w:t xml:space="preserve"> of hot water in a number of meteorites. For example, in case of the Tieschitz meteorite, an H/L chondrite, it is stated that radiometric clocks were reset about 2 billion years ago by aqueous fluid. [23, 24] It was commented that </w:t>
      </w:r>
      <w:r w:rsidRPr="00BD541D">
        <w:rPr>
          <w:rFonts w:ascii="Book Antiqua" w:hAnsi="Book Antiqua"/>
          <w:i/>
          <w:sz w:val="20"/>
        </w:rPr>
        <w:t>“Chondrules in this meteorite show evidence for varying degrees of aqueous alteration.”</w:t>
      </w:r>
      <w:r w:rsidRPr="00BD541D">
        <w:rPr>
          <w:rFonts w:ascii="Book Antiqua" w:hAnsi="Book Antiqua"/>
          <w:sz w:val="20"/>
        </w:rPr>
        <w:t xml:space="preserve"> [25</w:t>
      </w:r>
      <w:proofErr w:type="gramStart"/>
      <w:r w:rsidRPr="00BD541D">
        <w:rPr>
          <w:rFonts w:ascii="Book Antiqua" w:hAnsi="Book Antiqua"/>
          <w:sz w:val="20"/>
        </w:rPr>
        <w:t>]</w:t>
      </w:r>
      <w:r>
        <w:rPr>
          <w:rFonts w:ascii="Book Antiqua" w:hAnsi="Book Antiqua"/>
          <w:sz w:val="20"/>
        </w:rPr>
        <w:t xml:space="preserve">  Cold</w:t>
      </w:r>
      <w:proofErr w:type="gramEnd"/>
      <w:r>
        <w:rPr>
          <w:rFonts w:ascii="Book Antiqua" w:hAnsi="Book Antiqua"/>
          <w:sz w:val="20"/>
        </w:rPr>
        <w:t xml:space="preserve"> water would not do this.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 In a similar way, in June 2000, scientists at the University of Manchester and the Natural History Museum in London used the decay of Iodine 129 to Xenon 129 to date crystals in the Monahans meteorite. They established a radiometric age for the halite (NaCl) and sylvite (KCl) crystals of 4.57 billion years. [26] It is stated that </w:t>
      </w:r>
      <w:r w:rsidRPr="00BD541D">
        <w:rPr>
          <w:rFonts w:ascii="Book Antiqua" w:hAnsi="Book Antiqua"/>
          <w:i/>
          <w:sz w:val="20"/>
        </w:rPr>
        <w:t>“The Manchester team hypothesizes that the decay of the radioactive material within the original parent body provided enough heat energy that the water present …evaporated, leaving the salt crystals (formed of sodium chloride or ‘halite’) behind. Within these halite crystals are very small pockets or ‘inclusions’ that contain water.”</w:t>
      </w:r>
      <w:r w:rsidRPr="00BD541D">
        <w:rPr>
          <w:rFonts w:ascii="Book Antiqua" w:hAnsi="Book Antiqua"/>
          <w:sz w:val="20"/>
        </w:rPr>
        <w:t xml:space="preserve"> [27] They go on to state that </w:t>
      </w:r>
      <w:r w:rsidRPr="00BD541D">
        <w:rPr>
          <w:rFonts w:ascii="Book Antiqua" w:hAnsi="Book Antiqua"/>
          <w:i/>
          <w:sz w:val="20"/>
        </w:rPr>
        <w:t>“The presence of liquid water on the meteorite has important implications for understanding the geology of moons and planets with large amounts of heat in their interiors. Volcanic activity is closely linked with the availability of water, which plays a major role in the formation of magma.”</w:t>
      </w:r>
      <w:r w:rsidRPr="00BD541D">
        <w:rPr>
          <w:rFonts w:ascii="Book Antiqua" w:hAnsi="Book Antiqua"/>
          <w:sz w:val="20"/>
        </w:rPr>
        <w:t xml:space="preserve"> [27]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evidence suggests that water was being driven out of mineral structures in the interior of the parent body towards the surface by the heat of radioactive decay. Indeed, the effect of radioactive decay is seen in the halite on the Monahans meteorite as the halite has </w:t>
      </w:r>
      <w:r w:rsidRPr="00BD541D">
        <w:rPr>
          <w:rFonts w:ascii="Book Antiqua" w:hAnsi="Book Antiqua"/>
          <w:i/>
          <w:sz w:val="20"/>
        </w:rPr>
        <w:t xml:space="preserve">"acquired purple and blue colours during the long transit through the radioactive decay of elements in close proximity" </w:t>
      </w:r>
      <w:r w:rsidRPr="00BD541D">
        <w:rPr>
          <w:rFonts w:ascii="Book Antiqua" w:hAnsi="Book Antiqua"/>
          <w:sz w:val="20"/>
        </w:rPr>
        <w:t>[27].  But more likely than a long transit time for the crystals is the accelerated decay rate of the radioactive elements which would result in the same discoloration.  A lower Zero Point Energy in the past would have accomplished this.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It </w:t>
      </w:r>
      <w:r>
        <w:rPr>
          <w:rFonts w:ascii="Book Antiqua" w:hAnsi="Book Antiqua"/>
          <w:sz w:val="20"/>
        </w:rPr>
        <w:t>was probably</w:t>
      </w:r>
      <w:r w:rsidRPr="00BD541D">
        <w:rPr>
          <w:rFonts w:ascii="Book Antiqua" w:hAnsi="Book Antiqua"/>
          <w:sz w:val="20"/>
        </w:rPr>
        <w:t xml:space="preserve"> the short half-life radioactive elements that were largely responsible for heating the interior of Planet Y and its moon.  It is their daughter products which we find in abundance in meteorites.  This also may mean that the radiometric data from meteorites indicating 4.6 billion atomic years as the age of the Solar System may instead be referring to events whereby radiometric clocks were reset by processes associated with this heating.</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18"/>
          <w:szCs w:val="18"/>
        </w:rPr>
      </w:pPr>
      <w:r w:rsidRPr="00BD541D">
        <w:rPr>
          <w:rFonts w:ascii="Book Antiqua" w:hAnsi="Book Antiqua"/>
          <w:sz w:val="20"/>
        </w:rPr>
        <w:t xml:space="preserve">This is not only true for the parent of the stony meteorites; it applies to the iron meteorites as well. While it is true that Marklund convection resulted in layering of planetary interiors, as radioactive heating occurred in the core-mantle region of planetary interiors, metals would have separated from the silicates. This event can be dated radiometrically.  In the case of the Canyon Diablo meteorite, it is stated that </w:t>
      </w:r>
      <w:r w:rsidRPr="00BD541D">
        <w:rPr>
          <w:rFonts w:ascii="Book Antiqua" w:hAnsi="Book Antiqua"/>
          <w:i/>
          <w:sz w:val="20"/>
        </w:rPr>
        <w:t>"About 4.55 b.y [billion years] ago, inside the parent body, a melting process separated the nickel-iron alloy from the silicates with which it was originally associated."</w:t>
      </w:r>
      <w:r w:rsidRPr="00BD541D">
        <w:rPr>
          <w:rFonts w:ascii="Book Antiqua" w:hAnsi="Book Antiqua"/>
          <w:sz w:val="20"/>
        </w:rPr>
        <w:t xml:space="preserve"> [28] Similarly, radiometric data for the Caddo County meteorite also indicate that silicates separated from the metal about 4.53 billion years ago. In these cases the 4.6 billion years does not refer to the formation of the object but rather to the atomic time of the initial heating event. If similar processes were acting in other bodies in the solar system, including the earth, then a similar date for the re-setting of radiometric clocks might be expected.  In other words, the solar system being considered to be 4.6 billion years old, atomically, might simply be due to a resetting of atomic clocks</w:t>
      </w:r>
      <w:r w:rsidRPr="00BD541D">
        <w:rPr>
          <w:rFonts w:ascii="Book Antiqua" w:hAnsi="Book Antiqua"/>
          <w:sz w:val="18"/>
          <w:szCs w:val="18"/>
        </w:rPr>
        <w:t>.</w:t>
      </w:r>
    </w:p>
    <w:p w:rsidR="00700009" w:rsidRPr="00BD541D" w:rsidRDefault="00700009" w:rsidP="00700009">
      <w:pPr>
        <w:pStyle w:val="NoSpacing"/>
        <w:ind w:firstLine="720"/>
        <w:jc w:val="both"/>
        <w:rPr>
          <w:rFonts w:ascii="Book Antiqua" w:hAnsi="Book Antiqua"/>
          <w:sz w:val="18"/>
          <w:szCs w:val="18"/>
        </w:rPr>
      </w:pPr>
    </w:p>
    <w:p w:rsidR="00700009" w:rsidRDefault="00700009" w:rsidP="00700009">
      <w:pPr>
        <w:pStyle w:val="NoSpacing"/>
        <w:jc w:val="both"/>
        <w:rPr>
          <w:rFonts w:ascii="Book Antiqua" w:hAnsi="Book Antiqua"/>
          <w:b/>
          <w:sz w:val="20"/>
        </w:rPr>
      </w:pPr>
      <w:r>
        <w:rPr>
          <w:rFonts w:ascii="Book Antiqua" w:hAnsi="Book Antiqua"/>
          <w:b/>
          <w:sz w:val="20"/>
        </w:rPr>
        <w:t>7.  The Late Heavy Bombardment</w:t>
      </w:r>
      <w:r w:rsidRPr="00BD541D">
        <w:rPr>
          <w:rFonts w:ascii="Book Antiqua" w:hAnsi="Book Antiqua"/>
          <w:b/>
          <w:sz w:val="20"/>
        </w:rPr>
        <w:t xml:space="preserve"> Radioactively Dated</w:t>
      </w:r>
    </w:p>
    <w:p w:rsidR="00700009" w:rsidRPr="00BD541D" w:rsidRDefault="00700009" w:rsidP="00700009">
      <w:pPr>
        <w:pStyle w:val="NoSpacing"/>
        <w:ind w:left="720"/>
        <w:jc w:val="both"/>
        <w:rPr>
          <w:rFonts w:ascii="Book Antiqua" w:hAnsi="Book Antiqua"/>
          <w:b/>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Another important event</w:t>
      </w:r>
      <w:r>
        <w:rPr>
          <w:rFonts w:ascii="Book Antiqua" w:hAnsi="Book Antiqua"/>
          <w:sz w:val="20"/>
        </w:rPr>
        <w:t>,</w:t>
      </w:r>
      <w:r w:rsidRPr="00BD541D">
        <w:rPr>
          <w:rFonts w:ascii="Book Antiqua" w:hAnsi="Book Antiqua"/>
          <w:sz w:val="20"/>
        </w:rPr>
        <w:t xml:space="preserve"> referred to as the Late Heavy Bombardment (LHB)</w:t>
      </w:r>
      <w:r>
        <w:rPr>
          <w:rFonts w:ascii="Book Antiqua" w:hAnsi="Book Antiqua"/>
          <w:sz w:val="20"/>
        </w:rPr>
        <w:t xml:space="preserve">, </w:t>
      </w:r>
      <w:r w:rsidRPr="00BD541D">
        <w:rPr>
          <w:rFonts w:ascii="Book Antiqua" w:hAnsi="Book Antiqua"/>
          <w:sz w:val="20"/>
        </w:rPr>
        <w:t>occurred in the solar system somewhere around 3.9 to 3.5 billion atomic years ago</w:t>
      </w:r>
      <w:r>
        <w:rPr>
          <w:rFonts w:ascii="Book Antiqua" w:hAnsi="Book Antiqua"/>
          <w:sz w:val="20"/>
        </w:rPr>
        <w:t>.</w:t>
      </w:r>
      <w:r w:rsidRPr="00BD541D">
        <w:rPr>
          <w:rFonts w:ascii="Book Antiqua" w:hAnsi="Book Antiqua"/>
          <w:sz w:val="20"/>
        </w:rPr>
        <w:t xml:space="preserve"> </w:t>
      </w:r>
      <w:r>
        <w:rPr>
          <w:rFonts w:ascii="Book Antiqua" w:hAnsi="Book Antiqua"/>
          <w:sz w:val="20"/>
        </w:rPr>
        <w:t xml:space="preserve"> Evidence of this massive series of hits can be found on each of the </w:t>
      </w:r>
      <w:r>
        <w:rPr>
          <w:rFonts w:ascii="Book Antiqua" w:hAnsi="Book Antiqua"/>
          <w:sz w:val="20"/>
        </w:rPr>
        <w:lastRenderedPageBreak/>
        <w:t>solid planets and many moons.  It was evidently caused by the breakup of a large object in what is now known as the Kuiper Belt, beyond Pluto.  At the time of the LHB, we have already noted that there was probably another planet between Mars and Jupiter which, along with its moon, was also hit by objects from the LHB breakup.  This astroidal planet later exploded, along with its moon, and the pieces of that planet and moon which hit Earth have given us evidence of the LHB itself.  This evidence is</w:t>
      </w:r>
      <w:r w:rsidRPr="00BD541D">
        <w:rPr>
          <w:rFonts w:ascii="Book Antiqua" w:hAnsi="Book Antiqua"/>
          <w:sz w:val="20"/>
        </w:rPr>
        <w:t xml:space="preserve"> recorded by some achondrites from the crust and at least two stony-irons which originated deeper in the interior of the asteroidal parent planet. The Stannern achondrite indicates an impact event at 3.7 billion atomic years ago in which some isotopic clocks were reset. The Millbillillie meteorite records this major impact event radiometrically dated as occurring 3.55 billion atomic years ago. An achondrite from the Sahara labelled as S99555 records a late isotopic disturbance on the parent </w:t>
      </w:r>
      <w:r>
        <w:rPr>
          <w:rFonts w:ascii="Book Antiqua" w:hAnsi="Book Antiqua"/>
          <w:sz w:val="20"/>
        </w:rPr>
        <w:t xml:space="preserve">astroidal </w:t>
      </w:r>
      <w:r w:rsidRPr="00BD541D">
        <w:rPr>
          <w:rFonts w:ascii="Book Antiqua" w:hAnsi="Book Antiqua"/>
          <w:sz w:val="20"/>
        </w:rPr>
        <w:t xml:space="preserve">planet at 3.54 billion atomic years. Two stony-irons (Bondoc and Estherville) also record this event radiometrically as occurring 3.9 billion atomic years ago. </w:t>
      </w:r>
      <w:r>
        <w:rPr>
          <w:rFonts w:ascii="Book Antiqua" w:hAnsi="Book Antiqua"/>
          <w:sz w:val="20"/>
        </w:rPr>
        <w:t xml:space="preserve"> </w:t>
      </w:r>
      <w:r w:rsidRPr="00BD541D">
        <w:rPr>
          <w:rFonts w:ascii="Book Antiqua" w:hAnsi="Book Antiqua"/>
          <w:sz w:val="20"/>
        </w:rPr>
        <w:t xml:space="preserve">The radiometric dates for this event from Lunar samples range from 3.92 down to 2.76 billion atomic years, with the majority of samples returning dates above 3.05 billion atomic years.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Cohen, Swindle and Kring state that </w:t>
      </w:r>
      <w:r w:rsidRPr="00BD541D">
        <w:rPr>
          <w:rFonts w:ascii="Book Antiqua" w:hAnsi="Book Antiqua"/>
          <w:i/>
          <w:sz w:val="20"/>
        </w:rPr>
        <w:t>"A 'spike' in the impactor flux at ~ 3.9 Ga [billion atomic years] is the easiest way to match the impact melt age data."</w:t>
      </w:r>
      <w:r w:rsidRPr="00BD541D">
        <w:rPr>
          <w:rFonts w:ascii="Book Antiqua" w:hAnsi="Book Antiqua"/>
          <w:sz w:val="20"/>
        </w:rPr>
        <w:t xml:space="preserve"> They further state that </w:t>
      </w:r>
      <w:r w:rsidRPr="00BD541D">
        <w:rPr>
          <w:rFonts w:ascii="Book Antiqua" w:hAnsi="Book Antiqua"/>
          <w:i/>
          <w:sz w:val="20"/>
        </w:rPr>
        <w:t>"Impact ages in euchrites [achondrites], mesosiderites [stony-irons], and other meteorites have a similar distribution: none are older than ~ 3.9 Ga, with ages tailing down to 3.4 Ga or younger, suggesting the cataclysm affected the entire inner solar system, including Mars."</w:t>
      </w:r>
      <w:r w:rsidRPr="00BD541D">
        <w:rPr>
          <w:rFonts w:ascii="Book Antiqua" w:hAnsi="Book Antiqua"/>
          <w:sz w:val="20"/>
        </w:rPr>
        <w:t xml:space="preserve">[29]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evidence is important. It indicates that </w:t>
      </w:r>
      <w:r>
        <w:rPr>
          <w:rFonts w:ascii="Book Antiqua" w:hAnsi="Book Antiqua"/>
          <w:sz w:val="20"/>
        </w:rPr>
        <w:t xml:space="preserve">at the time of the Late Heavy Bombardment </w:t>
      </w:r>
      <w:r w:rsidRPr="00BD541D">
        <w:rPr>
          <w:rFonts w:ascii="Book Antiqua" w:hAnsi="Book Antiqua"/>
          <w:sz w:val="20"/>
        </w:rPr>
        <w:t>the parent bodies for asteroids and meteorites had not yet fractured</w:t>
      </w:r>
      <w:r>
        <w:rPr>
          <w:rFonts w:ascii="Book Antiqua" w:hAnsi="Book Antiqua"/>
          <w:sz w:val="20"/>
        </w:rPr>
        <w:t xml:space="preserve">, but themselves were hit.  </w:t>
      </w:r>
      <w:r w:rsidRPr="00BD541D">
        <w:rPr>
          <w:rFonts w:ascii="Book Antiqua" w:hAnsi="Book Antiqua"/>
          <w:sz w:val="20"/>
        </w:rPr>
        <w:t>Consequently, Planet Y</w:t>
      </w:r>
      <w:r>
        <w:rPr>
          <w:rFonts w:ascii="Book Antiqua" w:hAnsi="Book Antiqua"/>
          <w:sz w:val="20"/>
        </w:rPr>
        <w:t>, the astroidal planet,</w:t>
      </w:r>
      <w:r w:rsidRPr="00BD541D">
        <w:rPr>
          <w:rFonts w:ascii="Book Antiqua" w:hAnsi="Book Antiqua"/>
          <w:sz w:val="20"/>
        </w:rPr>
        <w:t xml:space="preserve"> could not have been the source of this group of impacting objects. The source of the impactors for the LHB must thereby have been located further out, and may have given rise to the Kuiper Belt of objects and the comets in a similar way to which Planet Y and its moon later gave rise to the asteroid belt and meteorites. The exploration of this possibility, among several options, was performed by Harold Levison and published in </w:t>
      </w:r>
      <w:r w:rsidRPr="00BD541D">
        <w:rPr>
          <w:rFonts w:ascii="Book Antiqua" w:hAnsi="Book Antiqua"/>
          <w:i/>
          <w:sz w:val="20"/>
        </w:rPr>
        <w:t>Icarus</w:t>
      </w:r>
      <w:r w:rsidRPr="00BD541D">
        <w:rPr>
          <w:rFonts w:ascii="Book Antiqua" w:hAnsi="Book Antiqua"/>
          <w:sz w:val="20"/>
        </w:rPr>
        <w:t xml:space="preserve"> for June 2001 and </w:t>
      </w:r>
      <w:r w:rsidRPr="00BD541D">
        <w:rPr>
          <w:rFonts w:ascii="Book Antiqua" w:hAnsi="Book Antiqua"/>
          <w:i/>
          <w:sz w:val="20"/>
        </w:rPr>
        <w:t>New Scientist</w:t>
      </w:r>
      <w:r w:rsidRPr="00BD541D">
        <w:rPr>
          <w:rFonts w:ascii="Book Antiqua" w:hAnsi="Book Antiqua"/>
          <w:sz w:val="20"/>
        </w:rPr>
        <w:t xml:space="preserve"> for 7 April 2001.</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 LHB was responsible for the major impact basins on the Moon. It has been suggested that about 50 recognized circular basins over 300 km in diameter were formed at that time [30, 31].  H. H. Schmitt states that </w:t>
      </w:r>
      <w:r w:rsidRPr="00BD541D">
        <w:rPr>
          <w:rFonts w:ascii="Book Antiqua" w:hAnsi="Book Antiqua"/>
          <w:i/>
          <w:sz w:val="20"/>
        </w:rPr>
        <w:t>"the source of these basin-forming impactors has not been identified,"</w:t>
      </w:r>
      <w:r w:rsidRPr="00BD541D">
        <w:rPr>
          <w:rFonts w:ascii="Book Antiqua" w:hAnsi="Book Antiqua"/>
          <w:sz w:val="20"/>
        </w:rPr>
        <w:t xml:space="preserve"> but then goes on to list four possibilities [32]. Of these the two most likely are (1) the injection into the inner solar system of objects from the proto-Kuiper-Edgeworth Belt of cometary objects due to the orbital resonance with Neptune, and (2) the break-up of the planetesimal precursor of the Main Belt Asteroids. </w:t>
      </w:r>
    </w:p>
    <w:p w:rsidR="00700009"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because the evidence indicates the precursor planet that formed the asteroid belt was also impacted by the LHB event, this indicates that the LHB reflects a break-up of a planetary object in the Kuiper Belt rather than in the asteroid belt.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breakup of this Kuiper Belt object </w:t>
      </w:r>
      <w:r>
        <w:rPr>
          <w:rFonts w:ascii="Book Antiqua" w:hAnsi="Book Antiqua"/>
          <w:sz w:val="20"/>
        </w:rPr>
        <w:t>may well have</w:t>
      </w:r>
      <w:r w:rsidRPr="00BD541D">
        <w:rPr>
          <w:rFonts w:ascii="Book Antiqua" w:hAnsi="Book Antiqua"/>
          <w:sz w:val="20"/>
        </w:rPr>
        <w:t xml:space="preserve"> been the originator of the comets.</w:t>
      </w:r>
      <w:r>
        <w:rPr>
          <w:rFonts w:ascii="Book Antiqua" w:hAnsi="Book Antiqua"/>
          <w:sz w:val="20"/>
        </w:rPr>
        <w:t xml:space="preserve"> </w:t>
      </w:r>
      <w:r w:rsidRPr="00BD541D">
        <w:rPr>
          <w:rFonts w:ascii="Book Antiqua" w:hAnsi="Book Antiqua"/>
          <w:sz w:val="20"/>
        </w:rPr>
        <w:t>This is supported by the fact that the orbits of some long period comets which originate deep in the Kuiper Belt also show explosion signatures. These signatures were first seen in Soviet satellites which, having completed their secret mission, were blown up in orbit. As Western astronomers tracked the initial paths of the main pieces of debris, an unusual circumstance was noted.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To illustrate what happened</w:t>
      </w:r>
      <w:r w:rsidRPr="00BD541D">
        <w:rPr>
          <w:rFonts w:ascii="Book Antiqua" w:hAnsi="Book Antiqua"/>
          <w:sz w:val="20"/>
        </w:rPr>
        <w:t xml:space="preserve">, let us assume that the original satellite was in an orbit which passed over both the Earth’s poles. Let us further assume that the explosion which destroyed the satellite occurred while it was directly over the North Pole. The resulting debris went into a variety of orbits, some at high inclinations to the original orbit of the satellite. If all the orbits were graphed, the graph would show that all the orbits intersected each other at the point where the explosion had occurred [11].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3187943" cy="2133600"/>
            <wp:effectExtent l="19050" t="0" r="0" b="0"/>
            <wp:docPr id="1510" name="il_fi" descr="http://ars.els-cdn.com/content/image/1-s2.0-S0094576507003281-g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s.els-cdn.com/content/image/1-s2.0-S0094576507003281-gr10.jpg"/>
                    <pic:cNvPicPr>
                      <a:picLocks noChangeAspect="1" noChangeArrowheads="1"/>
                    </pic:cNvPicPr>
                  </pic:nvPicPr>
                  <pic:blipFill>
                    <a:blip r:embed="rId1022" cstate="print">
                      <a:lum/>
                    </a:blip>
                    <a:srcRect l="50695" r="-40" b="56077"/>
                    <a:stretch>
                      <a:fillRect/>
                    </a:stretch>
                  </pic:blipFill>
                  <pic:spPr bwMode="auto">
                    <a:xfrm>
                      <a:off x="0" y="0"/>
                      <a:ext cx="3199890" cy="214159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18"/>
          <w:szCs w:val="18"/>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6:</w:t>
      </w:r>
      <w:r w:rsidRPr="00B07237">
        <w:rPr>
          <w:rFonts w:ascii="Book Antiqua" w:hAnsi="Book Antiqua"/>
          <w:i/>
          <w:sz w:val="18"/>
          <w:szCs w:val="18"/>
        </w:rPr>
        <w:t xml:space="preserve"> The orbits of debris from the Fengyun-1C satellite 6 months after it was exploded on 11</w:t>
      </w:r>
      <w:r w:rsidRPr="00B07237">
        <w:rPr>
          <w:rFonts w:ascii="Book Antiqua" w:hAnsi="Book Antiqua"/>
          <w:i/>
          <w:sz w:val="18"/>
          <w:szCs w:val="18"/>
          <w:vertAlign w:val="superscript"/>
        </w:rPr>
        <w:t>th</w:t>
      </w:r>
      <w:r w:rsidRPr="00B07237">
        <w:rPr>
          <w:rFonts w:ascii="Book Antiqua" w:hAnsi="Book Antiqua"/>
          <w:i/>
          <w:sz w:val="18"/>
          <w:szCs w:val="18"/>
        </w:rPr>
        <w:t xml:space="preserve"> Jan. 2007. Orbits of debris crossed at the explosion point.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More recently, the Chinese Fengyun-1C meteorological satellite was blown up in orbit on 11</w:t>
      </w:r>
      <w:r w:rsidRPr="00BD541D">
        <w:rPr>
          <w:rFonts w:ascii="Book Antiqua" w:hAnsi="Book Antiqua"/>
          <w:sz w:val="20"/>
          <w:vertAlign w:val="superscript"/>
        </w:rPr>
        <w:t>th</w:t>
      </w:r>
      <w:r w:rsidRPr="00BD541D">
        <w:rPr>
          <w:rFonts w:ascii="Book Antiqua" w:hAnsi="Book Antiqua"/>
          <w:sz w:val="20"/>
        </w:rPr>
        <w:t xml:space="preserve"> January 2007. Over 2200 fragments larger than 5 centimeters (2 inches) were tracked and their paths graphed. After 6 months, the orbits of the debris ranged in altitude from 200 km to 4000 km. But all the orbits crossed at the explosion point as shown in Figure 6.</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 similar way, when Van Flandern had graphed the paths of comets which came in from deep in the Kuiper Belt, th</w:t>
      </w:r>
      <w:r>
        <w:rPr>
          <w:rFonts w:ascii="Book Antiqua" w:hAnsi="Book Antiqua"/>
          <w:sz w:val="20"/>
        </w:rPr>
        <w:t>is</w:t>
      </w:r>
      <w:r w:rsidRPr="00BD541D">
        <w:rPr>
          <w:rFonts w:ascii="Book Antiqua" w:hAnsi="Book Antiqua"/>
          <w:sz w:val="20"/>
        </w:rPr>
        <w:t xml:space="preserve"> same phenomenon was noted. Their orbits generally seemed to intersect in a specific region in the outer solar system [11]. This testifies to the explosion </w:t>
      </w:r>
      <w:r>
        <w:rPr>
          <w:rFonts w:ascii="Book Antiqua" w:hAnsi="Book Antiqua"/>
          <w:sz w:val="20"/>
        </w:rPr>
        <w:t xml:space="preserve">that </w:t>
      </w:r>
      <w:r w:rsidRPr="00BD541D">
        <w:rPr>
          <w:rFonts w:ascii="Book Antiqua" w:hAnsi="Book Antiqua"/>
          <w:sz w:val="20"/>
        </w:rPr>
        <w:t>must have occurred in the Kuiper Belt</w:t>
      </w:r>
      <w:r>
        <w:rPr>
          <w:rFonts w:ascii="Book Antiqua" w:hAnsi="Book Antiqua"/>
          <w:sz w:val="20"/>
        </w:rPr>
        <w:t xml:space="preserve"> and</w:t>
      </w:r>
      <w:r w:rsidRPr="00BD541D">
        <w:rPr>
          <w:rFonts w:ascii="Book Antiqua" w:hAnsi="Book Antiqua"/>
          <w:sz w:val="20"/>
        </w:rPr>
        <w:t xml:space="preserve"> which gave rise to the Late Heavy Bombardment and the long period comets.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8. Crater Forming Processes.</w:t>
      </w:r>
    </w:p>
    <w:p w:rsidR="00700009" w:rsidRPr="00BD541D" w:rsidRDefault="00700009" w:rsidP="00700009">
      <w:pPr>
        <w:pStyle w:val="NoSpacing"/>
        <w:ind w:left="810"/>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breakup of the Kuiper Belt planetary object, as well as the later breakup of Planet Y and its moon </w:t>
      </w:r>
      <w:r>
        <w:rPr>
          <w:rFonts w:ascii="Book Antiqua" w:hAnsi="Book Antiqua"/>
          <w:sz w:val="20"/>
        </w:rPr>
        <w:t>(which</w:t>
      </w:r>
      <w:r w:rsidRPr="00BD541D">
        <w:rPr>
          <w:rFonts w:ascii="Book Antiqua" w:hAnsi="Book Antiqua"/>
          <w:sz w:val="20"/>
        </w:rPr>
        <w:t xml:space="preserve"> form</w:t>
      </w:r>
      <w:r>
        <w:rPr>
          <w:rFonts w:ascii="Book Antiqua" w:hAnsi="Book Antiqua"/>
          <w:sz w:val="20"/>
        </w:rPr>
        <w:t>ed</w:t>
      </w:r>
      <w:r w:rsidRPr="00BD541D">
        <w:rPr>
          <w:rFonts w:ascii="Book Antiqua" w:hAnsi="Book Antiqua"/>
          <w:sz w:val="20"/>
        </w:rPr>
        <w:t xml:space="preserve"> the asteroid belt</w:t>
      </w:r>
      <w:r>
        <w:rPr>
          <w:rFonts w:ascii="Book Antiqua" w:hAnsi="Book Antiqua"/>
          <w:sz w:val="20"/>
        </w:rPr>
        <w:t>)</w:t>
      </w:r>
      <w:r w:rsidRPr="00BD541D">
        <w:rPr>
          <w:rFonts w:ascii="Book Antiqua" w:hAnsi="Book Antiqua"/>
          <w:sz w:val="20"/>
        </w:rPr>
        <w:t xml:space="preserve">, were cataclysmic events. The showers of debris sent through the solar system would have resulted in numerous impact craters. </w:t>
      </w:r>
      <w:r>
        <w:rPr>
          <w:rFonts w:ascii="Book Antiqua" w:hAnsi="Book Antiqua"/>
          <w:sz w:val="20"/>
        </w:rPr>
        <w:t>In addition</w:t>
      </w:r>
      <w:r w:rsidRPr="00BD541D">
        <w:rPr>
          <w:rFonts w:ascii="Book Antiqua" w:hAnsi="Book Antiqua"/>
          <w:sz w:val="20"/>
        </w:rPr>
        <w:t xml:space="preserve">, the disruption of these planetary bodies and their plasmaspheres </w:t>
      </w:r>
      <w:r>
        <w:rPr>
          <w:rFonts w:ascii="Book Antiqua" w:hAnsi="Book Antiqua"/>
          <w:sz w:val="20"/>
        </w:rPr>
        <w:t>(</w:t>
      </w:r>
      <w:r w:rsidRPr="00BD541D">
        <w:rPr>
          <w:rFonts w:ascii="Book Antiqua" w:hAnsi="Book Antiqua"/>
          <w:sz w:val="20"/>
        </w:rPr>
        <w:t>or magnetospheres</w:t>
      </w:r>
      <w:r>
        <w:rPr>
          <w:rFonts w:ascii="Book Antiqua" w:hAnsi="Book Antiqua"/>
          <w:sz w:val="20"/>
        </w:rPr>
        <w:t>)</w:t>
      </w:r>
      <w:r w:rsidRPr="00BD541D">
        <w:rPr>
          <w:rFonts w:ascii="Book Antiqua" w:hAnsi="Book Antiqua"/>
          <w:sz w:val="20"/>
        </w:rPr>
        <w:t xml:space="preserve"> would have been accompanied by massive electromagnetic effects</w:t>
      </w:r>
      <w:r>
        <w:rPr>
          <w:rFonts w:ascii="Book Antiqua" w:hAnsi="Book Antiqua"/>
          <w:sz w:val="20"/>
        </w:rPr>
        <w:t xml:space="preserve">.  These would also have </w:t>
      </w:r>
      <w:r w:rsidRPr="00BD541D">
        <w:rPr>
          <w:rFonts w:ascii="Book Antiqua" w:hAnsi="Book Antiqua"/>
          <w:sz w:val="20"/>
        </w:rPr>
        <w:t xml:space="preserve">reached throughout the entire solar system.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These electromagnetic effects would have occurred because a</w:t>
      </w:r>
      <w:r>
        <w:rPr>
          <w:rFonts w:ascii="Book Antiqua" w:hAnsi="Book Antiqua"/>
          <w:sz w:val="20"/>
        </w:rPr>
        <w:t xml:space="preserve"> much</w:t>
      </w:r>
      <w:r w:rsidRPr="00BD541D">
        <w:rPr>
          <w:rFonts w:ascii="Book Antiqua" w:hAnsi="Book Antiqua"/>
          <w:sz w:val="20"/>
        </w:rPr>
        <w:t xml:space="preserve"> high</w:t>
      </w:r>
      <w:r>
        <w:rPr>
          <w:rFonts w:ascii="Book Antiqua" w:hAnsi="Book Antiqua"/>
          <w:sz w:val="20"/>
        </w:rPr>
        <w:t>er</w:t>
      </w:r>
      <w:r w:rsidRPr="00BD541D">
        <w:rPr>
          <w:rFonts w:ascii="Book Antiqua" w:hAnsi="Book Antiqua"/>
          <w:sz w:val="20"/>
        </w:rPr>
        <w:t xml:space="preserve"> voltage differential existed in the early solar system</w:t>
      </w:r>
      <w:r>
        <w:rPr>
          <w:rFonts w:ascii="Book Antiqua" w:hAnsi="Book Antiqua"/>
          <w:sz w:val="20"/>
        </w:rPr>
        <w:t xml:space="preserve">.  </w:t>
      </w:r>
      <w:r w:rsidRPr="00BD541D">
        <w:rPr>
          <w:rFonts w:ascii="Book Antiqua" w:hAnsi="Book Antiqua"/>
          <w:sz w:val="20"/>
        </w:rPr>
        <w:t xml:space="preserve"> Even today, compared with the Sun, the outer solar system is at a high negative potential. This is why the stream of protons from the Sun, known as the solar wind, accelerates </w:t>
      </w:r>
      <w:r>
        <w:rPr>
          <w:rFonts w:ascii="Book Antiqua" w:hAnsi="Book Antiqua"/>
          <w:sz w:val="20"/>
        </w:rPr>
        <w:t xml:space="preserve">as it moves </w:t>
      </w:r>
      <w:r w:rsidRPr="00BD541D">
        <w:rPr>
          <w:rFonts w:ascii="Book Antiqua" w:hAnsi="Book Antiqua"/>
          <w:sz w:val="20"/>
        </w:rPr>
        <w:t>away from the sun</w:t>
      </w:r>
      <w:r>
        <w:rPr>
          <w:rFonts w:ascii="Book Antiqua" w:hAnsi="Book Antiqua"/>
          <w:sz w:val="20"/>
        </w:rPr>
        <w:t>, its</w:t>
      </w:r>
      <w:r w:rsidRPr="00BD541D">
        <w:rPr>
          <w:rFonts w:ascii="Book Antiqua" w:hAnsi="Book Antiqua"/>
          <w:sz w:val="20"/>
        </w:rPr>
        <w:t xml:space="preserve"> velocity increas</w:t>
      </w:r>
      <w:r>
        <w:rPr>
          <w:rFonts w:ascii="Book Antiqua" w:hAnsi="Book Antiqua"/>
          <w:sz w:val="20"/>
        </w:rPr>
        <w:t>ing</w:t>
      </w:r>
      <w:r w:rsidRPr="00BD541D">
        <w:rPr>
          <w:rFonts w:ascii="Book Antiqua" w:hAnsi="Book Antiqua"/>
          <w:sz w:val="20"/>
        </w:rPr>
        <w:t xml:space="preserve"> the further out in the solar system it goes. The </w:t>
      </w:r>
      <w:r>
        <w:rPr>
          <w:rFonts w:ascii="Book Antiqua" w:hAnsi="Book Antiqua"/>
          <w:sz w:val="20"/>
        </w:rPr>
        <w:t xml:space="preserve">positively charged </w:t>
      </w:r>
      <w:r w:rsidRPr="00BD541D">
        <w:rPr>
          <w:rFonts w:ascii="Book Antiqua" w:hAnsi="Book Antiqua"/>
          <w:sz w:val="20"/>
        </w:rPr>
        <w:t xml:space="preserve">particles </w:t>
      </w:r>
      <w:r>
        <w:rPr>
          <w:rFonts w:ascii="Book Antiqua" w:hAnsi="Book Antiqua"/>
          <w:sz w:val="20"/>
        </w:rPr>
        <w:t xml:space="preserve">making up the solar wind </w:t>
      </w:r>
      <w:r w:rsidRPr="00BD541D">
        <w:rPr>
          <w:rFonts w:ascii="Book Antiqua" w:hAnsi="Book Antiqua"/>
          <w:sz w:val="20"/>
        </w:rPr>
        <w:t xml:space="preserve">are responding to electric forces, not gravity. </w:t>
      </w:r>
      <w:r w:rsidRPr="004A64CE">
        <w:rPr>
          <w:rFonts w:ascii="Book Antiqua" w:hAnsi="Book Antiqua"/>
          <w:sz w:val="20"/>
        </w:rPr>
        <w:t>In the same way,</w:t>
      </w:r>
      <w:r>
        <w:rPr>
          <w:rFonts w:ascii="Book Antiqua" w:hAnsi="Book Antiqua"/>
          <w:color w:val="FF0000"/>
          <w:sz w:val="20"/>
        </w:rPr>
        <w:t xml:space="preserve"> </w:t>
      </w:r>
      <w:r>
        <w:rPr>
          <w:rFonts w:ascii="Book Antiqua" w:hAnsi="Book Antiqua"/>
          <w:sz w:val="20"/>
        </w:rPr>
        <w:t>due to the high negative potential in the outer solar system,</w:t>
      </w:r>
      <w:r w:rsidRPr="00BD541D">
        <w:rPr>
          <w:rFonts w:ascii="Book Antiqua" w:hAnsi="Book Antiqua"/>
          <w:sz w:val="20"/>
        </w:rPr>
        <w:t xml:space="preserve"> objects </w:t>
      </w:r>
      <w:r>
        <w:rPr>
          <w:rFonts w:ascii="Book Antiqua" w:hAnsi="Book Antiqua"/>
          <w:sz w:val="20"/>
        </w:rPr>
        <w:t>originating there</w:t>
      </w:r>
      <w:r w:rsidRPr="00BD541D">
        <w:rPr>
          <w:rFonts w:ascii="Book Antiqua" w:hAnsi="Book Antiqua"/>
          <w:sz w:val="20"/>
        </w:rPr>
        <w:t xml:space="preserve"> will be at an intrinsically more negative electric potential than the inner solar system.</w:t>
      </w:r>
      <w:r>
        <w:rPr>
          <w:rFonts w:ascii="Book Antiqua" w:hAnsi="Book Antiqua"/>
          <w:sz w:val="20"/>
        </w:rPr>
        <w:t xml:space="preserve">  This voltage differential would have been much higher in the past due to the effects of a lower Zero Point Energy.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These electromagnetic effects could manifest in at least three different ways. First, the explosive disruption of these original bodies and their plasmaspheres and magnetospheres would trigger a series of plasma interactions throughout the solar system involving massive arc discharges and related phenomena. Second, compared with today, even the fragments of these original objects would have been at a much higher electric potential compared with the planets and moons that they interacted with. This high potential difference would induce strong electric and magnetic effects when these fragments came close to other bodies. Third, </w:t>
      </w:r>
      <w:r>
        <w:rPr>
          <w:rFonts w:ascii="Book Antiqua" w:hAnsi="Book Antiqua"/>
          <w:sz w:val="20"/>
        </w:rPr>
        <w:t>even</w:t>
      </w:r>
      <w:r w:rsidRPr="00BD541D">
        <w:rPr>
          <w:rFonts w:ascii="Book Antiqua" w:hAnsi="Book Antiqua"/>
          <w:sz w:val="20"/>
        </w:rPr>
        <w:t xml:space="preserve"> if these fragments </w:t>
      </w:r>
      <w:r>
        <w:rPr>
          <w:rFonts w:ascii="Book Antiqua" w:hAnsi="Book Antiqua"/>
          <w:sz w:val="20"/>
        </w:rPr>
        <w:t>were</w:t>
      </w:r>
      <w:r w:rsidRPr="00BD541D">
        <w:rPr>
          <w:rFonts w:ascii="Book Antiqua" w:hAnsi="Book Antiqua"/>
          <w:sz w:val="20"/>
        </w:rPr>
        <w:t xml:space="preserve"> relatively small, they </w:t>
      </w:r>
      <w:r w:rsidRPr="004A64CE">
        <w:rPr>
          <w:rFonts w:ascii="Book Antiqua" w:hAnsi="Book Antiqua"/>
          <w:sz w:val="20"/>
        </w:rPr>
        <w:t>would have</w:t>
      </w:r>
      <w:r>
        <w:rPr>
          <w:rFonts w:ascii="Book Antiqua" w:hAnsi="Book Antiqua"/>
          <w:color w:val="FF0000"/>
          <w:sz w:val="20"/>
        </w:rPr>
        <w:t xml:space="preserve"> </w:t>
      </w:r>
      <w:r w:rsidRPr="00BD541D">
        <w:rPr>
          <w:rFonts w:ascii="Book Antiqua" w:hAnsi="Book Antiqua"/>
          <w:sz w:val="20"/>
        </w:rPr>
        <w:t>create</w:t>
      </w:r>
      <w:r>
        <w:rPr>
          <w:rFonts w:ascii="Book Antiqua" w:hAnsi="Book Antiqua"/>
          <w:sz w:val="20"/>
        </w:rPr>
        <w:t>d</w:t>
      </w:r>
      <w:r w:rsidRPr="00BD541D">
        <w:rPr>
          <w:rFonts w:ascii="Book Antiqua" w:hAnsi="Book Antiqua"/>
          <w:sz w:val="20"/>
        </w:rPr>
        <w:t xml:space="preserve"> plasma trails which ionize</w:t>
      </w:r>
      <w:r>
        <w:rPr>
          <w:rFonts w:ascii="Book Antiqua" w:hAnsi="Book Antiqua"/>
          <w:sz w:val="20"/>
        </w:rPr>
        <w:t>d</w:t>
      </w:r>
      <w:r w:rsidRPr="00BD541D">
        <w:rPr>
          <w:rFonts w:ascii="Book Antiqua" w:hAnsi="Book Antiqua"/>
          <w:sz w:val="20"/>
        </w:rPr>
        <w:t xml:space="preserve"> the atmosphere.  This would have short-circuited the Earth’s electric field and caused a major discharge that started at a high altitude and continued down as the fragment reached the ground. With a </w:t>
      </w:r>
      <w:r w:rsidRPr="00BD541D">
        <w:rPr>
          <w:rFonts w:ascii="Book Antiqua" w:hAnsi="Book Antiqua"/>
          <w:sz w:val="20"/>
        </w:rPr>
        <w:lastRenderedPageBreak/>
        <w:t>shower of such fragments, the electric discharge</w:t>
      </w:r>
      <w:r>
        <w:rPr>
          <w:rFonts w:ascii="Book Antiqua" w:hAnsi="Book Antiqua"/>
          <w:sz w:val="20"/>
        </w:rPr>
        <w:t>s</w:t>
      </w:r>
      <w:r w:rsidRPr="00BD541D">
        <w:rPr>
          <w:rFonts w:ascii="Book Antiqua" w:hAnsi="Book Antiqua"/>
          <w:sz w:val="20"/>
        </w:rPr>
        <w:t xml:space="preserve"> would </w:t>
      </w:r>
      <w:r>
        <w:rPr>
          <w:rFonts w:ascii="Book Antiqua" w:hAnsi="Book Antiqua"/>
          <w:sz w:val="20"/>
        </w:rPr>
        <w:t>have been</w:t>
      </w:r>
      <w:r w:rsidRPr="00BD541D">
        <w:rPr>
          <w:rFonts w:ascii="Book Antiqua" w:hAnsi="Book Antiqua"/>
          <w:sz w:val="20"/>
        </w:rPr>
        <w:t xml:space="preserve"> extremely dramatic. This three-fold plasma-electrical interaction gives us another possible source for craters resulting from these events.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It has been shown by several experimenters that the craters resulting from electromagnetic pulses, electrical machining and arc discharges are similar to what we see on planetary surfaces</w:t>
      </w:r>
      <w:r>
        <w:rPr>
          <w:rFonts w:ascii="Book Antiqua" w:hAnsi="Book Antiqua"/>
          <w:sz w:val="20"/>
        </w:rPr>
        <w:t>,</w:t>
      </w:r>
      <w:r w:rsidRPr="00BD541D">
        <w:rPr>
          <w:rFonts w:ascii="Book Antiqua" w:hAnsi="Book Antiqua"/>
          <w:sz w:val="20"/>
        </w:rPr>
        <w:t xml:space="preserve"> the surfaces of the moons</w:t>
      </w:r>
      <w:r>
        <w:rPr>
          <w:rFonts w:ascii="Book Antiqua" w:hAnsi="Book Antiqua"/>
          <w:sz w:val="20"/>
        </w:rPr>
        <w:t>,</w:t>
      </w:r>
      <w:r w:rsidRPr="00BD541D">
        <w:rPr>
          <w:rFonts w:ascii="Book Antiqua" w:hAnsi="Book Antiqua"/>
          <w:sz w:val="20"/>
        </w:rPr>
        <w:t xml:space="preserve"> and even on asteroids in our solar system. In 1963 Dietz indicated that lightning bolts, which are essentially the same as a Bennett or Z-pinch plasma, might create craters with associated shocked minerals in the same way as impacting objects [32a]. In 1965, Ford used a spark machining apparatus that showed the similarity between </w:t>
      </w:r>
      <w:proofErr w:type="gramStart"/>
      <w:r w:rsidRPr="00BD541D">
        <w:rPr>
          <w:rFonts w:ascii="Book Antiqua" w:hAnsi="Book Antiqua"/>
          <w:sz w:val="20"/>
        </w:rPr>
        <w:t>Lunar</w:t>
      </w:r>
      <w:proofErr w:type="gramEnd"/>
      <w:r w:rsidRPr="00BD541D">
        <w:rPr>
          <w:rFonts w:ascii="Book Antiqua" w:hAnsi="Book Antiqua"/>
          <w:sz w:val="20"/>
        </w:rPr>
        <w:t xml:space="preserve"> craters and those obtain by plasma-electrical means [33]. More recently, in 2008, Desai et al. produced craters in metal which demonstrated that the characteristics of the craters themselves, as well as crater chains, and the production of smaller craters on the rims of larger ones, were easily obtainable by electrical means [34]. While these experiments have been relatively small-scale, Alfven and Peratt have shown that such plasma interactions can be up-scaled by over 14 orders of magnitude [35].</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2011, C.J. Ransom of the Vemasat Research Institute experimented with Z-pinch plasma discharges acting on material more likely to be found on the surfaces of planets and moons. In so doing, he demonstrated (on a larger scale than those experimenting before him) that the resulting craters have the same form to those we see on planetary surfaces and the surfaces of the moons and asteroids in our solar system  (Figures 7 and 8).</w:t>
      </w:r>
      <w:r>
        <w:rPr>
          <w:rFonts w:ascii="Book Antiqua" w:hAnsi="Book Antiqua"/>
          <w:sz w:val="20"/>
        </w:rPr>
        <w:t xml:space="preserve"> </w:t>
      </w:r>
      <w:r w:rsidRPr="00BD541D">
        <w:rPr>
          <w:rFonts w:ascii="Book Antiqua" w:hAnsi="Book Antiqua"/>
          <w:sz w:val="20"/>
        </w:rPr>
        <w:t xml:space="preserve">C.J. Ransom writes </w:t>
      </w:r>
      <w:r w:rsidRPr="00BD541D">
        <w:rPr>
          <w:rFonts w:ascii="Book Antiqua" w:hAnsi="Book Antiqua"/>
          <w:i/>
          <w:sz w:val="20"/>
        </w:rPr>
        <w:t>“Craters were formed with features similar to craters found on planets, moons and asteroids. Features included craters with rims, rimless craters with no debris nearby, nearly rimless craters with debris adjacent to the crater, craters with spherules…craters with flat bottoms, multi-ringed craters, craters that resembled canyons and rilles. The vast majority of the plasma formed craters were circular although occasionally the plasma discharge produced noncircular craters.”</w:t>
      </w:r>
      <w:r w:rsidRPr="00BD541D">
        <w:rPr>
          <w:rFonts w:ascii="Book Antiqua" w:hAnsi="Book Antiqua"/>
          <w:sz w:val="20"/>
        </w:rPr>
        <w:t xml:space="preserve"> [36] </w:t>
      </w:r>
    </w:p>
    <w:p w:rsidR="00700009" w:rsidRPr="00BD541D" w:rsidRDefault="00700009" w:rsidP="007000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6"/>
        <w:gridCol w:w="4836"/>
      </w:tblGrid>
      <w:tr w:rsidR="00700009" w:rsidRPr="00BD541D" w:rsidTr="00BA27CF">
        <w:trPr>
          <w:jc w:val="center"/>
        </w:trPr>
        <w:tc>
          <w:tcPr>
            <w:tcW w:w="555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371850" cy="3181350"/>
                  <wp:effectExtent l="19050" t="0" r="0" b="0"/>
                  <wp:docPr id="1511"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23" cstate="print">
                            <a:lum contrast="10000"/>
                          </a:blip>
                          <a:srcRect/>
                          <a:stretch>
                            <a:fillRect/>
                          </a:stretch>
                        </pic:blipFill>
                        <pic:spPr bwMode="auto">
                          <a:xfrm>
                            <a:off x="0" y="0"/>
                            <a:ext cx="3377336" cy="3186526"/>
                          </a:xfrm>
                          <a:prstGeom prst="rect">
                            <a:avLst/>
                          </a:prstGeom>
                          <a:noFill/>
                          <a:ln w="9525">
                            <a:noFill/>
                            <a:miter lim="800000"/>
                            <a:headEnd/>
                            <a:tailEnd/>
                          </a:ln>
                        </pic:spPr>
                      </pic:pic>
                    </a:graphicData>
                  </a:graphic>
                </wp:inline>
              </w:drawing>
            </w:r>
          </w:p>
        </w:tc>
        <w:tc>
          <w:tcPr>
            <w:tcW w:w="483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2905125" cy="3177851"/>
                  <wp:effectExtent l="19050" t="0" r="9525" b="0"/>
                  <wp:docPr id="1512"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24" cstate="print"/>
                          <a:srcRect/>
                          <a:stretch>
                            <a:fillRect/>
                          </a:stretch>
                        </pic:blipFill>
                        <pic:spPr bwMode="auto">
                          <a:xfrm>
                            <a:off x="0" y="0"/>
                            <a:ext cx="2905125" cy="3177851"/>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7: Left –</w:t>
      </w:r>
      <w:r w:rsidRPr="00B07237">
        <w:rPr>
          <w:rFonts w:ascii="Book Antiqua" w:hAnsi="Book Antiqua"/>
          <w:i/>
          <w:sz w:val="18"/>
          <w:szCs w:val="18"/>
        </w:rPr>
        <w:t xml:space="preserve"> laboratory craters (some with central peaks) from electric discharge machining</w:t>
      </w:r>
      <w:r>
        <w:rPr>
          <w:rFonts w:ascii="Book Antiqua" w:hAnsi="Book Antiqua"/>
          <w:i/>
          <w:sz w:val="18"/>
          <w:szCs w:val="18"/>
        </w:rPr>
        <w:t xml:space="preserve"> (EDM)</w:t>
      </w:r>
      <w:r w:rsidRPr="00B07237">
        <w:rPr>
          <w:rFonts w:ascii="Book Antiqua" w:hAnsi="Book Antiqua"/>
          <w:i/>
          <w:sz w:val="18"/>
          <w:szCs w:val="18"/>
        </w:rPr>
        <w:t xml:space="preserve">. Note that the ground is discolored where the discharge was strongest [36]. </w:t>
      </w:r>
      <w:r w:rsidRPr="00B07237">
        <w:rPr>
          <w:rFonts w:ascii="Book Antiqua" w:hAnsi="Book Antiqua"/>
          <w:b/>
          <w:i/>
          <w:sz w:val="18"/>
          <w:szCs w:val="18"/>
        </w:rPr>
        <w:t>Right –</w:t>
      </w:r>
      <w:r w:rsidRPr="00B07237">
        <w:rPr>
          <w:rFonts w:ascii="Book Antiqua" w:hAnsi="Book Antiqua"/>
          <w:i/>
          <w:sz w:val="18"/>
          <w:szCs w:val="18"/>
        </w:rPr>
        <w:t xml:space="preserve"> Similar craters on Mars: many with flat floors [36]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addition, </w:t>
      </w:r>
      <w:r>
        <w:rPr>
          <w:rFonts w:ascii="Book Antiqua" w:hAnsi="Book Antiqua"/>
          <w:sz w:val="20"/>
        </w:rPr>
        <w:t xml:space="preserve">electrically caused </w:t>
      </w:r>
      <w:r w:rsidRPr="00BD541D">
        <w:rPr>
          <w:rFonts w:ascii="Book Antiqua" w:hAnsi="Book Antiqua"/>
          <w:sz w:val="20"/>
        </w:rPr>
        <w:t xml:space="preserve">craters with central peaks have been produced in all size ranges, including central peaks with craters on them. Some enigmatical features on planets and moons can be explained in this way. Figure 7 compares some craters from </w:t>
      </w:r>
      <w:r>
        <w:rPr>
          <w:rFonts w:ascii="Book Antiqua" w:hAnsi="Book Antiqua"/>
          <w:sz w:val="20"/>
        </w:rPr>
        <w:t>E</w:t>
      </w:r>
      <w:r w:rsidRPr="00BD541D">
        <w:rPr>
          <w:rFonts w:ascii="Book Antiqua" w:hAnsi="Book Antiqua"/>
          <w:sz w:val="20"/>
        </w:rPr>
        <w:t xml:space="preserve">lectrical </w:t>
      </w:r>
      <w:r>
        <w:rPr>
          <w:rFonts w:ascii="Book Antiqua" w:hAnsi="Book Antiqua"/>
          <w:sz w:val="20"/>
        </w:rPr>
        <w:t>D</w:t>
      </w:r>
      <w:r w:rsidRPr="00BD541D">
        <w:rPr>
          <w:rFonts w:ascii="Book Antiqua" w:hAnsi="Book Antiqua"/>
          <w:sz w:val="20"/>
        </w:rPr>
        <w:t xml:space="preserve">ischarge </w:t>
      </w:r>
      <w:r>
        <w:rPr>
          <w:rFonts w:ascii="Book Antiqua" w:hAnsi="Book Antiqua"/>
          <w:sz w:val="20"/>
        </w:rPr>
        <w:t>M</w:t>
      </w:r>
      <w:r w:rsidRPr="00BD541D">
        <w:rPr>
          <w:rFonts w:ascii="Book Antiqua" w:hAnsi="Book Antiqua"/>
          <w:sz w:val="20"/>
        </w:rPr>
        <w:t xml:space="preserve">achining </w:t>
      </w:r>
      <w:r>
        <w:rPr>
          <w:rFonts w:ascii="Book Antiqua" w:hAnsi="Book Antiqua"/>
          <w:sz w:val="20"/>
        </w:rPr>
        <w:t xml:space="preserve">(EDM) </w:t>
      </w:r>
      <w:r w:rsidRPr="00BD541D">
        <w:rPr>
          <w:rFonts w:ascii="Book Antiqua" w:hAnsi="Book Antiqua"/>
          <w:sz w:val="20"/>
        </w:rPr>
        <w:t>with those on Mars.</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6"/>
        <w:gridCol w:w="4806"/>
      </w:tblGrid>
      <w:tr w:rsidR="00700009" w:rsidRPr="00BD541D" w:rsidTr="00BA27CF">
        <w:trPr>
          <w:jc w:val="center"/>
        </w:trPr>
        <w:tc>
          <w:tcPr>
            <w:tcW w:w="282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color w:val="000000"/>
                <w:sz w:val="20"/>
              </w:rPr>
              <w:lastRenderedPageBreak/>
              <w:drawing>
                <wp:inline distT="0" distB="0" distL="0" distR="0">
                  <wp:extent cx="3409950" cy="2656589"/>
                  <wp:effectExtent l="19050" t="0" r="0" b="0"/>
                  <wp:docPr id="64"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25" cstate="print"/>
                          <a:srcRect/>
                          <a:stretch>
                            <a:fillRect/>
                          </a:stretch>
                        </pic:blipFill>
                        <pic:spPr bwMode="auto">
                          <a:xfrm>
                            <a:off x="0" y="0"/>
                            <a:ext cx="3409950" cy="2656589"/>
                          </a:xfrm>
                          <a:prstGeom prst="rect">
                            <a:avLst/>
                          </a:prstGeom>
                          <a:noFill/>
                          <a:ln w="9525">
                            <a:noFill/>
                            <a:miter lim="800000"/>
                            <a:headEnd/>
                            <a:tailEnd/>
                          </a:ln>
                        </pic:spPr>
                      </pic:pic>
                    </a:graphicData>
                  </a:graphic>
                </wp:inline>
              </w:drawing>
            </w:r>
          </w:p>
        </w:tc>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color w:val="000000"/>
                <w:sz w:val="20"/>
              </w:rPr>
              <w:drawing>
                <wp:inline distT="0" distB="0" distL="0" distR="0">
                  <wp:extent cx="2895600" cy="2633555"/>
                  <wp:effectExtent l="19050" t="0" r="0" b="0"/>
                  <wp:docPr id="73"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26" cstate="print"/>
                          <a:srcRect/>
                          <a:stretch>
                            <a:fillRect/>
                          </a:stretch>
                        </pic:blipFill>
                        <pic:spPr bwMode="auto">
                          <a:xfrm>
                            <a:off x="0" y="0"/>
                            <a:ext cx="2895600" cy="2633555"/>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BA27CF">
      <w:pPr>
        <w:pStyle w:val="NoSpacing"/>
        <w:jc w:val="center"/>
        <w:rPr>
          <w:rFonts w:ascii="Book Antiqua" w:hAnsi="Book Antiqua"/>
          <w:i/>
          <w:sz w:val="18"/>
          <w:szCs w:val="18"/>
        </w:rPr>
      </w:pPr>
      <w:r w:rsidRPr="00B07237">
        <w:rPr>
          <w:rFonts w:ascii="Book Antiqua" w:hAnsi="Book Antiqua"/>
          <w:b/>
          <w:i/>
          <w:sz w:val="18"/>
          <w:szCs w:val="18"/>
        </w:rPr>
        <w:t>Figure 8: Left -</w:t>
      </w:r>
      <w:r w:rsidRPr="00B07237">
        <w:rPr>
          <w:rFonts w:ascii="Book Antiqua" w:hAnsi="Book Antiqua"/>
          <w:i/>
          <w:sz w:val="18"/>
          <w:szCs w:val="18"/>
        </w:rPr>
        <w:t xml:space="preserve"> Electric discharge craters in sand with both flat and bowl-shaped floors. </w:t>
      </w:r>
      <w:r w:rsidRPr="00B07237">
        <w:rPr>
          <w:rFonts w:ascii="Book Antiqua" w:hAnsi="Book Antiqua"/>
          <w:b/>
          <w:i/>
          <w:sz w:val="18"/>
          <w:szCs w:val="18"/>
        </w:rPr>
        <w:t>Right –</w:t>
      </w:r>
      <w:r w:rsidRPr="00B07237">
        <w:rPr>
          <w:rFonts w:ascii="Book Antiqua" w:hAnsi="Book Antiqua"/>
          <w:i/>
          <w:sz w:val="18"/>
          <w:szCs w:val="18"/>
        </w:rPr>
        <w:t xml:space="preserve"> EDM crater</w:t>
      </w:r>
      <w:r>
        <w:rPr>
          <w:rFonts w:ascii="Book Antiqua" w:hAnsi="Book Antiqua"/>
          <w:i/>
          <w:sz w:val="18"/>
          <w:szCs w:val="18"/>
        </w:rPr>
        <w:t xml:space="preserve"> with a central peak</w:t>
      </w:r>
      <w:r w:rsidRPr="00B07237">
        <w:rPr>
          <w:rFonts w:ascii="Book Antiqua" w:hAnsi="Book Antiqua"/>
          <w:i/>
          <w:sz w:val="18"/>
          <w:szCs w:val="18"/>
        </w:rPr>
        <w:t xml:space="preserve"> in steel</w:t>
      </w:r>
      <w:r>
        <w:rPr>
          <w:rFonts w:ascii="Book Antiqua" w:hAnsi="Book Antiqua"/>
          <w:i/>
          <w:sz w:val="18"/>
          <w:szCs w:val="18"/>
        </w:rPr>
        <w:t xml:space="preserve"> </w:t>
      </w:r>
      <w:r w:rsidRPr="00B07237">
        <w:rPr>
          <w:rFonts w:ascii="Book Antiqua" w:hAnsi="Book Antiqua"/>
          <w:i/>
          <w:sz w:val="18"/>
          <w:szCs w:val="18"/>
        </w:rPr>
        <w:t>[36].</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possibility exists, therefore, that EDM has formed many craters throughout the solar system contemporaneously with impact craters. Both resulted from the breakups of the original objects in the Kuiper and Asteroid Belts.  </w:t>
      </w:r>
      <w:r>
        <w:rPr>
          <w:rFonts w:ascii="Book Antiqua" w:hAnsi="Book Antiqua"/>
          <w:sz w:val="20"/>
        </w:rPr>
        <w:t>(</w:t>
      </w:r>
      <w:r w:rsidRPr="00BD541D">
        <w:rPr>
          <w:rFonts w:ascii="Book Antiqua" w:hAnsi="Book Antiqua"/>
          <w:sz w:val="20"/>
        </w:rPr>
        <w:t>Crater formation mechanisms and how to distinguish crater origins is discussed in Appendix E. A typical impact crater from cement dust experiments discussed in Appendix E appears in Figure 9.</w:t>
      </w:r>
      <w:r>
        <w:rPr>
          <w:rFonts w:ascii="Book Antiqua" w:hAnsi="Book Antiqua"/>
          <w:sz w:val="20"/>
        </w:rPr>
        <w:t>)</w:t>
      </w:r>
      <w:r w:rsidRPr="00BD541D">
        <w:rPr>
          <w:rFonts w:ascii="Book Antiqua" w:hAnsi="Book Antiqua"/>
          <w:sz w:val="20"/>
        </w:rPr>
        <w:t xml:space="preserve">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4197658" cy="3104349"/>
            <wp:effectExtent l="19050" t="0" r="0" b="0"/>
            <wp:docPr id="89"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27" cstate="print">
                      <a:lum contrast="40000"/>
                    </a:blip>
                    <a:srcRect l="15715" t="3512" r="11726" b="24793"/>
                    <a:stretch>
                      <a:fillRect/>
                    </a:stretch>
                  </pic:blipFill>
                  <pic:spPr bwMode="auto">
                    <a:xfrm>
                      <a:off x="0" y="0"/>
                      <a:ext cx="4213759" cy="3116256"/>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9:</w:t>
      </w:r>
      <w:r w:rsidRPr="00B07237">
        <w:rPr>
          <w:rFonts w:ascii="Book Antiqua" w:hAnsi="Book Antiqua"/>
          <w:i/>
          <w:sz w:val="18"/>
          <w:szCs w:val="18"/>
        </w:rPr>
        <w:t xml:space="preserve"> A crater in a pan of cement dust shows rays and splash craters (secondary craters) resulting from the impact of a cement dust “meteorite.”</w:t>
      </w:r>
    </w:p>
    <w:p w:rsidR="00700009" w:rsidRDefault="00700009" w:rsidP="00700009">
      <w:pPr>
        <w:pStyle w:val="NoSpacing"/>
        <w:rPr>
          <w:rFonts w:ascii="Book Antiqua" w:hAnsi="Book Antiqua"/>
          <w:sz w:val="18"/>
          <w:szCs w:val="18"/>
        </w:rPr>
      </w:pPr>
    </w:p>
    <w:p w:rsidR="00700009" w:rsidRPr="00BD541D" w:rsidRDefault="00700009" w:rsidP="00700009">
      <w:pPr>
        <w:pStyle w:val="NoSpacing"/>
        <w:rPr>
          <w:rFonts w:ascii="Book Antiqua" w:hAnsi="Book Antiqua"/>
          <w:b/>
          <w:sz w:val="20"/>
        </w:rPr>
      </w:pPr>
      <w:r w:rsidRPr="00BD541D">
        <w:rPr>
          <w:rFonts w:ascii="Book Antiqua" w:hAnsi="Book Antiqua"/>
          <w:b/>
          <w:sz w:val="20"/>
        </w:rPr>
        <w:t>9. Electrical Machining of Planetary Surfaces</w:t>
      </w:r>
      <w:r>
        <w:rPr>
          <w:rFonts w:ascii="Book Antiqua" w:hAnsi="Book Antiqua"/>
          <w:b/>
          <w:sz w:val="20"/>
        </w:rPr>
        <w:t>?</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Research by</w:t>
      </w:r>
      <w:r w:rsidRPr="00BD541D">
        <w:rPr>
          <w:rFonts w:ascii="Book Antiqua" w:hAnsi="Book Antiqua"/>
          <w:sz w:val="20"/>
        </w:rPr>
        <w:t xml:space="preserve"> Paul Anderson has also indicated that some features of the earth’s surface may have been electrically produced. He digitized satellite images of various mountain ranges and river systems</w:t>
      </w:r>
      <w:r>
        <w:rPr>
          <w:rFonts w:ascii="Book Antiqua" w:hAnsi="Book Antiqua"/>
          <w:sz w:val="20"/>
        </w:rPr>
        <w:t>.</w:t>
      </w:r>
      <w:r w:rsidRPr="00BD541D">
        <w:rPr>
          <w:rFonts w:ascii="Book Antiqua" w:hAnsi="Book Antiqua"/>
          <w:sz w:val="20"/>
        </w:rPr>
        <w:t xml:space="preserve"> He then took images of </w:t>
      </w:r>
      <w:r w:rsidRPr="00BD541D">
        <w:rPr>
          <w:rFonts w:ascii="Book Antiqua" w:hAnsi="Book Antiqua"/>
          <w:sz w:val="20"/>
        </w:rPr>
        <w:lastRenderedPageBreak/>
        <w:t>Lichtenberg figures, the effects of lightning interactions and machining and digitized them.</w:t>
      </w:r>
      <w:r>
        <w:rPr>
          <w:rFonts w:ascii="Book Antiqua" w:hAnsi="Book Antiqua"/>
          <w:sz w:val="20"/>
        </w:rPr>
        <w:t xml:space="preserve"> Finally,</w:t>
      </w:r>
      <w:r w:rsidRPr="00BD541D">
        <w:rPr>
          <w:rFonts w:ascii="Book Antiqua" w:hAnsi="Book Antiqua"/>
          <w:sz w:val="20"/>
        </w:rPr>
        <w:t xml:space="preserve"> he took features that were known to result purely from the action of water and its erosion and digitized them. He discovered that in a surprisingly large number of cases, the mountain and river systems were not following the water erosion pattern. Rather they were following the pattern of machining by electric interactions. The action of water erosion was only seen at the heads of the systems. [37] The two systems differ because electric discharge effects diverge from the point of initiation, whereas the action of water is to form channels converging to the lowest point.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Paul Anderson’s Abstract reads in part: </w:t>
      </w:r>
      <w:r w:rsidRPr="00BD541D">
        <w:rPr>
          <w:rFonts w:ascii="Book Antiqua" w:hAnsi="Book Antiqua"/>
          <w:i/>
          <w:sz w:val="20"/>
        </w:rPr>
        <w:t xml:space="preserve">“The macroscale appearance of river beds, mountain ranges and other geological features exhibit characteristics which are typical of electric discharge machining (EDM) on a dielectric medium. This paper explores the hypothesis and presents evidence that most canyons and riverbeds were first formed by electric arcs and not created through fluvial erosion. ... Furthermore, the geological features exhibited self-affinity, which is not a characteristic of fluvial systems, but is a characteristic of electrical discharges on dielectric materials.” </w:t>
      </w:r>
      <w:r w:rsidRPr="00BD541D">
        <w:rPr>
          <w:rFonts w:ascii="Book Antiqua" w:hAnsi="Book Antiqua"/>
          <w:sz w:val="20"/>
        </w:rPr>
        <w:t>[37]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 xml:space="preserve"> This may mean </w:t>
      </w:r>
      <w:r w:rsidRPr="00BD541D">
        <w:rPr>
          <w:rFonts w:ascii="Book Antiqua" w:hAnsi="Book Antiqua"/>
          <w:sz w:val="20"/>
        </w:rPr>
        <w:t xml:space="preserve">that many features on the earth’s surface have resulted from electromagnetic interactions rather than </w:t>
      </w:r>
      <w:r>
        <w:rPr>
          <w:rFonts w:ascii="Book Antiqua" w:hAnsi="Book Antiqua"/>
          <w:sz w:val="20"/>
        </w:rPr>
        <w:t xml:space="preserve">the commonly accepted </w:t>
      </w:r>
      <w:r w:rsidRPr="00BD541D">
        <w:rPr>
          <w:rFonts w:ascii="Book Antiqua" w:hAnsi="Book Antiqua"/>
          <w:sz w:val="20"/>
        </w:rPr>
        <w:t xml:space="preserve">slow geological erosion processes. The implication is that some of the surface features of other planets, such as Mars, may also have resulted from electric discharge machining. The features caused by these electromagnetic interactions formed very rapidly in laboratory experiments. Even when upscaled to planetary dimensions, it </w:t>
      </w:r>
      <w:r>
        <w:rPr>
          <w:rFonts w:ascii="Book Antiqua" w:hAnsi="Book Antiqua"/>
          <w:sz w:val="20"/>
        </w:rPr>
        <w:t>is to be</w:t>
      </w:r>
      <w:r w:rsidRPr="00BD541D">
        <w:rPr>
          <w:rFonts w:ascii="Book Antiqua" w:hAnsi="Book Antiqua"/>
          <w:sz w:val="20"/>
        </w:rPr>
        <w:t xml:space="preserve"> expected that such features on the earth and planets would form in a much shorter time-frame than geolog</w:t>
      </w:r>
      <w:r>
        <w:rPr>
          <w:rFonts w:ascii="Book Antiqua" w:hAnsi="Book Antiqua"/>
          <w:sz w:val="20"/>
        </w:rPr>
        <w:t>ical</w:t>
      </w:r>
      <w:r w:rsidRPr="00BD541D">
        <w:rPr>
          <w:rFonts w:ascii="Book Antiqua" w:hAnsi="Book Antiqua"/>
          <w:sz w:val="20"/>
        </w:rPr>
        <w:t xml:space="preserve"> and geomorpholog</w:t>
      </w:r>
      <w:r>
        <w:rPr>
          <w:rFonts w:ascii="Book Antiqua" w:hAnsi="Book Antiqua"/>
          <w:sz w:val="20"/>
        </w:rPr>
        <w:t>ical processes</w:t>
      </w:r>
      <w:r w:rsidRPr="00BD541D">
        <w:rPr>
          <w:rFonts w:ascii="Book Antiqua" w:hAnsi="Book Antiqua"/>
          <w:sz w:val="20"/>
        </w:rPr>
        <w:t xml:space="preserve"> would normally</w:t>
      </w:r>
      <w:r>
        <w:rPr>
          <w:rFonts w:ascii="Book Antiqua" w:hAnsi="Book Antiqua"/>
          <w:sz w:val="20"/>
        </w:rPr>
        <w:t xml:space="preserve"> take</w:t>
      </w:r>
      <w:r w:rsidRPr="00BD541D">
        <w:rPr>
          <w:rFonts w:ascii="Book Antiqua" w:hAnsi="Book Antiqua"/>
          <w:sz w:val="20"/>
        </w:rPr>
        <w:t>.</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10. Summary of Effects for Planets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With the information gained from the dwarf planets and meteorites, it is now possible to assess the effects of similar processes on the inner planets of the solar system.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First, the plasma physics approach suggests that the planets were probably formed already layered and in a cool state. </w:t>
      </w:r>
    </w:p>
    <w:p w:rsidR="00700009" w:rsidRPr="00BD541D" w:rsidRDefault="00700009" w:rsidP="00700009">
      <w:pPr>
        <w:pStyle w:val="NoSpacing"/>
        <w:ind w:left="720"/>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Second, water was present in the crystal structure of the minerals making up planetary interiors as well as in spaces between the crystals.</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Third, both short and long half-life radioactive elements were probably concentrated in planetary mantles and cores by Marklund convection. In addition, enrichment of metals with radioactive elements due to metal-alloy formation would concentrate them further.</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 Fourth, low Zero Point Energy values resulted in accelerated decay rates for these radioactive elements.</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Fifth, the heat from this process drove off the water locked up in the primordial minerals as the internal temperatures of the planets increased. </w:t>
      </w:r>
    </w:p>
    <w:p w:rsidR="00700009" w:rsidRPr="00BD541D" w:rsidRDefault="00700009" w:rsidP="00700009">
      <w:pPr>
        <w:pStyle w:val="NoSpacing"/>
        <w:ind w:left="720"/>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Sixth, this process resulted in a build-up of pressure, which ultimately resulted in either the catastrophic outgassing of water onto the surface of the planet or the explosive disruption of the planet itself. In the early days, this is the likely cause of the breakup of the planet in the outer reaches of the solar system that gave rise to the Kuiper Belt objects and comets. It is also the likely cause for the later disruption of both Planet Y and its moon which gave rise to the asteroids and meteorites.</w:t>
      </w:r>
    </w:p>
    <w:p w:rsidR="00700009" w:rsidRPr="00BD541D" w:rsidRDefault="00700009" w:rsidP="00700009">
      <w:pPr>
        <w:pStyle w:val="NoSpacing"/>
        <w:ind w:left="720"/>
        <w:jc w:val="both"/>
        <w:rPr>
          <w:rFonts w:ascii="Book Antiqua" w:hAnsi="Book Antiqua"/>
          <w:sz w:val="20"/>
        </w:rPr>
      </w:pPr>
      <w:r w:rsidRPr="00BD541D">
        <w:rPr>
          <w:rFonts w:ascii="Book Antiqua" w:hAnsi="Book Antiqua"/>
          <w:sz w:val="20"/>
        </w:rPr>
        <w:t xml:space="preserve"> </w:t>
      </w: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Seventh, as heating continued, the interiors of planets became molten and mobile. As rocks in planetary interiors became molten, their volume increased. This exerted further pressure on the crustal layers of planets and either split the crust, or resulted in a massive outpouring of magma across the surface of the planet from crustal fissures. </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lastRenderedPageBreak/>
        <w:t xml:space="preserve">Eighth, the evidence presented in Chapter 6 on plasma physics and the ZPE indicates that a very high voltage gradient existed in the early solar system when compared with today. In addition, all planetary plasmaspheres or magnetospheres would have been at higher potentials than today. This means that all four of the explosive events in the solar system would be accompanied by strong electrical and magnetic effects. These effects would include cratering and electric discharge machining of planetary surfaces. Also, as the explosion fragments entered the inner solar system, strong electrical stresses would build up on them and cause some to explode like overcharged capacitors [67] and produce electric effects near planetary surfaces. </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18"/>
          <w:szCs w:val="18"/>
        </w:rPr>
      </w:pPr>
      <w:r w:rsidRPr="00BD541D">
        <w:rPr>
          <w:rFonts w:ascii="Book Antiqua" w:hAnsi="Book Antiqua"/>
          <w:sz w:val="20"/>
        </w:rPr>
        <w:t xml:space="preserve">The four events affecting the solar system and earth were a). The </w:t>
      </w:r>
      <w:proofErr w:type="gramStart"/>
      <w:r w:rsidRPr="00BD541D">
        <w:rPr>
          <w:rFonts w:ascii="Book Antiqua" w:hAnsi="Book Antiqua"/>
          <w:sz w:val="20"/>
        </w:rPr>
        <w:t>breakup of the Kuiper Belt object</w:t>
      </w:r>
      <w:proofErr w:type="gramEnd"/>
      <w:r w:rsidRPr="00BD541D">
        <w:rPr>
          <w:rFonts w:ascii="Book Antiqua" w:hAnsi="Book Antiqua"/>
          <w:sz w:val="20"/>
        </w:rPr>
        <w:t xml:space="preserve"> that gave rise to the LHB event about 3.9 billion atomic years ago. b). The initial breakup of Planet Y starting 810 million atomic years ago with the process peaking about 650 million atomic years ago. c). A secondary breakup of Planet Y about 258 million atomic years ago. d). </w:t>
      </w:r>
      <w:proofErr w:type="gramStart"/>
      <w:r w:rsidRPr="00BD541D">
        <w:rPr>
          <w:rFonts w:ascii="Book Antiqua" w:hAnsi="Book Antiqua"/>
          <w:sz w:val="20"/>
        </w:rPr>
        <w:t>The</w:t>
      </w:r>
      <w:proofErr w:type="gramEnd"/>
      <w:r w:rsidRPr="00BD541D">
        <w:rPr>
          <w:rFonts w:ascii="Book Antiqua" w:hAnsi="Book Antiqua"/>
          <w:sz w:val="20"/>
        </w:rPr>
        <w:t xml:space="preserve"> breakup of the moon of Planet Y about 65.8 million atomic years ago</w:t>
      </w:r>
      <w:r w:rsidRPr="00BD541D">
        <w:rPr>
          <w:rFonts w:ascii="Book Antiqua" w:hAnsi="Book Antiqua"/>
          <w:sz w:val="18"/>
          <w:szCs w:val="18"/>
        </w:rPr>
        <w:t>.</w:t>
      </w:r>
    </w:p>
    <w:p w:rsidR="00700009" w:rsidRPr="00BD541D" w:rsidRDefault="00700009" w:rsidP="00700009">
      <w:pPr>
        <w:pStyle w:val="Els-body-text"/>
        <w:ind w:firstLine="0"/>
        <w:rPr>
          <w:rFonts w:ascii="Book Antiqua" w:hAnsi="Book Antiqua"/>
        </w:rPr>
      </w:pPr>
    </w:p>
    <w:p w:rsidR="00700009" w:rsidRDefault="00700009" w:rsidP="00BA27CF">
      <w:pPr>
        <w:pStyle w:val="NoSpacing"/>
        <w:numPr>
          <w:ilvl w:val="0"/>
          <w:numId w:val="63"/>
        </w:numPr>
        <w:rPr>
          <w:rFonts w:ascii="Book Antiqua" w:hAnsi="Book Antiqua"/>
          <w:b/>
          <w:sz w:val="20"/>
        </w:rPr>
      </w:pPr>
      <w:r>
        <w:rPr>
          <w:rFonts w:ascii="Book Antiqua" w:hAnsi="Book Antiqua"/>
          <w:b/>
          <w:sz w:val="20"/>
        </w:rPr>
        <w:t>Focusing on t</w:t>
      </w:r>
      <w:r w:rsidRPr="00BD541D">
        <w:rPr>
          <w:rFonts w:ascii="Book Antiqua" w:hAnsi="Book Antiqua"/>
          <w:b/>
          <w:sz w:val="20"/>
        </w:rPr>
        <w:t>he Inner Planets</w:t>
      </w:r>
    </w:p>
    <w:p w:rsidR="00BA27CF" w:rsidRPr="00BD541D" w:rsidRDefault="00BA27CF" w:rsidP="00BA27CF">
      <w:pPr>
        <w:pStyle w:val="NoSpacing"/>
        <w:ind w:left="720"/>
        <w:rPr>
          <w:rFonts w:ascii="Book Antiqua" w:hAnsi="Book Antiqua"/>
          <w:b/>
          <w:sz w:val="20"/>
        </w:rPr>
      </w:pPr>
    </w:p>
    <w:p w:rsidR="00700009" w:rsidRPr="00BD541D" w:rsidRDefault="00700009" w:rsidP="00700009">
      <w:pPr>
        <w:pStyle w:val="NoSpacing"/>
        <w:rPr>
          <w:rFonts w:ascii="Book Antiqua" w:hAnsi="Book Antiqua"/>
          <w:i/>
          <w:sz w:val="20"/>
        </w:rPr>
      </w:pPr>
      <w:r w:rsidRPr="00BD541D">
        <w:rPr>
          <w:rFonts w:ascii="Book Antiqua" w:hAnsi="Book Antiqua"/>
          <w:i/>
          <w:sz w:val="20"/>
        </w:rPr>
        <w:t>11. 1 A Brief History of Mars</w:t>
      </w:r>
    </w:p>
    <w:p w:rsidR="00700009" w:rsidRPr="00BD541D" w:rsidRDefault="00700009" w:rsidP="00700009">
      <w:pPr>
        <w:pStyle w:val="NoSpacing"/>
        <w:rPr>
          <w:rFonts w:ascii="Book Antiqua" w:hAnsi="Book Antiqua"/>
          <w:b/>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history of the planet Mars basically accords with the data from the asteroids. This might be expected</w:t>
      </w:r>
      <w:r>
        <w:rPr>
          <w:rFonts w:ascii="Book Antiqua" w:hAnsi="Book Antiqua"/>
          <w:sz w:val="20"/>
        </w:rPr>
        <w:t>,</w:t>
      </w:r>
      <w:r w:rsidRPr="00BD541D">
        <w:rPr>
          <w:rFonts w:ascii="Book Antiqua" w:hAnsi="Book Antiqua"/>
          <w:sz w:val="20"/>
        </w:rPr>
        <w:t xml:space="preserve"> as it is the closest of the inner planets to the asteroid belt, and would be expected to have a similar composition. There was an initial period of heating after the formation of the planet.  Studies of meteorites originating from Mars place this heating at about 4.5 billion atomic years ago [38, 39].</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was followed by the Late Heavy Bombardment impacts and its associated electrical machining.  Meteorites from Mars show shock metamorphism and crushing that dates about 4.0 billion atomic years [40, 41]. Herbert Frey worked with the Geodynamics Branch of NASA's Goddard Space Flight Centre and examined topographic data from the Mars Orbiter Laser Altimeter (MOLA). He discovered a large grouping of major impact basins from the LHB buried under the northern plains on Mars shown in Figures 10 and 11 [42, 43].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277400" cy="2334051"/>
            <wp:effectExtent l="19050" t="0" r="0" b="0"/>
            <wp:docPr id="104"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2" cstate="print"/>
                    <a:srcRect t="6077" r="1492" b="3015"/>
                    <a:stretch>
                      <a:fillRect/>
                    </a:stretch>
                  </pic:blipFill>
                  <pic:spPr bwMode="auto">
                    <a:xfrm>
                      <a:off x="0" y="0"/>
                      <a:ext cx="3285163" cy="2339579"/>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b/>
          <w:i/>
          <w:sz w:val="20"/>
        </w:rPr>
      </w:pPr>
    </w:p>
    <w:p w:rsidR="00700009" w:rsidRDefault="00700009" w:rsidP="00700009">
      <w:pPr>
        <w:pStyle w:val="NoSpacing"/>
        <w:rPr>
          <w:rFonts w:ascii="Book Antiqua" w:hAnsi="Book Antiqua"/>
          <w:i/>
          <w:sz w:val="18"/>
          <w:szCs w:val="18"/>
        </w:rPr>
      </w:pPr>
      <w:r w:rsidRPr="00B07237">
        <w:rPr>
          <w:rFonts w:ascii="Book Antiqua" w:hAnsi="Book Antiqua"/>
          <w:b/>
          <w:i/>
          <w:sz w:val="18"/>
          <w:szCs w:val="18"/>
        </w:rPr>
        <w:t>Figure 10:</w:t>
      </w:r>
      <w:r w:rsidRPr="00B07237">
        <w:rPr>
          <w:rFonts w:ascii="Book Antiqua" w:hAnsi="Book Antiqua"/>
          <w:i/>
          <w:sz w:val="18"/>
          <w:szCs w:val="18"/>
        </w:rPr>
        <w:t xml:space="preserve"> Large ancient impact basins on Mars from the Late Heavy Bombardment [43].</w:t>
      </w:r>
      <w:r>
        <w:rPr>
          <w:rFonts w:ascii="Book Antiqua" w:hAnsi="Book Antiqua"/>
          <w:i/>
          <w:sz w:val="18"/>
          <w:szCs w:val="18"/>
        </w:rPr>
        <w:t xml:space="preserve"> These are mainly in the northern hemisphere.</w:t>
      </w:r>
    </w:p>
    <w:p w:rsidR="00700009" w:rsidRPr="00B07237" w:rsidRDefault="00700009" w:rsidP="00700009">
      <w:pPr>
        <w:pStyle w:val="NoSpacing"/>
        <w:rPr>
          <w:rFonts w:ascii="Book Antiqua" w:hAnsi="Book Antiqua"/>
          <w:i/>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LHB formed the major impact basins in the north as well as the cratered uplands in the south. The major impact basins in the north were much later covered with basaltic magma from the interior which now makes up the lowland plains.  Recent research and work indicates electrical machining due to the LHB may have been responsible for many of the craters. The demarcations between what are now the lowland plains of the northern hemisphere and the heavily cratered terrains of the south only came much later.</w:t>
      </w:r>
    </w:p>
    <w:p w:rsidR="00700009" w:rsidRDefault="00700009" w:rsidP="00700009">
      <w:pPr>
        <w:pStyle w:val="NoSpacing"/>
        <w:jc w:val="center"/>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6244682" cy="4572000"/>
            <wp:effectExtent l="19050" t="0" r="3718" b="0"/>
            <wp:docPr id="105" name="il_fi" descr="http://astronomy.swin.edu.au/cms/imagedb/albums/scaled_cache/mars_topo-64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swin.edu.au/cms/imagedb/albums/scaled_cache/mars_topo-640x433.jpg"/>
                    <pic:cNvPicPr>
                      <a:picLocks noChangeAspect="1" noChangeArrowheads="1"/>
                    </pic:cNvPicPr>
                  </pic:nvPicPr>
                  <pic:blipFill>
                    <a:blip r:embed="rId1028" cstate="print">
                      <a:lum contrast="30000"/>
                    </a:blip>
                    <a:srcRect/>
                    <a:stretch>
                      <a:fillRect/>
                    </a:stretch>
                  </pic:blipFill>
                  <pic:spPr bwMode="auto">
                    <a:xfrm>
                      <a:off x="0" y="0"/>
                      <a:ext cx="6252071" cy="4577410"/>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11:</w:t>
      </w:r>
      <w:r w:rsidRPr="00624D90">
        <w:rPr>
          <w:rFonts w:ascii="Book Antiqua" w:hAnsi="Book Antiqua"/>
          <w:i/>
          <w:sz w:val="18"/>
          <w:szCs w:val="18"/>
        </w:rPr>
        <w:t xml:space="preserve"> Elevation map of Mars with the lowland plains in the North and cratered uplands in the South. The deep blue Hellas Planitia (bottom right) is the deepest point on the current surface. It has at its antipodal point the Tharsis Uplift with its huge volcanoes including Olympas Mons. This is typical of antipodal responses to events causing massive craters on Mercury, the Moon and on Earth. The earthly counterparts are the Wilkes Land crater in the Antarctic with the antipodal Siberian Traps basalt outpouring, and </w:t>
      </w:r>
      <w:r w:rsidR="00AF3871">
        <w:rPr>
          <w:rFonts w:ascii="Book Antiqua" w:hAnsi="Book Antiqua"/>
          <w:i/>
          <w:sz w:val="18"/>
          <w:szCs w:val="18"/>
        </w:rPr>
        <w:t>one of the series of K/T extinction</w:t>
      </w:r>
      <w:r w:rsidRPr="00624D90">
        <w:rPr>
          <w:rFonts w:ascii="Book Antiqua" w:hAnsi="Book Antiqua"/>
          <w:i/>
          <w:sz w:val="18"/>
          <w:szCs w:val="18"/>
        </w:rPr>
        <w:t xml:space="preserve"> crater</w:t>
      </w:r>
      <w:r w:rsidR="00AF3871">
        <w:rPr>
          <w:rFonts w:ascii="Book Antiqua" w:hAnsi="Book Antiqua"/>
          <w:i/>
          <w:sz w:val="18"/>
          <w:szCs w:val="18"/>
        </w:rPr>
        <w:t>s</w:t>
      </w:r>
      <w:r w:rsidRPr="00624D90">
        <w:rPr>
          <w:rFonts w:ascii="Book Antiqua" w:hAnsi="Book Antiqua"/>
          <w:i/>
          <w:sz w:val="18"/>
          <w:szCs w:val="18"/>
        </w:rPr>
        <w:t xml:space="preserve"> and the antipodal Deccan Traps basalt layers. On Mercury there is the fractured terrain at the antipodal point of the huge Caloris Basin.</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As the internal heating of Mars continued, water from the minerals in its mantle was pushed towards the surface. The action of water on the surface of Mars has been dated at 1.39 billion atomic years using the rubidium/strontium system on carbonate minerals in meteorite ALH84001 from Mars [44]. Note that an earlier date using different isotopes has been questioned since it is not well defined [45]. Indeed, there is evidence of considerable surface erosion on Mars at the 1.39 billion atomic year mark.</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water involved in this activity was probably outgassed from the interior of Mars. Evidence of the action of water takes a variety of forms. For example, the largest outflow channel system on Mars is found on the north-west slopes of the Tharsis region. Dr James M. Dohm of the University of Arizona stated [46]: </w:t>
      </w:r>
      <w:r w:rsidRPr="00BD541D">
        <w:rPr>
          <w:rFonts w:ascii="Book Antiqua" w:hAnsi="Book Antiqua"/>
          <w:i/>
          <w:sz w:val="20"/>
        </w:rPr>
        <w:t xml:space="preserve">"The best explanation is that they were formed by catastrophic floods that at their peak potentially discharged as much as 50,000 times the flow of the Amazon </w:t>
      </w:r>
      <w:proofErr w:type="gramStart"/>
      <w:r w:rsidRPr="00BD541D">
        <w:rPr>
          <w:rFonts w:ascii="Book Antiqua" w:hAnsi="Book Antiqua"/>
          <w:i/>
          <w:sz w:val="20"/>
        </w:rPr>
        <w:t>river</w:t>
      </w:r>
      <w:proofErr w:type="gramEnd"/>
      <w:r w:rsidRPr="00BD541D">
        <w:rPr>
          <w:rFonts w:ascii="Book Antiqua" w:hAnsi="Book Antiqua"/>
          <w:i/>
          <w:sz w:val="20"/>
        </w:rPr>
        <w:t>, Earth's largest river."</w:t>
      </w:r>
      <w:r w:rsidRPr="00BD541D">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the news release from the University of Arizona for 3rd August 2001 Dohm elaborated further: </w:t>
      </w:r>
      <w:r w:rsidRPr="00BD541D">
        <w:rPr>
          <w:rFonts w:ascii="Book Antiqua" w:hAnsi="Book Antiqua"/>
          <w:i/>
          <w:sz w:val="20"/>
        </w:rPr>
        <w:t xml:space="preserve">"At sustained peak discharge rates, floods through the valleys would have filled a large ocean (96 million cubic kilometres) hypothesized for northern Mars in about 8 weeks, and a smaller ocean (14 million cubic kilometres) in the same region in about 8 days, according to the </w:t>
      </w:r>
      <w:r w:rsidRPr="00BD541D">
        <w:rPr>
          <w:rFonts w:ascii="Book Antiqua" w:hAnsi="Book Antiqua"/>
          <w:i/>
          <w:sz w:val="20"/>
        </w:rPr>
        <w:lastRenderedPageBreak/>
        <w:t>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BD541D">
        <w:rPr>
          <w:rFonts w:ascii="Book Antiqua" w:hAnsi="Book Antiqua"/>
          <w:sz w:val="20"/>
        </w:rPr>
        <w:t xml:space="preserve">[46] The research is published in </w:t>
      </w:r>
      <w:r w:rsidRPr="00BD541D">
        <w:rPr>
          <w:rFonts w:ascii="Book Antiqua" w:hAnsi="Book Antiqua"/>
          <w:i/>
          <w:sz w:val="20"/>
        </w:rPr>
        <w:t>Journal of Geophysical Research</w:t>
      </w:r>
      <w:r w:rsidRPr="00BD541D">
        <w:rPr>
          <w:rFonts w:ascii="Book Antiqua" w:hAnsi="Book Antiqua"/>
          <w:sz w:val="20"/>
        </w:rPr>
        <w:t xml:space="preserve">, Vol. 106, </w:t>
      </w:r>
      <w:proofErr w:type="gramStart"/>
      <w:r w:rsidRPr="00BD541D">
        <w:rPr>
          <w:rFonts w:ascii="Book Antiqua" w:hAnsi="Book Antiqua"/>
          <w:sz w:val="20"/>
        </w:rPr>
        <w:t>June</w:t>
      </w:r>
      <w:proofErr w:type="gramEnd"/>
      <w:r w:rsidRPr="00BD541D">
        <w:rPr>
          <w:rFonts w:ascii="Book Antiqua" w:hAnsi="Book Antiqua"/>
          <w:sz w:val="20"/>
        </w:rPr>
        <w:t xml:space="preserve"> 2001 [47]. This massive outgassing of water from the Martian interior may have filled the huge basins in the north left from the Late Heavy Bombardment. If it did, this was probably the origin of the suspected northern ocean on Mars.</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Nick Hoffman of Latrobe University, Australia, commented on the origin of this huge amount of water. He said: </w:t>
      </w:r>
      <w:hyperlink r:id="rId1029" w:history="1">
        <w:r w:rsidRPr="00BD541D">
          <w:rPr>
            <w:rStyle w:val="Hyperlink"/>
            <w:rFonts w:ascii="Book Antiqua" w:hAnsi="Book Antiqua"/>
            <w:i/>
            <w:sz w:val="20"/>
          </w:rPr>
          <w:t xml:space="preserve">"scientists have always had a great deal of trouble explaining just where those gigantic eruptions of high-pressure water came from </w:t>
        </w:r>
        <w:r w:rsidRPr="00BD541D">
          <w:rPr>
            <w:rStyle w:val="Hyperlink"/>
            <w:rFonts w:ascii="Book Antiqua" w:hAnsi="Book Antiqua"/>
            <w:i/>
            <w:sz w:val="20"/>
          </w:rPr>
          <w:softHyphen/>
          <w:t xml:space="preserve"> especially since the patches of collapsed, ’chaotic’ ground from which they seem to have gushed usually don't look anywhere near big enough to contain amounts of water capable of carving such huge flood channels."</w:t>
        </w:r>
      </w:hyperlink>
      <w:r w:rsidRPr="00BD541D">
        <w:rPr>
          <w:rFonts w:ascii="Book Antiqua" w:hAnsi="Book Antiqua"/>
          <w:sz w:val="20"/>
        </w:rPr>
        <w:t xml:space="preserve"> [48] Despite the various solutions proposed, the matter is still one of debate. However, one possible answer to the problem is that these patches of collapsed, "chaotic" ground may in fact be the location of the Martian equivalent of earth's black smokers of the south-east Pacific rise.  Waters bursting out from these originated from the radioactive heating of hydrated minerals in the mantle. It was from this source that the Martian ocean was formed.</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F90D39">
        <w:rPr>
          <w:rFonts w:ascii="Book Antiqua" w:hAnsi="Book Antiqua"/>
          <w:sz w:val="20"/>
        </w:rPr>
        <w:t xml:space="preserve">As the heating of the mantle </w:t>
      </w:r>
      <w:r>
        <w:rPr>
          <w:rFonts w:ascii="Book Antiqua" w:hAnsi="Book Antiqua"/>
          <w:sz w:val="20"/>
        </w:rPr>
        <w:t xml:space="preserve">on Mars </w:t>
      </w:r>
      <w:r w:rsidRPr="00F90D39">
        <w:rPr>
          <w:rFonts w:ascii="Book Antiqua" w:hAnsi="Book Antiqua"/>
          <w:sz w:val="20"/>
        </w:rPr>
        <w:t>continued, and</w:t>
      </w:r>
      <w:r w:rsidRPr="00BD541D">
        <w:rPr>
          <w:rFonts w:ascii="Book Antiqua" w:hAnsi="Book Antiqua"/>
          <w:sz w:val="20"/>
        </w:rPr>
        <w:t xml:space="preserve"> </w:t>
      </w:r>
      <w:r>
        <w:rPr>
          <w:rFonts w:ascii="Book Antiqua" w:hAnsi="Book Antiqua"/>
          <w:sz w:val="20"/>
        </w:rPr>
        <w:t>its rock</w:t>
      </w:r>
      <w:r w:rsidRPr="00BD541D">
        <w:rPr>
          <w:rFonts w:ascii="Book Antiqua" w:hAnsi="Book Antiqua"/>
          <w:sz w:val="20"/>
        </w:rPr>
        <w:t xml:space="preserve"> became at least partly molten, a period of volcanic activity occurred resulting in a massive outpouring of lava which covered a major portion of the lowland plains in the northern hemisphere. The Cambridge Atlas p. 125 makes an interesting comment [49]: </w:t>
      </w:r>
      <w:r w:rsidRPr="00BD541D">
        <w:rPr>
          <w:rFonts w:ascii="Book Antiqua" w:hAnsi="Book Antiqua"/>
          <w:i/>
          <w:sz w:val="20"/>
        </w:rPr>
        <w:t xml:space="preserve">"The ancient terrain shows networks of channels which generally end abruptly at the boundary of the regions covered by the formation of the more recent plains." </w:t>
      </w:r>
      <w:r w:rsidRPr="00BD541D">
        <w:rPr>
          <w:rFonts w:ascii="Book Antiqua" w:hAnsi="Book Antiqua"/>
          <w:sz w:val="20"/>
        </w:rPr>
        <w:t>This magmatic outpouring not only truncated the network of ouflow channels at the edge of the plains, but would also have vaporized a significant portion of water in those lowland areas. In addition, vast quantities of carbon dioxide would have been released. The water vapor on Mars has since been lost, perhaps through several mechanisms including the low atmospheric pressure and its weak gravitational field. This topic is one of continuing scientific discussion. These events gave Mars its present atmosphere.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Finally, as the breakup of Planet Y and its moon occurred, other cratering events and further electrical machining took place on the surface of Mars. There is evidence of electrical machining from this time on the solidified northern plains.  It was during one of these episodes that the Hellas Basin was formed and the antipodal uplift of Tharsis resulted. Both Hellas and Tharsis are less heavily cratered than the rest of the southern surface, so the craters that they do have must have come from events later in time than the LHB.  Some mobility of the Martian mantle may have been needed to produce the volcanic features, even though electric machining can produce “blisters” with characteristics matching those of Olympas Mons and its surroundings.</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In summary, the sequence of events on Mars seems to be as follows: (1) Initial heating of the interior. (2) The LHB, which seems to have formed large basins in the northern sector of the planet and the craters in the south, either by impact or electrical machining or both. (3) As heating continued, surface erosion occurred as water was outgassed from the interior. Oceans probably existed temporarily in the low-lying northern areas at this time. (4) The mantle became somewhat mobile and magma was outpoured (probably basaltic) covering the northern lowlands and vaporizing much of the water. Carbon dioxide in large quantities was released from the magma. This event was foundational in establishing Mars present atmosphere. (5) Finally the three-fold breakup of Planet Y and its moon further machined the surface electrically forming craters, the great Hellas Basin and its antipodal Tharsis uplift.</w:t>
      </w:r>
    </w:p>
    <w:p w:rsidR="00700009" w:rsidRDefault="00700009" w:rsidP="00700009">
      <w:pPr>
        <w:pStyle w:val="NoSpacing"/>
        <w:ind w:firstLine="720"/>
        <w:jc w:val="both"/>
        <w:rPr>
          <w:rFonts w:ascii="Book Antiqua" w:hAnsi="Book Antiqua"/>
          <w:sz w:val="20"/>
        </w:rPr>
      </w:pPr>
    </w:p>
    <w:p w:rsidR="00700009" w:rsidRPr="00486BCA" w:rsidRDefault="00700009" w:rsidP="00700009">
      <w:pPr>
        <w:pStyle w:val="NoSpacing"/>
        <w:ind w:firstLine="720"/>
        <w:jc w:val="both"/>
        <w:rPr>
          <w:rFonts w:ascii="Book Antiqua" w:hAnsi="Book Antiqua"/>
          <w:sz w:val="20"/>
        </w:rPr>
      </w:pPr>
      <w:r w:rsidRPr="00486BCA">
        <w:rPr>
          <w:rFonts w:ascii="Book Antiqua" w:hAnsi="Book Antiqua"/>
          <w:sz w:val="20"/>
        </w:rPr>
        <w:t>As previously noted, the relative amounts of water in each planet increase</w:t>
      </w:r>
      <w:r w:rsidR="00AF3871">
        <w:rPr>
          <w:rFonts w:ascii="Book Antiqua" w:hAnsi="Book Antiqua"/>
          <w:sz w:val="20"/>
        </w:rPr>
        <w:t>s</w:t>
      </w:r>
      <w:r w:rsidRPr="00486BCA">
        <w:rPr>
          <w:rFonts w:ascii="Book Antiqua" w:hAnsi="Book Antiqua"/>
          <w:sz w:val="20"/>
        </w:rPr>
        <w:t xml:space="preserve"> with distance from the sun.  The </w:t>
      </w:r>
      <w:r>
        <w:rPr>
          <w:rFonts w:ascii="Book Antiqua" w:hAnsi="Book Antiqua"/>
          <w:sz w:val="20"/>
        </w:rPr>
        <w:t>large</w:t>
      </w:r>
      <w:r w:rsidRPr="00486BCA">
        <w:rPr>
          <w:rFonts w:ascii="Book Antiqua" w:hAnsi="Book Antiqua"/>
          <w:sz w:val="20"/>
        </w:rPr>
        <w:t xml:space="preserve"> amounts of water on Mars give us a clue that Planet Y had even more water.  But the fact that Mars had somewhat less water was probably what kept it from exploding as well.  The amount was </w:t>
      </w:r>
      <w:r>
        <w:rPr>
          <w:rFonts w:ascii="Book Antiqua" w:hAnsi="Book Antiqua"/>
          <w:sz w:val="20"/>
        </w:rPr>
        <w:t xml:space="preserve">probably </w:t>
      </w:r>
      <w:r w:rsidRPr="00486BCA">
        <w:rPr>
          <w:rFonts w:ascii="Book Antiqua" w:hAnsi="Book Antiqua"/>
          <w:sz w:val="20"/>
        </w:rPr>
        <w:t>just short of critical.   Jupiter,</w:t>
      </w:r>
      <w:r>
        <w:rPr>
          <w:rFonts w:ascii="Book Antiqua" w:hAnsi="Book Antiqua"/>
          <w:sz w:val="20"/>
        </w:rPr>
        <w:t xml:space="preserve"> Saturn, Uranus and Neptune had</w:t>
      </w:r>
      <w:r w:rsidRPr="00486BCA">
        <w:rPr>
          <w:rFonts w:ascii="Book Antiqua" w:hAnsi="Book Antiqua"/>
          <w:sz w:val="20"/>
        </w:rPr>
        <w:t xml:space="preserve"> even more water in </w:t>
      </w:r>
      <w:r>
        <w:rPr>
          <w:rFonts w:ascii="Book Antiqua" w:hAnsi="Book Antiqua"/>
          <w:sz w:val="20"/>
        </w:rPr>
        <w:t>their</w:t>
      </w:r>
      <w:r w:rsidRPr="00486BCA">
        <w:rPr>
          <w:rFonts w:ascii="Book Antiqua" w:hAnsi="Book Antiqua"/>
          <w:sz w:val="20"/>
        </w:rPr>
        <w:t xml:space="preserve"> interior</w:t>
      </w:r>
      <w:r>
        <w:rPr>
          <w:rFonts w:ascii="Book Antiqua" w:hAnsi="Book Antiqua"/>
          <w:sz w:val="20"/>
        </w:rPr>
        <w:t>s. However</w:t>
      </w:r>
      <w:r w:rsidRPr="00486BCA">
        <w:rPr>
          <w:rFonts w:ascii="Book Antiqua" w:hAnsi="Book Antiqua"/>
          <w:sz w:val="20"/>
        </w:rPr>
        <w:t>,</w:t>
      </w:r>
      <w:r>
        <w:rPr>
          <w:rFonts w:ascii="Book Antiqua" w:hAnsi="Book Antiqua"/>
          <w:sz w:val="20"/>
        </w:rPr>
        <w:t xml:space="preserve"> since they are gas giants, they escaped the problem. </w:t>
      </w:r>
      <w:r w:rsidRPr="00486BCA">
        <w:rPr>
          <w:rFonts w:ascii="Book Antiqua" w:hAnsi="Book Antiqua"/>
          <w:sz w:val="20"/>
        </w:rPr>
        <w:t xml:space="preserve">What is interesting is that, with the evidence of Pluto and other Kuiper Belt objects </w:t>
      </w:r>
      <w:r>
        <w:rPr>
          <w:rFonts w:ascii="Book Antiqua" w:hAnsi="Book Antiqua"/>
          <w:sz w:val="20"/>
        </w:rPr>
        <w:t xml:space="preserve">are </w:t>
      </w:r>
      <w:r w:rsidRPr="00486BCA">
        <w:rPr>
          <w:rFonts w:ascii="Book Antiqua" w:hAnsi="Book Antiqua"/>
          <w:sz w:val="20"/>
        </w:rPr>
        <w:t>solid</w:t>
      </w:r>
      <w:r>
        <w:rPr>
          <w:rFonts w:ascii="Book Antiqua" w:hAnsi="Book Antiqua"/>
          <w:sz w:val="20"/>
        </w:rPr>
        <w:t>. Therefore</w:t>
      </w:r>
      <w:r w:rsidRPr="00486BCA">
        <w:rPr>
          <w:rFonts w:ascii="Book Antiqua" w:hAnsi="Book Antiqua"/>
          <w:sz w:val="20"/>
        </w:rPr>
        <w:t xml:space="preserve">, there is the distinct possibility that the most outer planet was also solid. </w:t>
      </w:r>
      <w:r>
        <w:rPr>
          <w:rFonts w:ascii="Book Antiqua" w:hAnsi="Book Antiqua"/>
          <w:sz w:val="20"/>
        </w:rPr>
        <w:t xml:space="preserve"> Analysis of comets indicates that they are made up of many frozen gases, including carbon dioxide and water, as well as rock-like silicates. Any radioactive heating would make a large planet with this composition</w:t>
      </w:r>
      <w:r w:rsidRPr="00486BCA">
        <w:rPr>
          <w:rFonts w:ascii="Book Antiqua" w:hAnsi="Book Antiqua"/>
          <w:sz w:val="20"/>
        </w:rPr>
        <w:t xml:space="preserve"> liable to disrupt quite early</w:t>
      </w:r>
      <w:r>
        <w:rPr>
          <w:rFonts w:ascii="Book Antiqua" w:hAnsi="Book Antiqua"/>
          <w:sz w:val="20"/>
        </w:rPr>
        <w:t xml:space="preserve"> in solar system history</w:t>
      </w:r>
      <w:r w:rsidRPr="00486BCA">
        <w:rPr>
          <w:rFonts w:ascii="Book Antiqua" w:hAnsi="Book Antiqua"/>
          <w:sz w:val="20"/>
        </w:rPr>
        <w:t>.</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lastRenderedPageBreak/>
        <w:t>11. 2 A Brief History of Our Moon</w:t>
      </w: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 Moon’s history follows a </w:t>
      </w:r>
      <w:r>
        <w:rPr>
          <w:rFonts w:ascii="Book Antiqua" w:hAnsi="Book Antiqua"/>
          <w:sz w:val="20"/>
        </w:rPr>
        <w:t>pattern similar</w:t>
      </w:r>
      <w:r w:rsidRPr="00BD541D">
        <w:rPr>
          <w:rFonts w:ascii="Book Antiqua" w:hAnsi="Book Antiqua"/>
          <w:sz w:val="20"/>
        </w:rPr>
        <w:t xml:space="preserve"> to other solar system bodies. After its formation, the interior of the Moon heated up from rapid radioactive decay. The Late Heavy Bombardment occurred which was responsible for the major impact basins</w:t>
      </w:r>
      <w:r>
        <w:rPr>
          <w:rFonts w:ascii="Book Antiqua" w:hAnsi="Book Antiqua"/>
          <w:sz w:val="20"/>
        </w:rPr>
        <w:t>, known</w:t>
      </w:r>
      <w:r w:rsidRPr="00BD541D">
        <w:rPr>
          <w:rFonts w:ascii="Book Antiqua" w:hAnsi="Book Antiqua"/>
          <w:sz w:val="20"/>
        </w:rPr>
        <w:t xml:space="preserve"> as the great northern plains. It has been suggested that about 50 large circular basins as well as many smaller craters were formed at this time. Crater formation was probably </w:t>
      </w:r>
      <w:r>
        <w:rPr>
          <w:rFonts w:ascii="Book Antiqua" w:hAnsi="Book Antiqua"/>
          <w:sz w:val="20"/>
        </w:rPr>
        <w:t>due to</w:t>
      </w:r>
      <w:r w:rsidRPr="00BD541D">
        <w:rPr>
          <w:rFonts w:ascii="Book Antiqua" w:hAnsi="Book Antiqua"/>
          <w:sz w:val="20"/>
        </w:rPr>
        <w:t xml:space="preserve"> both impact and electrical machining.  As can be seen in Figure 12, the great northern plains (top) contrast sharply with the heavily cratered areas to the south (bottom section of image).</w:t>
      </w:r>
    </w:p>
    <w:p w:rsidR="00AA4150" w:rsidRPr="00BD541D" w:rsidRDefault="00AA4150"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5043114" cy="4802521"/>
            <wp:effectExtent l="19050" t="0" r="5136" b="0"/>
            <wp:docPr id="114" name="Picture 1" descr="Labeled Lunar Reconnaisance mosaic of lunar fa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eled Lunar Reconnaisance mosaic of lunar farside"/>
                    <pic:cNvPicPr>
                      <a:picLocks noChangeAspect="1" noChangeArrowheads="1"/>
                    </pic:cNvPicPr>
                  </pic:nvPicPr>
                  <pic:blipFill>
                    <a:blip r:embed="rId1030" cstate="print">
                      <a:lum contrast="40000"/>
                    </a:blip>
                    <a:srcRect/>
                    <a:stretch>
                      <a:fillRect/>
                    </a:stretch>
                  </pic:blipFill>
                  <pic:spPr bwMode="auto">
                    <a:xfrm>
                      <a:off x="0" y="0"/>
                      <a:ext cx="5048288" cy="4807448"/>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624D90" w:rsidRDefault="00700009" w:rsidP="00AA4150">
      <w:pPr>
        <w:pStyle w:val="NoSpacing"/>
        <w:jc w:val="center"/>
        <w:rPr>
          <w:rFonts w:ascii="Book Antiqua" w:hAnsi="Book Antiqua"/>
          <w:i/>
          <w:sz w:val="18"/>
          <w:szCs w:val="18"/>
        </w:rPr>
      </w:pPr>
      <w:r w:rsidRPr="00624D90">
        <w:rPr>
          <w:rFonts w:ascii="Book Antiqua" w:hAnsi="Book Antiqua"/>
          <w:b/>
          <w:i/>
          <w:sz w:val="18"/>
          <w:szCs w:val="18"/>
        </w:rPr>
        <w:t>Figure 12:</w:t>
      </w:r>
      <w:r w:rsidRPr="00624D90">
        <w:rPr>
          <w:rFonts w:ascii="Book Antiqua" w:hAnsi="Book Antiqua"/>
          <w:i/>
          <w:sz w:val="18"/>
          <w:szCs w:val="18"/>
        </w:rPr>
        <w:t xml:space="preserve"> The Moon with major features labeled. Great </w:t>
      </w:r>
      <w:proofErr w:type="gramStart"/>
      <w:r w:rsidRPr="00624D90">
        <w:rPr>
          <w:rFonts w:ascii="Book Antiqua" w:hAnsi="Book Antiqua"/>
          <w:i/>
          <w:sz w:val="18"/>
          <w:szCs w:val="18"/>
        </w:rPr>
        <w:t>plains</w:t>
      </w:r>
      <w:proofErr w:type="gramEnd"/>
      <w:r w:rsidRPr="00624D90">
        <w:rPr>
          <w:rFonts w:ascii="Book Antiqua" w:hAnsi="Book Antiqua"/>
          <w:i/>
          <w:sz w:val="18"/>
          <w:szCs w:val="18"/>
        </w:rPr>
        <w:t xml:space="preserve"> in the north (top), with densly cratered uplands in the south (bottom).</w:t>
      </w:r>
    </w:p>
    <w:p w:rsidR="00700009" w:rsidRPr="00BD541D" w:rsidRDefault="00700009" w:rsidP="00700009">
      <w:pPr>
        <w:pStyle w:val="NoSpacing"/>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Because the Moon is smaller than Mars, </w:t>
      </w:r>
      <w:r w:rsidRPr="00C81FC6">
        <w:rPr>
          <w:rFonts w:ascii="Book Antiqua" w:hAnsi="Book Antiqua"/>
          <w:sz w:val="20"/>
        </w:rPr>
        <w:t xml:space="preserve">as well as closer to the sun, </w:t>
      </w:r>
      <w:r w:rsidRPr="00BD541D">
        <w:rPr>
          <w:rFonts w:ascii="Book Antiqua" w:hAnsi="Book Antiqua"/>
          <w:sz w:val="20"/>
        </w:rPr>
        <w:t xml:space="preserve">there was less water to outgas. The water was probably incorporated into the basalt, which, due to radioactivity, was heated until it became highly fluid.  The pressure resulting from this heating may have caused the basalt to be outpoured through faults and fissures in response to the LHB. Alternately, the action of the LHB impactors may have liquefied portions of the interior by the release of pressure. The crust then sank on the tangential fault system around the edge of the impact basins and displaced the newly molten rock. In the case of Mare Imbrium, the tangential fault system allowed the crust to drop by as much as two miles. This can be seen from the two mile high fault scarp of the Appenine </w:t>
      </w:r>
      <w:proofErr w:type="gramStart"/>
      <w:r w:rsidRPr="00BD541D">
        <w:rPr>
          <w:rFonts w:ascii="Book Antiqua" w:hAnsi="Book Antiqua"/>
          <w:sz w:val="20"/>
        </w:rPr>
        <w:t>mountains</w:t>
      </w:r>
      <w:proofErr w:type="gramEnd"/>
      <w:r w:rsidRPr="00BD541D">
        <w:rPr>
          <w:rFonts w:ascii="Book Antiqua" w:hAnsi="Book Antiqua"/>
          <w:sz w:val="20"/>
        </w:rPr>
        <w:t xml:space="preserve"> between Archimedes and Eratosthenes. </w:t>
      </w:r>
      <w:r>
        <w:rPr>
          <w:rFonts w:ascii="Book Antiqua" w:hAnsi="Book Antiqua"/>
          <w:sz w:val="20"/>
        </w:rPr>
        <w:t>This can be seen in Figure 12.</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These </w:t>
      </w:r>
      <w:proofErr w:type="gramStart"/>
      <w:r w:rsidRPr="00BD541D">
        <w:rPr>
          <w:rFonts w:ascii="Book Antiqua" w:hAnsi="Book Antiqua"/>
          <w:sz w:val="20"/>
        </w:rPr>
        <w:t>great plains</w:t>
      </w:r>
      <w:proofErr w:type="gramEnd"/>
      <w:r w:rsidRPr="00BD541D">
        <w:rPr>
          <w:rFonts w:ascii="Book Antiqua" w:hAnsi="Book Antiqua"/>
          <w:sz w:val="20"/>
        </w:rPr>
        <w:t xml:space="preserve"> on the Moon are the dark areas on Figure 12.  They formed in two phases. First, there was an older basalt with a high titanium content and ages ranging from 3.8 to 3.5 billion atomic years which inundated Mare Tranquillitatis and the Taurus-Littrow mare regions and other portions of the eastern hemisphere as seen from earth. (This includes the areas explored by Apollo 11 and 17.)  Second, there exists a younger, low titanium group of basalts associated with Mare Imbrium, Mare Serenitatis and Oceanus Procellarum, which generally date from about 3.4 to 3.1 billion atomic years. These central and western regions of the near-side of the Moon include the areas visited by the Apollo 12 and 15 astronauts [50].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Over 90% of observed volcanic deposits on the Moon were emplaced during this period -- from 3.8 to 3.1 billion atomic years ago.  J. W. Head, L. Wilson, and D. Wilhelms state: </w:t>
      </w:r>
      <w:r w:rsidRPr="00BD541D">
        <w:rPr>
          <w:rFonts w:ascii="Book Antiqua" w:hAnsi="Book Antiqua"/>
          <w:i/>
          <w:sz w:val="20"/>
        </w:rPr>
        <w:t xml:space="preserve">"The source of heat required for melting and depth of origin is a major outstanding question in the petrogenesis of mare basalts." </w:t>
      </w:r>
      <w:r w:rsidRPr="00BD541D">
        <w:rPr>
          <w:rFonts w:ascii="Book Antiqua" w:hAnsi="Book Antiqua"/>
          <w:sz w:val="20"/>
        </w:rPr>
        <w:t xml:space="preserve">[51] The radioactivity in the core of the moon </w:t>
      </w:r>
      <w:r>
        <w:rPr>
          <w:rFonts w:ascii="Book Antiqua" w:hAnsi="Book Antiqua"/>
          <w:sz w:val="20"/>
        </w:rPr>
        <w:t>at least partly explains</w:t>
      </w:r>
      <w:r w:rsidRPr="00BD541D">
        <w:rPr>
          <w:rFonts w:ascii="Book Antiqua" w:hAnsi="Book Antiqua"/>
          <w:sz w:val="20"/>
        </w:rPr>
        <w:t xml:space="preserve"> this heating. This, plus the release of pressure on already hot rock when the huge basins were formed, may be sufficient to account for the magma outpouring. The end of major eruptions of mare basalt, around 3 billion atomic years ago, ushered in a stage of lunar development during which only minor changes to the surface occurred [52]. Since then, a few significant craters such as Copernicus and Tycho have been formed. Their ages are about 850 million and 70 million atomic years respectively [53, 54]. Thus the formation of Copernicus appears to be related to the initial breakup of Planet Y and the formation of Tycho appears to be related to the breakup of its moon. Thus these break-up events appear to have played an important part in </w:t>
      </w:r>
      <w:proofErr w:type="gramStart"/>
      <w:r w:rsidRPr="00BD541D">
        <w:rPr>
          <w:rFonts w:ascii="Book Antiqua" w:hAnsi="Book Antiqua"/>
          <w:sz w:val="20"/>
        </w:rPr>
        <w:t>Lunar</w:t>
      </w:r>
      <w:proofErr w:type="gramEnd"/>
      <w:r w:rsidRPr="00BD541D">
        <w:rPr>
          <w:rFonts w:ascii="Book Antiqua" w:hAnsi="Book Antiqua"/>
          <w:sz w:val="20"/>
        </w:rPr>
        <w:t xml:space="preserve"> history.</w:t>
      </w:r>
    </w:p>
    <w:p w:rsidR="00700009" w:rsidRPr="00BD541D" w:rsidRDefault="00700009" w:rsidP="00700009">
      <w:pPr>
        <w:pStyle w:val="NoSpacing"/>
        <w:jc w:val="both"/>
        <w:rPr>
          <w:rFonts w:ascii="Book Antiqua" w:hAnsi="Book Antiqua"/>
          <w:sz w:val="20"/>
        </w:rPr>
      </w:pPr>
      <w:r w:rsidRPr="00BD541D">
        <w:rPr>
          <w:rFonts w:ascii="Book Antiqua" w:hAnsi="Book Antiqua"/>
          <w:sz w:val="20"/>
        </w:rPr>
        <w:tab/>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sequence of events on the Moon appears to be as follows: (1) Initial heating of the interior. (2) The LHB forming massive basins and at least partly liquefying sub-crustal regions. (3) The outpouring of highly mobile basalts flooding the massive basins, which then delineated the low-lying Mare plains from the highly cratered uplands. (4) Later impact and electrical events, associated with the breakup of Planet Y and its moon, which formed a few significant craters.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3 A Brief History of Venus</w:t>
      </w:r>
    </w:p>
    <w:p w:rsidR="00700009" w:rsidRPr="00BD541D" w:rsidRDefault="00700009" w:rsidP="00700009">
      <w:pPr>
        <w:pStyle w:val="NormalWeb"/>
        <w:jc w:val="both"/>
        <w:rPr>
          <w:rFonts w:ascii="Book Antiqua" w:hAnsi="Book Antiqua"/>
          <w:sz w:val="20"/>
          <w:szCs w:val="20"/>
        </w:rPr>
      </w:pPr>
      <w:r w:rsidRPr="00BD541D">
        <w:rPr>
          <w:rFonts w:ascii="Book Antiqua" w:hAnsi="Book Antiqua"/>
          <w:sz w:val="20"/>
          <w:szCs w:val="20"/>
        </w:rPr>
        <w:tab/>
      </w:r>
      <w:r w:rsidRPr="00C81FC6">
        <w:rPr>
          <w:rFonts w:ascii="Book Antiqua" w:hAnsi="Book Antiqua"/>
          <w:sz w:val="20"/>
          <w:szCs w:val="20"/>
        </w:rPr>
        <w:t>The presence of deuterium in Venus’ atmosphere tells us that Venus also once had water.</w:t>
      </w:r>
      <w:r w:rsidRPr="00BD541D">
        <w:rPr>
          <w:rFonts w:ascii="Book Antiqua" w:hAnsi="Book Antiqua"/>
          <w:sz w:val="20"/>
          <w:szCs w:val="20"/>
        </w:rPr>
        <w:t xml:space="preserve">  </w:t>
      </w:r>
      <w:r>
        <w:rPr>
          <w:rFonts w:ascii="Book Antiqua" w:hAnsi="Book Antiqua"/>
          <w:sz w:val="20"/>
          <w:szCs w:val="20"/>
        </w:rPr>
        <w:t xml:space="preserve">However its position closer to the sun means it had less than Earth.  </w:t>
      </w:r>
      <w:r w:rsidRPr="00BD541D">
        <w:rPr>
          <w:rFonts w:ascii="Book Antiqua" w:hAnsi="Book Antiqua"/>
          <w:sz w:val="20"/>
          <w:szCs w:val="20"/>
        </w:rPr>
        <w:t>What happened to it is a matter of ongoing research and discussion.  The ratio of deuterium to hydrogen in the atmosphere of Venus indicates that water had indeed been outgas</w:t>
      </w:r>
      <w:r>
        <w:rPr>
          <w:rFonts w:ascii="Book Antiqua" w:hAnsi="Book Antiqua"/>
          <w:sz w:val="20"/>
          <w:szCs w:val="20"/>
        </w:rPr>
        <w:t>s</w:t>
      </w:r>
      <w:r w:rsidRPr="00BD541D">
        <w:rPr>
          <w:rFonts w:ascii="Book Antiqua" w:hAnsi="Book Antiqua"/>
          <w:sz w:val="20"/>
          <w:szCs w:val="20"/>
        </w:rPr>
        <w:t>ed from the interior initially, just as in the case of Mars. However, this was subsequently lost to the planet.</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Cambridge Atlas explains it this way</w:t>
      </w:r>
      <w:r w:rsidRPr="00BD541D">
        <w:rPr>
          <w:rFonts w:ascii="Book Antiqua" w:hAnsi="Book Antiqua"/>
          <w:i/>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BD541D">
        <w:rPr>
          <w:rFonts w:ascii="Book Antiqua" w:hAnsi="Book Antiqua"/>
          <w:sz w:val="20"/>
        </w:rPr>
        <w:t xml:space="preserve">[55] This water was then lost through increasing heat from the planet itself as well as heat from the sun.  As it stands now, Venus is giving </w:t>
      </w:r>
      <w:proofErr w:type="gramStart"/>
      <w:r w:rsidRPr="00BD541D">
        <w:rPr>
          <w:rFonts w:ascii="Book Antiqua" w:hAnsi="Book Antiqua"/>
          <w:sz w:val="20"/>
        </w:rPr>
        <w:t>off twice as much energy</w:t>
      </w:r>
      <w:proofErr w:type="gramEnd"/>
      <w:r w:rsidRPr="00BD541D">
        <w:rPr>
          <w:rFonts w:ascii="Book Antiqua" w:hAnsi="Book Antiqua"/>
          <w:sz w:val="20"/>
        </w:rPr>
        <w:t xml:space="preserve"> from the top of its atmosphere as it is receiving from the sun.</w:t>
      </w:r>
      <w:r>
        <w:rPr>
          <w:rFonts w:ascii="Book Antiqua" w:hAnsi="Book Antiqua"/>
          <w:sz w:val="20"/>
        </w:rPr>
        <w:t xml:space="preserve"> This is a strong indication of continuing radioactive heating.  This is continuing because of the Marklund Convection sorting which gave it an abundance of radioactive elements in its core.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David H. Grinspoon, points out that [56]</w:t>
      </w:r>
      <w:r w:rsidRPr="00BD541D">
        <w:rPr>
          <w:rFonts w:ascii="Book Antiqua" w:hAnsi="Book Antiqua"/>
          <w:i/>
          <w:sz w:val="20"/>
        </w:rPr>
        <w:t xml:space="preserve">”The high abundance ratio of deuterium to hydrogen in the atmosphere of Venus (120 times that on Earth) can be interpreted either as a signature of a lost primordial ocean [Donahue et al, </w:t>
      </w:r>
      <w:r w:rsidRPr="00BD541D">
        <w:rPr>
          <w:rFonts w:ascii="Book Antiqua" w:hAnsi="Book Antiqua"/>
          <w:sz w:val="20"/>
        </w:rPr>
        <w:t>Science</w:t>
      </w:r>
      <w:r w:rsidRPr="00BD541D">
        <w:rPr>
          <w:rFonts w:ascii="Book Antiqua" w:hAnsi="Book Antiqua"/>
          <w:i/>
          <w:sz w:val="20"/>
        </w:rPr>
        <w:t xml:space="preserve"> </w:t>
      </w:r>
      <w:r w:rsidRPr="00BD541D">
        <w:rPr>
          <w:rFonts w:ascii="Book Antiqua" w:hAnsi="Book Antiqua"/>
          <w:b/>
          <w:i/>
          <w:sz w:val="20"/>
        </w:rPr>
        <w:t>216</w:t>
      </w:r>
      <w:r w:rsidRPr="00BD541D">
        <w:rPr>
          <w:rFonts w:ascii="Book Antiqua" w:hAnsi="Book Antiqua"/>
          <w:i/>
          <w:sz w:val="20"/>
        </w:rPr>
        <w:t>, 630-633 (1982)], or a steady state in which water is continuously supplied to the surface of Venus by … volcanic outgassing…”</w:t>
      </w:r>
      <w:r w:rsidRPr="00BD541D">
        <w:rPr>
          <w:rFonts w:ascii="Book Antiqua" w:hAnsi="Book Antiqua"/>
          <w:sz w:val="20"/>
        </w:rPr>
        <w:t xml:space="preserve"> That research tends to support the contention that water was driven out of the interior of the planet towards the surface.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surface and interior structure of Venus have been a topic of continuing scientific discussion since a wealth of data was sent back by the Magellan probe. Topographically, Venus contains several continent-sized plateau highlands </w:t>
      </w:r>
      <w:r w:rsidRPr="00BD541D">
        <w:rPr>
          <w:rFonts w:ascii="Book Antiqua" w:hAnsi="Book Antiqua"/>
          <w:sz w:val="20"/>
        </w:rPr>
        <w:lastRenderedPageBreak/>
        <w:t xml:space="preserve">that rise 3 or more kilometers above the lowland plains that comprise about 80% of that planet's surface (see Figure 13). These gently rolling plains are thought to be primarily due to effusive eruptions of basaltic lava upon which has been superimposed a random distribution of impact craters. </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790677" cy="3818965"/>
            <wp:effectExtent l="19050" t="0" r="0" b="0"/>
            <wp:docPr id="116" name="il_fi" descr="http://www.fas.org/irp/imint/docs/rst/Sect19/PionVen-mapIDs-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s.org/irp/imint/docs/rst/Sect19/PionVen-mapIDs-CM.jpg"/>
                    <pic:cNvPicPr>
                      <a:picLocks noChangeAspect="1" noChangeArrowheads="1"/>
                    </pic:cNvPicPr>
                  </pic:nvPicPr>
                  <pic:blipFill>
                    <a:blip r:embed="rId1031" cstate="print">
                      <a:lum bright="-20000" contrast="30000"/>
                    </a:blip>
                    <a:srcRect t="2475" r="-44"/>
                    <a:stretch>
                      <a:fillRect/>
                    </a:stretch>
                  </pic:blipFill>
                  <pic:spPr bwMode="auto">
                    <a:xfrm>
                      <a:off x="0" y="0"/>
                      <a:ext cx="6805287" cy="3827182"/>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13:</w:t>
      </w:r>
      <w:r w:rsidRPr="00624D90">
        <w:rPr>
          <w:rFonts w:ascii="Book Antiqua" w:hAnsi="Book Antiqua"/>
          <w:i/>
          <w:sz w:val="18"/>
          <w:szCs w:val="18"/>
        </w:rPr>
        <w:t xml:space="preserve"> Map of Venus. The extensive lightest blue areas are the lowland plains produced by the effusion of basaltic lava. The plains are covered with a random distribution of craters. Dark blue and other colors are upland areas.</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random distribution is coupled with the fact that few craters display signs of significant modification by either tectonic or volcanic processes. In a paper entitled "Magellan: A new view of Venus' geology and geophysics" D. L. Bindschadler states </w:t>
      </w:r>
      <w:r w:rsidRPr="00BD541D">
        <w:rPr>
          <w:rFonts w:ascii="Book Antiqua" w:hAnsi="Book Antiqua"/>
          <w:i/>
          <w:sz w:val="20"/>
        </w:rPr>
        <w:t xml:space="preserve">"The impact crater distribution appears to be most consistent with models that call for a near-complete resurfacing of the planet prior to 300 </w:t>
      </w:r>
      <w:r w:rsidRPr="00BD541D">
        <w:rPr>
          <w:rFonts w:ascii="Book Antiqua" w:hAnsi="Book Antiqua"/>
          <w:i/>
          <w:sz w:val="20"/>
        </w:rPr>
        <w:softHyphen/>
        <w:t>- 500 Ma [million atomic years]. Subsequent to this period of extreme [volcanic] activity, [geological] process rates declined and impact craters began to accumulate, with only minor modification and resurfacing since."</w:t>
      </w:r>
      <w:r w:rsidRPr="00BD541D">
        <w:rPr>
          <w:rFonts w:ascii="Book Antiqua" w:hAnsi="Book Antiqua"/>
          <w:sz w:val="20"/>
        </w:rPr>
        <w:t xml:space="preserve"> He finally concludes that </w:t>
      </w:r>
      <w:r w:rsidRPr="00BD541D">
        <w:rPr>
          <w:rFonts w:ascii="Book Antiqua" w:hAnsi="Book Antiqua"/>
          <w:i/>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BD541D">
        <w:rPr>
          <w:rFonts w:ascii="Book Antiqua" w:hAnsi="Book Antiqua"/>
          <w:sz w:val="20"/>
        </w:rPr>
        <w:t xml:space="preserve"> [57].</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Pr>
          <w:rFonts w:ascii="Book Antiqua" w:hAnsi="Book Antiqua"/>
          <w:sz w:val="20"/>
        </w:rPr>
        <w:t>Plasma physics explains that</w:t>
      </w:r>
      <w:r w:rsidRPr="00BD541D">
        <w:rPr>
          <w:rFonts w:ascii="Book Antiqua" w:hAnsi="Book Antiqua"/>
          <w:sz w:val="20"/>
        </w:rPr>
        <w:t xml:space="preserve"> these plains were the result of the interior of Venus heating up.  In the same way as happened with the other rocky planets, after the LHB, water was driven out of the primordial rocks and crystal lattices.  As the water heated, pressure increased, until the waters poured out on the surface as the early ocean. As the mantle rock itself continued to heat, it became liquid and increased in volume, placing pressure on the crust.  This produced a network of cracks on the surface out of</w:t>
      </w:r>
      <w:r>
        <w:rPr>
          <w:rFonts w:ascii="Book Antiqua" w:hAnsi="Book Antiqua"/>
          <w:sz w:val="20"/>
        </w:rPr>
        <w:t xml:space="preserve"> </w:t>
      </w:r>
      <w:r w:rsidRPr="00BD541D">
        <w:rPr>
          <w:rFonts w:ascii="Book Antiqua" w:hAnsi="Book Antiqua"/>
          <w:sz w:val="20"/>
        </w:rPr>
        <w:t>which magma was then able to extrude. Th</w:t>
      </w:r>
      <w:r>
        <w:rPr>
          <w:rFonts w:ascii="Book Antiqua" w:hAnsi="Book Antiqua"/>
          <w:sz w:val="20"/>
        </w:rPr>
        <w:t>e</w:t>
      </w:r>
      <w:r w:rsidRPr="00BD541D">
        <w:rPr>
          <w:rFonts w:ascii="Book Antiqua" w:hAnsi="Book Antiqua"/>
          <w:sz w:val="20"/>
        </w:rPr>
        <w:t xml:space="preserve"> magma extrusion then engulfed and covered the craters which </w:t>
      </w:r>
      <w:r>
        <w:rPr>
          <w:rFonts w:ascii="Book Antiqua" w:hAnsi="Book Antiqua"/>
          <w:sz w:val="20"/>
        </w:rPr>
        <w:t xml:space="preserve">had </w:t>
      </w:r>
      <w:r w:rsidRPr="00BD541D">
        <w:rPr>
          <w:rFonts w:ascii="Book Antiqua" w:hAnsi="Book Antiqua"/>
          <w:sz w:val="20"/>
        </w:rPr>
        <w:t xml:space="preserve">resulted from the Late Heavy Bombardment. At the same time the magma also vaporized the ocean/waters. Simultaneously, the magma released vast quantities of carbon-dioxide which formed the basis for the present atmosphere of Venus. As the magma cooled, it </w:t>
      </w:r>
      <w:r>
        <w:rPr>
          <w:rFonts w:ascii="Book Antiqua" w:hAnsi="Book Antiqua"/>
          <w:sz w:val="20"/>
        </w:rPr>
        <w:t>formed</w:t>
      </w:r>
      <w:r w:rsidRPr="00BD541D">
        <w:rPr>
          <w:rFonts w:ascii="Book Antiqua" w:hAnsi="Book Antiqua"/>
          <w:sz w:val="20"/>
        </w:rPr>
        <w:t xml:space="preserve"> the plains which exist today. </w:t>
      </w:r>
      <w:r>
        <w:rPr>
          <w:rFonts w:ascii="Book Antiqua" w:hAnsi="Book Antiqua"/>
          <w:sz w:val="20"/>
        </w:rPr>
        <w:t xml:space="preserve">It was after this the breakup of Planet Y and its moon produced the craters on the plains today.  </w:t>
      </w:r>
    </w:p>
    <w:p w:rsidR="00874664" w:rsidRDefault="00874664" w:rsidP="00700009">
      <w:pPr>
        <w:pStyle w:val="NoSpacing"/>
        <w:ind w:firstLine="720"/>
        <w:jc w:val="both"/>
        <w:rPr>
          <w:rFonts w:ascii="Book Antiqua" w:hAnsi="Book Antiqua"/>
          <w:sz w:val="20"/>
        </w:rPr>
      </w:pPr>
    </w:p>
    <w:p w:rsidR="00874664" w:rsidRDefault="00700009" w:rsidP="00874664">
      <w:pPr>
        <w:pStyle w:val="NoSpacing"/>
        <w:jc w:val="both"/>
        <w:rPr>
          <w:rFonts w:ascii="Book Antiqua" w:hAnsi="Book Antiqua"/>
          <w:sz w:val="20"/>
        </w:rPr>
      </w:pPr>
      <w:r w:rsidRPr="00BD541D">
        <w:rPr>
          <w:rFonts w:ascii="Book Antiqua" w:hAnsi="Book Antiqua"/>
          <w:sz w:val="20"/>
        </w:rPr>
        <w:lastRenderedPageBreak/>
        <w:t xml:space="preserve">From the evidence available, it seems as if the sequence of events on Venus </w:t>
      </w:r>
      <w:r w:rsidR="00874664">
        <w:rPr>
          <w:rFonts w:ascii="Book Antiqua" w:hAnsi="Book Antiqua"/>
          <w:sz w:val="20"/>
        </w:rPr>
        <w:t>was probably something like this</w:t>
      </w:r>
      <w:r w:rsidRPr="00BD541D">
        <w:rPr>
          <w:rFonts w:ascii="Book Antiqua" w:hAnsi="Book Antiqua"/>
          <w:sz w:val="20"/>
        </w:rPr>
        <w:t xml:space="preserve">: </w:t>
      </w:r>
    </w:p>
    <w:p w:rsidR="00874664" w:rsidRDefault="00874664" w:rsidP="00700009">
      <w:pPr>
        <w:pStyle w:val="NoSpacing"/>
        <w:ind w:firstLine="720"/>
        <w:jc w:val="both"/>
        <w:rPr>
          <w:rFonts w:ascii="Book Antiqua" w:hAnsi="Book Antiqua"/>
          <w:sz w:val="20"/>
        </w:rPr>
      </w:pPr>
    </w:p>
    <w:p w:rsidR="00874664" w:rsidRDefault="00700009" w:rsidP="00874664">
      <w:pPr>
        <w:pStyle w:val="NoSpacing"/>
        <w:numPr>
          <w:ilvl w:val="0"/>
          <w:numId w:val="68"/>
        </w:numPr>
        <w:jc w:val="both"/>
        <w:rPr>
          <w:rFonts w:ascii="Book Antiqua" w:hAnsi="Book Antiqua"/>
          <w:sz w:val="20"/>
        </w:rPr>
      </w:pPr>
      <w:r w:rsidRPr="00BD541D">
        <w:rPr>
          <w:rFonts w:ascii="Book Antiqua" w:hAnsi="Book Antiqua"/>
          <w:sz w:val="20"/>
        </w:rPr>
        <w:t xml:space="preserve">The Late Heavy Bombardment formed craters and basins. </w:t>
      </w:r>
    </w:p>
    <w:p w:rsidR="00874664" w:rsidRDefault="00874664" w:rsidP="00874664">
      <w:pPr>
        <w:pStyle w:val="NoSpacing"/>
        <w:ind w:left="1080"/>
        <w:jc w:val="both"/>
        <w:rPr>
          <w:rFonts w:ascii="Book Antiqua" w:hAnsi="Book Antiqua"/>
          <w:sz w:val="20"/>
        </w:rPr>
      </w:pPr>
    </w:p>
    <w:p w:rsidR="00874664" w:rsidRDefault="00700009" w:rsidP="00874664">
      <w:pPr>
        <w:pStyle w:val="NoSpacing"/>
        <w:numPr>
          <w:ilvl w:val="0"/>
          <w:numId w:val="68"/>
        </w:numPr>
        <w:jc w:val="both"/>
        <w:rPr>
          <w:rFonts w:ascii="Book Antiqua" w:hAnsi="Book Antiqua"/>
          <w:sz w:val="20"/>
        </w:rPr>
      </w:pPr>
      <w:r w:rsidRPr="00BD541D">
        <w:rPr>
          <w:rFonts w:ascii="Book Antiqua" w:hAnsi="Book Antiqua"/>
          <w:sz w:val="20"/>
        </w:rPr>
        <w:t xml:space="preserve">Water was outgassed from the interior, resulting in an ocean(s). </w:t>
      </w:r>
    </w:p>
    <w:p w:rsidR="00874664" w:rsidRDefault="00874664" w:rsidP="00874664">
      <w:pPr>
        <w:pStyle w:val="NoSpacing"/>
        <w:ind w:left="1080"/>
        <w:jc w:val="both"/>
        <w:rPr>
          <w:rFonts w:ascii="Book Antiqua" w:hAnsi="Book Antiqua"/>
          <w:sz w:val="20"/>
        </w:rPr>
      </w:pPr>
    </w:p>
    <w:p w:rsidR="00874664" w:rsidRDefault="00700009" w:rsidP="00874664">
      <w:pPr>
        <w:pStyle w:val="NoSpacing"/>
        <w:numPr>
          <w:ilvl w:val="0"/>
          <w:numId w:val="68"/>
        </w:numPr>
        <w:jc w:val="both"/>
        <w:rPr>
          <w:rFonts w:ascii="Book Antiqua" w:hAnsi="Book Antiqua"/>
          <w:sz w:val="20"/>
        </w:rPr>
      </w:pPr>
      <w:r w:rsidRPr="00BD541D">
        <w:rPr>
          <w:rFonts w:ascii="Book Antiqua" w:hAnsi="Book Antiqua"/>
          <w:sz w:val="20"/>
        </w:rPr>
        <w:t xml:space="preserve">The outpouring of basaltic magma from the </w:t>
      </w:r>
      <w:proofErr w:type="gramStart"/>
      <w:r w:rsidRPr="00BD541D">
        <w:rPr>
          <w:rFonts w:ascii="Book Antiqua" w:hAnsi="Book Antiqua"/>
          <w:sz w:val="20"/>
        </w:rPr>
        <w:t>interior,</w:t>
      </w:r>
      <w:proofErr w:type="gramEnd"/>
      <w:r w:rsidRPr="00BD541D">
        <w:rPr>
          <w:rFonts w:ascii="Book Antiqua" w:hAnsi="Book Antiqua"/>
          <w:sz w:val="20"/>
        </w:rPr>
        <w:t xml:space="preserve"> vaporized the waters and supplied vast quantities of carbon dioxide to the atmosphere. The extruded magma resurfaced the planet and obliterated craters formed in the LHB. </w:t>
      </w:r>
    </w:p>
    <w:p w:rsidR="00874664" w:rsidRDefault="00874664" w:rsidP="00874664">
      <w:pPr>
        <w:pStyle w:val="NoSpacing"/>
        <w:ind w:left="1080"/>
        <w:jc w:val="both"/>
        <w:rPr>
          <w:rFonts w:ascii="Book Antiqua" w:hAnsi="Book Antiqua"/>
          <w:sz w:val="20"/>
        </w:rPr>
      </w:pPr>
    </w:p>
    <w:p w:rsidR="00700009" w:rsidRPr="00BD541D" w:rsidRDefault="00700009" w:rsidP="00874664">
      <w:pPr>
        <w:pStyle w:val="NoSpacing"/>
        <w:ind w:left="720"/>
        <w:jc w:val="both"/>
        <w:rPr>
          <w:rFonts w:ascii="Book Antiqua" w:hAnsi="Book Antiqua"/>
          <w:sz w:val="20"/>
        </w:rPr>
      </w:pPr>
      <w:r w:rsidRPr="00BD541D">
        <w:rPr>
          <w:rFonts w:ascii="Book Antiqua" w:hAnsi="Book Antiqua"/>
          <w:sz w:val="20"/>
        </w:rPr>
        <w:t xml:space="preserve">(4) Impacts and electrically formed craters from the 3-fold breakup of Planet Y and its moon became superimposed on the new basaltic surface.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 xml:space="preserve">11. 4 </w:t>
      </w:r>
      <w:proofErr w:type="gramStart"/>
      <w:r w:rsidRPr="00BD541D">
        <w:rPr>
          <w:rFonts w:ascii="Book Antiqua" w:hAnsi="Book Antiqua"/>
          <w:i/>
          <w:sz w:val="20"/>
          <w:szCs w:val="20"/>
        </w:rPr>
        <w:t>A</w:t>
      </w:r>
      <w:proofErr w:type="gramEnd"/>
      <w:r w:rsidRPr="00BD541D">
        <w:rPr>
          <w:rFonts w:ascii="Book Antiqua" w:hAnsi="Book Antiqua"/>
          <w:i/>
          <w:sz w:val="20"/>
          <w:szCs w:val="20"/>
        </w:rPr>
        <w:t xml:space="preserve"> Summary for Mercury</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Two spacecraft have been sent to study the planet Mercury: the Mariner 10 probe and the MESSENGER mission (which has only recently settled into its Mercury orbit).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i/>
          <w:sz w:val="20"/>
        </w:rPr>
        <w:t xml:space="preserve">“From studies of the crater size-frequency distributions on the Moon and terrestrial planets, it has been recognized that the inner solar system has been dominated by two populations of impacting objects </w:t>
      </w:r>
      <w:r w:rsidRPr="00BD541D">
        <w:rPr>
          <w:rFonts w:ascii="Book Antiqua" w:hAnsi="Book Antiqua"/>
          <w:sz w:val="20"/>
        </w:rPr>
        <w:t>[58].</w:t>
      </w:r>
      <w:r w:rsidRPr="00BD541D">
        <w:rPr>
          <w:rFonts w:ascii="Book Antiqua" w:hAnsi="Book Antiqua"/>
          <w:i/>
          <w:sz w:val="20"/>
        </w:rPr>
        <w:t xml:space="preserve"> The first population (Population 1) is the result of the LHB, and the second population (Population 2) has been mostly derived from near-Earth asteroids. … In addition to these two primary impact populations, a third population of craters occurs at relatively small diameters [up to 20 km].”</w:t>
      </w:r>
      <w:r w:rsidRPr="00BD541D">
        <w:rPr>
          <w:rFonts w:ascii="Book Antiqua" w:hAnsi="Book Antiqua"/>
          <w:sz w:val="20"/>
        </w:rPr>
        <w:t xml:space="preserve"> [59] This is in accord with the material presented here regarding the LHB and the subsequent breakup of a planet and its moon which had originally orbited between Mars and Jupiter.</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relation to Mercury itself</w:t>
      </w:r>
      <w:r>
        <w:rPr>
          <w:rFonts w:ascii="Book Antiqua" w:hAnsi="Book Antiqua"/>
          <w:sz w:val="20"/>
        </w:rPr>
        <w:t>,</w:t>
      </w:r>
      <w:r w:rsidRPr="00BD541D">
        <w:rPr>
          <w:rFonts w:ascii="Book Antiqua" w:hAnsi="Book Antiqua"/>
          <w:sz w:val="20"/>
        </w:rPr>
        <w:t xml:space="preserve"> Strom and his team write: </w:t>
      </w:r>
      <w:r w:rsidRPr="00BD541D">
        <w:rPr>
          <w:rFonts w:ascii="Book Antiqua" w:hAnsi="Book Antiqua"/>
          <w:i/>
          <w:sz w:val="20"/>
        </w:rPr>
        <w:t>“The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different crater size-frequency distribution than the intercrater plains, consistent with a cratering record dominated by a younger population of impactors.”</w:t>
      </w:r>
      <w:r w:rsidRPr="00BD541D">
        <w:rPr>
          <w:rFonts w:ascii="Book Antiqua" w:hAnsi="Book Antiqua"/>
          <w:sz w:val="20"/>
        </w:rPr>
        <w:t xml:space="preserve"> [59]  </w:t>
      </w:r>
    </w:p>
    <w:p w:rsidR="00700009" w:rsidRPr="00BD541D" w:rsidRDefault="00700009" w:rsidP="00700009">
      <w:pPr>
        <w:pStyle w:val="NoSpacing"/>
        <w:ind w:firstLine="720"/>
        <w:jc w:val="both"/>
        <w:rPr>
          <w:rFonts w:ascii="Book Antiqua" w:hAnsi="Book Antiqua"/>
          <w:sz w:val="20"/>
        </w:rPr>
      </w:pPr>
    </w:p>
    <w:p w:rsidR="00874664" w:rsidRDefault="00700009" w:rsidP="00700009">
      <w:pPr>
        <w:pStyle w:val="NoSpacing"/>
        <w:ind w:firstLine="720"/>
        <w:jc w:val="both"/>
        <w:rPr>
          <w:rFonts w:ascii="Book Antiqua" w:hAnsi="Book Antiqua"/>
          <w:sz w:val="20"/>
        </w:rPr>
      </w:pPr>
      <w:r w:rsidRPr="00BD541D">
        <w:rPr>
          <w:rFonts w:ascii="Book Antiqua" w:hAnsi="Book Antiqua"/>
          <w:sz w:val="20"/>
        </w:rPr>
        <w:t>The Strom analysis therefore supports the contention that the LHB was the first and primary cratering event, which also produced the magma outpouring that resulted in the “inter-crater plains.” As they state,</w:t>
      </w:r>
      <w:r w:rsidRPr="00BD541D">
        <w:rPr>
          <w:rFonts w:ascii="Book Antiqua" w:hAnsi="Book Antiqua"/>
          <w:i/>
          <w:sz w:val="20"/>
        </w:rPr>
        <w:t xml:space="preserve"> “It was known from Mariner 10 observations that Population 1 craters [from the LHB] dominated the cratering record on Mercury…”</w:t>
      </w:r>
      <w:r w:rsidRPr="00BD541D">
        <w:rPr>
          <w:rFonts w:ascii="Book Antiqua" w:hAnsi="Book Antiqua"/>
          <w:sz w:val="20"/>
        </w:rPr>
        <w:t xml:space="preserve"> </w:t>
      </w:r>
    </w:p>
    <w:p w:rsidR="00874664" w:rsidRDefault="00874664"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Since Mercury is the closest planet to the sun, the Marklund convection process operating in the filaments from which the solar system was formed probably resulted in a higher concentration of radioactive elements in the</w:t>
      </w:r>
      <w:r>
        <w:rPr>
          <w:rFonts w:ascii="Book Antiqua" w:hAnsi="Book Antiqua"/>
          <w:sz w:val="20"/>
        </w:rPr>
        <w:t xml:space="preserve"> </w:t>
      </w:r>
      <w:r w:rsidRPr="00BD541D">
        <w:rPr>
          <w:rFonts w:ascii="Book Antiqua" w:hAnsi="Book Antiqua"/>
          <w:sz w:val="20"/>
        </w:rPr>
        <w:t>core of Mercury compared with the other planets. As a result, the great craters which formed on other bodies with the LHB, and then filled with magma later, may have filled with magma almost immediately on Mercury</w:t>
      </w:r>
      <w:r>
        <w:rPr>
          <w:rFonts w:ascii="Book Antiqua" w:hAnsi="Book Antiqua"/>
          <w:sz w:val="20"/>
        </w:rPr>
        <w:t>, and then overflowed to form the inter-crater plains</w:t>
      </w:r>
      <w:r w:rsidRPr="00BD541D">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Sometime after the LHB event, the giant Caloris basin was formed along with a second outpouring of magma to form the “smooth plains.” The Population 2 craters are found on top of these “smooth plains”. At the same time as the Caloris basin event, the pressure waves transmitted through the core of Mercury (dark blue in Figure 14 and those transmitted around the near surface region (light blue) met to form the “weird terrain,” or “Chaotic Terrain” at the antipodal point. A photograph of part of this terrain appears in Figure 15. This terrain covers 360,000 sq. km.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3495675" cy="2106799"/>
            <wp:effectExtent l="19050" t="0" r="9525" b="0"/>
            <wp:docPr id="117" name="il_fi" descr="http://www.astro.virginia.edu/~mnc3z/images/astro121/FG08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virginia.edu/~mnc3z/images/astro121/FG08_024.jpg"/>
                    <pic:cNvPicPr>
                      <a:picLocks noChangeAspect="1" noChangeArrowheads="1"/>
                    </pic:cNvPicPr>
                  </pic:nvPicPr>
                  <pic:blipFill>
                    <a:blip r:embed="rId1032" cstate="print"/>
                    <a:srcRect l="6085" t="10883" r="8010" b="7647"/>
                    <a:stretch>
                      <a:fillRect/>
                    </a:stretch>
                  </pic:blipFill>
                  <pic:spPr bwMode="auto">
                    <a:xfrm>
                      <a:off x="0" y="0"/>
                      <a:ext cx="3503580" cy="2111563"/>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rPr>
          <w:rFonts w:ascii="Book Antiqua" w:hAnsi="Book Antiqua"/>
          <w:sz w:val="18"/>
          <w:szCs w:val="18"/>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14:</w:t>
      </w:r>
      <w:r w:rsidRPr="00624D90">
        <w:rPr>
          <w:rFonts w:ascii="Book Antiqua" w:hAnsi="Book Antiqua"/>
          <w:i/>
          <w:sz w:val="18"/>
          <w:szCs w:val="18"/>
        </w:rPr>
        <w:t xml:space="preserve"> Diagram explaining the effects of the Caloris Basin event on Mercury. The “weird terrain” was formed at the antipodal point. More often it is referred to as the “Chaotic Terrain” or the “Hilly and Lineated Terrain.” An image of this terrain is given in Figure 15 below.</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i/>
          <w:sz w:val="20"/>
        </w:rPr>
      </w:pPr>
      <w:r w:rsidRPr="00BD541D">
        <w:rPr>
          <w:rFonts w:ascii="Book Antiqua" w:hAnsi="Book Antiqua"/>
          <w:noProof/>
          <w:sz w:val="20"/>
        </w:rPr>
        <w:drawing>
          <wp:inline distT="0" distB="0" distL="0" distR="0">
            <wp:extent cx="4484058" cy="2876550"/>
            <wp:effectExtent l="19050" t="0" r="0" b="0"/>
            <wp:docPr id="118" name="Picture 24" descr="http://astroprofspage.com/wp-content/uploads/2008/02/mercte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astroprofspage.com/wp-content/uploads/2008/02/mercterw.jpg"/>
                    <pic:cNvPicPr>
                      <a:picLocks noChangeAspect="1" noChangeArrowheads="1"/>
                    </pic:cNvPicPr>
                  </pic:nvPicPr>
                  <pic:blipFill>
                    <a:blip r:embed="rId1033" cstate="print"/>
                    <a:srcRect t="4142" b="6804"/>
                    <a:stretch>
                      <a:fillRect/>
                    </a:stretch>
                  </pic:blipFill>
                  <pic:spPr bwMode="auto">
                    <a:xfrm>
                      <a:off x="0" y="0"/>
                      <a:ext cx="4495600" cy="2883954"/>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i/>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15:</w:t>
      </w:r>
      <w:r w:rsidRPr="00624D90">
        <w:rPr>
          <w:rFonts w:ascii="Book Antiqua" w:hAnsi="Book Antiqua"/>
          <w:i/>
          <w:sz w:val="18"/>
          <w:szCs w:val="18"/>
        </w:rPr>
        <w:t xml:space="preserve"> The Chaotic Terrain on Mercury antipodal to the Caloris basin. It consists of massifs filled with hills ranging, in some cases, nearly two kilometers high and several kilometers across. The hills have an appearance of almost rectangular blocks. Many ancient craters in the area are ruined by whatever event created the chaotic nature of this part of Mercury’s surface. Younger craters which formed later are unaffected by the process.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Analysis of the situation shows </w:t>
      </w:r>
      <w:r w:rsidRPr="00BD541D">
        <w:rPr>
          <w:rFonts w:ascii="Book Antiqua" w:hAnsi="Book Antiqua"/>
          <w:i/>
          <w:sz w:val="20"/>
        </w:rPr>
        <w:t>“the magnitude [of this effect] is dependent upon the size of the core relative to the planet.”</w:t>
      </w:r>
      <w:r w:rsidRPr="00BD541D">
        <w:rPr>
          <w:rFonts w:ascii="Book Antiqua" w:hAnsi="Book Antiqua"/>
          <w:sz w:val="20"/>
        </w:rPr>
        <w:t xml:space="preserve">[60] It is also found that </w:t>
      </w:r>
      <w:r w:rsidRPr="00BD541D">
        <w:rPr>
          <w:rFonts w:ascii="Book Antiqua" w:hAnsi="Book Antiqua"/>
          <w:i/>
          <w:sz w:val="20"/>
        </w:rPr>
        <w:t>“Antipodal seismic effects are significantly enhanced by focusing and are of substantial magnitude. Vertical ground motion may be of the order of kilometers.”</w:t>
      </w:r>
      <w:r w:rsidRPr="00BD541D">
        <w:rPr>
          <w:rFonts w:ascii="Book Antiqua" w:hAnsi="Book Antiqua"/>
          <w:sz w:val="20"/>
        </w:rPr>
        <w:t xml:space="preserve"> [61]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Finally the third population of somewhat smaller craters was formed after the Population 2 cratering event. Thus on Mercury we have a) the Late Heavy Bombardment and its associated magma release; b) the event which formed the Caloris basin and associated features including </w:t>
      </w:r>
      <w:r>
        <w:rPr>
          <w:rFonts w:ascii="Book Antiqua" w:hAnsi="Book Antiqua"/>
          <w:sz w:val="20"/>
        </w:rPr>
        <w:t xml:space="preserve">a further </w:t>
      </w:r>
      <w:r w:rsidRPr="00BD541D">
        <w:rPr>
          <w:rFonts w:ascii="Book Antiqua" w:hAnsi="Book Antiqua"/>
          <w:sz w:val="20"/>
        </w:rPr>
        <w:t xml:space="preserve">magma release; c) the Population 2 cratering event and d) the third population of craters with relatively small diameters.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It is therefore suspected that the LHB features result from the breakup of a Kuiper Belt planet around 3.9 billion atomic years ago. It is also very likely that the Caloris basin features date from the initial breakup of Planet Y some 700 </w:t>
      </w:r>
      <w:r w:rsidRPr="00BD541D">
        <w:rPr>
          <w:rFonts w:ascii="Book Antiqua" w:hAnsi="Book Antiqua"/>
          <w:sz w:val="20"/>
        </w:rPr>
        <w:lastRenderedPageBreak/>
        <w:t>million atomic years ago as Caloris is of similar size to the MAPCIS structure on Earth and the Hellas structure on Mars which all date about the same age. The Population 2 cratering event probably dates from the secondary breakup of Planet Y, about 258 million atomic years ago, while the third class of craters dates from the breakup of the moon of Planet Y around 65.8 million atomic years ago. There seems to be a consistency in what we are viewing throughout the solar system.</w:t>
      </w:r>
    </w:p>
    <w:p w:rsidR="00700009" w:rsidRPr="001D425D" w:rsidRDefault="00700009" w:rsidP="00700009">
      <w:pPr>
        <w:pStyle w:val="NormalWeb"/>
        <w:numPr>
          <w:ilvl w:val="0"/>
          <w:numId w:val="47"/>
        </w:numPr>
        <w:jc w:val="both"/>
        <w:rPr>
          <w:rFonts w:ascii="Book Antiqua" w:hAnsi="Book Antiqua"/>
          <w:b/>
          <w:sz w:val="20"/>
          <w:szCs w:val="20"/>
        </w:rPr>
      </w:pPr>
      <w:r w:rsidRPr="001D425D">
        <w:rPr>
          <w:rFonts w:ascii="Book Antiqua" w:hAnsi="Book Antiqua"/>
          <w:b/>
          <w:sz w:val="20"/>
          <w:szCs w:val="20"/>
        </w:rPr>
        <w:t xml:space="preserve"> A Brief History of the Earth</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the case of our home planet, a study by William Peck and Stephen Mojzsis of zircons from the Jack Hills rock formation in Western Australia has revealed that oceans, continents and flowing water existed 4.3 to 4.4 billion atomic years ago [19, 20, 21]. These zircons are the oldest items found so far on earth. This suggests that oceans and a supercontinent existed on this planet at an extremely early date. This is readily explicable in terms of plasma physics and plasma astronomy, </w:t>
      </w:r>
      <w:r>
        <w:rPr>
          <w:rFonts w:ascii="Book Antiqua" w:hAnsi="Book Antiqua"/>
          <w:sz w:val="20"/>
        </w:rPr>
        <w:t>however</w:t>
      </w:r>
      <w:r w:rsidRPr="00BD541D">
        <w:rPr>
          <w:rFonts w:ascii="Book Antiqua" w:hAnsi="Book Antiqua"/>
          <w:sz w:val="20"/>
        </w:rPr>
        <w:t xml:space="preserve"> gravitationally based astronomy finds this evidence difficult to deal with.</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E05CDA">
        <w:rPr>
          <w:rFonts w:ascii="Book Antiqua" w:hAnsi="Book Antiqua"/>
          <w:sz w:val="20"/>
        </w:rPr>
        <w:t>When we look at other bodies in our solar system</w:t>
      </w:r>
      <w:r w:rsidRPr="00BD541D">
        <w:rPr>
          <w:rFonts w:ascii="Book Antiqua" w:hAnsi="Book Antiqua"/>
          <w:sz w:val="20"/>
        </w:rPr>
        <w:t xml:space="preserve"> we see the effects of the Late Heavy Bombardment.  As shown, the resulting structures could have been caused either by impacts or electromagnetic pulses. It is usually assumed that the LHB left no record on earth, </w:t>
      </w:r>
      <w:r>
        <w:rPr>
          <w:rFonts w:ascii="Book Antiqua" w:hAnsi="Book Antiqua"/>
          <w:sz w:val="20"/>
        </w:rPr>
        <w:t xml:space="preserve">however </w:t>
      </w:r>
      <w:r w:rsidRPr="00BD541D">
        <w:rPr>
          <w:rFonts w:ascii="Book Antiqua" w:hAnsi="Book Antiqua"/>
          <w:sz w:val="20"/>
        </w:rPr>
        <w:t>something similar to what is seen on other bodies is also seen on our planet. Around the earth there are a series of cratons where granitic or basaltic intrusions and metamorphism have stabilized the near-surface crust and sub-crustal regions.  These cratons form the ‘backbones’ of our continents as shown in Figure 16.</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5403774" cy="2762250"/>
            <wp:effectExtent l="19050" t="0" r="6426" b="0"/>
            <wp:docPr id="119" name="il_fi" descr="http://www.earthsciences.hku.hk/shmuseum/image/earth_evo/03/earth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arthsciences.hku.hk/shmuseum/image/earth_evo/03/earth_large.jpg"/>
                    <pic:cNvPicPr>
                      <a:picLocks noChangeAspect="1" noChangeArrowheads="1"/>
                    </pic:cNvPicPr>
                  </pic:nvPicPr>
                  <pic:blipFill>
                    <a:blip r:embed="rId1034" cstate="print"/>
                    <a:srcRect/>
                    <a:stretch>
                      <a:fillRect/>
                    </a:stretch>
                  </pic:blipFill>
                  <pic:spPr bwMode="auto">
                    <a:xfrm>
                      <a:off x="0" y="0"/>
                      <a:ext cx="5419769" cy="277042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16:</w:t>
      </w:r>
      <w:r w:rsidRPr="00624D90">
        <w:rPr>
          <w:rFonts w:ascii="Book Antiqua" w:hAnsi="Book Antiqua"/>
          <w:i/>
          <w:sz w:val="18"/>
          <w:szCs w:val="18"/>
        </w:rPr>
        <w:t xml:space="preserve"> Stable craton or geological shield areas older than 2.5 billion atomic years. </w:t>
      </w:r>
      <w:r w:rsidR="00844C9E">
        <w:rPr>
          <w:rFonts w:ascii="Book Antiqua" w:hAnsi="Book Antiqua"/>
          <w:i/>
          <w:sz w:val="18"/>
          <w:szCs w:val="18"/>
        </w:rPr>
        <w:t>Red (dark)</w:t>
      </w:r>
      <w:r w:rsidRPr="00624D90">
        <w:rPr>
          <w:rFonts w:ascii="Book Antiqua" w:hAnsi="Book Antiqua"/>
          <w:i/>
          <w:sz w:val="18"/>
          <w:szCs w:val="18"/>
        </w:rPr>
        <w:t xml:space="preserve"> areas date about 3.5 billion atomic years and represent the primary event which occurred at the same time as the Late Heavy Bombardment. The pink </w:t>
      </w:r>
      <w:r w:rsidR="00844C9E">
        <w:rPr>
          <w:rFonts w:ascii="Book Antiqua" w:hAnsi="Book Antiqua"/>
          <w:i/>
          <w:sz w:val="18"/>
          <w:szCs w:val="18"/>
        </w:rPr>
        <w:t xml:space="preserve">(lighter) </w:t>
      </w:r>
      <w:r w:rsidRPr="00624D90">
        <w:rPr>
          <w:rFonts w:ascii="Book Antiqua" w:hAnsi="Book Antiqua"/>
          <w:i/>
          <w:sz w:val="18"/>
          <w:szCs w:val="18"/>
        </w:rPr>
        <w:t>areas date down to 2.5 billion atomic years and thereby represent ongoing geological activity initiated by the LHB impacts. Any craters formed by this event were eroded away by the subsequent “Snowball Earth” event.</w:t>
      </w:r>
    </w:p>
    <w:p w:rsidR="00700009" w:rsidRPr="00BD541D" w:rsidRDefault="00700009" w:rsidP="00700009">
      <w:pPr>
        <w:pStyle w:val="NoSpacing"/>
        <w:rPr>
          <w:rFonts w:ascii="Book Antiqua" w:hAnsi="Book Antiqua"/>
          <w:sz w:val="18"/>
          <w:szCs w:val="18"/>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 xml:space="preserve">Radiometric measurements taken from the moon, Mars, and asteroids give us the date of the Late Heavy Bombardment. On Earth, the cratons date </w:t>
      </w:r>
      <w:r w:rsidRPr="00BD541D">
        <w:rPr>
          <w:rFonts w:ascii="Book Antiqua" w:hAnsi="Book Antiqua"/>
          <w:sz w:val="20"/>
        </w:rPr>
        <w:t xml:space="preserve">from shortly after </w:t>
      </w:r>
      <w:r>
        <w:rPr>
          <w:rFonts w:ascii="Book Antiqua" w:hAnsi="Book Antiqua"/>
          <w:sz w:val="20"/>
        </w:rPr>
        <w:t>that</w:t>
      </w:r>
      <w:r w:rsidRPr="00BD541D">
        <w:rPr>
          <w:rFonts w:ascii="Book Antiqua" w:hAnsi="Book Antiqua"/>
          <w:sz w:val="20"/>
        </w:rPr>
        <w:t xml:space="preserve">. Their atomic dates represent the date of cooling of the molten material, which effectively reset their radiometric clocks.  The molten material which formed them rose </w:t>
      </w:r>
      <w:proofErr w:type="gramStart"/>
      <w:r w:rsidRPr="00BD541D">
        <w:rPr>
          <w:rFonts w:ascii="Book Antiqua" w:hAnsi="Book Antiqua"/>
          <w:sz w:val="20"/>
        </w:rPr>
        <w:t>in  plume</w:t>
      </w:r>
      <w:r>
        <w:rPr>
          <w:rFonts w:ascii="Book Antiqua" w:hAnsi="Book Antiqua"/>
          <w:sz w:val="20"/>
        </w:rPr>
        <w:t>s</w:t>
      </w:r>
      <w:proofErr w:type="gramEnd"/>
      <w:r w:rsidRPr="00BD541D">
        <w:rPr>
          <w:rFonts w:ascii="Book Antiqua" w:hAnsi="Book Antiqua"/>
          <w:sz w:val="20"/>
        </w:rPr>
        <w:t xml:space="preserve"> beneath the current craton sites, probably in response to impacts and/or electrical discharges. These plumes rose either at the site of the “hit” or at the antipodal point as we have seen in other cases. On this basis, a map showing the cratons or stable shield areas of the earth is probably also showing either where</w:t>
      </w:r>
      <w:r>
        <w:rPr>
          <w:rFonts w:ascii="Book Antiqua" w:hAnsi="Book Antiqua"/>
          <w:sz w:val="20"/>
        </w:rPr>
        <w:t xml:space="preserve"> either</w:t>
      </w:r>
      <w:r w:rsidRPr="00BD541D">
        <w:rPr>
          <w:rFonts w:ascii="Book Antiqua" w:hAnsi="Book Antiqua"/>
          <w:sz w:val="20"/>
        </w:rPr>
        <w:t xml:space="preserve"> the LHB events occurred, or their antipodal points. This is done in Figure 16. If these cratons represent only the antipodal point impacts, it appears from this map that </w:t>
      </w:r>
      <w:r w:rsidRPr="00BD541D">
        <w:rPr>
          <w:rFonts w:ascii="Book Antiqua" w:hAnsi="Book Antiqua"/>
          <w:sz w:val="20"/>
        </w:rPr>
        <w:lastRenderedPageBreak/>
        <w:t xml:space="preserve">the majority of these LHB events hit in the extensive ocean areas. This is certainly true since at those times there was one original supercontinent. However, it is also possible that many cratons are the site of the impacts.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next major event in this scenario is the occurrence of a world-wide debris layer that dates from about 800 million to 600 million atomic years ago. This essentially coincides with the initial breakup of Planet Y as well as the impacts and lightning strikes that this event caused on other planets. One impact from this event formed the MAPCIS structure in Australia (Figure 17).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color w:val="333333"/>
          <w:sz w:val="20"/>
        </w:rPr>
        <w:drawing>
          <wp:inline distT="0" distB="0" distL="0" distR="0">
            <wp:extent cx="3124200" cy="2997200"/>
            <wp:effectExtent l="19050" t="0" r="0" b="0"/>
            <wp:docPr id="120" name="Picture 1" descr="Crate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ter Illustration"/>
                    <pic:cNvPicPr>
                      <a:picLocks noChangeAspect="1" noChangeArrowheads="1"/>
                    </pic:cNvPicPr>
                  </pic:nvPicPr>
                  <pic:blipFill>
                    <a:blip r:embed="rId1035" cstate="print">
                      <a:lum contrast="30000"/>
                    </a:blip>
                    <a:srcRect b="4126"/>
                    <a:stretch>
                      <a:fillRect/>
                    </a:stretch>
                  </pic:blipFill>
                  <pic:spPr bwMode="auto">
                    <a:xfrm>
                      <a:off x="0" y="0"/>
                      <a:ext cx="3124834" cy="2997809"/>
                    </a:xfrm>
                    <a:prstGeom prst="rect">
                      <a:avLst/>
                    </a:prstGeom>
                    <a:noFill/>
                    <a:ln w="9525">
                      <a:noFill/>
                      <a:miter lim="800000"/>
                      <a:headEnd/>
                      <a:tailEnd/>
                    </a:ln>
                  </pic:spPr>
                </pic:pic>
              </a:graphicData>
            </a:graphic>
          </wp:inline>
        </w:drawing>
      </w:r>
    </w:p>
    <w:p w:rsidR="00700009" w:rsidRPr="00624D90" w:rsidRDefault="00700009" w:rsidP="00700009">
      <w:pPr>
        <w:pStyle w:val="NoSpacing"/>
        <w:jc w:val="center"/>
        <w:rPr>
          <w:rFonts w:ascii="Book Antiqua" w:hAnsi="Book Antiqua"/>
          <w:b/>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17:</w:t>
      </w:r>
      <w:r w:rsidRPr="00624D90">
        <w:rPr>
          <w:rFonts w:ascii="Book Antiqua" w:hAnsi="Book Antiqua"/>
          <w:i/>
          <w:sz w:val="18"/>
          <w:szCs w:val="18"/>
        </w:rPr>
        <w:t xml:space="preserve"> Details of the MAPCIS structure in Australia which has a mass concentration (mascon) and gravity anomaly 400 miles (640 km) across within the secondary ring. The Adelaide Geosyncline is part of the structure where the outer ring meets the southern coast on the right. </w:t>
      </w:r>
    </w:p>
    <w:p w:rsidR="00700009"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By</w:t>
      </w:r>
      <w:r w:rsidRPr="00BD541D">
        <w:rPr>
          <w:rFonts w:ascii="Book Antiqua" w:hAnsi="Book Antiqua"/>
          <w:sz w:val="20"/>
        </w:rPr>
        <w:t xml:space="preserve"> this point in time, the heating of the earth’s interior had driven </w:t>
      </w:r>
      <w:r>
        <w:rPr>
          <w:rFonts w:ascii="Book Antiqua" w:hAnsi="Book Antiqua"/>
          <w:sz w:val="20"/>
        </w:rPr>
        <w:t xml:space="preserve">the </w:t>
      </w:r>
      <w:r w:rsidRPr="00BD541D">
        <w:rPr>
          <w:rFonts w:ascii="Book Antiqua" w:hAnsi="Book Antiqua"/>
          <w:sz w:val="20"/>
        </w:rPr>
        <w:t>water that had been locked up in minerals towards the surface. The impact which caused the MAPCIS structure was powerful enough to rupture the crust through the entire landmass of earth in areas of weakness.</w:t>
      </w:r>
      <w:r>
        <w:rPr>
          <w:rFonts w:ascii="Book Antiqua" w:hAnsi="Book Antiqua"/>
          <w:sz w:val="20"/>
        </w:rPr>
        <w:t xml:space="preserve"> </w:t>
      </w:r>
      <w:r w:rsidRPr="00BD541D">
        <w:rPr>
          <w:rFonts w:ascii="Book Antiqua" w:hAnsi="Book Antiqua"/>
          <w:sz w:val="20"/>
        </w:rPr>
        <w:t>Water which had been building up beneath the crust under pressure exploded out.  Some of the major lines of weakness would later become the mid-ocean ridges. In a similar episode on Mars, calculations revealed the equivalent of a</w:t>
      </w:r>
      <w:r>
        <w:rPr>
          <w:rFonts w:ascii="Book Antiqua" w:hAnsi="Book Antiqua"/>
          <w:sz w:val="20"/>
        </w:rPr>
        <w:t xml:space="preserve"> </w:t>
      </w:r>
      <w:r w:rsidRPr="00BD541D">
        <w:rPr>
          <w:rFonts w:ascii="Book Antiqua" w:hAnsi="Book Antiqua"/>
          <w:sz w:val="20"/>
        </w:rPr>
        <w:t>third the volume of the Indian Ocean was flooded into the low-lying Martian plains in about 8 weeks (see Section 11.1 above).  It is therefore possible that a significant fraction of our oceans was poured out in that event.  In South Australia, there was massive downwarping then uplift and folding of the earth’s crust, called the Adelaide Geosyncline (Figure 18).</w:t>
      </w:r>
    </w:p>
    <w:p w:rsidR="00700009" w:rsidRPr="00BD541D" w:rsidRDefault="00700009" w:rsidP="00700009">
      <w:pPr>
        <w:pStyle w:val="NoSpacing"/>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This part of the MAPCIS structure exposes upper Proterozoic strata from late in the Archaeozoic Era. Near the top of these strata is a thousand feet of something called diamictite, or tillite, which is rocks of all varieties and sizes cemented together in a limestone matrix (Figure 19).  Some of the large rocks, up to the size of boulders, came as far as Adelaide from the Gawler Craton some 450 km (275 miles) away (see Figure 18). Because the best way to get these mammoth rocks got carried hundreds of kilometers was via glaciers, geologists assumed that this layer represents an ice</w:t>
      </w:r>
      <w:r>
        <w:rPr>
          <w:rFonts w:ascii="Book Antiqua" w:hAnsi="Book Antiqua"/>
          <w:sz w:val="20"/>
        </w:rPr>
        <w:t xml:space="preserve"> </w:t>
      </w:r>
      <w:r w:rsidRPr="00BD541D">
        <w:rPr>
          <w:rFonts w:ascii="Book Antiqua" w:hAnsi="Book Antiqua"/>
          <w:sz w:val="20"/>
        </w:rPr>
        <w:t xml:space="preserve">age. Since some of </w:t>
      </w:r>
      <w:proofErr w:type="gramStart"/>
      <w:r w:rsidRPr="00BD541D">
        <w:rPr>
          <w:rFonts w:ascii="Book Antiqua" w:hAnsi="Book Antiqua"/>
          <w:sz w:val="20"/>
        </w:rPr>
        <w:t>this sequence of rocks were</w:t>
      </w:r>
      <w:proofErr w:type="gramEnd"/>
      <w:r w:rsidRPr="00BD541D">
        <w:rPr>
          <w:rFonts w:ascii="Book Antiqua" w:hAnsi="Book Antiqua"/>
          <w:sz w:val="20"/>
        </w:rPr>
        <w:t xml:space="preserve"> also found at the equator at sea level, it has also been assumed that the whole world must have been covered with ice. As a result, this time geologically is referred to as “Snowball Earth.”</w:t>
      </w:r>
    </w:p>
    <w:p w:rsidR="00844C9E" w:rsidRDefault="00844C9E" w:rsidP="00700009">
      <w:pPr>
        <w:pStyle w:val="NoSpacing"/>
        <w:ind w:firstLine="720"/>
        <w:jc w:val="both"/>
        <w:rPr>
          <w:rFonts w:ascii="Book Antiqua" w:hAnsi="Book Antiqua"/>
          <w:sz w:val="20"/>
        </w:rPr>
      </w:pPr>
    </w:p>
    <w:p w:rsidR="00844C9E" w:rsidRDefault="00844C9E"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i/>
          <w:sz w:val="20"/>
        </w:rPr>
      </w:pPr>
    </w:p>
    <w:p w:rsidR="00B42CB3" w:rsidRPr="00BD541D" w:rsidRDefault="00B42CB3" w:rsidP="00700009">
      <w:pPr>
        <w:pStyle w:val="NoSpacing"/>
        <w:ind w:firstLine="720"/>
        <w:jc w:val="both"/>
        <w:rPr>
          <w:rFonts w:ascii="Book Antiqua" w:hAnsi="Book Antiqua"/>
          <w:i/>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886365" cy="5219700"/>
            <wp:effectExtent l="19050" t="0" r="0" b="0"/>
            <wp:docPr id="121" name="il_fi" descr="http://web.missouri.edu/~appoldm/images/beltana-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eb.missouri.edu/~appoldm/images/beltana-map.jpg"/>
                    <pic:cNvPicPr>
                      <a:picLocks noChangeAspect="1" noChangeArrowheads="1"/>
                    </pic:cNvPicPr>
                  </pic:nvPicPr>
                  <pic:blipFill>
                    <a:blip r:embed="rId1036" cstate="print"/>
                    <a:srcRect t="1527" b="3562"/>
                    <a:stretch>
                      <a:fillRect/>
                    </a:stretch>
                  </pic:blipFill>
                  <pic:spPr bwMode="auto">
                    <a:xfrm>
                      <a:off x="0" y="0"/>
                      <a:ext cx="3892233" cy="5227581"/>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b/>
          <w:i/>
          <w:noProof/>
          <w:sz w:val="20"/>
        </w:rPr>
      </w:pPr>
    </w:p>
    <w:p w:rsidR="00700009" w:rsidRPr="00331D55" w:rsidRDefault="00700009" w:rsidP="00F15A60">
      <w:pPr>
        <w:pStyle w:val="NoSpacing"/>
        <w:jc w:val="center"/>
        <w:rPr>
          <w:rFonts w:ascii="Book Antiqua" w:hAnsi="Book Antiqua"/>
          <w:i/>
          <w:noProof/>
          <w:sz w:val="18"/>
          <w:szCs w:val="18"/>
        </w:rPr>
      </w:pPr>
      <w:r w:rsidRPr="00331D55">
        <w:rPr>
          <w:rFonts w:ascii="Book Antiqua" w:hAnsi="Book Antiqua"/>
          <w:b/>
          <w:i/>
          <w:noProof/>
          <w:sz w:val="18"/>
          <w:szCs w:val="18"/>
        </w:rPr>
        <w:t>Figure 18:</w:t>
      </w:r>
      <w:r w:rsidRPr="00331D55">
        <w:rPr>
          <w:rFonts w:ascii="Book Antiqua" w:hAnsi="Book Antiqua"/>
          <w:i/>
          <w:noProof/>
          <w:sz w:val="18"/>
          <w:szCs w:val="18"/>
        </w:rPr>
        <w:t xml:space="preserve"> Showing the extent of the Adelaide Geosyncline on the outer edge of the MAPCIS structure in Australia (compare with Figure 17).</w:t>
      </w:r>
    </w:p>
    <w:p w:rsidR="00700009" w:rsidRPr="00BD541D" w:rsidRDefault="00700009" w:rsidP="00700009">
      <w:pPr>
        <w:pStyle w:val="NoSpacing"/>
        <w:rPr>
          <w:rFonts w:ascii="Book Antiqua" w:hAnsi="Book Antiqua"/>
          <w:noProof/>
          <w:sz w:val="18"/>
          <w:szCs w:val="18"/>
        </w:rPr>
      </w:pPr>
    </w:p>
    <w:p w:rsidR="00700009" w:rsidRPr="00BD541D" w:rsidRDefault="00700009" w:rsidP="00700009">
      <w:pPr>
        <w:pStyle w:val="NoSpacing"/>
        <w:rPr>
          <w:rFonts w:ascii="Book Antiqua" w:hAnsi="Book Antiqua"/>
          <w:noProof/>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the incredible force of the exploding waters generated by the impact which caused the MAPCIS structure in Australia could easily have carried large rocks that far, and much</w:t>
      </w:r>
      <w:r>
        <w:rPr>
          <w:rFonts w:ascii="Book Antiqua" w:hAnsi="Book Antiqua"/>
          <w:sz w:val="20"/>
        </w:rPr>
        <w:t xml:space="preserve"> </w:t>
      </w:r>
      <w:r w:rsidRPr="00BD541D">
        <w:rPr>
          <w:rFonts w:ascii="Book Antiqua" w:hAnsi="Book Antiqua"/>
          <w:sz w:val="20"/>
        </w:rPr>
        <w:t>further. It is interesting, as well, that the limestone matrix in which these rocks are found can only be formed in warm to hot water.  The waters exploding from the Earth’s interior would have been hot</w:t>
      </w:r>
      <w:r>
        <w:rPr>
          <w:rFonts w:ascii="Book Antiqua" w:hAnsi="Book Antiqua"/>
          <w:sz w:val="20"/>
        </w:rPr>
        <w:t>.</w:t>
      </w:r>
      <w:r w:rsidRPr="00BD541D">
        <w:rPr>
          <w:rFonts w:ascii="Book Antiqua" w:hAnsi="Book Antiqua"/>
          <w:sz w:val="20"/>
        </w:rPr>
        <w:t xml:space="preserve"> </w:t>
      </w:r>
      <w:r>
        <w:rPr>
          <w:rFonts w:ascii="Book Antiqua" w:hAnsi="Book Antiqua"/>
          <w:sz w:val="20"/>
        </w:rPr>
        <w:t>A</w:t>
      </w:r>
      <w:r w:rsidRPr="00BD541D">
        <w:rPr>
          <w:rFonts w:ascii="Book Antiqua" w:hAnsi="Book Antiqua"/>
          <w:sz w:val="20"/>
        </w:rPr>
        <w:t xml:space="preserve"> snowball earth scenario </w:t>
      </w:r>
      <w:r>
        <w:rPr>
          <w:rFonts w:ascii="Book Antiqua" w:hAnsi="Book Antiqua"/>
          <w:sz w:val="20"/>
        </w:rPr>
        <w:t>has</w:t>
      </w:r>
      <w:r w:rsidRPr="00BD541D">
        <w:rPr>
          <w:rFonts w:ascii="Book Antiqua" w:hAnsi="Book Antiqua"/>
          <w:sz w:val="20"/>
        </w:rPr>
        <w:t xml:space="preserve"> a hard time explaining this type of limestone.</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Immediately above the thousand feet of diamictite is a finely laminated siltstone some 2.5 km thick. The laminations are not varves caused by ice, because of ripple marks, the lack of grading, and the evidence of turbidity currents, </w:t>
      </w:r>
      <w:r>
        <w:rPr>
          <w:rFonts w:ascii="Book Antiqua" w:hAnsi="Book Antiqua"/>
          <w:sz w:val="20"/>
        </w:rPr>
        <w:t>all of which are</w:t>
      </w:r>
      <w:r w:rsidRPr="00BD541D">
        <w:rPr>
          <w:rFonts w:ascii="Book Antiqua" w:hAnsi="Book Antiqua"/>
          <w:sz w:val="20"/>
        </w:rPr>
        <w:t xml:space="preserve"> seen in Figure 20.  This is strong evidence of a massive outpouring of water from the earth’s interior.</w:t>
      </w:r>
    </w:p>
    <w:p w:rsidR="00700009" w:rsidRPr="00BD541D" w:rsidRDefault="00700009" w:rsidP="00700009">
      <w:pPr>
        <w:pStyle w:val="NoSpacing"/>
        <w:ind w:firstLine="720"/>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75"/>
      </w:tblGrid>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3677435" cy="2238375"/>
                  <wp:effectExtent l="19050" t="0" r="0" b="0"/>
                  <wp:docPr id="123" name="Picture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1037" cstate="print"/>
                          <a:srcRect t="8750"/>
                          <a:stretch>
                            <a:fillRect/>
                          </a:stretch>
                        </pic:blipFill>
                        <pic:spPr bwMode="auto">
                          <a:xfrm>
                            <a:off x="0" y="0"/>
                            <a:ext cx="3677259" cy="2238268"/>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688907" cy="2181225"/>
                  <wp:effectExtent l="19050" t="0" r="6793" b="0"/>
                  <wp:docPr id="124" name="Picture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pic:cNvPicPr>
                            <a:picLocks noChangeAspect="1" noChangeArrowheads="1"/>
                          </pic:cNvPicPr>
                        </pic:nvPicPr>
                        <pic:blipFill>
                          <a:blip r:embed="rId1038" cstate="print"/>
                          <a:srcRect t="6687" r="-202" b="4825"/>
                          <a:stretch>
                            <a:fillRect/>
                          </a:stretch>
                        </pic:blipFill>
                        <pic:spPr bwMode="auto">
                          <a:xfrm>
                            <a:off x="0" y="0"/>
                            <a:ext cx="3688729" cy="2181120"/>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701403" cy="2057400"/>
                  <wp:effectExtent l="19050" t="0" r="0" b="0"/>
                  <wp:docPr id="125" name="Picture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1039" cstate="print"/>
                          <a:srcRect t="25697"/>
                          <a:stretch>
                            <a:fillRect/>
                          </a:stretch>
                        </pic:blipFill>
                        <pic:spPr bwMode="auto">
                          <a:xfrm>
                            <a:off x="0" y="0"/>
                            <a:ext cx="3706384" cy="2060169"/>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bl>
    <w:p w:rsidR="00700009" w:rsidRPr="00BD541D" w:rsidRDefault="00700009" w:rsidP="00700009">
      <w:pPr>
        <w:pStyle w:val="NoSpacing"/>
        <w:jc w:val="both"/>
        <w:rPr>
          <w:rFonts w:ascii="Book Antiqua" w:hAnsi="Book Antiqua"/>
          <w:b/>
          <w:i/>
          <w:sz w:val="20"/>
        </w:rPr>
      </w:pPr>
    </w:p>
    <w:p w:rsidR="00700009" w:rsidRPr="00331D55" w:rsidRDefault="00700009" w:rsidP="00700009">
      <w:pPr>
        <w:pStyle w:val="NoSpacing"/>
        <w:rPr>
          <w:rFonts w:ascii="Book Antiqua" w:hAnsi="Book Antiqua"/>
          <w:i/>
          <w:sz w:val="20"/>
        </w:rPr>
      </w:pPr>
      <w:r w:rsidRPr="00331D55">
        <w:rPr>
          <w:rFonts w:ascii="Book Antiqua" w:hAnsi="Book Antiqua"/>
          <w:b/>
          <w:i/>
          <w:sz w:val="18"/>
          <w:szCs w:val="18"/>
        </w:rPr>
        <w:t>Figure 19:</w:t>
      </w:r>
      <w:r w:rsidRPr="00331D55">
        <w:rPr>
          <w:rFonts w:ascii="Book Antiqua" w:hAnsi="Book Antiqua"/>
          <w:i/>
          <w:sz w:val="18"/>
          <w:szCs w:val="18"/>
        </w:rPr>
        <w:t xml:space="preserve"> ‘Snowball Earth’ Tillite or diamictite in the Sturt Gorge - part of the Adelaide geosyncline on the MAPCIS structure. From top to bottom: the Upper, Middle and Lower tillite. The Lower tillite has rock fragments (clasts) from local rock in a warm water limestone matrix. The Middle and Upper tillite has larger clasts of granite and gneiss that come from rock 400 km away in the Gawler Craton. The diamictite sequence is 350 meters (1150 feet) thick here.</w:t>
      </w:r>
      <w:r w:rsidRPr="00331D55">
        <w:rPr>
          <w:rFonts w:ascii="Book Antiqua" w:hAnsi="Book Antiqua"/>
          <w:i/>
          <w:sz w:val="20"/>
        </w:rPr>
        <w:tab/>
      </w:r>
    </w:p>
    <w:p w:rsidR="00700009" w:rsidRPr="00BD541D" w:rsidRDefault="00700009" w:rsidP="007000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6"/>
      </w:tblGrid>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5255568" cy="2551100"/>
                  <wp:effectExtent l="19050" t="0" r="2232" b="0"/>
                  <wp:docPr id="126" name="Picture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pic:cNvPicPr>
                            <a:picLocks noChangeAspect="1" noChangeArrowheads="1"/>
                          </pic:cNvPicPr>
                        </pic:nvPicPr>
                        <pic:blipFill>
                          <a:blip r:embed="rId1040" cstate="print"/>
                          <a:srcRect t="6959" r="-152" b="21129"/>
                          <a:stretch>
                            <a:fillRect/>
                          </a:stretch>
                        </pic:blipFill>
                        <pic:spPr bwMode="auto">
                          <a:xfrm>
                            <a:off x="0" y="0"/>
                            <a:ext cx="5270925" cy="2558554"/>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5290421" cy="2067005"/>
                  <wp:effectExtent l="19050" t="0" r="5479" b="0"/>
                  <wp:docPr id="127" name="Picture 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pic:cNvPicPr>
                            <a:picLocks noChangeAspect="1" noChangeArrowheads="1"/>
                          </pic:cNvPicPr>
                        </pic:nvPicPr>
                        <pic:blipFill>
                          <a:blip r:embed="rId1041" cstate="print"/>
                          <a:srcRect t="37294" r="103" b="6045"/>
                          <a:stretch>
                            <a:fillRect/>
                          </a:stretch>
                        </pic:blipFill>
                        <pic:spPr bwMode="auto">
                          <a:xfrm>
                            <a:off x="0" y="0"/>
                            <a:ext cx="5315404" cy="2076766"/>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5313670" cy="2074689"/>
                  <wp:effectExtent l="19050" t="0" r="1280" b="0"/>
                  <wp:docPr id="128" name="Picture 1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
                          <pic:cNvPicPr>
                            <a:picLocks noChangeAspect="1" noChangeArrowheads="1"/>
                          </pic:cNvPicPr>
                        </pic:nvPicPr>
                        <pic:blipFill>
                          <a:blip r:embed="rId1042" cstate="print"/>
                          <a:srcRect r="1079" b="35640"/>
                          <a:stretch>
                            <a:fillRect/>
                          </a:stretch>
                        </pic:blipFill>
                        <pic:spPr bwMode="auto">
                          <a:xfrm>
                            <a:off x="0" y="0"/>
                            <a:ext cx="5325660" cy="2079370"/>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331D55" w:rsidRDefault="00700009" w:rsidP="00700009">
      <w:pPr>
        <w:pStyle w:val="NoSpacing"/>
        <w:rPr>
          <w:rFonts w:ascii="Book Antiqua" w:hAnsi="Book Antiqua"/>
          <w:i/>
          <w:sz w:val="18"/>
          <w:szCs w:val="18"/>
        </w:rPr>
      </w:pPr>
      <w:r w:rsidRPr="00331D55">
        <w:rPr>
          <w:rFonts w:ascii="Book Antiqua" w:hAnsi="Book Antiqua"/>
          <w:b/>
          <w:i/>
          <w:sz w:val="18"/>
          <w:szCs w:val="18"/>
        </w:rPr>
        <w:t>Figure 20:</w:t>
      </w:r>
      <w:r w:rsidRPr="00331D55">
        <w:rPr>
          <w:rFonts w:ascii="Book Antiqua" w:hAnsi="Book Antiqua"/>
          <w:i/>
          <w:sz w:val="18"/>
          <w:szCs w:val="18"/>
        </w:rPr>
        <w:t xml:space="preserve"> ‘Snowball Earth’ strata. Deep water sediments of the Tapley Hill siltstone showing ripple marks (top) and erratic bedding (bottom). The dark laminations (center) are rich in carbon and kerogen, an anomaly also found in China, Namibia and Canada.</w:t>
      </w:r>
    </w:p>
    <w:p w:rsidR="00700009" w:rsidRPr="00BD541D" w:rsidRDefault="00700009" w:rsidP="00700009">
      <w:pPr>
        <w:pStyle w:val="NoSpacing"/>
        <w:rPr>
          <w:rFonts w:ascii="Book Antiqua" w:hAnsi="Book Antiqua"/>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carbon, kerogen and carbon 13 in the Tapley Hill sequence corresponds with the carbon 13 anomalies found in China, Namibia and Canada. D.T. Johnson et al. write about this and conclude </w:t>
      </w:r>
      <w:r w:rsidRPr="00BD541D">
        <w:rPr>
          <w:rFonts w:ascii="Book Antiqua" w:hAnsi="Book Antiqua"/>
          <w:i/>
          <w:sz w:val="20"/>
        </w:rPr>
        <w:t xml:space="preserve">“…that the carbonate and organic carbon </w:t>
      </w:r>
      <w:r w:rsidRPr="00BD541D">
        <w:rPr>
          <w:rFonts w:ascii="Book Antiqua" w:hAnsi="Book Antiqua"/>
          <w:i/>
          <w:sz w:val="20"/>
        </w:rPr>
        <w:lastRenderedPageBreak/>
        <w:t>isotope data … can be explained by simple mixing with a detrital flux of organic matter.”</w:t>
      </w:r>
      <w:r w:rsidRPr="00BD541D">
        <w:rPr>
          <w:rFonts w:ascii="Book Antiqua" w:hAnsi="Book Antiqua"/>
          <w:sz w:val="20"/>
        </w:rPr>
        <w:t xml:space="preserve">[62] This </w:t>
      </w:r>
      <w:r>
        <w:rPr>
          <w:rFonts w:ascii="Book Antiqua" w:hAnsi="Book Antiqua"/>
          <w:sz w:val="20"/>
        </w:rPr>
        <w:t>w</w:t>
      </w:r>
      <w:r w:rsidRPr="00BD541D">
        <w:rPr>
          <w:rFonts w:ascii="Book Antiqua" w:hAnsi="Book Antiqua"/>
          <w:sz w:val="20"/>
        </w:rPr>
        <w:t>ould not happen if the earth w</w:t>
      </w:r>
      <w:r>
        <w:rPr>
          <w:rFonts w:ascii="Book Antiqua" w:hAnsi="Book Antiqua"/>
          <w:sz w:val="20"/>
        </w:rPr>
        <w:t>ere</w:t>
      </w:r>
      <w:r w:rsidRPr="00BD541D">
        <w:rPr>
          <w:rFonts w:ascii="Book Antiqua" w:hAnsi="Book Antiqua"/>
          <w:sz w:val="20"/>
        </w:rPr>
        <w:t xml:space="preserve"> frozen over.</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proofErr w:type="gramStart"/>
      <w:r w:rsidRPr="00BD541D">
        <w:rPr>
          <w:rFonts w:ascii="Book Antiqua" w:hAnsi="Book Antiqua"/>
          <w:sz w:val="20"/>
        </w:rPr>
        <w:t>After this outgassing of water, radio decay in the interior continued, and the temperatures of the earth's mantle and core continued to increase.</w:t>
      </w:r>
      <w:proofErr w:type="gramEnd"/>
      <w:r w:rsidRPr="00BD541D">
        <w:rPr>
          <w:rFonts w:ascii="Book Antiqua" w:hAnsi="Book Antiqua"/>
          <w:sz w:val="20"/>
        </w:rPr>
        <w:t xml:space="preserve"> Shortly after the secondary breakup of Planet Y, some associated impact caused the Wilkes Land crater seen in Figure 3. The energy pulse sent through the earth relieved the pressure on the near-surface region at the antipodal point and the mantle there became molten. </w:t>
      </w:r>
      <w:proofErr w:type="gramStart"/>
      <w:r w:rsidRPr="00BD541D">
        <w:rPr>
          <w:rFonts w:ascii="Book Antiqua" w:hAnsi="Book Antiqua"/>
          <w:sz w:val="20"/>
        </w:rPr>
        <w:t>When rock changes from a solid to a liquid like this, its volume increases by some 10% [63].</w:t>
      </w:r>
      <w:proofErr w:type="gramEnd"/>
      <w:r w:rsidRPr="00BD541D">
        <w:rPr>
          <w:rFonts w:ascii="Book Antiqua" w:hAnsi="Book Antiqua"/>
          <w:sz w:val="20"/>
        </w:rPr>
        <w:t xml:space="preserve"> This excess volume outpoured as the Siberian Traps basalt which occupies from 1 to 4 million cubic kilometers as seen in Figs. 21 and 22. These events coincided with the Permian extinction about 250 million atomic years ago. With the outpouring of this quantity of magma, there would have been an increase in the carbon-dioxide content of our atmosphere. The geological era which followed has </w:t>
      </w:r>
      <w:r>
        <w:rPr>
          <w:rFonts w:ascii="Book Antiqua" w:hAnsi="Book Antiqua"/>
          <w:sz w:val="20"/>
        </w:rPr>
        <w:t xml:space="preserve">indeed </w:t>
      </w:r>
      <w:r w:rsidRPr="00BD541D">
        <w:rPr>
          <w:rFonts w:ascii="Book Antiqua" w:hAnsi="Book Antiqua"/>
          <w:sz w:val="20"/>
        </w:rPr>
        <w:t xml:space="preserve">been noted for its high atmospheric carbon-dioxide content; some have suggested it was 10 times as high as it is today. </w:t>
      </w:r>
      <w:r>
        <w:rPr>
          <w:rFonts w:ascii="Book Antiqua" w:hAnsi="Book Antiqua"/>
          <w:sz w:val="20"/>
        </w:rPr>
        <w:t>This may also account for o</w:t>
      </w:r>
      <w:r w:rsidRPr="00BD541D">
        <w:rPr>
          <w:rFonts w:ascii="Book Antiqua" w:hAnsi="Book Antiqua"/>
          <w:sz w:val="20"/>
        </w:rPr>
        <w:t xml:space="preserve">ther data </w:t>
      </w:r>
      <w:r>
        <w:rPr>
          <w:rFonts w:ascii="Book Antiqua" w:hAnsi="Book Antiqua"/>
          <w:sz w:val="20"/>
        </w:rPr>
        <w:t>indicating</w:t>
      </w:r>
      <w:r w:rsidRPr="00BD541D">
        <w:rPr>
          <w:rFonts w:ascii="Book Antiqua" w:hAnsi="Book Antiqua"/>
          <w:sz w:val="20"/>
        </w:rPr>
        <w:t xml:space="preserve"> that average temperatures were about 10 degrees Celsius hi</w:t>
      </w:r>
      <w:r>
        <w:rPr>
          <w:rFonts w:ascii="Book Antiqua" w:hAnsi="Book Antiqua"/>
          <w:sz w:val="20"/>
        </w:rPr>
        <w:t>gher than currently experienced.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567992" cy="4619625"/>
            <wp:effectExtent l="19050" t="0" r="4258" b="0"/>
            <wp:docPr id="129" name="Picture 17" descr="http://www.earthlyissues.com/images/SiberiaAmphiboleFig2_5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arthlyissues.com/images/SiberiaAmphiboleFig2_550.gif"/>
                    <pic:cNvPicPr>
                      <a:picLocks noChangeAspect="1" noChangeArrowheads="1"/>
                    </pic:cNvPicPr>
                  </pic:nvPicPr>
                  <pic:blipFill>
                    <a:blip r:embed="rId104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5984" cy="4625246"/>
                    </a:xfrm>
                    <a:prstGeom prst="rect">
                      <a:avLst/>
                    </a:prstGeom>
                    <a:noFill/>
                    <a:ln>
                      <a:noFill/>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390CA0" w:rsidRDefault="00700009" w:rsidP="00390CA0">
      <w:pPr>
        <w:pStyle w:val="NoSpacing"/>
        <w:jc w:val="center"/>
        <w:rPr>
          <w:rFonts w:ascii="Book Antiqua" w:hAnsi="Book Antiqua"/>
          <w:i/>
          <w:sz w:val="18"/>
          <w:szCs w:val="18"/>
        </w:rPr>
      </w:pPr>
      <w:r w:rsidRPr="00390CA0">
        <w:rPr>
          <w:rFonts w:ascii="Book Antiqua" w:hAnsi="Book Antiqua"/>
          <w:b/>
          <w:i/>
          <w:sz w:val="18"/>
          <w:szCs w:val="18"/>
        </w:rPr>
        <w:t>Figure 21:</w:t>
      </w:r>
      <w:r w:rsidRPr="00390CA0">
        <w:rPr>
          <w:rFonts w:ascii="Book Antiqua" w:hAnsi="Book Antiqua"/>
          <w:i/>
          <w:sz w:val="18"/>
          <w:szCs w:val="18"/>
        </w:rPr>
        <w:t xml:space="preserve"> A map showing the extent of the Siberian Traps.</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center"/>
        <w:rPr>
          <w:rFonts w:ascii="Book Antiqua" w:hAnsi="Book Antiqua"/>
          <w:i/>
          <w:sz w:val="20"/>
        </w:rPr>
      </w:pPr>
      <w:r w:rsidRPr="00BD541D">
        <w:rPr>
          <w:rFonts w:ascii="Book Antiqua" w:hAnsi="Book Antiqua"/>
          <w:noProof/>
          <w:sz w:val="20"/>
        </w:rPr>
        <w:lastRenderedPageBreak/>
        <w:drawing>
          <wp:inline distT="0" distB="0" distL="0" distR="0">
            <wp:extent cx="5430826" cy="3842017"/>
            <wp:effectExtent l="19050" t="0" r="0" b="0"/>
            <wp:docPr id="131" name="il_fi" descr="http://assets1.bigthink.com/system/idea_thumbnails/24180/original/siberian_traps_1.jpg?128528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sets1.bigthink.com/system/idea_thumbnails/24180/original/siberian_traps_1.jpg?1285285375"/>
                    <pic:cNvPicPr>
                      <a:picLocks noChangeAspect="1" noChangeArrowheads="1"/>
                    </pic:cNvPicPr>
                  </pic:nvPicPr>
                  <pic:blipFill>
                    <a:blip r:embed="rId1044" cstate="print"/>
                    <a:srcRect r="-58" b="5482"/>
                    <a:stretch>
                      <a:fillRect/>
                    </a:stretch>
                  </pic:blipFill>
                  <pic:spPr bwMode="auto">
                    <a:xfrm>
                      <a:off x="0" y="0"/>
                      <a:ext cx="5430826" cy="3842017"/>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22:</w:t>
      </w:r>
      <w:r w:rsidRPr="00022B2A">
        <w:rPr>
          <w:rFonts w:ascii="Book Antiqua" w:hAnsi="Book Antiqua"/>
          <w:i/>
          <w:sz w:val="18"/>
          <w:szCs w:val="18"/>
        </w:rPr>
        <w:t xml:space="preserve"> A typical scene in part of the Siberian Traps.</w:t>
      </w:r>
      <w:r>
        <w:rPr>
          <w:rFonts w:ascii="Book Antiqua" w:hAnsi="Book Antiqua"/>
          <w:i/>
          <w:sz w:val="18"/>
          <w:szCs w:val="18"/>
        </w:rPr>
        <w:t xml:space="preserve"> The strata underneath the Traps are updomed and fissured, consistent with the action of a pressure pulse with the magma outpoured through the fissures.</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As interior heating continued, the earth’s mantle became more mobile, more water was released, and the viscosity of the magma was lowered. </w:t>
      </w:r>
      <w:r>
        <w:rPr>
          <w:rFonts w:ascii="Book Antiqua" w:hAnsi="Book Antiqua"/>
          <w:sz w:val="20"/>
        </w:rPr>
        <w:t>(</w:t>
      </w:r>
      <w:r w:rsidRPr="00BD541D">
        <w:rPr>
          <w:rFonts w:ascii="Book Antiqua" w:hAnsi="Book Antiqua"/>
          <w:sz w:val="20"/>
        </w:rPr>
        <w:t>A highly mobile layer, rich in water still lies beneath the crust today and is called the asthenosphere. It is the mobility of this layer that allow</w:t>
      </w:r>
      <w:r>
        <w:rPr>
          <w:rFonts w:ascii="Book Antiqua" w:hAnsi="Book Antiqua"/>
          <w:sz w:val="20"/>
        </w:rPr>
        <w:t>s</w:t>
      </w:r>
      <w:r w:rsidRPr="00BD541D">
        <w:rPr>
          <w:rFonts w:ascii="Book Antiqua" w:hAnsi="Book Antiqua"/>
          <w:sz w:val="20"/>
        </w:rPr>
        <w:t xml:space="preserve"> the continents to drift.</w:t>
      </w:r>
      <w:r>
        <w:rPr>
          <w:rFonts w:ascii="Book Antiqua" w:hAnsi="Book Antiqua"/>
          <w:sz w:val="20"/>
        </w:rPr>
        <w:t xml:space="preserve">) </w:t>
      </w:r>
      <w:r w:rsidRPr="00BD541D">
        <w:rPr>
          <w:rFonts w:ascii="Book Antiqua" w:hAnsi="Book Antiqua"/>
          <w:sz w:val="20"/>
        </w:rPr>
        <w:t xml:space="preserve">With the ongoing heating of the interior, the mantle rock expanded. It has been shown that, just before melting, solids in general and metals in particular will have increased their volume by about 7%. This rises to an increase of over 10% for rock [63] and 11.6% for metals just after melting [64]. Any increase in volume of the earth’s interior by this process would place great pressure on the crust and prepare it for a rupture event. Shortly after the time of the breakup of the moon of Planet Y, a series of 8 </w:t>
      </w:r>
      <w:r>
        <w:rPr>
          <w:rFonts w:ascii="Book Antiqua" w:hAnsi="Book Antiqua"/>
          <w:sz w:val="20"/>
        </w:rPr>
        <w:t xml:space="preserve">known </w:t>
      </w:r>
      <w:r w:rsidRPr="00BD541D">
        <w:rPr>
          <w:rFonts w:ascii="Book Antiqua" w:hAnsi="Book Antiqua"/>
          <w:sz w:val="20"/>
        </w:rPr>
        <w:t xml:space="preserve">impacts occurred on Earth stretching from Eastern Europe to deep into North America (see Figure 23). They may each have been a separate event, but it is also possible that the main asteroid was accompanied by 7 </w:t>
      </w:r>
      <w:r>
        <w:rPr>
          <w:rFonts w:ascii="Book Antiqua" w:hAnsi="Book Antiqua"/>
          <w:sz w:val="20"/>
        </w:rPr>
        <w:t>large</w:t>
      </w:r>
      <w:r w:rsidRPr="00BD541D">
        <w:rPr>
          <w:rFonts w:ascii="Book Antiqua" w:hAnsi="Book Antiqua"/>
          <w:sz w:val="20"/>
        </w:rPr>
        <w:t xml:space="preserve"> pieces </w:t>
      </w:r>
      <w:r>
        <w:rPr>
          <w:rFonts w:ascii="Book Antiqua" w:hAnsi="Book Antiqua"/>
          <w:sz w:val="20"/>
        </w:rPr>
        <w:t xml:space="preserve">impacting </w:t>
      </w:r>
      <w:r w:rsidRPr="00BD541D">
        <w:rPr>
          <w:rFonts w:ascii="Book Antiqua" w:hAnsi="Book Antiqua"/>
          <w:sz w:val="20"/>
        </w:rPr>
        <w:t xml:space="preserve">as an almost simultaneous event. </w:t>
      </w:r>
      <w:r>
        <w:rPr>
          <w:rFonts w:ascii="Book Antiqua" w:hAnsi="Book Antiqua"/>
          <w:sz w:val="20"/>
        </w:rPr>
        <w:t>(</w:t>
      </w:r>
      <w:proofErr w:type="gramStart"/>
      <w:r>
        <w:rPr>
          <w:rFonts w:ascii="Book Antiqua" w:hAnsi="Book Antiqua"/>
          <w:sz w:val="20"/>
        </w:rPr>
        <w:t>see</w:t>
      </w:r>
      <w:proofErr w:type="gramEnd"/>
      <w:r w:rsidRPr="00BD541D">
        <w:rPr>
          <w:rFonts w:ascii="Book Antiqua" w:hAnsi="Book Antiqua"/>
          <w:sz w:val="20"/>
        </w:rPr>
        <w:t xml:space="preserve"> Appendix E </w:t>
      </w:r>
      <w:r>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Currently, t</w:t>
      </w:r>
      <w:r w:rsidRPr="00BD541D">
        <w:rPr>
          <w:rFonts w:ascii="Book Antiqua" w:hAnsi="Book Antiqua"/>
          <w:sz w:val="20"/>
        </w:rPr>
        <w:t xml:space="preserve">he main crater </w:t>
      </w:r>
      <w:r>
        <w:rPr>
          <w:rFonts w:ascii="Book Antiqua" w:hAnsi="Book Antiqua"/>
          <w:sz w:val="20"/>
        </w:rPr>
        <w:t xml:space="preserve">associated with </w:t>
      </w:r>
      <w:r w:rsidRPr="00BD541D">
        <w:rPr>
          <w:rFonts w:ascii="Book Antiqua" w:hAnsi="Book Antiqua"/>
          <w:sz w:val="20"/>
        </w:rPr>
        <w:t xml:space="preserve">this event </w:t>
      </w:r>
      <w:r>
        <w:rPr>
          <w:rFonts w:ascii="Book Antiqua" w:hAnsi="Book Antiqua"/>
          <w:sz w:val="20"/>
        </w:rPr>
        <w:t>is</w:t>
      </w:r>
      <w:r w:rsidRPr="00BD541D">
        <w:rPr>
          <w:rFonts w:ascii="Book Antiqua" w:hAnsi="Book Antiqua"/>
          <w:sz w:val="20"/>
        </w:rPr>
        <w:t xml:space="preserve"> the Chicxulub structure in the Yucatan, </w:t>
      </w:r>
      <w:r>
        <w:rPr>
          <w:rFonts w:ascii="Book Antiqua" w:hAnsi="Book Antiqua"/>
          <w:sz w:val="20"/>
        </w:rPr>
        <w:t xml:space="preserve">dating at </w:t>
      </w:r>
      <w:r w:rsidRPr="00BD541D">
        <w:rPr>
          <w:rFonts w:ascii="Book Antiqua" w:hAnsi="Book Antiqua"/>
          <w:sz w:val="20"/>
        </w:rPr>
        <w:t xml:space="preserve">some 65.5 million atomic years </w:t>
      </w:r>
      <w:r>
        <w:rPr>
          <w:rFonts w:ascii="Book Antiqua" w:hAnsi="Book Antiqua"/>
          <w:sz w:val="20"/>
        </w:rPr>
        <w:t>old</w:t>
      </w:r>
      <w:r w:rsidRPr="00BD541D">
        <w:rPr>
          <w:rFonts w:ascii="Book Antiqua" w:hAnsi="Book Antiqua"/>
          <w:sz w:val="20"/>
        </w:rPr>
        <w:t>. This series of impacts triggered crustal splitting along lines of weakness. These splits released the pressure which had built up by ongoing heating of the earth’s interior, and formed the mid-Atlantic Rift and the rest of what is now the mid-ocean ridge system (see Figure 24). An increase of about 880 km in the earth’s circumference results if the rock and metal making up the earth’s interior is heated but does not become molten. If the earth interior did become molten, an increase of about 1360 km would occur in the circumference. It is interesting to note that the Mid-Atlantic Ridge system has a maximum width of 1590 km [65] and generally ranges from 1000 to 1500 km wide [66]. This is close to what is expected from radioactive heating of earth’s interior. This ridge system therefore</w:t>
      </w:r>
      <w:r>
        <w:rPr>
          <w:rFonts w:ascii="Book Antiqua" w:hAnsi="Book Antiqua"/>
          <w:sz w:val="20"/>
        </w:rPr>
        <w:t xml:space="preserve"> probably</w:t>
      </w:r>
      <w:r w:rsidRPr="00BD541D">
        <w:rPr>
          <w:rFonts w:ascii="Book Antiqua" w:hAnsi="Book Antiqua"/>
          <w:sz w:val="20"/>
        </w:rPr>
        <w:t xml:space="preserve"> represents the split in the earth’s crust which came from that heating. </w:t>
      </w:r>
      <w:r>
        <w:rPr>
          <w:rFonts w:ascii="Book Antiqua" w:hAnsi="Book Antiqua"/>
          <w:sz w:val="20"/>
        </w:rPr>
        <w:t>T</w:t>
      </w:r>
      <w:r w:rsidRPr="00BD541D">
        <w:rPr>
          <w:rFonts w:ascii="Book Antiqua" w:hAnsi="Book Antiqua"/>
          <w:sz w:val="20"/>
        </w:rPr>
        <w:t>he accompanying continental drift w</w:t>
      </w:r>
      <w:r>
        <w:rPr>
          <w:rFonts w:ascii="Book Antiqua" w:hAnsi="Book Antiqua"/>
          <w:sz w:val="20"/>
        </w:rPr>
        <w:t>as</w:t>
      </w:r>
      <w:r w:rsidRPr="00BD541D">
        <w:rPr>
          <w:rFonts w:ascii="Book Antiqua" w:hAnsi="Book Antiqua"/>
          <w:sz w:val="20"/>
        </w:rPr>
        <w:t xml:space="preserve"> aided by earth expansion effects as well</w:t>
      </w:r>
      <w:r>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6561629" cy="3381375"/>
            <wp:effectExtent l="19050" t="0" r="0" b="0"/>
            <wp:docPr id="132" name="il_fi" descr="http://www.auburn.edu/~kingdat/wetu_fi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uburn.edu/~kingdat/wetu_fig_3.jpg"/>
                    <pic:cNvPicPr>
                      <a:picLocks noChangeAspect="1" noChangeArrowheads="1"/>
                    </pic:cNvPicPr>
                  </pic:nvPicPr>
                  <pic:blipFill>
                    <a:blip r:embed="rId1045" cstate="print">
                      <a:lum bright="-10000" contrast="10000"/>
                    </a:blip>
                    <a:srcRect/>
                    <a:stretch>
                      <a:fillRect/>
                    </a:stretch>
                  </pic:blipFill>
                  <pic:spPr bwMode="auto">
                    <a:xfrm>
                      <a:off x="0" y="0"/>
                      <a:ext cx="6573848" cy="3387672"/>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23:</w:t>
      </w:r>
      <w:r w:rsidRPr="00022B2A">
        <w:rPr>
          <w:rFonts w:ascii="Book Antiqua" w:hAnsi="Book Antiqua"/>
          <w:i/>
          <w:sz w:val="18"/>
          <w:szCs w:val="18"/>
        </w:rPr>
        <w:t xml:space="preserve"> Late Cretaceous impact craters marked with a star. There are two possibilities. These may be 8 individual strikes from the breakup of the moon of Planet Y in what is now the asteroid belt. Alternately, there may have only been one almost simultaneous event with the asteroid that hit in the Yucatan being accompanied by</w:t>
      </w:r>
      <w:r w:rsidR="003A78AC">
        <w:rPr>
          <w:rFonts w:ascii="Book Antiqua" w:hAnsi="Book Antiqua"/>
          <w:i/>
          <w:sz w:val="18"/>
          <w:szCs w:val="18"/>
        </w:rPr>
        <w:t xml:space="preserve"> at least </w:t>
      </w:r>
      <w:r w:rsidRPr="00022B2A">
        <w:rPr>
          <w:rFonts w:ascii="Book Antiqua" w:hAnsi="Book Antiqua"/>
          <w:i/>
          <w:sz w:val="18"/>
          <w:szCs w:val="18"/>
        </w:rPr>
        <w:t>7 other</w:t>
      </w:r>
      <w:r w:rsidR="003A78AC">
        <w:rPr>
          <w:rFonts w:ascii="Book Antiqua" w:hAnsi="Book Antiqua"/>
          <w:i/>
          <w:sz w:val="18"/>
          <w:szCs w:val="18"/>
        </w:rPr>
        <w:t xml:space="preserve"> </w:t>
      </w:r>
      <w:r>
        <w:rPr>
          <w:rFonts w:ascii="Book Antiqua" w:hAnsi="Book Antiqua"/>
          <w:i/>
          <w:sz w:val="18"/>
          <w:szCs w:val="18"/>
        </w:rPr>
        <w:t>large</w:t>
      </w:r>
      <w:r w:rsidRPr="00022B2A">
        <w:rPr>
          <w:rFonts w:ascii="Book Antiqua" w:hAnsi="Book Antiqua"/>
          <w:i/>
          <w:sz w:val="18"/>
          <w:szCs w:val="18"/>
        </w:rPr>
        <w:t xml:space="preserve"> pieces of debris.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357924" cy="3000375"/>
            <wp:effectExtent l="19050" t="0" r="4776" b="0"/>
            <wp:docPr id="134" name="il_fi" descr="http://www.waterencyclopedia.com/images/wsci_03_img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aterencyclopedia.com/images/wsci_03_img0352.jpg"/>
                    <pic:cNvPicPr>
                      <a:picLocks noChangeAspect="1" noChangeArrowheads="1"/>
                    </pic:cNvPicPr>
                  </pic:nvPicPr>
                  <pic:blipFill>
                    <a:blip r:embed="rId1046" cstate="print"/>
                    <a:srcRect t="5078" r="991" b="4616"/>
                    <a:stretch>
                      <a:fillRect/>
                    </a:stretch>
                  </pic:blipFill>
                  <pic:spPr bwMode="auto">
                    <a:xfrm>
                      <a:off x="0" y="0"/>
                      <a:ext cx="6371821" cy="3006933"/>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022B2A" w:rsidRDefault="00700009" w:rsidP="00390CA0">
      <w:pPr>
        <w:pStyle w:val="NoSpacing"/>
        <w:jc w:val="center"/>
        <w:rPr>
          <w:rFonts w:ascii="Book Antiqua" w:hAnsi="Book Antiqua"/>
          <w:i/>
          <w:sz w:val="18"/>
          <w:szCs w:val="18"/>
        </w:rPr>
      </w:pPr>
      <w:r w:rsidRPr="00022B2A">
        <w:rPr>
          <w:rFonts w:ascii="Book Antiqua" w:hAnsi="Book Antiqua"/>
          <w:b/>
          <w:i/>
          <w:sz w:val="18"/>
          <w:szCs w:val="18"/>
        </w:rPr>
        <w:t xml:space="preserve">Figure 24: </w:t>
      </w:r>
      <w:r w:rsidRPr="00022B2A">
        <w:rPr>
          <w:rFonts w:ascii="Book Antiqua" w:hAnsi="Book Antiqua"/>
          <w:i/>
          <w:sz w:val="18"/>
          <w:szCs w:val="18"/>
        </w:rPr>
        <w:t>The mid-ocean ridge system colored blue-black.</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An experiment can be done to illustrate what happened. Take an egg that has been hard-boiled in its shell. The interior of the egg is still somewhat plastic or pliable, just like the present interior of the earth. The shell itself is like the earth’s crust encapsulating its plastic interior. If the hard-boiled egg in its shell is held tightly in a closed hand with an </w:t>
      </w:r>
      <w:r w:rsidRPr="00BD541D">
        <w:rPr>
          <w:rFonts w:ascii="Book Antiqua" w:hAnsi="Book Antiqua"/>
          <w:sz w:val="20"/>
        </w:rPr>
        <w:lastRenderedPageBreak/>
        <w:t xml:space="preserve">even pressure all around it, this is like the Earth’s crust under pressure. Then, if a small exposed area of the shell is given a firm rap with some suitable implement, this reproduces the firm hit from a large meteorite on the Earth’s crust while the crust is under pressure. As might be anticipated, the egg shell breaks into a number of “plates” which move horizontally and vertically because of fluid and air under the shell. In the case of the Earth, the presence of the highly fluid asthenosphere allowed the continental plates to move until the lubricating material had escaped from the system. What </w:t>
      </w:r>
      <w:proofErr w:type="gramStart"/>
      <w:r w:rsidRPr="00BD541D">
        <w:rPr>
          <w:rFonts w:ascii="Book Antiqua" w:hAnsi="Book Antiqua"/>
          <w:sz w:val="20"/>
        </w:rPr>
        <w:t>is</w:t>
      </w:r>
      <w:proofErr w:type="gramEnd"/>
      <w:r w:rsidRPr="00BD541D">
        <w:rPr>
          <w:rFonts w:ascii="Book Antiqua" w:hAnsi="Book Antiqua"/>
          <w:sz w:val="20"/>
        </w:rPr>
        <w:t xml:space="preserve"> left today in the motion of the plates is the residual results of this event. When it is realized that, in proportion, the egg-shell is 5 times thicker than the Earth’s crust, the relevance of the experiment becomes apparent.</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At the same time, the pressure/rarefaction pulse from </w:t>
      </w:r>
      <w:r>
        <w:rPr>
          <w:rFonts w:ascii="Book Antiqua" w:hAnsi="Book Antiqua"/>
          <w:sz w:val="20"/>
        </w:rPr>
        <w:t xml:space="preserve">one of the major impactors </w:t>
      </w:r>
      <w:r w:rsidRPr="00BD541D">
        <w:rPr>
          <w:rFonts w:ascii="Book Antiqua" w:hAnsi="Book Antiqua"/>
          <w:sz w:val="20"/>
        </w:rPr>
        <w:t xml:space="preserve">resulted in outpoured lava at the antipodal point of the globe, </w:t>
      </w:r>
      <w:r>
        <w:rPr>
          <w:rFonts w:ascii="Book Antiqua" w:hAnsi="Book Antiqua"/>
          <w:sz w:val="20"/>
        </w:rPr>
        <w:t>resulting in</w:t>
      </w:r>
      <w:r w:rsidRPr="00BD541D">
        <w:rPr>
          <w:rFonts w:ascii="Book Antiqua" w:hAnsi="Book Antiqua"/>
          <w:sz w:val="20"/>
        </w:rPr>
        <w:t xml:space="preserve"> the Deccan Traps in India (Figures 25 and 26).</w:t>
      </w:r>
      <w:r>
        <w:rPr>
          <w:rFonts w:ascii="Book Antiqua" w:hAnsi="Book Antiqua"/>
          <w:sz w:val="20"/>
        </w:rPr>
        <w:t xml:space="preserve"> Figure 27 shows that what is now North America was antipodal to India then.</w:t>
      </w:r>
      <w:r w:rsidRPr="00BD541D">
        <w:rPr>
          <w:rFonts w:ascii="Book Antiqua" w:hAnsi="Book Antiqua"/>
          <w:sz w:val="20"/>
        </w:rPr>
        <w:t xml:space="preserve"> This event is known as the Cretaceous/Tertiary (or K/T) extinction. Since the mobility of the asthenosphere was close to its maximum, with its highest temperatures and optimal water content, the event gave an impetus to </w:t>
      </w:r>
      <w:r>
        <w:rPr>
          <w:rFonts w:ascii="Book Antiqua" w:hAnsi="Book Antiqua"/>
          <w:sz w:val="20"/>
        </w:rPr>
        <w:t xml:space="preserve">rapid </w:t>
      </w:r>
      <w:r w:rsidRPr="00BD541D">
        <w:rPr>
          <w:rFonts w:ascii="Book Antiqua" w:hAnsi="Book Antiqua"/>
          <w:sz w:val="20"/>
        </w:rPr>
        <w:t>continental drift. Figure 27 shows the arrangement of continents prior to the drift beginning.</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4343970" cy="2382051"/>
            <wp:effectExtent l="19050" t="0" r="0" b="0"/>
            <wp:docPr id="135" name="Picture 306" descr="http://www.setterfield.org/Lonar%20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setterfield.org/Lonar%20crater.jpg"/>
                    <pic:cNvPicPr>
                      <a:picLocks noChangeAspect="1" noChangeArrowheads="1"/>
                    </pic:cNvPicPr>
                  </pic:nvPicPr>
                  <pic:blipFill>
                    <a:blip r:embed="rId1047" cstate="print">
                      <a:lum contrast="20000"/>
                    </a:blip>
                    <a:srcRect t="37041" r="1031" b="4916"/>
                    <a:stretch>
                      <a:fillRect/>
                    </a:stretch>
                  </pic:blipFill>
                  <pic:spPr bwMode="auto">
                    <a:xfrm>
                      <a:off x="0" y="0"/>
                      <a:ext cx="4357520" cy="2389482"/>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022B2A" w:rsidRDefault="00700009" w:rsidP="00390CA0">
      <w:pPr>
        <w:pStyle w:val="NoSpacing"/>
        <w:jc w:val="center"/>
        <w:rPr>
          <w:rFonts w:ascii="Book Antiqua" w:hAnsi="Book Antiqua"/>
          <w:i/>
          <w:sz w:val="18"/>
          <w:szCs w:val="18"/>
        </w:rPr>
      </w:pPr>
      <w:r w:rsidRPr="00022B2A">
        <w:rPr>
          <w:rFonts w:ascii="Book Antiqua" w:hAnsi="Book Antiqua"/>
          <w:b/>
          <w:i/>
          <w:sz w:val="18"/>
          <w:szCs w:val="18"/>
        </w:rPr>
        <w:t>Figure 25:</w:t>
      </w:r>
      <w:r w:rsidRPr="00022B2A">
        <w:rPr>
          <w:rFonts w:ascii="Book Antiqua" w:hAnsi="Book Antiqua"/>
          <w:i/>
          <w:sz w:val="18"/>
          <w:szCs w:val="18"/>
        </w:rPr>
        <w:t xml:space="preserve"> Location of the Deccan Traps in India.</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4396486" cy="2312894"/>
            <wp:effectExtent l="19050" t="0" r="4064" b="0"/>
            <wp:docPr id="136" name="Picture 305" descr="The Deccan 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he Deccan Traps"/>
                    <pic:cNvPicPr>
                      <a:picLocks noChangeAspect="1" noChangeArrowheads="1"/>
                    </pic:cNvPicPr>
                  </pic:nvPicPr>
                  <pic:blipFill>
                    <a:blip r:embed="rId1048" cstate="print"/>
                    <a:srcRect t="3527" r="-39" b="26895"/>
                    <a:stretch>
                      <a:fillRect/>
                    </a:stretch>
                  </pic:blipFill>
                  <pic:spPr bwMode="auto">
                    <a:xfrm>
                      <a:off x="0" y="0"/>
                      <a:ext cx="4414908" cy="232258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rPr>
          <w:rFonts w:ascii="Book Antiqua" w:hAnsi="Book Antiqua"/>
          <w:i/>
          <w:sz w:val="20"/>
        </w:rPr>
      </w:pPr>
      <w:r w:rsidRPr="00022B2A">
        <w:rPr>
          <w:rFonts w:ascii="Book Antiqua" w:hAnsi="Book Antiqua"/>
          <w:b/>
          <w:i/>
          <w:sz w:val="18"/>
          <w:szCs w:val="18"/>
        </w:rPr>
        <w:t>Figure 26:</w:t>
      </w:r>
      <w:r w:rsidRPr="00022B2A">
        <w:rPr>
          <w:rFonts w:ascii="Book Antiqua" w:hAnsi="Book Antiqua"/>
          <w:i/>
          <w:sz w:val="18"/>
          <w:szCs w:val="18"/>
        </w:rPr>
        <w:t xml:space="preserve"> A typical Deccan Traps</w:t>
      </w:r>
      <w:r>
        <w:rPr>
          <w:rFonts w:ascii="Book Antiqua" w:hAnsi="Book Antiqua"/>
          <w:i/>
          <w:sz w:val="18"/>
          <w:szCs w:val="18"/>
        </w:rPr>
        <w:t xml:space="preserve"> scene. There are many inter-trappean beds with fresh water and land fossils showing the Traps took time to build.</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4515556" cy="4303059"/>
            <wp:effectExtent l="19050" t="0" r="0" b="0"/>
            <wp:docPr id="137" name="il_fi" descr="http://www.notbychance.net/resources/pangea%20supercontinent.jpg?timestamp=13026350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otbychance.net/resources/pangea%20supercontinent.jpg?timestamp=1302635028000"/>
                    <pic:cNvPicPr>
                      <a:picLocks noChangeAspect="1" noChangeArrowheads="1"/>
                    </pic:cNvPicPr>
                  </pic:nvPicPr>
                  <pic:blipFill>
                    <a:blip r:embed="rId1049" cstate="print"/>
                    <a:srcRect t="9332" r="-75" b="4668"/>
                    <a:stretch>
                      <a:fillRect/>
                    </a:stretch>
                  </pic:blipFill>
                  <pic:spPr bwMode="auto">
                    <a:xfrm>
                      <a:off x="0" y="0"/>
                      <a:ext cx="4517026" cy="4304460"/>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27:</w:t>
      </w:r>
      <w:r w:rsidRPr="00022B2A">
        <w:rPr>
          <w:rFonts w:ascii="Book Antiqua" w:hAnsi="Book Antiqua"/>
          <w:i/>
          <w:sz w:val="18"/>
          <w:szCs w:val="18"/>
        </w:rPr>
        <w:t xml:space="preserve"> The supercontinent of Pangea. When compared with Figure 1</w:t>
      </w:r>
      <w:r w:rsidR="00352FA9">
        <w:rPr>
          <w:rFonts w:ascii="Book Antiqua" w:hAnsi="Book Antiqua"/>
          <w:i/>
          <w:sz w:val="18"/>
          <w:szCs w:val="18"/>
        </w:rPr>
        <w:t>6</w:t>
      </w:r>
      <w:r w:rsidRPr="00022B2A">
        <w:rPr>
          <w:rFonts w:ascii="Book Antiqua" w:hAnsi="Book Antiqua"/>
          <w:i/>
          <w:sz w:val="18"/>
          <w:szCs w:val="18"/>
        </w:rPr>
        <w:t xml:space="preserve"> it can be seen that most cratons were formed in the areas away from the (magnetic) poles. This suggests their formation was primarily impact related, with any electrical phenomena being secondary and probably related to the high negative potential of the impactors. </w:t>
      </w:r>
    </w:p>
    <w:p w:rsidR="00700009" w:rsidRPr="00BD541D" w:rsidRDefault="00700009" w:rsidP="00700009">
      <w:pPr>
        <w:pStyle w:val="NormalWeb"/>
        <w:jc w:val="both"/>
        <w:rPr>
          <w:rFonts w:ascii="Book Antiqua" w:hAnsi="Book Antiqua"/>
          <w:b/>
          <w:sz w:val="20"/>
          <w:szCs w:val="20"/>
        </w:rPr>
      </w:pPr>
      <w:r w:rsidRPr="00BD541D">
        <w:rPr>
          <w:rFonts w:ascii="Book Antiqua" w:hAnsi="Book Antiqua"/>
          <w:b/>
          <w:sz w:val="20"/>
          <w:szCs w:val="20"/>
        </w:rPr>
        <w:t>1</w:t>
      </w:r>
      <w:r>
        <w:rPr>
          <w:rFonts w:ascii="Book Antiqua" w:hAnsi="Book Antiqua"/>
          <w:b/>
          <w:sz w:val="20"/>
          <w:szCs w:val="20"/>
        </w:rPr>
        <w:t>3.</w:t>
      </w:r>
      <w:r w:rsidRPr="00BD541D">
        <w:rPr>
          <w:rFonts w:ascii="Book Antiqua" w:hAnsi="Book Antiqua"/>
          <w:b/>
          <w:sz w:val="20"/>
          <w:szCs w:val="20"/>
        </w:rPr>
        <w:t xml:space="preserve"> Postponing some decisions.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One final point needs to be noted. Figure 16 shows the distribution of continental cratons. The land areas of the earth at that time consisted of one supercontinent and the rest was ocean. The supercontinent is shown in Figure 27. When Figure 16 of the cratons is compared with Figure 27, it will be seen that the majority of these craton areas occur between 30 degrees and 60 degrees latitude both north and south. In other words, they are midway between the equator and the (magnetic) poles.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leaves the question open as to whether the Late Heavy Bombardment interaction which gave rise to the cratons was mainly through plasma-electrical effects or through impact. If it was purely electrical, it might be expected that these effects would be concentrated near the magnetic poles. This did not happen. Therefore, it is possible that the cratons formed in response to impacts and incoming debris. These impacts may have occurred in the ocean areas on the antipodal part of the earth to the cratons with the pressure pulse traveling through the earth and causing the release of magma on the opposite side.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Appendix E, the experimental evidence for both electrical and impact effects is considered and a fuller discussion occurs. A decision is then made in accord with the available evidence as to the cause of most of the LHB effects as well as the MAPCIS, Wilkes Land and Chicxulub craters.</w:t>
      </w:r>
    </w:p>
    <w:p w:rsidR="00700009" w:rsidRPr="00BD541D" w:rsidRDefault="00700009" w:rsidP="00700009">
      <w:pPr>
        <w:pStyle w:val="NormalWeb"/>
        <w:rPr>
          <w:rStyle w:val="Strong"/>
          <w:rFonts w:ascii="Book Antiqua" w:eastAsia="Calibri" w:hAnsi="Book Antiqua"/>
          <w:i/>
          <w:sz w:val="20"/>
          <w:szCs w:val="20"/>
        </w:rPr>
      </w:pPr>
      <w:r w:rsidRPr="00BD541D">
        <w:rPr>
          <w:rFonts w:ascii="Book Antiqua" w:hAnsi="Book Antiqua"/>
          <w:b/>
          <w:sz w:val="20"/>
          <w:szCs w:val="20"/>
        </w:rPr>
        <w:lastRenderedPageBreak/>
        <w:t xml:space="preserve">References: </w:t>
      </w:r>
      <w:r w:rsidRPr="00BD541D">
        <w:rPr>
          <w:rFonts w:ascii="Book Antiqua" w:hAnsi="Book Antiqua"/>
          <w:i/>
          <w:sz w:val="20"/>
          <w:szCs w:val="20"/>
        </w:rPr>
        <w:t>- All URL’s retrieved 9/13/12</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 [1] W. I.  </w:t>
      </w:r>
      <w:proofErr w:type="gramStart"/>
      <w:r w:rsidRPr="00BD541D">
        <w:rPr>
          <w:rFonts w:ascii="Book Antiqua" w:hAnsi="Book Antiqua"/>
          <w:sz w:val="16"/>
          <w:szCs w:val="16"/>
        </w:rPr>
        <w:t xml:space="preserve">Axford, </w:t>
      </w:r>
      <w:r w:rsidRPr="00BD541D">
        <w:rPr>
          <w:rFonts w:ascii="Book Antiqua" w:hAnsi="Book Antiqua"/>
          <w:i/>
          <w:sz w:val="16"/>
          <w:szCs w:val="16"/>
        </w:rPr>
        <w:t>Proceedings of the 17</w:t>
      </w:r>
      <w:r w:rsidRPr="00BD541D">
        <w:rPr>
          <w:rFonts w:ascii="Book Antiqua" w:hAnsi="Book Antiqua"/>
          <w:i/>
          <w:sz w:val="16"/>
          <w:szCs w:val="16"/>
          <w:vertAlign w:val="superscript"/>
        </w:rPr>
        <w:t>th</w:t>
      </w:r>
      <w:r w:rsidRPr="00BD541D">
        <w:rPr>
          <w:rFonts w:ascii="Book Antiqua" w:hAnsi="Book Antiqua"/>
          <w:i/>
          <w:sz w:val="16"/>
          <w:szCs w:val="16"/>
        </w:rPr>
        <w:t xml:space="preserve"> International Cosmic-Ray Conference</w:t>
      </w:r>
      <w:r w:rsidRPr="00BD541D">
        <w:rPr>
          <w:rFonts w:ascii="Book Antiqua" w:hAnsi="Book Antiqua"/>
          <w:sz w:val="16"/>
          <w:szCs w:val="16"/>
        </w:rPr>
        <w:t xml:space="preserve">, Paris, </w:t>
      </w:r>
      <w:r w:rsidRPr="00BD541D">
        <w:rPr>
          <w:rFonts w:ascii="Book Antiqua" w:hAnsi="Book Antiqua"/>
          <w:b/>
          <w:sz w:val="16"/>
          <w:szCs w:val="16"/>
        </w:rPr>
        <w:t>12</w:t>
      </w:r>
      <w:r w:rsidRPr="00BD541D">
        <w:rPr>
          <w:rFonts w:ascii="Book Antiqua" w:hAnsi="Book Antiqua"/>
          <w:sz w:val="16"/>
          <w:szCs w:val="16"/>
        </w:rPr>
        <w:t xml:space="preserve"> (1981), pp.155 ff.</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 R. E. Lingenfelter, et al., in </w:t>
      </w:r>
      <w:r w:rsidRPr="00BD541D">
        <w:rPr>
          <w:rFonts w:ascii="Book Antiqua" w:hAnsi="Book Antiqua"/>
          <w:i/>
          <w:sz w:val="16"/>
          <w:szCs w:val="16"/>
        </w:rPr>
        <w:t>Acceleration and Transport of Energetic Particles Observed in the Heliosphere,</w:t>
      </w:r>
      <w:r w:rsidRPr="00BD541D">
        <w:rPr>
          <w:rFonts w:ascii="Book Antiqua" w:hAnsi="Book Antiqua"/>
          <w:sz w:val="16"/>
          <w:szCs w:val="16"/>
        </w:rPr>
        <w:t xml:space="preserve"> (R. Mewaldt et al. eds.) pp.375 ff. American Institute of Physics, New York,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 O. Eugster et al. “Irradiation Records, Cosmic Ray Exposure Ages, and Transfer Times of Meteorites,” in </w:t>
      </w:r>
      <w:r w:rsidRPr="00BD541D">
        <w:rPr>
          <w:rFonts w:ascii="Book Antiqua" w:hAnsi="Book Antiqua"/>
          <w:i/>
          <w:sz w:val="16"/>
          <w:szCs w:val="16"/>
        </w:rPr>
        <w:t xml:space="preserve">Meteorites and the Early Solar System II, </w:t>
      </w:r>
      <w:r w:rsidRPr="00BD541D">
        <w:rPr>
          <w:rFonts w:ascii="Book Antiqua" w:hAnsi="Book Antiqua"/>
          <w:sz w:val="16"/>
          <w:szCs w:val="16"/>
        </w:rPr>
        <w:t>pp.829-851, D.S. Lauretta and H.Y. McSween (Eds.), University of Arizona Press, Tucson, 2006.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 MAPCIS research: </w:t>
      </w:r>
      <w:hyperlink r:id="rId1050" w:tgtFrame="_blank" w:history="1">
        <w:r w:rsidRPr="00BD541D">
          <w:rPr>
            <w:rFonts w:ascii="Book Antiqua" w:hAnsi="Book Antiqua"/>
            <w:i/>
            <w:sz w:val="16"/>
            <w:szCs w:val="16"/>
          </w:rPr>
          <w:t>http://www.mapcis.net/mapcis_research.html</w:t>
        </w:r>
      </w:hyperlink>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and</w:t>
      </w:r>
      <w:proofErr w:type="gramEnd"/>
      <w:r w:rsidRPr="00BD541D">
        <w:rPr>
          <w:rFonts w:ascii="Book Antiqua" w:hAnsi="Book Antiqua"/>
          <w:sz w:val="16"/>
          <w:szCs w:val="16"/>
        </w:rPr>
        <w:t xml:space="preserve"> here: </w:t>
      </w:r>
      <w:hyperlink r:id="rId1051" w:tgtFrame="_blank" w:history="1">
        <w:r w:rsidRPr="00BD541D">
          <w:rPr>
            <w:rFonts w:ascii="Book Antiqua" w:hAnsi="Book Antiqua"/>
            <w:i/>
            <w:sz w:val="16"/>
            <w:szCs w:val="16"/>
          </w:rPr>
          <w:t>http://www.mapcis.net/mapcis_case.html</w:t>
        </w:r>
      </w:hyperlink>
      <w:r w:rsidRPr="00BD541D">
        <w:rPr>
          <w:rFonts w:ascii="Book Antiqua" w:hAnsi="Book Antiqua"/>
          <w:sz w:val="16"/>
          <w:szCs w:val="16"/>
        </w:rPr>
        <w:t xml:space="preserve"> and is also here: </w:t>
      </w:r>
      <w:hyperlink r:id="rId1052" w:tgtFrame="_blank" w:history="1">
        <w:r w:rsidRPr="00BD541D">
          <w:rPr>
            <w:rFonts w:ascii="Book Antiqua" w:hAnsi="Book Antiqua"/>
            <w:i/>
            <w:sz w:val="16"/>
            <w:szCs w:val="16"/>
          </w:rPr>
          <w:t>http://www.austhrutime.com/mapcis.htm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w:t>
      </w:r>
      <w:proofErr w:type="gramStart"/>
      <w:r w:rsidRPr="00BD541D">
        <w:rPr>
          <w:rFonts w:ascii="Book Antiqua" w:hAnsi="Book Antiqua"/>
          <w:sz w:val="16"/>
          <w:szCs w:val="16"/>
        </w:rPr>
        <w:t>5 ]</w:t>
      </w:r>
      <w:proofErr w:type="gramEnd"/>
      <w:r w:rsidRPr="00BD541D">
        <w:rPr>
          <w:rFonts w:ascii="Book Antiqua" w:hAnsi="Book Antiqua"/>
          <w:sz w:val="16"/>
          <w:szCs w:val="16"/>
        </w:rPr>
        <w:t xml:space="preserve"> W. V. Preiss, </w:t>
      </w:r>
      <w:r w:rsidRPr="00BD541D">
        <w:rPr>
          <w:rFonts w:ascii="Book Antiqua" w:hAnsi="Book Antiqua"/>
          <w:i/>
          <w:sz w:val="16"/>
          <w:szCs w:val="16"/>
        </w:rPr>
        <w:t>The Adelaide Geosyncline</w:t>
      </w:r>
      <w:r w:rsidRPr="00BD541D">
        <w:rPr>
          <w:rFonts w:ascii="Book Antiqua" w:hAnsi="Book Antiqua"/>
          <w:sz w:val="16"/>
          <w:szCs w:val="16"/>
        </w:rPr>
        <w:t xml:space="preserve">, Bulletin </w:t>
      </w:r>
      <w:r w:rsidRPr="00BD541D">
        <w:rPr>
          <w:rFonts w:ascii="Book Antiqua" w:hAnsi="Book Antiqua"/>
          <w:b/>
          <w:sz w:val="16"/>
          <w:szCs w:val="16"/>
        </w:rPr>
        <w:t>53</w:t>
      </w:r>
      <w:r w:rsidRPr="00BD541D">
        <w:rPr>
          <w:rFonts w:ascii="Book Antiqua" w:hAnsi="Book Antiqua"/>
          <w:sz w:val="16"/>
          <w:szCs w:val="16"/>
        </w:rPr>
        <w:t>, Geological Survey of South Australia,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  J. Audouze, G. Israel, </w:t>
      </w:r>
      <w:r w:rsidRPr="00BD541D">
        <w:rPr>
          <w:rFonts w:ascii="Book Antiqua" w:hAnsi="Book Antiqua"/>
          <w:i/>
          <w:sz w:val="16"/>
          <w:szCs w:val="16"/>
        </w:rPr>
        <w:t>Cambridge Atlas of Astronomy</w:t>
      </w:r>
      <w:r w:rsidRPr="00BD541D">
        <w:rPr>
          <w:rFonts w:ascii="Book Antiqua" w:hAnsi="Book Antiqua"/>
          <w:sz w:val="16"/>
          <w:szCs w:val="16"/>
        </w:rPr>
        <w:t xml:space="preserve">, p. 122-123, Cambridge University Press, 1985.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[7] Ibid, p.152.</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[8] J. Veverka et al., “Near’s Flyby of 253 Mathilde: Images of a C Asteroid,” </w:t>
      </w:r>
      <w:r w:rsidRPr="00BD541D">
        <w:rPr>
          <w:rFonts w:ascii="Book Antiqua" w:hAnsi="Book Antiqua"/>
          <w:i/>
          <w:sz w:val="16"/>
          <w:szCs w:val="16"/>
        </w:rPr>
        <w:t>Science</w:t>
      </w:r>
      <w:r w:rsidRPr="00BD541D">
        <w:rPr>
          <w:rFonts w:ascii="Book Antiqua" w:hAnsi="Book Antiqua"/>
          <w:sz w:val="16"/>
          <w:szCs w:val="16"/>
        </w:rPr>
        <w:t>, Vol. 278, pp. 2109-2114, (1997).</w:t>
      </w:r>
      <w:r w:rsidRPr="00BD541D">
        <w:rPr>
          <w:rFonts w:ascii="Book Antiqua" w:hAnsi="Book Antiqua"/>
          <w:sz w:val="16"/>
          <w:szCs w:val="16"/>
        </w:rPr>
        <w:br/>
        <w:t xml:space="preserve">[9] S. J. Ostro, D. B. Campbell, I. I. Shapiro,”Mainbelt Asteroids: Dual Polarization Radar Observations,” </w:t>
      </w:r>
      <w:r w:rsidRPr="00BD541D">
        <w:rPr>
          <w:rFonts w:ascii="Book Antiqua" w:hAnsi="Book Antiqua"/>
          <w:i/>
          <w:sz w:val="16"/>
          <w:szCs w:val="16"/>
        </w:rPr>
        <w:t>Science</w:t>
      </w:r>
      <w:r w:rsidRPr="00BD541D">
        <w:rPr>
          <w:rFonts w:ascii="Book Antiqua" w:hAnsi="Book Antiqua"/>
          <w:sz w:val="16"/>
          <w:szCs w:val="16"/>
        </w:rPr>
        <w:t>, Vol. 229, pp. 442-446, (1985).</w:t>
      </w:r>
      <w:r w:rsidRPr="00BD541D">
        <w:rPr>
          <w:rFonts w:ascii="Book Antiqua" w:hAnsi="Book Antiqua"/>
          <w:sz w:val="16"/>
          <w:szCs w:val="16"/>
        </w:rPr>
        <w:br/>
        <w:t xml:space="preserve">[10] J. </w:t>
      </w:r>
      <w:proofErr w:type="gramStart"/>
      <w:r w:rsidRPr="00BD541D">
        <w:rPr>
          <w:rFonts w:ascii="Book Antiqua" w:hAnsi="Book Antiqua"/>
          <w:sz w:val="16"/>
          <w:szCs w:val="16"/>
        </w:rPr>
        <w:t>Audouze ,</w:t>
      </w:r>
      <w:proofErr w:type="gramEnd"/>
      <w:r w:rsidRPr="00BD541D">
        <w:rPr>
          <w:rFonts w:ascii="Book Antiqua" w:hAnsi="Book Antiqua"/>
          <w:sz w:val="16"/>
          <w:szCs w:val="16"/>
        </w:rPr>
        <w:t xml:space="preserve"> G. Israel, op. cit. reference [6], p. 154.</w:t>
      </w:r>
      <w:r w:rsidRPr="00BD541D">
        <w:rPr>
          <w:rFonts w:ascii="Book Antiqua" w:hAnsi="Book Antiqua"/>
          <w:sz w:val="16"/>
          <w:szCs w:val="16"/>
        </w:rPr>
        <w:br/>
        <w:t xml:space="preserve">[11] T. Van Flandern, </w:t>
      </w:r>
      <w:r w:rsidRPr="00BD541D">
        <w:rPr>
          <w:rFonts w:ascii="Book Antiqua" w:hAnsi="Book Antiqua"/>
          <w:i/>
          <w:sz w:val="16"/>
          <w:szCs w:val="16"/>
        </w:rPr>
        <w:t>Dark Matter, Missing Planets &amp; New Comets</w:t>
      </w:r>
      <w:r w:rsidRPr="00BD541D">
        <w:rPr>
          <w:rFonts w:ascii="Book Antiqua" w:hAnsi="Book Antiqua"/>
          <w:b/>
          <w:sz w:val="16"/>
          <w:szCs w:val="16"/>
        </w:rPr>
        <w:t>,</w:t>
      </w:r>
      <w:r w:rsidRPr="00BD541D">
        <w:rPr>
          <w:rFonts w:ascii="Book Antiqua" w:hAnsi="Book Antiqua"/>
          <w:sz w:val="16"/>
          <w:szCs w:val="16"/>
        </w:rPr>
        <w:t xml:space="preserve"> p. 216, North Atlantic Books, California, 1993. Additional information at: </w:t>
      </w:r>
      <w:hyperlink r:id="rId1053" w:history="1">
        <w:r w:rsidRPr="00BD541D">
          <w:rPr>
            <w:rStyle w:val="Hyperlink"/>
            <w:rFonts w:ascii="Book Antiqua" w:hAnsi="Book Antiqua"/>
            <w:i/>
            <w:szCs w:val="16"/>
          </w:rPr>
          <w:t>http://www.enterprisemission.com/comets.html</w:t>
        </w:r>
      </w:hyperlink>
      <w:r w:rsidRPr="00BD541D">
        <w:rPr>
          <w:rFonts w:ascii="Book Antiqua" w:hAnsi="Book Antiqua"/>
          <w:i/>
          <w:sz w:val="16"/>
          <w:szCs w:val="16"/>
        </w:rPr>
        <w:t xml:space="preserve"> </w:t>
      </w:r>
      <w:r w:rsidRPr="00BD541D">
        <w:rPr>
          <w:rFonts w:ascii="Book Antiqua" w:hAnsi="Book Antiqua"/>
          <w:sz w:val="16"/>
          <w:szCs w:val="16"/>
        </w:rPr>
        <w:t xml:space="preserve">. Also see T. Van Flandern, ‘The Exploded Planet Hypothesis 2000,’ available at: </w:t>
      </w:r>
      <w:hyperlink r:id="rId1054" w:history="1">
        <w:r w:rsidRPr="00BD541D">
          <w:rPr>
            <w:rStyle w:val="Hyperlink"/>
            <w:rFonts w:ascii="Book Antiqua" w:hAnsi="Book Antiqua"/>
            <w:i/>
            <w:szCs w:val="16"/>
          </w:rPr>
          <w:t>http://www.metaresearch.org/solar%20system/eph/eph2000.asp</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[12] T. Van Flandern, </w:t>
      </w:r>
      <w:r w:rsidRPr="00BD541D">
        <w:rPr>
          <w:rFonts w:ascii="Book Antiqua" w:hAnsi="Book Antiqua"/>
          <w:i/>
          <w:sz w:val="16"/>
          <w:szCs w:val="16"/>
        </w:rPr>
        <w:t>Meta Research Bulletin</w:t>
      </w:r>
      <w:r w:rsidRPr="00BD541D">
        <w:rPr>
          <w:rFonts w:ascii="Book Antiqua" w:hAnsi="Book Antiqua"/>
          <w:sz w:val="16"/>
          <w:szCs w:val="16"/>
        </w:rPr>
        <w:t xml:space="preserve">, </w:t>
      </w:r>
      <w:r w:rsidRPr="00BD541D">
        <w:rPr>
          <w:rFonts w:ascii="Book Antiqua" w:hAnsi="Book Antiqua"/>
          <w:b/>
          <w:sz w:val="16"/>
          <w:szCs w:val="16"/>
        </w:rPr>
        <w:t>4</w:t>
      </w:r>
      <w:r w:rsidRPr="00BD541D">
        <w:rPr>
          <w:rFonts w:ascii="Book Antiqua" w:hAnsi="Book Antiqua"/>
          <w:sz w:val="16"/>
          <w:szCs w:val="16"/>
        </w:rPr>
        <w:t>:3, September 15, (1995).</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[13] S. Wilkison et al., “An estimate of Eros’s porosity and implications for internal structure,”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155</w:t>
      </w:r>
      <w:r w:rsidRPr="00BD541D">
        <w:rPr>
          <w:rFonts w:ascii="Book Antiqua" w:hAnsi="Book Antiqua"/>
          <w:sz w:val="16"/>
          <w:szCs w:val="16"/>
        </w:rPr>
        <w:t>, pp.94-103.</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[14] W. F. Bottke "Are Asteroids Rubble Piles", Paper for 23rd Meeting of the International Seminars on Planetary Emergencies, Erice, Italy, September 10, (1998).</w:t>
      </w:r>
    </w:p>
    <w:p w:rsidR="00700009" w:rsidRPr="00BD541D" w:rsidRDefault="00700009" w:rsidP="00700009">
      <w:pPr>
        <w:pStyle w:val="NoSpacing"/>
        <w:rPr>
          <w:rFonts w:ascii="Book Antiqua" w:hAnsi="Book Antiqua"/>
          <w:i/>
          <w:sz w:val="16"/>
          <w:szCs w:val="16"/>
        </w:rPr>
      </w:pPr>
      <w:proofErr w:type="gramStart"/>
      <w:r w:rsidRPr="00BD541D">
        <w:rPr>
          <w:rFonts w:ascii="Book Antiqua" w:hAnsi="Book Antiqua"/>
          <w:sz w:val="16"/>
          <w:szCs w:val="16"/>
        </w:rPr>
        <w:t>[15] L. M. V. Martel, “Using Chondrites to Understand the Inside of Asteroid 433 Eros,”Planetary Science Research Discoveries, June 28, 2002.</w:t>
      </w:r>
      <w:proofErr w:type="gramEnd"/>
      <w:r w:rsidRPr="00BD541D">
        <w:rPr>
          <w:rFonts w:ascii="Book Antiqua" w:hAnsi="Book Antiqua"/>
          <w:sz w:val="16"/>
          <w:szCs w:val="16"/>
        </w:rPr>
        <w:t xml:space="preserve"> At: </w:t>
      </w:r>
      <w:hyperlink r:id="rId1055" w:history="1">
        <w:r w:rsidRPr="00BD541D">
          <w:rPr>
            <w:rStyle w:val="Hyperlink"/>
            <w:rFonts w:ascii="Book Antiqua" w:hAnsi="Book Antiqua"/>
            <w:i/>
            <w:szCs w:val="16"/>
          </w:rPr>
          <w:t>http://www.psrd.hawaii.edu/June02/ErosPorosity.html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[16] A. Calderwood, “The Argon Constraint on Mantle Structure Re-visited: Whole Mantle Convection with a K and Ar Rich Core,” </w:t>
      </w:r>
      <w:r w:rsidRPr="00BD541D">
        <w:rPr>
          <w:rFonts w:ascii="Book Antiqua" w:hAnsi="Book Antiqua"/>
          <w:i/>
          <w:sz w:val="16"/>
          <w:szCs w:val="16"/>
        </w:rPr>
        <w:t>Journal of Conference Abstracts</w:t>
      </w:r>
      <w:r w:rsidRPr="00BD541D">
        <w:rPr>
          <w:rFonts w:ascii="Book Antiqua" w:hAnsi="Book Antiqua"/>
          <w:sz w:val="16"/>
          <w:szCs w:val="16"/>
        </w:rPr>
        <w:t>,</w:t>
      </w:r>
      <w:r w:rsidRPr="00BD541D">
        <w:rPr>
          <w:rFonts w:ascii="Book Antiqua" w:hAnsi="Book Antiqua"/>
          <w:b/>
          <w:sz w:val="16"/>
          <w:szCs w:val="16"/>
        </w:rPr>
        <w:t xml:space="preserve"> 5 </w:t>
      </w:r>
      <w:r w:rsidRPr="00BD541D">
        <w:rPr>
          <w:rFonts w:ascii="Book Antiqua" w:hAnsi="Book Antiqua"/>
          <w:sz w:val="16"/>
          <w:szCs w:val="16"/>
        </w:rPr>
        <w:t>(2), p. 280, (2000), Cambridge Publications, Goldschmidt 2000, September 3- 8, 2000, Oxford, UK.</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[17] A. Calderwood, op. cit., p.283.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[18] D. Halber, "Researchers propose new model for Earth mantle convection", MIT News Release, 31 March, 1999. Available at:</w:t>
      </w:r>
    </w:p>
    <w:p w:rsidR="00700009" w:rsidRPr="00BD541D" w:rsidRDefault="00241D2F" w:rsidP="00700009">
      <w:pPr>
        <w:pStyle w:val="NoSpacing"/>
        <w:rPr>
          <w:rFonts w:ascii="Book Antiqua" w:hAnsi="Book Antiqua"/>
          <w:sz w:val="16"/>
          <w:szCs w:val="16"/>
        </w:rPr>
      </w:pPr>
      <w:hyperlink r:id="rId1056" w:history="1">
        <w:r w:rsidR="00700009" w:rsidRPr="00BD541D">
          <w:rPr>
            <w:rStyle w:val="Hyperlink"/>
            <w:rFonts w:ascii="Book Antiqua" w:hAnsi="Book Antiqua"/>
            <w:i/>
            <w:szCs w:val="16"/>
          </w:rPr>
          <w:t>http://web.mit.edu/newsoffice/1999/convection-0331.html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[19] S. J. Mojzsis et al., “Oxygen isotope evidence from ancient zircons for liquid water at the earth’s surface 4,300 Myr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178-181, (11 January,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[20] S. A. Wilde et al., “Evidence from detrital zircons for the existence of continental crust and oceans on the earth 4.4 Gyr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175-178, (11 January,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[21] A. N. Halliday, “In the beginning…,”</w:t>
      </w:r>
      <w:r w:rsidRPr="00BD541D">
        <w:rPr>
          <w:rFonts w:ascii="Book Antiqua" w:hAnsi="Book Antiqua"/>
          <w:i/>
          <w:sz w:val="16"/>
          <w:szCs w:val="16"/>
        </w:rPr>
        <w:t xml:space="preserve"> 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xml:space="preserve">, pp.144-145, (11 January, 2001).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[22] </w:t>
      </w:r>
      <w:hyperlink r:id="rId1057" w:history="1">
        <w:r w:rsidRPr="00BD541D">
          <w:rPr>
            <w:rStyle w:val="Hyperlink"/>
            <w:rFonts w:ascii="Book Antiqua" w:hAnsi="Book Antiqua"/>
            <w:i/>
            <w:szCs w:val="16"/>
          </w:rPr>
          <w:t>http://www.scribd.com/doc/6716357/Meteorites-and-Liquid-Water</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[23] A. N. Krot et al., “Timescales and Settings for Alteration of Chondritic Meteorites” in </w:t>
      </w:r>
      <w:r w:rsidRPr="00BD541D">
        <w:rPr>
          <w:rFonts w:ascii="Book Antiqua" w:hAnsi="Book Antiqua"/>
          <w:i/>
          <w:sz w:val="16"/>
          <w:szCs w:val="16"/>
        </w:rPr>
        <w:t>Meteorites and the Early Solar System II,</w:t>
      </w:r>
      <w:r w:rsidRPr="00BD541D">
        <w:rPr>
          <w:rFonts w:ascii="Book Antiqua" w:hAnsi="Book Antiqua"/>
          <w:sz w:val="16"/>
          <w:szCs w:val="16"/>
        </w:rPr>
        <w:t xml:space="preserve"> pp.525 ff. D.S. Lauretta and H.Y. McSween (Eds.), University of Arizona Press, Tucson, 2006.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[24] N. Krestina et al., “Sm-Nd System </w:t>
      </w:r>
      <w:proofErr w:type="gramStart"/>
      <w:r w:rsidRPr="00BD541D">
        <w:rPr>
          <w:rFonts w:ascii="Book Antiqua" w:hAnsi="Book Antiqua"/>
          <w:sz w:val="16"/>
          <w:szCs w:val="16"/>
        </w:rPr>
        <w:t>In</w:t>
      </w:r>
      <w:proofErr w:type="gramEnd"/>
      <w:r w:rsidRPr="00BD541D">
        <w:rPr>
          <w:rFonts w:ascii="Book Antiqua" w:hAnsi="Book Antiqua"/>
          <w:sz w:val="16"/>
          <w:szCs w:val="16"/>
        </w:rPr>
        <w:t xml:space="preserve"> Single Chondrules From Tieschitz (H3)”in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XXVII</w:t>
      </w:r>
      <w:r w:rsidRPr="00BD541D">
        <w:rPr>
          <w:rFonts w:ascii="Book Antiqua" w:hAnsi="Book Antiqua"/>
          <w:sz w:val="16"/>
          <w:szCs w:val="16"/>
        </w:rPr>
        <w:t>, pp. 701-702, (1996).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[25] R. D. Ash et al., “Oxygen Isotopes </w:t>
      </w:r>
      <w:proofErr w:type="gramStart"/>
      <w:r w:rsidRPr="00BD541D">
        <w:rPr>
          <w:rFonts w:ascii="Book Antiqua" w:hAnsi="Book Antiqua"/>
          <w:sz w:val="16"/>
          <w:szCs w:val="16"/>
        </w:rPr>
        <w:t>In</w:t>
      </w:r>
      <w:proofErr w:type="gramEnd"/>
      <w:r w:rsidRPr="00BD541D">
        <w:rPr>
          <w:rFonts w:ascii="Book Antiqua" w:hAnsi="Book Antiqua"/>
          <w:sz w:val="16"/>
          <w:szCs w:val="16"/>
        </w:rPr>
        <w:t xml:space="preserve"> Isolated Chondrules from the Tieschitz Ordinary Chondrite: Initial Compositions and Differential Parent Body Alteration,” 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 xml:space="preserve">XXIX </w:t>
      </w:r>
      <w:r w:rsidRPr="00BD541D">
        <w:rPr>
          <w:rFonts w:ascii="Book Antiqua" w:hAnsi="Book Antiqua"/>
          <w:sz w:val="16"/>
          <w:szCs w:val="16"/>
        </w:rPr>
        <w:t xml:space="preserve">(Conference), Abstract #1854, (1998).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[26</w:t>
      </w:r>
      <w:proofErr w:type="gramStart"/>
      <w:r w:rsidRPr="00BD541D">
        <w:rPr>
          <w:rFonts w:ascii="Book Antiqua" w:hAnsi="Book Antiqua"/>
          <w:sz w:val="16"/>
          <w:szCs w:val="16"/>
        </w:rPr>
        <w:t xml:space="preserve">]  </w:t>
      </w:r>
      <w:proofErr w:type="gramEnd"/>
      <w:r w:rsidR="00241D2F">
        <w:fldChar w:fldCharType="begin"/>
      </w:r>
      <w:r>
        <w:instrText>HYPERLINK "http://www.spaceref.com/news/viewnews.html?id=157"</w:instrText>
      </w:r>
      <w:r w:rsidR="00241D2F">
        <w:fldChar w:fldCharType="separate"/>
      </w:r>
      <w:r w:rsidRPr="00BD541D">
        <w:rPr>
          <w:rStyle w:val="Hyperlink"/>
          <w:rFonts w:ascii="Book Antiqua" w:hAnsi="Book Antiqua"/>
          <w:i/>
          <w:szCs w:val="16"/>
        </w:rPr>
        <w:t>http://www.spaceref.com/news/viewnews.html?id=157</w:t>
      </w:r>
      <w:r w:rsidR="00241D2F">
        <w:fldChar w:fldCharType="end"/>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[27] J. Whitby, in a science news release from University of Manchester team Thursday June 8th, 2000 titled “Deep Space Brine”at: </w:t>
      </w:r>
      <w:hyperlink r:id="rId1058" w:history="1">
        <w:r w:rsidRPr="00BD541D">
          <w:rPr>
            <w:rStyle w:val="Hyperlink"/>
            <w:rFonts w:ascii="Book Antiqua" w:hAnsi="Book Antiqua"/>
            <w:i/>
            <w:szCs w:val="16"/>
          </w:rPr>
          <w:t>http://www.spaceref.com/news/viewpr.html?pid=1990</w:t>
        </w:r>
      </w:hyperlink>
      <w:r w:rsidRPr="00BD541D">
        <w:rPr>
          <w:rFonts w:ascii="Book Antiqua" w:hAnsi="Book Antiqua"/>
          <w:i/>
          <w:sz w:val="16"/>
          <w:szCs w:val="16"/>
        </w:rPr>
        <w:t>.</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 [28] </w:t>
      </w:r>
      <w:hyperlink r:id="rId1059" w:history="1">
        <w:r w:rsidRPr="00BD541D">
          <w:rPr>
            <w:rStyle w:val="Hyperlink"/>
            <w:rFonts w:ascii="Book Antiqua" w:hAnsi="Book Antiqua"/>
            <w:i/>
            <w:szCs w:val="16"/>
          </w:rPr>
          <w:t>http://www.meteoritestudies.com/protected_CANYOND.HTM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[29] B. A. Cohen, T. D. Swindle, D. A. Kring, “Support for the Lunar cataclysm hypothesis from Lunar meteorite impact melt ages,” </w:t>
      </w:r>
      <w:r w:rsidRPr="00BD541D">
        <w:rPr>
          <w:rFonts w:ascii="Book Antiqua" w:hAnsi="Book Antiqua"/>
          <w:i/>
          <w:sz w:val="16"/>
          <w:szCs w:val="16"/>
        </w:rPr>
        <w:t>Science</w:t>
      </w:r>
      <w:r w:rsidRPr="00BD541D">
        <w:rPr>
          <w:rFonts w:ascii="Book Antiqua" w:hAnsi="Book Antiqua"/>
          <w:sz w:val="16"/>
          <w:szCs w:val="16"/>
        </w:rPr>
        <w:t>, 1754-1756, December 1,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[30] D. E. Wilhelms, "The geologic history of the moon," </w:t>
      </w:r>
      <w:r w:rsidRPr="00BD541D">
        <w:rPr>
          <w:rFonts w:ascii="Book Antiqua" w:hAnsi="Book Antiqua"/>
          <w:i/>
          <w:sz w:val="16"/>
          <w:szCs w:val="16"/>
        </w:rPr>
        <w:t xml:space="preserve">U.S. Geological Survey Professional Paper </w:t>
      </w:r>
      <w:r w:rsidRPr="00BD541D">
        <w:rPr>
          <w:rFonts w:ascii="Book Antiqua" w:hAnsi="Book Antiqua"/>
          <w:b/>
          <w:i/>
          <w:sz w:val="16"/>
          <w:szCs w:val="16"/>
        </w:rPr>
        <w:t>1348</w:t>
      </w:r>
      <w:r w:rsidRPr="00BD541D">
        <w:rPr>
          <w:rFonts w:ascii="Book Antiqua" w:hAnsi="Book Antiqua"/>
          <w:sz w:val="16"/>
          <w:szCs w:val="16"/>
        </w:rPr>
        <w:t>, pp. 57-82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[31] P. D. Spudis, "Large Meteorite Impacts and Planetary Evolution," </w:t>
      </w:r>
      <w:r w:rsidRPr="00BD541D">
        <w:rPr>
          <w:rFonts w:ascii="Book Antiqua" w:hAnsi="Book Antiqua"/>
          <w:i/>
          <w:sz w:val="16"/>
          <w:szCs w:val="16"/>
        </w:rPr>
        <w:t>Geological Society of America Special Paper</w:t>
      </w:r>
      <w:r w:rsidRPr="00BD541D">
        <w:rPr>
          <w:rFonts w:ascii="Book Antiqua" w:hAnsi="Book Antiqua"/>
          <w:b/>
          <w:i/>
          <w:sz w:val="16"/>
          <w:szCs w:val="16"/>
        </w:rPr>
        <w:t xml:space="preserve"> 293</w:t>
      </w:r>
      <w:r w:rsidRPr="00BD541D">
        <w:rPr>
          <w:rFonts w:ascii="Book Antiqua" w:hAnsi="Book Antiqua"/>
          <w:sz w:val="16"/>
          <w:szCs w:val="16"/>
        </w:rPr>
        <w:t>, pp.1-10 (1994).</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[32] H. H. Schmitt, "Source and Implications of Large lunar Basin-Forming Objects" presented at 31st Lunar and Planetary Science Conference, Houston TX, 13-17 March,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[32a] R. Dietz, in </w:t>
      </w:r>
      <w:r w:rsidRPr="00BD541D">
        <w:rPr>
          <w:rFonts w:ascii="Book Antiqua" w:hAnsi="Book Antiqua"/>
          <w:i/>
          <w:sz w:val="16"/>
          <w:szCs w:val="16"/>
        </w:rPr>
        <w:t>The Moon, Meteorites, and Comets: Solar System IV</w:t>
      </w:r>
      <w:r w:rsidRPr="00BD541D">
        <w:rPr>
          <w:rFonts w:ascii="Book Antiqua" w:hAnsi="Book Antiqua"/>
          <w:sz w:val="16"/>
          <w:szCs w:val="16"/>
        </w:rPr>
        <w:t xml:space="preserve">, p.288, Eds.B. Middlehurst and G. Kuiper, University of Chicago Press 1963.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[33] B. J. Ford, Origin of the Lunar Craters</w:t>
      </w:r>
      <w:r w:rsidRPr="00BD541D">
        <w:rPr>
          <w:rFonts w:ascii="Book Antiqua" w:hAnsi="Book Antiqua"/>
          <w:i/>
          <w:sz w:val="16"/>
          <w:szCs w:val="16"/>
        </w:rPr>
        <w:t>, Journal of British Interplanetary Society, Spaceflight</w:t>
      </w:r>
      <w:r w:rsidRPr="00BD541D">
        <w:rPr>
          <w:rFonts w:ascii="Book Antiqua" w:hAnsi="Book Antiqua"/>
          <w:sz w:val="16"/>
          <w:szCs w:val="16"/>
        </w:rPr>
        <w:t xml:space="preserve"> </w:t>
      </w:r>
      <w:r w:rsidRPr="00BD541D">
        <w:rPr>
          <w:rFonts w:ascii="Book Antiqua" w:hAnsi="Book Antiqua"/>
          <w:b/>
          <w:sz w:val="16"/>
          <w:szCs w:val="16"/>
        </w:rPr>
        <w:t>7</w:t>
      </w:r>
      <w:r w:rsidRPr="00BD541D">
        <w:rPr>
          <w:rFonts w:ascii="Book Antiqua" w:hAnsi="Book Antiqua"/>
          <w:sz w:val="16"/>
          <w:szCs w:val="16"/>
        </w:rPr>
        <w:t>(1):13, 1965.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[34] T. Desai et al., Laboratory Craters: modeling experiments for meteorite impact craters? </w:t>
      </w:r>
      <w:r w:rsidRPr="00BD541D">
        <w:rPr>
          <w:rFonts w:ascii="Book Antiqua" w:hAnsi="Book Antiqua"/>
          <w:i/>
          <w:sz w:val="16"/>
          <w:szCs w:val="16"/>
        </w:rPr>
        <w:t>IEEE Trans. Plasma Sci</w:t>
      </w:r>
      <w:r w:rsidRPr="00BD541D">
        <w:rPr>
          <w:rFonts w:ascii="Book Antiqua" w:hAnsi="Book Antiqua"/>
          <w:sz w:val="16"/>
          <w:szCs w:val="16"/>
        </w:rPr>
        <w:t xml:space="preserve"> 2008; </w:t>
      </w:r>
      <w:r w:rsidRPr="00BD541D">
        <w:rPr>
          <w:rFonts w:ascii="Book Antiqua" w:hAnsi="Book Antiqua"/>
          <w:b/>
          <w:sz w:val="16"/>
          <w:szCs w:val="16"/>
        </w:rPr>
        <w:t>36</w:t>
      </w:r>
      <w:r w:rsidRPr="00BD541D">
        <w:rPr>
          <w:rFonts w:ascii="Book Antiqua" w:hAnsi="Book Antiqua"/>
          <w:sz w:val="16"/>
          <w:szCs w:val="16"/>
        </w:rPr>
        <w:t>(4):1132-1133.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[35] A. L. Peratt, </w:t>
      </w:r>
      <w:r w:rsidRPr="00BD541D">
        <w:rPr>
          <w:rFonts w:ascii="Book Antiqua" w:hAnsi="Book Antiqua"/>
          <w:i/>
          <w:sz w:val="16"/>
          <w:szCs w:val="16"/>
        </w:rPr>
        <w:t>Physics of the Plasma Universe</w:t>
      </w:r>
      <w:r w:rsidRPr="00BD541D">
        <w:rPr>
          <w:rFonts w:ascii="Book Antiqua" w:hAnsi="Book Antiqua"/>
          <w:sz w:val="16"/>
          <w:szCs w:val="16"/>
        </w:rPr>
        <w:t xml:space="preserve">, p. 48, Springer-Verlag New York 1992.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[36] C. J. Ransom, Laboratory Modeling of Meteorite Impact Craters by Z-Pinch Plasma, </w:t>
      </w:r>
      <w:proofErr w:type="gramStart"/>
      <w:r w:rsidRPr="00BD541D">
        <w:rPr>
          <w:rFonts w:ascii="Book Antiqua" w:hAnsi="Book Antiqua"/>
          <w:i/>
          <w:sz w:val="16"/>
          <w:szCs w:val="16"/>
        </w:rPr>
        <w:t>The</w:t>
      </w:r>
      <w:proofErr w:type="gramEnd"/>
      <w:r w:rsidRPr="00BD541D">
        <w:rPr>
          <w:rFonts w:ascii="Book Antiqua" w:hAnsi="Book Antiqua"/>
          <w:i/>
          <w:sz w:val="16"/>
          <w:szCs w:val="16"/>
        </w:rPr>
        <w:t xml:space="preserve"> Open Astronomy Journal</w:t>
      </w:r>
      <w:r w:rsidRPr="00BD541D">
        <w:rPr>
          <w:rFonts w:ascii="Book Antiqua" w:hAnsi="Book Antiqua"/>
          <w:sz w:val="16"/>
          <w:szCs w:val="16"/>
        </w:rPr>
        <w:t>, 2011, 4, (Suppl 2-M4) 185-190.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[37] P .E. Anderson, “Electric Discharge Machining of the Earth’s Surface,” (in press). Also P. E. Anderson, “Electric Scarring of the Earth’s Surface,” Natural Philosophy Alliance 19</w:t>
      </w:r>
      <w:r w:rsidRPr="00BD541D">
        <w:rPr>
          <w:rFonts w:ascii="Book Antiqua" w:hAnsi="Book Antiqua"/>
          <w:sz w:val="16"/>
          <w:szCs w:val="16"/>
          <w:vertAlign w:val="superscript"/>
        </w:rPr>
        <w:t>th</w:t>
      </w:r>
      <w:r w:rsidRPr="00BD541D">
        <w:rPr>
          <w:rFonts w:ascii="Book Antiqua" w:hAnsi="Book Antiqua"/>
          <w:sz w:val="16"/>
          <w:szCs w:val="16"/>
        </w:rPr>
        <w:t xml:space="preserve"> Conference Proceedings (July 2012), available at:</w:t>
      </w:r>
    </w:p>
    <w:p w:rsidR="00700009" w:rsidRPr="00BD541D" w:rsidRDefault="00241D2F" w:rsidP="00700009">
      <w:pPr>
        <w:pStyle w:val="NoSpacing"/>
        <w:rPr>
          <w:rFonts w:ascii="Book Antiqua" w:hAnsi="Book Antiqua"/>
          <w:sz w:val="16"/>
          <w:szCs w:val="16"/>
        </w:rPr>
      </w:pPr>
      <w:hyperlink r:id="rId1060" w:history="1">
        <w:r w:rsidR="00700009" w:rsidRPr="00BD541D">
          <w:rPr>
            <w:rStyle w:val="Hyperlink"/>
            <w:rFonts w:ascii="Book Antiqua" w:hAnsi="Book Antiqua"/>
            <w:i/>
            <w:szCs w:val="16"/>
          </w:rPr>
          <w:t>http://www.worldnpa.org/site/abstract/?abstractid=6482</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[38] E. Jagoutz et al., </w:t>
      </w:r>
      <w:r w:rsidRPr="00BD541D">
        <w:rPr>
          <w:rFonts w:ascii="Book Antiqua" w:hAnsi="Book Antiqua"/>
          <w:i/>
          <w:sz w:val="16"/>
          <w:szCs w:val="16"/>
        </w:rPr>
        <w:t>Meteoritics</w:t>
      </w:r>
      <w:r w:rsidRPr="00BD541D">
        <w:rPr>
          <w:rFonts w:ascii="Book Antiqua" w:hAnsi="Book Antiqua"/>
          <w:sz w:val="16"/>
          <w:szCs w:val="16"/>
        </w:rPr>
        <w:t>,</w:t>
      </w:r>
      <w:r w:rsidRPr="00BD541D">
        <w:rPr>
          <w:rFonts w:ascii="Book Antiqua" w:hAnsi="Book Antiqua"/>
          <w:b/>
          <w:sz w:val="16"/>
          <w:szCs w:val="16"/>
        </w:rPr>
        <w:t xml:space="preserve"> 29</w:t>
      </w:r>
      <w:r w:rsidRPr="00BD541D">
        <w:rPr>
          <w:rFonts w:ascii="Book Antiqua" w:hAnsi="Book Antiqua"/>
          <w:sz w:val="16"/>
          <w:szCs w:val="16"/>
        </w:rPr>
        <w:t xml:space="preserve">, p. 478, (1994). </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[39] L. E. Nyquist et al.,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w:t>
      </w:r>
      <w:r w:rsidRPr="00BD541D">
        <w:rPr>
          <w:rFonts w:ascii="Book Antiqua" w:hAnsi="Book Antiqua"/>
          <w:sz w:val="16"/>
          <w:szCs w:val="16"/>
        </w:rPr>
        <w:t>, p. 1065, (1995).</w:t>
      </w:r>
      <w:proofErr w:type="gramEnd"/>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[40] R. D. Ash, S. F. Knott and G. Turner, “A 4 GYr shock age for a Martian meteorite, and implications for the cratering history of Mars,” </w:t>
      </w:r>
      <w:r w:rsidRPr="00BD541D">
        <w:rPr>
          <w:rFonts w:ascii="Book Antiqua" w:hAnsi="Book Antiqua"/>
          <w:i/>
          <w:sz w:val="16"/>
          <w:szCs w:val="16"/>
        </w:rPr>
        <w:t xml:space="preserve">Nature, </w:t>
      </w:r>
      <w:r w:rsidRPr="00BD541D">
        <w:rPr>
          <w:rFonts w:ascii="Book Antiqua" w:hAnsi="Book Antiqua"/>
          <w:b/>
          <w:sz w:val="16"/>
          <w:szCs w:val="16"/>
        </w:rPr>
        <w:t>380</w:t>
      </w:r>
      <w:r w:rsidRPr="00BD541D">
        <w:rPr>
          <w:rFonts w:ascii="Book Antiqua" w:hAnsi="Book Antiqua"/>
          <w:i/>
          <w:sz w:val="16"/>
          <w:szCs w:val="16"/>
        </w:rPr>
        <w:t>,</w:t>
      </w:r>
      <w:r w:rsidRPr="00BD541D">
        <w:rPr>
          <w:rFonts w:ascii="Book Antiqua" w:hAnsi="Book Antiqua"/>
          <w:sz w:val="16"/>
          <w:szCs w:val="16"/>
        </w:rPr>
        <w:t xml:space="preserve"> p. 57-59, (1996).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[41] A. H. Treiman, “A petrographic history of Martian meteorite ALH84001: two shocks and an ancient age,”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30</w:t>
      </w:r>
      <w:r w:rsidRPr="00BD541D">
        <w:rPr>
          <w:rFonts w:ascii="Book Antiqua" w:hAnsi="Book Antiqua"/>
          <w:sz w:val="16"/>
          <w:szCs w:val="16"/>
        </w:rPr>
        <w:t>, p. 294, (1995).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lastRenderedPageBreak/>
        <w:t xml:space="preserve">[42] H. Frey discussed these findings at the annual meeting of the Geological Society of America in Boston, Massachusetts on 8th November 2001. </w:t>
      </w:r>
      <w:hyperlink r:id="rId1061" w:history="1">
        <w:r w:rsidRPr="00BD541D">
          <w:rPr>
            <w:rStyle w:val="Hyperlink"/>
            <w:rFonts w:ascii="Book Antiqua" w:hAnsi="Book Antiqua"/>
            <w:i/>
            <w:szCs w:val="16"/>
          </w:rPr>
          <w:t>http://www.spacedaily.com/news/mars-surveyor-01e.html</w:t>
        </w:r>
      </w:hyperlink>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[43] H. Frey, Geophysical Research Letters, </w:t>
      </w:r>
      <w:r w:rsidRPr="00BD541D">
        <w:rPr>
          <w:rFonts w:ascii="Book Antiqua" w:hAnsi="Book Antiqua"/>
          <w:b/>
          <w:sz w:val="16"/>
          <w:szCs w:val="16"/>
        </w:rPr>
        <w:t>35</w:t>
      </w:r>
      <w:r w:rsidRPr="00BD541D">
        <w:rPr>
          <w:rFonts w:ascii="Book Antiqua" w:hAnsi="Book Antiqua"/>
          <w:sz w:val="16"/>
          <w:szCs w:val="16"/>
        </w:rPr>
        <w:t xml:space="preserve"> (2008), L13203.</w:t>
      </w:r>
      <w:proofErr w:type="gramEnd"/>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[44] M. Wadhwa, G. W. Lugmair,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31</w:t>
      </w:r>
      <w:r w:rsidRPr="00BD541D">
        <w:rPr>
          <w:rFonts w:ascii="Book Antiqua" w:hAnsi="Book Antiqua"/>
          <w:sz w:val="16"/>
          <w:szCs w:val="16"/>
        </w:rPr>
        <w:t>, A145, (1996).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[45] [E. K. Gibson et al., </w:t>
      </w:r>
      <w:r w:rsidRPr="00BD541D">
        <w:rPr>
          <w:rFonts w:ascii="Book Antiqua" w:hAnsi="Book Antiqua"/>
          <w:i/>
          <w:sz w:val="16"/>
          <w:szCs w:val="16"/>
        </w:rPr>
        <w:t>Lunar and Planetary Science,</w:t>
      </w:r>
      <w:r w:rsidRPr="00BD541D">
        <w:rPr>
          <w:rFonts w:ascii="Book Antiqua" w:hAnsi="Book Antiqua"/>
          <w:b/>
          <w:sz w:val="16"/>
          <w:szCs w:val="16"/>
        </w:rPr>
        <w:t xml:space="preserve"> XXVIII</w:t>
      </w:r>
      <w:r w:rsidRPr="00BD541D">
        <w:rPr>
          <w:rFonts w:ascii="Book Antiqua" w:hAnsi="Book Antiqua"/>
          <w:sz w:val="16"/>
          <w:szCs w:val="16"/>
        </w:rPr>
        <w:t>, p. 1544, (1997).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[46] J. M. Dohm quoted by L. Stiles, “Scientists find largest flood channels in the solar system,” </w:t>
      </w:r>
      <w:r w:rsidRPr="00BD541D">
        <w:rPr>
          <w:rFonts w:ascii="Book Antiqua" w:hAnsi="Book Antiqua"/>
          <w:i/>
          <w:sz w:val="16"/>
          <w:szCs w:val="16"/>
        </w:rPr>
        <w:t>University of Arizona News</w:t>
      </w:r>
      <w:r w:rsidRPr="00BD541D">
        <w:rPr>
          <w:rFonts w:ascii="Book Antiqua" w:hAnsi="Book Antiqua"/>
          <w:sz w:val="16"/>
          <w:szCs w:val="16"/>
        </w:rPr>
        <w:t xml:space="preserve">, 1 August, 2001. Available at: </w:t>
      </w:r>
      <w:hyperlink r:id="rId1062" w:history="1">
        <w:r w:rsidRPr="00BD541D">
          <w:rPr>
            <w:rStyle w:val="Hyperlink"/>
            <w:rFonts w:ascii="Book Antiqua" w:hAnsi="Book Antiqua"/>
            <w:i/>
            <w:szCs w:val="16"/>
          </w:rPr>
          <w:t>http://uanews.org/node/5107</w:t>
        </w:r>
      </w:hyperlink>
      <w:r w:rsidRPr="00BD541D">
        <w:rPr>
          <w:rFonts w:ascii="Book Antiqua" w:hAnsi="Book Antiqua"/>
          <w:sz w:val="16"/>
          <w:szCs w:val="16"/>
        </w:rPr>
        <w:t>.</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[47] J. M. Dohm et al., “Latent outflow activity for western Tharsis, Mars: Significant flood record exposed,” </w:t>
      </w:r>
      <w:r w:rsidRPr="00BD541D">
        <w:rPr>
          <w:rFonts w:ascii="Book Antiqua" w:hAnsi="Book Antiqua"/>
          <w:i/>
          <w:sz w:val="16"/>
          <w:szCs w:val="16"/>
        </w:rPr>
        <w:t>Journal of Geophysical Research</w:t>
      </w:r>
      <w:r w:rsidRPr="00BD541D">
        <w:rPr>
          <w:rFonts w:ascii="Book Antiqua" w:hAnsi="Book Antiqua"/>
          <w:sz w:val="16"/>
          <w:szCs w:val="16"/>
        </w:rPr>
        <w:t xml:space="preserve">, </w:t>
      </w:r>
      <w:r w:rsidRPr="00BD541D">
        <w:rPr>
          <w:rFonts w:ascii="Book Antiqua" w:hAnsi="Book Antiqua"/>
          <w:b/>
          <w:sz w:val="16"/>
          <w:szCs w:val="16"/>
        </w:rPr>
        <w:t>106</w:t>
      </w:r>
      <w:r w:rsidRPr="00BD541D">
        <w:rPr>
          <w:rFonts w:ascii="Book Antiqua" w:hAnsi="Book Antiqua"/>
          <w:sz w:val="16"/>
          <w:szCs w:val="16"/>
        </w:rPr>
        <w:t>, No. E6, pp. 12,301-12,314, June,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[48] N. Hoffman quoted by B. Moomaw in “Mars: A world riven by H2O or CO2,” </w:t>
      </w:r>
      <w:r w:rsidRPr="00BD541D">
        <w:rPr>
          <w:rFonts w:ascii="Book Antiqua" w:hAnsi="Book Antiqua"/>
          <w:i/>
          <w:sz w:val="16"/>
          <w:szCs w:val="16"/>
        </w:rPr>
        <w:t>Space Daily</w:t>
      </w:r>
      <w:r w:rsidRPr="00BD541D">
        <w:rPr>
          <w:rFonts w:ascii="Book Antiqua" w:hAnsi="Book Antiqua"/>
          <w:sz w:val="16"/>
          <w:szCs w:val="16"/>
        </w:rPr>
        <w:t>, 1 May, 2001. Available at:</w:t>
      </w:r>
    </w:p>
    <w:p w:rsidR="00700009" w:rsidRPr="00BD541D" w:rsidRDefault="00241D2F" w:rsidP="00700009">
      <w:pPr>
        <w:pStyle w:val="NoSpacing"/>
        <w:rPr>
          <w:rFonts w:ascii="Book Antiqua" w:hAnsi="Book Antiqua"/>
          <w:i/>
          <w:sz w:val="16"/>
          <w:szCs w:val="16"/>
        </w:rPr>
      </w:pPr>
      <w:hyperlink r:id="rId1063" w:history="1">
        <w:r w:rsidR="00700009" w:rsidRPr="00BD541D">
          <w:rPr>
            <w:rStyle w:val="Hyperlink"/>
            <w:rFonts w:ascii="Book Antiqua" w:hAnsi="Book Antiqua"/>
            <w:i/>
            <w:szCs w:val="16"/>
          </w:rPr>
          <w:t>http://www.spacedaily.com/news/lunarplanet-2001-01a4.html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[49] J. Audouze, G. Israel, reference [6], p. 125.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[50] M. W. Davidson, Florida State University, Tallahassee, in "Moon Rocks </w:t>
      </w:r>
      <w:proofErr w:type="gramStart"/>
      <w:r w:rsidRPr="00BD541D">
        <w:rPr>
          <w:rFonts w:ascii="Book Antiqua" w:hAnsi="Book Antiqua"/>
          <w:sz w:val="16"/>
          <w:szCs w:val="16"/>
        </w:rPr>
        <w:t>Under</w:t>
      </w:r>
      <w:proofErr w:type="gramEnd"/>
      <w:r w:rsidRPr="00BD541D">
        <w:rPr>
          <w:rFonts w:ascii="Book Antiqua" w:hAnsi="Book Antiqua"/>
          <w:sz w:val="16"/>
          <w:szCs w:val="16"/>
        </w:rPr>
        <w:t xml:space="preserve"> the Microscope," (October 2001) found at:</w:t>
      </w:r>
    </w:p>
    <w:p w:rsidR="00700009" w:rsidRPr="00BD541D" w:rsidRDefault="00241D2F" w:rsidP="00700009">
      <w:pPr>
        <w:pStyle w:val="NoSpacing"/>
        <w:rPr>
          <w:rFonts w:ascii="Book Antiqua" w:hAnsi="Book Antiqua"/>
          <w:sz w:val="16"/>
          <w:szCs w:val="16"/>
        </w:rPr>
      </w:pPr>
      <w:hyperlink r:id="rId1064" w:history="1">
        <w:r w:rsidR="00700009" w:rsidRPr="00BD541D">
          <w:rPr>
            <w:rStyle w:val="Hyperlink"/>
            <w:rFonts w:ascii="Book Antiqua" w:hAnsi="Book Antiqua"/>
            <w:i/>
            <w:szCs w:val="16"/>
          </w:rPr>
          <w:t>http://micro.magnet.fsu.edu/publications/pages/rocks.html</w:t>
        </w:r>
      </w:hyperlink>
      <w:r w:rsidR="00700009" w:rsidRPr="00BD541D">
        <w:rPr>
          <w:rFonts w:ascii="Book Antiqua" w:hAnsi="Book Antiqua"/>
          <w:sz w:val="16"/>
          <w:szCs w:val="16"/>
        </w:rPr>
        <w:t>.</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[51]  J. W. Head, L. Wilson, D. Wilhelms, Paper 1112 "Lunar Mare Basalt Volcanism", 28th Lunar and Planetary Science Conference, March 1997.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[52] D. E. Wilhelms</w:t>
      </w:r>
      <w:proofErr w:type="gramStart"/>
      <w:r w:rsidRPr="00BD541D">
        <w:rPr>
          <w:rFonts w:ascii="Book Antiqua" w:hAnsi="Book Antiqua"/>
          <w:sz w:val="16"/>
          <w:szCs w:val="16"/>
        </w:rPr>
        <w:t>, ”</w:t>
      </w:r>
      <w:proofErr w:type="gramEnd"/>
      <w:r w:rsidRPr="00BD541D">
        <w:rPr>
          <w:rFonts w:ascii="Book Antiqua" w:hAnsi="Book Antiqua"/>
          <w:sz w:val="16"/>
          <w:szCs w:val="16"/>
        </w:rPr>
        <w:t>The Geologic History of the Moon,” U.S. Geological Survey, Professional Paper 1348,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[53] L. T. Silver, </w:t>
      </w:r>
      <w:r w:rsidRPr="00BD541D">
        <w:rPr>
          <w:rFonts w:ascii="Book Antiqua" w:hAnsi="Book Antiqua"/>
          <w:i/>
          <w:sz w:val="16"/>
          <w:szCs w:val="16"/>
        </w:rPr>
        <w:t>Eos</w:t>
      </w:r>
      <w:r w:rsidRPr="00BD541D">
        <w:rPr>
          <w:rFonts w:ascii="Book Antiqua" w:hAnsi="Book Antiqua"/>
          <w:sz w:val="16"/>
          <w:szCs w:val="16"/>
        </w:rPr>
        <w:t>, Vol.</w:t>
      </w:r>
      <w:r w:rsidRPr="00BD541D">
        <w:rPr>
          <w:rFonts w:ascii="Book Antiqua" w:hAnsi="Book Antiqua"/>
          <w:b/>
          <w:sz w:val="16"/>
          <w:szCs w:val="16"/>
        </w:rPr>
        <w:t xml:space="preserve"> 52</w:t>
      </w:r>
      <w:r w:rsidRPr="00BD541D">
        <w:rPr>
          <w:rFonts w:ascii="Book Antiqua" w:hAnsi="Book Antiqua"/>
          <w:sz w:val="16"/>
          <w:szCs w:val="16"/>
        </w:rPr>
        <w:t xml:space="preserve">, p. 534 (1971)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[54] L. T. Silver, P. H. Schultz, </w:t>
      </w:r>
      <w:r w:rsidRPr="00BD541D">
        <w:rPr>
          <w:rFonts w:ascii="Book Antiqua" w:hAnsi="Book Antiqua"/>
          <w:i/>
          <w:sz w:val="16"/>
          <w:szCs w:val="16"/>
        </w:rPr>
        <w:t xml:space="preserve">Geological Society of America, Special Paper </w:t>
      </w:r>
      <w:r w:rsidRPr="00BD541D">
        <w:rPr>
          <w:rFonts w:ascii="Book Antiqua" w:hAnsi="Book Antiqua"/>
          <w:b/>
          <w:sz w:val="16"/>
          <w:szCs w:val="16"/>
        </w:rPr>
        <w:t>190</w:t>
      </w:r>
      <w:r w:rsidRPr="00BD541D">
        <w:rPr>
          <w:rFonts w:ascii="Book Antiqua" w:hAnsi="Book Antiqua"/>
          <w:sz w:val="16"/>
          <w:szCs w:val="16"/>
        </w:rPr>
        <w:t xml:space="preserve">, October 1981, pp. ii and xiv.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[55] J. Audouze, G. Israel, op. cit., reference [6], pp. 74-75.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[56] D. H. Grinspoon, “Implications high D/H ratio for the sources of water in Venus’s atmosphere,” Letter to </w:t>
      </w:r>
      <w:r w:rsidRPr="00BD541D">
        <w:rPr>
          <w:rFonts w:ascii="Book Antiqua" w:hAnsi="Book Antiqua"/>
          <w:i/>
          <w:sz w:val="16"/>
          <w:szCs w:val="16"/>
        </w:rPr>
        <w:t xml:space="preserve">Nature, </w:t>
      </w:r>
      <w:r w:rsidRPr="00BD541D">
        <w:rPr>
          <w:rFonts w:ascii="Book Antiqua" w:hAnsi="Book Antiqua"/>
          <w:b/>
          <w:sz w:val="16"/>
          <w:szCs w:val="16"/>
        </w:rPr>
        <w:t>363</w:t>
      </w:r>
      <w:r w:rsidRPr="00BD541D">
        <w:rPr>
          <w:rFonts w:ascii="Book Antiqua" w:hAnsi="Book Antiqua"/>
          <w:i/>
          <w:sz w:val="16"/>
          <w:szCs w:val="16"/>
        </w:rPr>
        <w:t>,</w:t>
      </w:r>
      <w:r w:rsidRPr="00BD541D">
        <w:rPr>
          <w:rFonts w:ascii="Book Antiqua" w:hAnsi="Book Antiqua"/>
          <w:sz w:val="16"/>
          <w:szCs w:val="16"/>
        </w:rPr>
        <w:t xml:space="preserve"> pp. 428-431,</w:t>
      </w:r>
      <w:r w:rsidRPr="00BD541D">
        <w:rPr>
          <w:rFonts w:ascii="Book Antiqua" w:hAnsi="Book Antiqua"/>
          <w:i/>
          <w:sz w:val="16"/>
          <w:szCs w:val="16"/>
        </w:rPr>
        <w:t xml:space="preserve"> (</w:t>
      </w:r>
      <w:r w:rsidRPr="00BD541D">
        <w:rPr>
          <w:rFonts w:ascii="Book Antiqua" w:hAnsi="Book Antiqua"/>
          <w:sz w:val="16"/>
          <w:szCs w:val="16"/>
        </w:rPr>
        <w:t>3 June 1993).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[57] D. L. Bindschadler,   </w:t>
      </w:r>
      <w:r w:rsidRPr="00BD541D">
        <w:rPr>
          <w:rFonts w:ascii="Book Antiqua" w:hAnsi="Book Antiqua"/>
          <w:i/>
          <w:sz w:val="16"/>
          <w:szCs w:val="16"/>
        </w:rPr>
        <w:t>U.S. National Report to IUGG</w:t>
      </w:r>
      <w:r w:rsidRPr="00BD541D">
        <w:rPr>
          <w:rFonts w:ascii="Book Antiqua" w:hAnsi="Book Antiqua"/>
          <w:sz w:val="16"/>
          <w:szCs w:val="16"/>
        </w:rPr>
        <w:t xml:space="preserve">, 1991-1994 in </w:t>
      </w:r>
      <w:r w:rsidRPr="00BD541D">
        <w:rPr>
          <w:rFonts w:ascii="Book Antiqua" w:hAnsi="Book Antiqua"/>
          <w:i/>
          <w:sz w:val="16"/>
          <w:szCs w:val="16"/>
        </w:rPr>
        <w:t>Reviews of Geophysics</w:t>
      </w:r>
      <w:r w:rsidRPr="00BD541D">
        <w:rPr>
          <w:rFonts w:ascii="Book Antiqua" w:hAnsi="Book Antiqua"/>
          <w:sz w:val="16"/>
          <w:szCs w:val="16"/>
        </w:rPr>
        <w:t xml:space="preserve">, Vol. </w:t>
      </w:r>
      <w:r w:rsidRPr="00BD541D">
        <w:rPr>
          <w:rFonts w:ascii="Book Antiqua" w:hAnsi="Book Antiqua"/>
          <w:b/>
          <w:sz w:val="16"/>
          <w:szCs w:val="16"/>
        </w:rPr>
        <w:t>33</w:t>
      </w:r>
      <w:r w:rsidRPr="00BD541D">
        <w:rPr>
          <w:rFonts w:ascii="Book Antiqua" w:hAnsi="Book Antiqua"/>
          <w:sz w:val="16"/>
          <w:szCs w:val="16"/>
        </w:rPr>
        <w:t xml:space="preserve"> Supplement, (1995).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[58] R. G. Strom et al., </w:t>
      </w:r>
      <w:r w:rsidRPr="00BD541D">
        <w:rPr>
          <w:rFonts w:ascii="Book Antiqua" w:hAnsi="Book Antiqua"/>
          <w:i/>
          <w:sz w:val="16"/>
          <w:szCs w:val="16"/>
        </w:rPr>
        <w:t>Science</w:t>
      </w:r>
      <w:r w:rsidRPr="00BD541D">
        <w:rPr>
          <w:rFonts w:ascii="Book Antiqua" w:hAnsi="Book Antiqua"/>
          <w:sz w:val="16"/>
          <w:szCs w:val="16"/>
        </w:rPr>
        <w:t xml:space="preserve"> </w:t>
      </w:r>
      <w:r w:rsidRPr="00BD541D">
        <w:rPr>
          <w:rFonts w:ascii="Book Antiqua" w:hAnsi="Book Antiqua"/>
          <w:b/>
          <w:sz w:val="16"/>
          <w:szCs w:val="16"/>
        </w:rPr>
        <w:t>309</w:t>
      </w:r>
      <w:r w:rsidRPr="00BD541D">
        <w:rPr>
          <w:rFonts w:ascii="Book Antiqua" w:hAnsi="Book Antiqua"/>
          <w:sz w:val="16"/>
          <w:szCs w:val="16"/>
        </w:rPr>
        <w:t xml:space="preserve"> (2005), pp. 1847-1850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[59] R. G. Strom et al., </w:t>
      </w:r>
      <w:r w:rsidRPr="00BD541D">
        <w:rPr>
          <w:rFonts w:ascii="Book Antiqua" w:hAnsi="Book Antiqua"/>
          <w:i/>
          <w:sz w:val="16"/>
          <w:szCs w:val="16"/>
        </w:rPr>
        <w:t>Planetary and Space Science</w:t>
      </w:r>
      <w:r w:rsidRPr="00BD541D">
        <w:rPr>
          <w:rFonts w:ascii="Book Antiqua" w:hAnsi="Book Antiqua"/>
          <w:sz w:val="16"/>
          <w:szCs w:val="16"/>
        </w:rPr>
        <w:t xml:space="preserve">, </w:t>
      </w:r>
      <w:r w:rsidRPr="00BD541D">
        <w:rPr>
          <w:rFonts w:ascii="Book Antiqua" w:hAnsi="Book Antiqua"/>
          <w:b/>
          <w:sz w:val="16"/>
          <w:szCs w:val="16"/>
        </w:rPr>
        <w:t>59</w:t>
      </w:r>
      <w:r w:rsidRPr="00BD541D">
        <w:rPr>
          <w:rFonts w:ascii="Book Antiqua" w:hAnsi="Book Antiqua"/>
          <w:sz w:val="16"/>
          <w:szCs w:val="16"/>
        </w:rPr>
        <w:t xml:space="preserve"> (2011), 1960-1967.</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[60] A. W. Watts et al., “The formation of terrains antipodal to major impacts”,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93</w:t>
      </w:r>
      <w:r w:rsidRPr="00BD541D">
        <w:rPr>
          <w:rFonts w:ascii="Book Antiqua" w:hAnsi="Book Antiqua"/>
          <w:sz w:val="16"/>
          <w:szCs w:val="16"/>
        </w:rPr>
        <w:t xml:space="preserve"> (1), September 1991, pp.159-168.</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[61] H. G. Hughes et al.,”Global seilsmic effects of basin-forming impacts,”</w:t>
      </w:r>
      <w:r w:rsidRPr="00BD541D">
        <w:rPr>
          <w:rFonts w:ascii="Book Antiqua" w:hAnsi="Book Antiqua"/>
          <w:i/>
          <w:sz w:val="16"/>
          <w:szCs w:val="16"/>
        </w:rPr>
        <w:t xml:space="preserve"> Physics of the Earth and Planetary Interiors</w:t>
      </w:r>
      <w:r w:rsidRPr="00BD541D">
        <w:rPr>
          <w:rFonts w:ascii="Book Antiqua" w:hAnsi="Book Antiqua"/>
          <w:sz w:val="16"/>
          <w:szCs w:val="16"/>
        </w:rPr>
        <w:t>,</w:t>
      </w:r>
      <w:r w:rsidRPr="00BD541D">
        <w:rPr>
          <w:rFonts w:ascii="Book Antiqua" w:hAnsi="Book Antiqua"/>
          <w:b/>
          <w:sz w:val="16"/>
          <w:szCs w:val="16"/>
        </w:rPr>
        <w:t xml:space="preserve"> 15 </w:t>
      </w:r>
      <w:r w:rsidRPr="00BD541D">
        <w:rPr>
          <w:rFonts w:ascii="Book Antiqua" w:hAnsi="Book Antiqua"/>
          <w:sz w:val="16"/>
          <w:szCs w:val="16"/>
        </w:rPr>
        <w:t>Issues 2-3 (November 1977), pp.251-263.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[62] D. T. Johnson, et al., “Uncovering the Neoproterozoic carbon cycle,”Letter to </w:t>
      </w:r>
      <w:r w:rsidRPr="00BD541D">
        <w:rPr>
          <w:rFonts w:ascii="Book Antiqua" w:hAnsi="Book Antiqua"/>
          <w:i/>
          <w:sz w:val="16"/>
          <w:szCs w:val="16"/>
        </w:rPr>
        <w:t>Nature</w:t>
      </w:r>
      <w:r w:rsidRPr="00BD541D">
        <w:rPr>
          <w:rFonts w:ascii="Book Antiqua" w:hAnsi="Book Antiqua"/>
          <w:sz w:val="16"/>
          <w:szCs w:val="16"/>
        </w:rPr>
        <w:t>, 29 February, 2012, doi</w:t>
      </w:r>
      <w:proofErr w:type="gramStart"/>
      <w:r w:rsidRPr="00BD541D">
        <w:rPr>
          <w:rFonts w:ascii="Book Antiqua" w:hAnsi="Book Antiqua"/>
          <w:sz w:val="16"/>
          <w:szCs w:val="16"/>
        </w:rPr>
        <w:t>:10.1038</w:t>
      </w:r>
      <w:proofErr w:type="gramEnd"/>
      <w:r w:rsidRPr="00BD541D">
        <w:rPr>
          <w:rFonts w:ascii="Book Antiqua" w:hAnsi="Book Antiqua"/>
          <w:sz w:val="16"/>
          <w:szCs w:val="16"/>
        </w:rPr>
        <w:t>/nature10854.</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[63] W. J. Moore, </w:t>
      </w:r>
      <w:r w:rsidRPr="00BD541D">
        <w:rPr>
          <w:rFonts w:ascii="Book Antiqua" w:hAnsi="Book Antiqua"/>
          <w:i/>
          <w:sz w:val="16"/>
          <w:szCs w:val="16"/>
        </w:rPr>
        <w:t>Physical Chemistry</w:t>
      </w:r>
      <w:r w:rsidRPr="00BD541D">
        <w:rPr>
          <w:rFonts w:ascii="Book Antiqua" w:hAnsi="Book Antiqua"/>
          <w:sz w:val="16"/>
          <w:szCs w:val="16"/>
        </w:rPr>
        <w:t>, 3</w:t>
      </w:r>
      <w:r w:rsidRPr="00BD541D">
        <w:rPr>
          <w:rFonts w:ascii="Book Antiqua" w:hAnsi="Book Antiqua"/>
          <w:sz w:val="16"/>
          <w:szCs w:val="16"/>
          <w:vertAlign w:val="superscript"/>
        </w:rPr>
        <w:t>rd</w:t>
      </w:r>
      <w:r w:rsidRPr="00BD541D">
        <w:rPr>
          <w:rFonts w:ascii="Book Antiqua" w:hAnsi="Book Antiqua"/>
          <w:sz w:val="16"/>
          <w:szCs w:val="16"/>
        </w:rPr>
        <w:t xml:space="preserve"> Edition, pp.415, 418, Longmans, 1961.</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[64] </w:t>
      </w:r>
      <w:hyperlink r:id="rId1065" w:history="1">
        <w:r w:rsidRPr="00BD541D">
          <w:rPr>
            <w:rStyle w:val="Hyperlink"/>
            <w:rFonts w:ascii="Book Antiqua" w:hAnsi="Book Antiqua"/>
            <w:i/>
            <w:szCs w:val="16"/>
          </w:rPr>
          <w:t>http://users.tkk.fi/~ftesfaye/TKK-MT-15%20+etu%20ja%20takakansi.pdf</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[65] </w:t>
      </w:r>
      <w:hyperlink r:id="rId1066" w:history="1">
        <w:r w:rsidRPr="00BD541D">
          <w:rPr>
            <w:rStyle w:val="Hyperlink"/>
            <w:rFonts w:ascii="Book Antiqua" w:hAnsi="Book Antiqua"/>
            <w:szCs w:val="16"/>
          </w:rPr>
          <w:t>http://en.wikipedia.org/wiki/Atlantic_Ocean</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[66] </w:t>
      </w:r>
      <w:hyperlink r:id="rId1067" w:history="1">
        <w:r w:rsidRPr="00BD541D">
          <w:rPr>
            <w:rStyle w:val="Hyperlink"/>
            <w:rFonts w:ascii="Book Antiqua" w:hAnsi="Book Antiqua"/>
            <w:szCs w:val="16"/>
          </w:rPr>
          <w:t>http://whc.unesco.org/en/activities/504/</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[67] </w:t>
      </w:r>
      <w:proofErr w:type="gramStart"/>
      <w:r w:rsidRPr="00BD541D">
        <w:rPr>
          <w:rFonts w:ascii="Book Antiqua" w:hAnsi="Book Antiqua"/>
          <w:sz w:val="16"/>
          <w:szCs w:val="16"/>
        </w:rPr>
        <w:t>The</w:t>
      </w:r>
      <w:proofErr w:type="gramEnd"/>
      <w:r w:rsidRPr="00BD541D">
        <w:rPr>
          <w:rFonts w:ascii="Book Antiqua" w:hAnsi="Book Antiqua"/>
          <w:sz w:val="16"/>
          <w:szCs w:val="16"/>
        </w:rPr>
        <w:t xml:space="preserve"> most recent example of this is the meteoric explosion over Chelyabinsk in Russia, on 15 February, 2013. It injured about 1100 people and damaged 3000 buildings. Low frequency sound waves were picked up by infra-sound sensor stations around the world including Greenland and Africa. One of the fragments from the explosion landed in a lake outside Chebarkul and left an 8 meter wide crater in the ice. When all data had been collected, it turned out that the object was a 17 meter wide chondrite from the asteroid belt, containing 10% iron. It had a 470 kiloton blast at a height of about 30 kilometers. It is stated that the explosion was caused by rapid frictional heating of the ice-cold bolide as it plowed through atmospheric layers for 30 seconds at a speed of 18 km/</w:t>
      </w:r>
      <w:proofErr w:type="gramStart"/>
      <w:r w:rsidRPr="00BD541D">
        <w:rPr>
          <w:rFonts w:ascii="Book Antiqua" w:hAnsi="Book Antiqua"/>
          <w:sz w:val="16"/>
          <w:szCs w:val="16"/>
        </w:rPr>
        <w:t>s .</w:t>
      </w:r>
      <w:proofErr w:type="gramEnd"/>
      <w:r w:rsidRPr="00BD541D">
        <w:rPr>
          <w:rFonts w:ascii="Book Antiqua" w:hAnsi="Book Antiqua"/>
          <w:sz w:val="16"/>
          <w:szCs w:val="16"/>
        </w:rPr>
        <w:t xml:space="preserve"> </w:t>
      </w:r>
      <w:proofErr w:type="gramStart"/>
      <w:r w:rsidRPr="00BD541D">
        <w:rPr>
          <w:rFonts w:ascii="Book Antiqua" w:hAnsi="Book Antiqua"/>
          <w:sz w:val="16"/>
          <w:szCs w:val="16"/>
        </w:rPr>
        <w:t xml:space="preserve">(See for example: </w:t>
      </w:r>
      <w:hyperlink r:id="rId1068" w:history="1">
        <w:r w:rsidRPr="00BD541D">
          <w:rPr>
            <w:rStyle w:val="Hyperlink"/>
            <w:rFonts w:ascii="Book Antiqua" w:hAnsi="Book Antiqua"/>
            <w:szCs w:val="16"/>
          </w:rPr>
          <w:t>http://en.wikipedia.org/wiki/2013_Russian_meteor_event</w:t>
        </w:r>
      </w:hyperlink>
      <w:r w:rsidRPr="00BD541D">
        <w:rPr>
          <w:rFonts w:ascii="Book Antiqua" w:hAnsi="Book Antiqua"/>
          <w:sz w:val="16"/>
          <w:szCs w:val="16"/>
        </w:rPr>
        <w:t xml:space="preserve"> and report by Jacob Aron in </w:t>
      </w:r>
      <w:r w:rsidRPr="00BD541D">
        <w:rPr>
          <w:rFonts w:ascii="Book Antiqua" w:hAnsi="Book Antiqua"/>
          <w:i/>
          <w:sz w:val="16"/>
          <w:szCs w:val="16"/>
        </w:rPr>
        <w:t>New Scientist</w:t>
      </w:r>
      <w:r w:rsidRPr="00BD541D">
        <w:rPr>
          <w:rFonts w:ascii="Book Antiqua" w:hAnsi="Book Antiqua"/>
          <w:sz w:val="16"/>
          <w:szCs w:val="16"/>
        </w:rPr>
        <w:t>, Feb.23 – Mar.1, 2013, pp. 8-9.)</w:t>
      </w:r>
      <w:proofErr w:type="gramEnd"/>
      <w:r w:rsidRPr="00BD541D">
        <w:rPr>
          <w:rFonts w:ascii="Book Antiqua" w:hAnsi="Book Antiqua"/>
          <w:sz w:val="16"/>
          <w:szCs w:val="16"/>
        </w:rPr>
        <w:t xml:space="preserve"> However, that explanation does not bear examination. In 30 seconds, heat could not be transmitted to the interior of the object. Rather, thin surface layers melt and the molten material streams away in the slipstream, just as with the heat shields of the old Apollo capsules. The reason for the blast according to plasma </w:t>
      </w:r>
      <w:proofErr w:type="gramStart"/>
      <w:r w:rsidRPr="00BD541D">
        <w:rPr>
          <w:rFonts w:ascii="Book Antiqua" w:hAnsi="Book Antiqua"/>
          <w:sz w:val="16"/>
          <w:szCs w:val="16"/>
        </w:rPr>
        <w:t>physicists,</w:t>
      </w:r>
      <w:proofErr w:type="gramEnd"/>
      <w:r w:rsidRPr="00BD541D">
        <w:rPr>
          <w:rFonts w:ascii="Book Antiqua" w:hAnsi="Book Antiqua"/>
          <w:sz w:val="16"/>
          <w:szCs w:val="16"/>
        </w:rPr>
        <w:t xml:space="preserve"> is that the object from the asteroid belt was at a more negative potential than exists inside the Earth’s plasmasphere. The closer it got to the surface, the greater the potential difference. Even at the surface of the earth, the potential gradient has been measured at 80 to 100 volts per meter. For the bolide, the difference became so great that it exploded like an overcharged capacitor. Thus electrical effects will usually accompany large bolides and so may be expected at the times of catastrophic impact events.</w:t>
      </w:r>
    </w:p>
    <w:p w:rsidR="00700009" w:rsidRPr="00BD541D" w:rsidRDefault="00700009" w:rsidP="00700009">
      <w:pPr>
        <w:pStyle w:val="NoSpacing"/>
        <w:rPr>
          <w:rFonts w:ascii="Book Antiqua" w:hAnsi="Book Antiqua"/>
          <w:sz w:val="16"/>
          <w:szCs w:val="16"/>
        </w:rPr>
      </w:pPr>
    </w:p>
    <w:p w:rsidR="00700009" w:rsidRPr="00BD541D" w:rsidRDefault="00700009" w:rsidP="00700009">
      <w:pPr>
        <w:pStyle w:val="NoSpacing"/>
        <w:rPr>
          <w:rFonts w:ascii="Book Antiqua" w:hAnsi="Book Antiqua"/>
          <w:b/>
          <w:sz w:val="16"/>
          <w:szCs w:val="16"/>
        </w:rPr>
      </w:pPr>
      <w:r w:rsidRPr="00BD541D">
        <w:rPr>
          <w:rFonts w:ascii="Book Antiqua" w:hAnsi="Book Antiqua"/>
          <w:b/>
          <w:sz w:val="16"/>
          <w:szCs w:val="16"/>
        </w:rPr>
        <w:t xml:space="preserve">Figure References </w:t>
      </w:r>
      <w:r w:rsidRPr="00BD541D">
        <w:rPr>
          <w:rFonts w:ascii="Book Antiqua" w:hAnsi="Book Antiqua"/>
          <w:i/>
          <w:sz w:val="16"/>
          <w:szCs w:val="16"/>
        </w:rPr>
        <w:t>– All URL’s retrieved 9/13/12</w:t>
      </w:r>
    </w:p>
    <w:p w:rsidR="00700009" w:rsidRPr="00BD541D" w:rsidRDefault="00700009" w:rsidP="00700009">
      <w:pPr>
        <w:pStyle w:val="NoSpacing"/>
        <w:rPr>
          <w:rFonts w:ascii="Book Antiqua" w:hAnsi="Book Antiqua"/>
          <w:sz w:val="16"/>
          <w:szCs w:val="16"/>
        </w:rPr>
      </w:pP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 The geological column. </w:t>
      </w:r>
      <w:hyperlink r:id="rId1069" w:history="1">
        <w:r w:rsidRPr="00BD541D">
          <w:rPr>
            <w:rStyle w:val="Hyperlink"/>
            <w:rFonts w:ascii="Book Antiqua" w:hAnsi="Book Antiqua"/>
            <w:i/>
            <w:szCs w:val="16"/>
          </w:rPr>
          <w:t>http://www.emc.maricopa.edu/faculty/farabee/biobk/biobookevoli.html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 The MAPCIS structure in Australia. </w:t>
      </w:r>
      <w:hyperlink r:id="rId1070" w:history="1">
        <w:r w:rsidRPr="00BD541D">
          <w:rPr>
            <w:rStyle w:val="Hyperlink"/>
            <w:rFonts w:ascii="Book Antiqua" w:hAnsi="Book Antiqua"/>
            <w:i/>
            <w:szCs w:val="16"/>
          </w:rPr>
          <w:t>http://www.mapcis.net/mapcis_case.html</w:t>
        </w:r>
      </w:hyperlink>
    </w:p>
    <w:p w:rsidR="00700009" w:rsidRPr="00BD541D" w:rsidRDefault="00700009" w:rsidP="00700009">
      <w:pPr>
        <w:pStyle w:val="NoSpacing"/>
        <w:rPr>
          <w:rFonts w:ascii="Book Antiqua" w:hAnsi="Book Antiqua"/>
          <w:i/>
          <w:sz w:val="16"/>
          <w:szCs w:val="16"/>
        </w:rPr>
      </w:pPr>
      <w:proofErr w:type="gramStart"/>
      <w:r w:rsidRPr="00BD541D">
        <w:rPr>
          <w:rFonts w:ascii="Book Antiqua" w:hAnsi="Book Antiqua"/>
          <w:sz w:val="16"/>
          <w:szCs w:val="16"/>
        </w:rPr>
        <w:t>and</w:t>
      </w:r>
      <w:proofErr w:type="gramEnd"/>
      <w:r w:rsidRPr="00BD541D">
        <w:rPr>
          <w:rFonts w:ascii="Book Antiqua" w:hAnsi="Book Antiqua"/>
          <w:sz w:val="16"/>
          <w:szCs w:val="16"/>
        </w:rPr>
        <w:t xml:space="preserve"> </w:t>
      </w:r>
      <w:hyperlink r:id="rId1071" w:history="1">
        <w:r w:rsidRPr="00BD541D">
          <w:rPr>
            <w:rStyle w:val="Hyperlink"/>
            <w:rFonts w:ascii="Book Antiqua" w:hAnsi="Book Antiqua"/>
            <w:i/>
            <w:szCs w:val="16"/>
          </w:rPr>
          <w:t>http://englishclass.jp/reading/topic/Impact_structure</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3: Wilkes Land structure, Antarctica. Left: </w:t>
      </w:r>
      <w:hyperlink r:id="rId1072" w:history="1">
        <w:r w:rsidRPr="00BD541D">
          <w:rPr>
            <w:rStyle w:val="Hyperlink"/>
            <w:rFonts w:ascii="Book Antiqua" w:hAnsi="Book Antiqua"/>
            <w:i/>
            <w:szCs w:val="16"/>
          </w:rPr>
          <w:t>http://www.thunderbolts.info/forum/phpBB3/viewtopic.php?p=38601</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Right: </w:t>
      </w:r>
      <w:hyperlink r:id="rId1073" w:history="1">
        <w:r w:rsidRPr="00BD541D">
          <w:rPr>
            <w:rStyle w:val="Hyperlink"/>
            <w:rFonts w:ascii="Book Antiqua" w:hAnsi="Book Antiqua"/>
            <w:i/>
            <w:szCs w:val="16"/>
          </w:rPr>
          <w:t>http://www.msnbc.msn.com/id/13089686/ns/technology_and_science-space/t/antarctic-crater-linked-ancient-die-off/</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4: Chicxulub structure, Yucatan.Left: </w:t>
      </w:r>
      <w:hyperlink r:id="rId1074" w:history="1">
        <w:r w:rsidRPr="00BD541D">
          <w:rPr>
            <w:rStyle w:val="Hyperlink"/>
            <w:rFonts w:ascii="Book Antiqua" w:hAnsi="Book Antiqua"/>
            <w:i/>
            <w:szCs w:val="16"/>
          </w:rPr>
          <w:t>http://en.wikipedia.org/wiki/Chicxulub_crater</w:t>
        </w:r>
      </w:hyperlink>
    </w:p>
    <w:p w:rsidR="00700009" w:rsidRPr="00BD541D" w:rsidRDefault="00700009" w:rsidP="00700009">
      <w:pPr>
        <w:pStyle w:val="Els-body-text"/>
        <w:jc w:val="left"/>
        <w:rPr>
          <w:rFonts w:ascii="Book Antiqua" w:hAnsi="Book Antiqua"/>
          <w:sz w:val="16"/>
          <w:szCs w:val="16"/>
        </w:rPr>
      </w:pPr>
      <w:r w:rsidRPr="00BD541D">
        <w:rPr>
          <w:rFonts w:ascii="Book Antiqua" w:hAnsi="Book Antiqua"/>
          <w:sz w:val="16"/>
          <w:szCs w:val="16"/>
        </w:rPr>
        <w:t xml:space="preserve">Center: </w:t>
      </w:r>
      <w:hyperlink r:id="rId1075" w:history="1">
        <w:r w:rsidRPr="00BD541D">
          <w:rPr>
            <w:rStyle w:val="Hyperlink"/>
            <w:rFonts w:ascii="Book Antiqua" w:hAnsi="Book Antiqua"/>
            <w:i/>
            <w:szCs w:val="16"/>
          </w:rPr>
          <w:t>http://palaeo.gly.bris.ac.uk/communication/hanks/eff.html</w:t>
        </w:r>
      </w:hyperlink>
      <w:r w:rsidRPr="00BD541D">
        <w:rPr>
          <w:rFonts w:ascii="Book Antiqua" w:hAnsi="Book Antiqua"/>
          <w:sz w:val="16"/>
          <w:szCs w:val="16"/>
        </w:rPr>
        <w:t xml:space="preserve">. </w:t>
      </w:r>
    </w:p>
    <w:p w:rsidR="00700009" w:rsidRPr="00BD541D" w:rsidRDefault="00700009" w:rsidP="00700009">
      <w:pPr>
        <w:pStyle w:val="Els-body-text"/>
        <w:jc w:val="left"/>
        <w:rPr>
          <w:rFonts w:ascii="Book Antiqua" w:hAnsi="Book Antiqua"/>
          <w:sz w:val="16"/>
          <w:szCs w:val="16"/>
        </w:rPr>
      </w:pPr>
      <w:r w:rsidRPr="00BD541D">
        <w:rPr>
          <w:rFonts w:ascii="Book Antiqua" w:hAnsi="Book Antiqua"/>
          <w:sz w:val="16"/>
          <w:szCs w:val="16"/>
        </w:rPr>
        <w:t xml:space="preserve">Right: </w:t>
      </w:r>
      <w:hyperlink r:id="rId1076" w:history="1">
        <w:r w:rsidRPr="00BD541D">
          <w:rPr>
            <w:rStyle w:val="Hyperlink"/>
            <w:rFonts w:ascii="Book Antiqua" w:hAnsi="Book Antiqua"/>
            <w:i/>
            <w:szCs w:val="16"/>
          </w:rPr>
          <w:t>http://www.our-earth.net/Model-of-Chicxulub-Crater.asp</w:t>
        </w:r>
      </w:hyperlink>
      <w:r w:rsidRPr="00BD541D">
        <w:rPr>
          <w:rFonts w:ascii="Book Antiqua" w:hAnsi="Book Antiqua"/>
          <w:i/>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5: Left – Saturn’s moon </w:t>
      </w:r>
      <w:proofErr w:type="gramStart"/>
      <w:r w:rsidRPr="00BD541D">
        <w:rPr>
          <w:rFonts w:ascii="Book Antiqua" w:hAnsi="Book Antiqua"/>
          <w:sz w:val="16"/>
          <w:szCs w:val="16"/>
        </w:rPr>
        <w:t xml:space="preserve">Iapetus  </w:t>
      </w:r>
      <w:proofErr w:type="gramEnd"/>
      <w:r w:rsidR="00241D2F">
        <w:fldChar w:fldCharType="begin"/>
      </w:r>
      <w:r>
        <w:instrText>HYPERLINK "http://en.wikipedia.org/wiki/Iapetus_(moon)"</w:instrText>
      </w:r>
      <w:r w:rsidR="00241D2F">
        <w:fldChar w:fldCharType="separate"/>
      </w:r>
      <w:r w:rsidRPr="00BD541D">
        <w:rPr>
          <w:rStyle w:val="Hyperlink"/>
          <w:rFonts w:ascii="Book Antiqua" w:hAnsi="Book Antiqua"/>
          <w:i/>
          <w:szCs w:val="16"/>
        </w:rPr>
        <w:t>http://en.wikipedia.org/wiki/Iapetus_(moon)</w:t>
      </w:r>
      <w:r w:rsidR="00241D2F">
        <w:fldChar w:fldCharType="end"/>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5: Right – Asteroid Itokawa.</w:t>
      </w:r>
    </w:p>
    <w:p w:rsidR="00700009" w:rsidRPr="00BD541D" w:rsidRDefault="00241D2F" w:rsidP="00700009">
      <w:pPr>
        <w:pStyle w:val="NoSpacing"/>
        <w:rPr>
          <w:rFonts w:ascii="Book Antiqua" w:hAnsi="Book Antiqua"/>
          <w:i/>
          <w:sz w:val="16"/>
          <w:szCs w:val="16"/>
        </w:rPr>
      </w:pPr>
      <w:hyperlink r:id="rId1077" w:history="1">
        <w:r w:rsidR="00700009" w:rsidRPr="00BD541D">
          <w:rPr>
            <w:rStyle w:val="Hyperlink"/>
            <w:rFonts w:ascii="Book Antiqua" w:hAnsi="Book Antiqua"/>
            <w:i/>
            <w:szCs w:val="16"/>
          </w:rPr>
          <w:t>http://glacialtill.wordpress.com/2011/09/05/meteorite-monday-asteroid-itokawa-and-the-hayabusa-probe/</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6: Orbits of debris from Fengyun-1C exploded satellite. </w:t>
      </w:r>
      <w:hyperlink r:id="rId1078" w:history="1">
        <w:r w:rsidRPr="00BD541D">
          <w:rPr>
            <w:rStyle w:val="Hyperlink"/>
            <w:rFonts w:ascii="Book Antiqua" w:hAnsi="Book Antiqua"/>
            <w:i/>
            <w:szCs w:val="16"/>
          </w:rPr>
          <w:t>http://www.sciencedirect.com/science/article/pii/S0094576507003281</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10: Major impact basins on Mars. </w:t>
      </w:r>
      <w:hyperlink r:id="rId1079" w:history="1">
        <w:r w:rsidRPr="00BD541D">
          <w:rPr>
            <w:rStyle w:val="Hyperlink"/>
            <w:rFonts w:ascii="Book Antiqua" w:hAnsi="Book Antiqua"/>
            <w:i/>
            <w:szCs w:val="16"/>
          </w:rPr>
          <w:t>http://www.psrd.hawaii.edu/May10/YoungerALH84001.html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11: Elevation map of Mars. </w:t>
      </w:r>
      <w:hyperlink r:id="rId1080" w:history="1">
        <w:r w:rsidRPr="00BD541D">
          <w:rPr>
            <w:rStyle w:val="Hyperlink"/>
            <w:rFonts w:ascii="Book Antiqua" w:hAnsi="Book Antiqua"/>
            <w:i/>
            <w:szCs w:val="16"/>
          </w:rPr>
          <w:t>http://www.visionsofthecosmos.co.uk/Planet%20Mars.htm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12: The Moon with major features labeled.</w:t>
      </w:r>
    </w:p>
    <w:p w:rsidR="00700009" w:rsidRPr="00BD541D" w:rsidRDefault="00241D2F" w:rsidP="00700009">
      <w:pPr>
        <w:pStyle w:val="NoSpacing"/>
        <w:rPr>
          <w:rFonts w:ascii="Book Antiqua" w:hAnsi="Book Antiqua"/>
          <w:i/>
          <w:sz w:val="16"/>
          <w:szCs w:val="16"/>
        </w:rPr>
      </w:pPr>
      <w:hyperlink r:id="rId1081" w:history="1">
        <w:r w:rsidR="00700009" w:rsidRPr="00BD541D">
          <w:rPr>
            <w:rStyle w:val="Hyperlink"/>
            <w:rFonts w:ascii="Book Antiqua" w:hAnsi="Book Antiqua"/>
            <w:i/>
            <w:szCs w:val="16"/>
          </w:rPr>
          <w:t>http://www.space-pictures.com/view/pictures-of-earth/pictures-of-the-moon/moon-pictures/the-moon-2010-features.php</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13: Map of Venus. </w:t>
      </w:r>
      <w:hyperlink r:id="rId1082" w:history="1">
        <w:r w:rsidRPr="00BD541D">
          <w:rPr>
            <w:rStyle w:val="Hyperlink"/>
            <w:rFonts w:ascii="Book Antiqua" w:hAnsi="Book Antiqua"/>
            <w:i/>
            <w:szCs w:val="16"/>
          </w:rPr>
          <w:t>http://www.fas.org/irp/imint/docs/rst/Sect19/Sect19_7.html</w:t>
        </w:r>
      </w:hyperlink>
      <w:r w:rsidRPr="00BD541D">
        <w:rPr>
          <w:rFonts w:ascii="Book Antiqua" w:hAnsi="Book Antiqua"/>
          <w:i/>
          <w:sz w:val="16"/>
          <w:szCs w:val="16"/>
        </w:rPr>
        <w:br/>
      </w:r>
      <w:r w:rsidRPr="00BD541D">
        <w:rPr>
          <w:rFonts w:ascii="Book Antiqua" w:hAnsi="Book Antiqua"/>
          <w:sz w:val="16"/>
          <w:szCs w:val="16"/>
        </w:rPr>
        <w:t xml:space="preserve">Figure 14: Caloris Basin event on Mercury. </w:t>
      </w:r>
      <w:hyperlink r:id="rId1083" w:history="1">
        <w:r w:rsidRPr="00BD541D">
          <w:rPr>
            <w:rStyle w:val="Hyperlink"/>
            <w:rFonts w:ascii="Book Antiqua" w:hAnsi="Book Antiqua"/>
            <w:i/>
            <w:szCs w:val="16"/>
          </w:rPr>
          <w:t>http://astronomy.nju.edu.cn/~lixd/GA/AT4/AT408/HTML/AT40806.htm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lastRenderedPageBreak/>
        <w:t xml:space="preserve">Figure 15: Mercury’s chaotic terrain opposite the Caloris Basin. </w:t>
      </w:r>
      <w:hyperlink r:id="rId1084" w:history="1">
        <w:r w:rsidRPr="00BD541D">
          <w:rPr>
            <w:rStyle w:val="Hyperlink"/>
            <w:rFonts w:ascii="Book Antiqua" w:hAnsi="Book Antiqua"/>
            <w:i/>
            <w:szCs w:val="16"/>
          </w:rPr>
          <w:t>http://astroprofspage.com/archives/1479</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16: Stable cratons or geological shield areas of Earth.</w:t>
      </w:r>
    </w:p>
    <w:p w:rsidR="00700009" w:rsidRPr="00BD541D" w:rsidRDefault="00241D2F" w:rsidP="00700009">
      <w:pPr>
        <w:pStyle w:val="NoSpacing"/>
        <w:rPr>
          <w:rFonts w:ascii="Book Antiqua" w:hAnsi="Book Antiqua"/>
          <w:i/>
          <w:sz w:val="16"/>
          <w:szCs w:val="16"/>
        </w:rPr>
      </w:pPr>
      <w:hyperlink r:id="rId1085" w:history="1">
        <w:r w:rsidR="00700009" w:rsidRPr="00BD541D">
          <w:rPr>
            <w:rStyle w:val="Hyperlink"/>
            <w:rFonts w:ascii="Book Antiqua" w:hAnsi="Book Antiqua"/>
            <w:i/>
            <w:szCs w:val="16"/>
          </w:rPr>
          <w:t>http://www.earthsciences.hku.hk/shmuseum/earth_evo_03_archean_intro.php</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17: Details of the MAPCIS structure in Australia. </w:t>
      </w:r>
      <w:hyperlink r:id="rId1086" w:tgtFrame="_blank" w:history="1">
        <w:r w:rsidRPr="00BD541D">
          <w:rPr>
            <w:rFonts w:ascii="Book Antiqua" w:hAnsi="Book Antiqua"/>
            <w:i/>
            <w:sz w:val="16"/>
            <w:szCs w:val="16"/>
          </w:rPr>
          <w:t>http://www.austhrutime.com/mapcis.htm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18: Map of Adelaide geosyncline region. </w:t>
      </w:r>
      <w:hyperlink r:id="rId1087" w:history="1">
        <w:r w:rsidRPr="00BD541D">
          <w:rPr>
            <w:rStyle w:val="Hyperlink"/>
            <w:rFonts w:ascii="Book Antiqua" w:hAnsi="Book Antiqua"/>
            <w:i/>
            <w:szCs w:val="16"/>
          </w:rPr>
          <w:t>http://web.missouri.edu/~appoldm/research/flinders.html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21: Map of Siberian Traps. </w:t>
      </w:r>
      <w:hyperlink r:id="rId1088" w:history="1">
        <w:r w:rsidRPr="00BD541D">
          <w:rPr>
            <w:rStyle w:val="Hyperlink"/>
            <w:rFonts w:ascii="Book Antiqua" w:hAnsi="Book Antiqua"/>
            <w:i/>
            <w:szCs w:val="16"/>
          </w:rPr>
          <w:t>http://www.earthlyissues.com/supervolcano.htm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22: Typical view of Siberian Traps. </w:t>
      </w:r>
      <w:hyperlink r:id="rId1089" w:history="1">
        <w:r w:rsidRPr="00BD541D">
          <w:rPr>
            <w:rStyle w:val="Hyperlink"/>
            <w:rFonts w:ascii="Book Antiqua" w:hAnsi="Book Antiqua"/>
            <w:i/>
            <w:szCs w:val="16"/>
          </w:rPr>
          <w:t>http://www.earthlyissues.com/supervolcano.htm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23: Late Cretaceous Impact Craters. </w:t>
      </w:r>
      <w:hyperlink r:id="rId1090" w:history="1">
        <w:r w:rsidRPr="00BD541D">
          <w:rPr>
            <w:rStyle w:val="Hyperlink"/>
            <w:rFonts w:ascii="Book Antiqua" w:hAnsi="Book Antiqua"/>
            <w:i/>
            <w:szCs w:val="16"/>
          </w:rPr>
          <w:t>http://www.auburn.edu/~kingdat/wetumpkawebpage3.htm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23: Mid-ocean ridge system. </w:t>
      </w:r>
      <w:hyperlink r:id="rId1091" w:history="1">
        <w:r w:rsidRPr="00BD541D">
          <w:rPr>
            <w:rStyle w:val="Hyperlink"/>
            <w:rFonts w:ascii="Book Antiqua" w:hAnsi="Book Antiqua"/>
            <w:i/>
            <w:szCs w:val="16"/>
          </w:rPr>
          <w:t>http://www.waterencyclopedia.com/Mi-Oc/Mid-Ocean-Ridges.html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24: Location of the Deccan Traps, India. </w:t>
      </w:r>
      <w:hyperlink r:id="rId1092" w:history="1">
        <w:r w:rsidRPr="00BD541D">
          <w:rPr>
            <w:rStyle w:val="Hyperlink"/>
            <w:rFonts w:ascii="Book Antiqua" w:hAnsi="Book Antiqua"/>
            <w:i/>
            <w:szCs w:val="16"/>
          </w:rPr>
          <w:t>http://www.setterfield.org/Genesis%201-11/part_13_Peleg.html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25: Typical Deccan Traps scene. </w:t>
      </w:r>
      <w:hyperlink r:id="rId1093" w:history="1">
        <w:r w:rsidRPr="00BD541D">
          <w:rPr>
            <w:rStyle w:val="Hyperlink"/>
            <w:rFonts w:ascii="Book Antiqua" w:hAnsi="Book Antiqua"/>
            <w:i/>
            <w:szCs w:val="16"/>
          </w:rPr>
          <w:t>http://arstechnica.com/science/2008/03/of-dinosaurs-and-volcanoes/</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26: Supercontinent of Pangea. </w:t>
      </w:r>
      <w:hyperlink r:id="rId1094" w:history="1">
        <w:r w:rsidRPr="00BD541D">
          <w:rPr>
            <w:rStyle w:val="Hyperlink"/>
            <w:rFonts w:ascii="Book Antiqua" w:hAnsi="Book Antiqua"/>
            <w:i/>
            <w:szCs w:val="16"/>
          </w:rPr>
          <w:t>http://www.fossils.me.uk/html/pangea.html</w:t>
        </w:r>
      </w:hyperlink>
    </w:p>
    <w:p w:rsidR="00700009" w:rsidRPr="00BD541D" w:rsidRDefault="00700009" w:rsidP="00700009">
      <w:pPr>
        <w:pStyle w:val="NoSpacing"/>
        <w:rPr>
          <w:rFonts w:ascii="Book Antiqua" w:hAnsi="Book Antiqua"/>
          <w:sz w:val="16"/>
          <w:szCs w:val="16"/>
        </w:rPr>
      </w:pPr>
    </w:p>
    <w:p w:rsidR="00700009" w:rsidRDefault="00700009" w:rsidP="00700009">
      <w:pPr>
        <w:pStyle w:val="Els-body-text"/>
        <w:ind w:firstLine="0"/>
        <w:jc w:val="center"/>
      </w:pPr>
      <w:r w:rsidRPr="00666CE0">
        <w:rPr>
          <w:rFonts w:ascii="Book Antiqua" w:hAnsi="Book Antiqua"/>
          <w:b/>
          <w:sz w:val="28"/>
          <w:szCs w:val="28"/>
        </w:rPr>
        <w:t>*  *  *  *  *  *  *</w:t>
      </w:r>
    </w:p>
    <w:p w:rsidR="00BF4349" w:rsidRDefault="00BF4349" w:rsidP="00700009">
      <w:pPr>
        <w:widowControl/>
        <w:spacing w:after="200" w:line="276" w:lineRule="auto"/>
        <w:jc w:val="center"/>
        <w:rPr>
          <w:rFonts w:ascii="Book Antiqua" w:hAnsi="Book Antiqua"/>
          <w:b/>
          <w:sz w:val="28"/>
          <w:szCs w:val="28"/>
          <w:lang w:val="en-US"/>
        </w:rPr>
      </w:pPr>
      <w:r>
        <w:rPr>
          <w:rFonts w:ascii="Book Antiqua" w:hAnsi="Book Antiqua"/>
          <w:b/>
          <w:sz w:val="28"/>
          <w:szCs w:val="28"/>
        </w:rPr>
        <w:br w:type="page"/>
      </w:r>
    </w:p>
    <w:p w:rsidR="0014236D" w:rsidRPr="00923ECC" w:rsidRDefault="0014236D" w:rsidP="0014236D">
      <w:pPr>
        <w:pStyle w:val="NoSpacing"/>
        <w:jc w:val="center"/>
        <w:rPr>
          <w:rFonts w:ascii="Book Antiqua" w:hAnsi="Book Antiqua"/>
          <w:b/>
          <w:bCs/>
          <w:i/>
          <w:iCs/>
          <w:color w:val="000000"/>
          <w:szCs w:val="24"/>
        </w:rPr>
      </w:pPr>
      <w:r w:rsidRPr="00923ECC">
        <w:rPr>
          <w:rFonts w:ascii="Book Antiqua" w:hAnsi="Book Antiqua"/>
          <w:b/>
          <w:bCs/>
          <w:iCs/>
          <w:color w:val="000000"/>
          <w:szCs w:val="24"/>
        </w:rPr>
        <w:lastRenderedPageBreak/>
        <w:t xml:space="preserve">Chapter 10: </w:t>
      </w:r>
      <w:r w:rsidRPr="00923ECC">
        <w:rPr>
          <w:rFonts w:ascii="Book Antiqua" w:hAnsi="Book Antiqua"/>
          <w:b/>
          <w:bCs/>
          <w:i/>
          <w:iCs/>
          <w:color w:val="000000"/>
          <w:szCs w:val="24"/>
        </w:rPr>
        <w:t>The ZPE, Fossil Gigantism and Other Paleontological Puzzles</w:t>
      </w:r>
    </w:p>
    <w:p w:rsidR="0014236D" w:rsidRPr="00923ECC" w:rsidRDefault="0014236D" w:rsidP="0014236D">
      <w:pPr>
        <w:pStyle w:val="NoSpacing"/>
        <w:rPr>
          <w:rFonts w:ascii="Book Antiqua" w:hAnsi="Book Antiqua"/>
          <w:b/>
          <w:bCs/>
          <w:iCs/>
          <w:color w:val="000000"/>
          <w:sz w:val="20"/>
        </w:rPr>
      </w:pPr>
    </w:p>
    <w:p w:rsidR="0014236D" w:rsidRPr="00923ECC" w:rsidRDefault="0014236D" w:rsidP="0014236D">
      <w:pPr>
        <w:pStyle w:val="NoSpacing"/>
        <w:rPr>
          <w:rFonts w:ascii="Book Antiqua" w:hAnsi="Book Antiqua"/>
          <w:b/>
          <w:bCs/>
          <w:iCs/>
          <w:color w:val="000000"/>
          <w:sz w:val="20"/>
        </w:rPr>
      </w:pPr>
      <w:r w:rsidRPr="00923ECC">
        <w:rPr>
          <w:rFonts w:ascii="Book Antiqua" w:hAnsi="Book Antiqua"/>
          <w:b/>
          <w:bCs/>
          <w:iCs/>
          <w:color w:val="000000"/>
          <w:sz w:val="20"/>
        </w:rPr>
        <w:t>1.  Introducing the Fossils</w:t>
      </w:r>
    </w:p>
    <w:p w:rsidR="0014236D" w:rsidRPr="00923ECC" w:rsidRDefault="0014236D" w:rsidP="0014236D">
      <w:pPr>
        <w:pStyle w:val="NoSpacing"/>
        <w:rPr>
          <w:rFonts w:ascii="Book Antiqua" w:hAnsi="Book Antiqua"/>
          <w:b/>
          <w:bCs/>
          <w:i/>
          <w:iCs/>
          <w:color w:val="000000"/>
          <w:sz w:val="20"/>
          <w:u w:val="single"/>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Examining the fossil record is fascinating. It contains a wealth of data, as well as</w:t>
      </w:r>
      <w:r w:rsidRPr="00923ECC">
        <w:rPr>
          <w:rFonts w:ascii="Book Antiqua" w:hAnsi="Book Antiqua"/>
          <w:color w:val="FF0000"/>
          <w:sz w:val="20"/>
        </w:rPr>
        <w:t xml:space="preserve"> </w:t>
      </w:r>
      <w:r w:rsidRPr="00923ECC">
        <w:rPr>
          <w:rFonts w:ascii="Book Antiqua" w:hAnsi="Book Antiqua"/>
          <w:sz w:val="20"/>
        </w:rPr>
        <w:t>a number of puzzles. One of these puzzles</w:t>
      </w:r>
      <w:r w:rsidRPr="00923ECC">
        <w:rPr>
          <w:rFonts w:ascii="Book Antiqua" w:hAnsi="Book Antiqua"/>
          <w:color w:val="FF0000"/>
          <w:sz w:val="20"/>
        </w:rPr>
        <w:t xml:space="preserve"> </w:t>
      </w:r>
      <w:r w:rsidRPr="00923ECC">
        <w:rPr>
          <w:rFonts w:ascii="Book Antiqua" w:hAnsi="Book Antiqua"/>
          <w:sz w:val="20"/>
        </w:rPr>
        <w:t>is the remarkable size of some of the life forms in the past -- not just the famous dinosaurs, but plants, insects, and even a number of mammals as well.</w:t>
      </w:r>
      <w:r w:rsidRPr="00923ECC">
        <w:rPr>
          <w:rFonts w:ascii="Book Antiqua" w:hAnsi="Book Antiqua"/>
          <w:color w:val="FF0000"/>
          <w:sz w:val="20"/>
        </w:rPr>
        <w:t xml:space="preserve">  </w:t>
      </w:r>
      <w:r w:rsidRPr="00923ECC">
        <w:rPr>
          <w:rFonts w:ascii="Book Antiqua" w:hAnsi="Book Antiqua"/>
          <w:sz w:val="20"/>
        </w:rPr>
        <w:t>The dinosaurs were prominent in the Mesozoic Era. But first</w:t>
      </w:r>
      <w:r w:rsidRPr="00923ECC">
        <w:rPr>
          <w:rFonts w:ascii="Book Antiqua" w:hAnsi="Book Antiqua"/>
          <w:color w:val="FF0000"/>
          <w:sz w:val="20"/>
        </w:rPr>
        <w:t xml:space="preserve"> </w:t>
      </w:r>
      <w:r w:rsidRPr="00923ECC">
        <w:rPr>
          <w:rFonts w:ascii="Book Antiqua" w:hAnsi="Book Antiqua"/>
          <w:sz w:val="20"/>
        </w:rPr>
        <w:t>let us consider the earlier Paleozoic Era.</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flora of the mid to late Paleozoic Era contains</w:t>
      </w:r>
      <w:r w:rsidRPr="00923ECC">
        <w:rPr>
          <w:rFonts w:ascii="Book Antiqua" w:hAnsi="Book Antiqua"/>
          <w:color w:val="FF0000"/>
          <w:sz w:val="20"/>
        </w:rPr>
        <w:t xml:space="preserve"> </w:t>
      </w:r>
      <w:r w:rsidRPr="00923ECC">
        <w:rPr>
          <w:rFonts w:ascii="Book Antiqua" w:hAnsi="Book Antiqua"/>
          <w:sz w:val="20"/>
        </w:rPr>
        <w:t xml:space="preserve">large forests of giant club-mosses (Lycopods), giant horse-tail plants (Equisetopsida or Sphenopsids), and huge ferns (Filicopsids). They comprised the majority of the forest fauna that made up the coal measures which formed at the end of the Paleozoic. The Lycopods, whose central genus was </w:t>
      </w:r>
      <w:r w:rsidRPr="00923ECC">
        <w:rPr>
          <w:rFonts w:ascii="Book Antiqua" w:hAnsi="Book Antiqua"/>
          <w:i/>
          <w:sz w:val="20"/>
        </w:rPr>
        <w:t>Lepidodendron</w:t>
      </w:r>
      <w:r w:rsidRPr="00923ECC">
        <w:rPr>
          <w:rFonts w:ascii="Book Antiqua" w:hAnsi="Book Antiqua"/>
          <w:sz w:val="20"/>
        </w:rPr>
        <w:t xml:space="preserve">, grew to heights approaching 45 meters. Today, the Lycopods, which we refer to as pendant tassel ferns, attain a maximum size of about 2 meters, but are usually much smaller. The Sphenopsids, whose significant species was </w:t>
      </w:r>
      <w:r w:rsidRPr="00923ECC">
        <w:rPr>
          <w:rFonts w:ascii="Book Antiqua" w:hAnsi="Book Antiqua"/>
          <w:i/>
          <w:sz w:val="20"/>
        </w:rPr>
        <w:t>Calamites</w:t>
      </w:r>
      <w:r w:rsidRPr="00923ECC">
        <w:rPr>
          <w:rFonts w:ascii="Book Antiqua" w:hAnsi="Book Antiqua"/>
          <w:sz w:val="20"/>
        </w:rPr>
        <w:t>, grew up to 18 meters. In comparison, their counterparts, the horsetails, today achieve a much more modest maximum of half a meter. The Filicopsid</w:t>
      </w:r>
      <w:r w:rsidRPr="00923ECC">
        <w:rPr>
          <w:rFonts w:ascii="Book Antiqua" w:hAnsi="Book Antiqua"/>
          <w:color w:val="FF0000"/>
          <w:sz w:val="20"/>
        </w:rPr>
        <w:t xml:space="preserve"> </w:t>
      </w:r>
      <w:r w:rsidRPr="00923ECC">
        <w:rPr>
          <w:rFonts w:ascii="Book Antiqua" w:hAnsi="Book Antiqua"/>
          <w:sz w:val="20"/>
        </w:rPr>
        <w:t>ferns, such as the tree fern Psaronius</w:t>
      </w:r>
      <w:r w:rsidRPr="00923ECC">
        <w:rPr>
          <w:rFonts w:ascii="Book Antiqua" w:hAnsi="Book Antiqua"/>
          <w:color w:val="FF0000"/>
          <w:sz w:val="20"/>
        </w:rPr>
        <w:t>,</w:t>
      </w:r>
      <w:r w:rsidRPr="00923ECC">
        <w:rPr>
          <w:rFonts w:ascii="Book Antiqua" w:hAnsi="Book Antiqua"/>
          <w:sz w:val="20"/>
        </w:rPr>
        <w:t xml:space="preserve"> grew 10 meters or more in height. This fern was very similar to the modern </w:t>
      </w:r>
      <w:r w:rsidRPr="00923ECC">
        <w:rPr>
          <w:rFonts w:ascii="Book Antiqua" w:hAnsi="Book Antiqua"/>
          <w:i/>
          <w:sz w:val="20"/>
        </w:rPr>
        <w:t>Dicksonia</w:t>
      </w:r>
      <w:r w:rsidRPr="00923ECC">
        <w:rPr>
          <w:rFonts w:ascii="Book Antiqua" w:hAnsi="Book Antiqua"/>
          <w:sz w:val="20"/>
        </w:rPr>
        <w:t xml:space="preserve"> or Tasmanian tree fern, whose maximum height today is about 4 meters [1, 2]. These are illustrated in Figure 1.</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color w:val="C00000"/>
          <w:sz w:val="20"/>
        </w:rPr>
      </w:pPr>
      <w:r w:rsidRPr="00923ECC">
        <w:rPr>
          <w:rFonts w:ascii="Book Antiqua" w:hAnsi="Book Antiqua"/>
          <w:noProof/>
          <w:color w:val="C00000"/>
          <w:sz w:val="20"/>
        </w:rPr>
        <w:drawing>
          <wp:inline distT="0" distB="0" distL="0" distR="0">
            <wp:extent cx="5191125" cy="4305300"/>
            <wp:effectExtent l="19050" t="0" r="9525" b="0"/>
            <wp:docPr id="138" name="Picture 7" descr="http://universe-review.ca/I10-68-Carbonifer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niverse-review.ca/I10-68-Carboniferous.jpg"/>
                    <pic:cNvPicPr>
                      <a:picLocks noChangeAspect="1" noChangeArrowheads="1"/>
                    </pic:cNvPicPr>
                  </pic:nvPicPr>
                  <pic:blipFill>
                    <a:blip r:embed="rId1095" cstate="print">
                      <a:lum bright="-40000" contrast="20000"/>
                    </a:blip>
                    <a:srcRect/>
                    <a:stretch>
                      <a:fillRect/>
                    </a:stretch>
                  </pic:blipFill>
                  <pic:spPr bwMode="auto">
                    <a:xfrm>
                      <a:off x="0" y="0"/>
                      <a:ext cx="5199661" cy="4312379"/>
                    </a:xfrm>
                    <a:prstGeom prst="rect">
                      <a:avLst/>
                    </a:prstGeom>
                    <a:noFill/>
                    <a:ln w="9525">
                      <a:noFill/>
                      <a:miter lim="800000"/>
                      <a:headEnd/>
                      <a:tailEnd/>
                    </a:ln>
                  </pic:spPr>
                </pic:pic>
              </a:graphicData>
            </a:graphic>
          </wp:inline>
        </w:drawing>
      </w:r>
    </w:p>
    <w:p w:rsidR="0014236D" w:rsidRPr="00923ECC" w:rsidRDefault="0014236D" w:rsidP="0014236D">
      <w:pPr>
        <w:pStyle w:val="NoSpacing"/>
        <w:rPr>
          <w:rFonts w:ascii="Book Antiqua" w:hAnsi="Book Antiqua"/>
          <w:color w:val="C00000"/>
          <w:sz w:val="18"/>
          <w:szCs w:val="18"/>
        </w:rPr>
      </w:pPr>
    </w:p>
    <w:p w:rsidR="0014236D" w:rsidRPr="001203CB" w:rsidRDefault="0014236D" w:rsidP="0014236D">
      <w:pPr>
        <w:pStyle w:val="NoSpacing"/>
        <w:rPr>
          <w:rFonts w:ascii="Book Antiqua" w:hAnsi="Book Antiqua"/>
          <w:i/>
          <w:sz w:val="20"/>
        </w:rPr>
      </w:pPr>
      <w:r w:rsidRPr="001203CB">
        <w:rPr>
          <w:rFonts w:ascii="Book Antiqua" w:hAnsi="Book Antiqua"/>
          <w:b/>
          <w:i/>
          <w:sz w:val="18"/>
          <w:szCs w:val="18"/>
        </w:rPr>
        <w:t>Figure 1:</w:t>
      </w:r>
      <w:r w:rsidRPr="001203CB">
        <w:rPr>
          <w:rFonts w:ascii="Book Antiqua" w:hAnsi="Book Antiqua"/>
          <w:i/>
          <w:sz w:val="18"/>
          <w:szCs w:val="18"/>
        </w:rPr>
        <w:t xml:space="preserve"> Typical late Paleozoic scene. Top right corner is the Lepidodendron, middle right is Calamites, while on the left is the Psaronius. The fallen trunk in the foreground is Lepidodendron. Today, these flora attain </w:t>
      </w:r>
      <w:r>
        <w:rPr>
          <w:rFonts w:ascii="Book Antiqua" w:hAnsi="Book Antiqua"/>
          <w:i/>
          <w:sz w:val="18"/>
          <w:szCs w:val="18"/>
        </w:rPr>
        <w:t>about 3</w:t>
      </w:r>
      <w:r w:rsidRPr="001203CB">
        <w:rPr>
          <w:rFonts w:ascii="Book Antiqua" w:hAnsi="Book Antiqua"/>
          <w:i/>
          <w:sz w:val="18"/>
          <w:szCs w:val="18"/>
        </w:rPr>
        <w:t xml:space="preserve"> feet</w:t>
      </w:r>
      <w:r>
        <w:rPr>
          <w:rFonts w:ascii="Book Antiqua" w:hAnsi="Book Antiqua"/>
          <w:i/>
          <w:sz w:val="18"/>
          <w:szCs w:val="18"/>
        </w:rPr>
        <w:t xml:space="preserve"> (1 meter</w:t>
      </w:r>
      <w:proofErr w:type="gramStart"/>
      <w:r>
        <w:rPr>
          <w:rFonts w:ascii="Book Antiqua" w:hAnsi="Book Antiqua"/>
          <w:i/>
          <w:sz w:val="18"/>
          <w:szCs w:val="18"/>
        </w:rPr>
        <w:t>)</w:t>
      </w:r>
      <w:r w:rsidRPr="001203CB">
        <w:rPr>
          <w:rFonts w:ascii="Book Antiqua" w:hAnsi="Book Antiqua"/>
          <w:i/>
          <w:sz w:val="18"/>
          <w:szCs w:val="18"/>
        </w:rPr>
        <w:t xml:space="preserve"> ;</w:t>
      </w:r>
      <w:proofErr w:type="gramEnd"/>
      <w:r w:rsidRPr="001203CB">
        <w:rPr>
          <w:rFonts w:ascii="Book Antiqua" w:hAnsi="Book Antiqua"/>
          <w:i/>
          <w:sz w:val="18"/>
          <w:szCs w:val="18"/>
        </w:rPr>
        <w:t xml:space="preserve"> back then 60 feet</w:t>
      </w:r>
      <w:r>
        <w:rPr>
          <w:rFonts w:ascii="Book Antiqua" w:hAnsi="Book Antiqua"/>
          <w:i/>
          <w:sz w:val="18"/>
          <w:szCs w:val="18"/>
        </w:rPr>
        <w:t xml:space="preserve"> (about 20 meters) </w:t>
      </w:r>
      <w:r w:rsidRPr="001203CB">
        <w:rPr>
          <w:rFonts w:ascii="Book Antiqua" w:hAnsi="Book Antiqua"/>
          <w:i/>
          <w:sz w:val="18"/>
          <w:szCs w:val="18"/>
        </w:rPr>
        <w:t xml:space="preserve"> was usual.</w:t>
      </w: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lastRenderedPageBreak/>
        <w:drawing>
          <wp:inline distT="0" distB="0" distL="0" distR="0">
            <wp:extent cx="3137867" cy="3534770"/>
            <wp:effectExtent l="19050" t="0" r="5383" b="0"/>
            <wp:docPr id="139"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3142719" cy="3540236"/>
                    </a:xfrm>
                    <a:prstGeom prst="rect">
                      <a:avLst/>
                    </a:prstGeom>
                    <a:noFill/>
                    <a:ln w="9525">
                      <a:noFill/>
                      <a:miter lim="800000"/>
                      <a:headEnd/>
                      <a:tailEnd/>
                    </a:ln>
                  </pic:spPr>
                </pic:pic>
              </a:graphicData>
            </a:graphic>
          </wp:inline>
        </w:drawing>
      </w:r>
    </w:p>
    <w:p w:rsidR="0014236D" w:rsidRPr="00923ECC" w:rsidRDefault="0014236D" w:rsidP="00D1626D">
      <w:pPr>
        <w:pStyle w:val="NoSpacing"/>
        <w:jc w:val="center"/>
        <w:rPr>
          <w:rFonts w:ascii="Book Antiqua" w:hAnsi="Book Antiqua"/>
          <w:b/>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2:</w:t>
      </w:r>
      <w:r w:rsidRPr="001203CB">
        <w:rPr>
          <w:rFonts w:ascii="Book Antiqua" w:hAnsi="Book Antiqua"/>
          <w:i/>
          <w:sz w:val="18"/>
          <w:szCs w:val="18"/>
        </w:rPr>
        <w:t xml:space="preserve"> Above and below – size comparison of Paleozoic flora and fauna</w:t>
      </w:r>
      <w:r w:rsidR="00796C66">
        <w:rPr>
          <w:rFonts w:ascii="Book Antiqua" w:hAnsi="Book Antiqua"/>
          <w:i/>
          <w:sz w:val="18"/>
          <w:szCs w:val="18"/>
        </w:rPr>
        <w:t xml:space="preserve"> compared with now</w:t>
      </w:r>
      <w:r w:rsidRPr="001203CB">
        <w:rPr>
          <w:rFonts w:ascii="Book Antiqua" w:hAnsi="Book Antiqua"/>
          <w:i/>
          <w:sz w:val="18"/>
          <w:szCs w:val="18"/>
        </w:rPr>
        <w:t>.</w:t>
      </w:r>
    </w:p>
    <w:p w:rsidR="0014236D" w:rsidRPr="00923ECC" w:rsidRDefault="0014236D" w:rsidP="00D1626D">
      <w:pPr>
        <w:pStyle w:val="NoSpacing"/>
        <w:jc w:val="center"/>
        <w:rPr>
          <w:rFonts w:ascii="Book Antiqua" w:hAnsi="Book Antiqua"/>
          <w:sz w:val="20"/>
        </w:rPr>
      </w:pPr>
    </w:p>
    <w:p w:rsidR="0014236D" w:rsidRPr="00923ECC" w:rsidRDefault="0014236D" w:rsidP="0014236D">
      <w:pPr>
        <w:pStyle w:val="NoSpacing"/>
        <w:jc w:val="center"/>
        <w:rPr>
          <w:rFonts w:ascii="Book Antiqua" w:hAnsi="Book Antiqua"/>
          <w:sz w:val="20"/>
        </w:rPr>
      </w:pPr>
      <w:r w:rsidRPr="0056617C">
        <w:rPr>
          <w:rFonts w:ascii="Book Antiqua" w:hAnsi="Book Antiqua"/>
          <w:noProof/>
          <w:sz w:val="20"/>
        </w:rPr>
        <w:drawing>
          <wp:inline distT="0" distB="0" distL="0" distR="0">
            <wp:extent cx="5674819" cy="3404027"/>
            <wp:effectExtent l="19050" t="0" r="2081" b="0"/>
            <wp:docPr id="140" name="Picture 5" descr="http://www.search4dinosaurs.com/rb_carboniferous.jpg"/>
            <wp:cNvGraphicFramePr/>
            <a:graphic xmlns:a="http://schemas.openxmlformats.org/drawingml/2006/main">
              <a:graphicData uri="http://schemas.openxmlformats.org/drawingml/2006/picture">
                <pic:pic xmlns:pic="http://schemas.openxmlformats.org/drawingml/2006/picture">
                  <pic:nvPicPr>
                    <pic:cNvPr id="124930" name="Picture 2" descr="http://www.search4dinosaurs.com/rb_carboniferous.jpg"/>
                    <pic:cNvPicPr>
                      <a:picLocks noChangeAspect="1" noChangeArrowheads="1"/>
                    </pic:cNvPicPr>
                  </pic:nvPicPr>
                  <pic:blipFill>
                    <a:blip r:embed="rId1096" cstate="print"/>
                    <a:srcRect/>
                    <a:stretch>
                      <a:fillRect/>
                    </a:stretch>
                  </pic:blipFill>
                  <pic:spPr bwMode="auto">
                    <a:xfrm>
                      <a:off x="0" y="0"/>
                      <a:ext cx="5675561" cy="3404472"/>
                    </a:xfrm>
                    <a:prstGeom prst="rect">
                      <a:avLst/>
                    </a:prstGeom>
                    <a:noFill/>
                  </pic:spPr>
                </pic:pic>
              </a:graphicData>
            </a:graphic>
          </wp:inline>
        </w:drawing>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We find similar gigantism</w:t>
      </w:r>
      <w:r w:rsidRPr="00923ECC">
        <w:rPr>
          <w:rFonts w:ascii="Book Antiqua" w:hAnsi="Book Antiqua"/>
          <w:color w:val="FF0000"/>
          <w:sz w:val="20"/>
        </w:rPr>
        <w:t xml:space="preserve"> </w:t>
      </w:r>
      <w:r w:rsidRPr="00923ECC">
        <w:rPr>
          <w:rFonts w:ascii="Book Antiqua" w:hAnsi="Book Antiqua"/>
          <w:sz w:val="20"/>
        </w:rPr>
        <w:t xml:space="preserve">with the invertebrates that existed during the Paleozoic Era. R. Khamsi reported an important example in New Scientist for the 21 November </w:t>
      </w:r>
      <w:proofErr w:type="gramStart"/>
      <w:r w:rsidRPr="00923ECC">
        <w:rPr>
          <w:rFonts w:ascii="Book Antiqua" w:hAnsi="Book Antiqua"/>
          <w:sz w:val="20"/>
        </w:rPr>
        <w:t>2007  [</w:t>
      </w:r>
      <w:proofErr w:type="gramEnd"/>
      <w:r w:rsidRPr="00923ECC">
        <w:rPr>
          <w:rFonts w:ascii="Book Antiqua" w:hAnsi="Book Antiqua"/>
          <w:sz w:val="20"/>
        </w:rPr>
        <w:t xml:space="preserve">3]. The article stated that, in Germany, strata from the Devonian Period of the Paleozoic </w:t>
      </w:r>
      <w:proofErr w:type="gramStart"/>
      <w:r w:rsidRPr="00923ECC">
        <w:rPr>
          <w:rFonts w:ascii="Book Antiqua" w:hAnsi="Book Antiqua"/>
          <w:sz w:val="20"/>
        </w:rPr>
        <w:t>Era,</w:t>
      </w:r>
      <w:proofErr w:type="gramEnd"/>
      <w:r w:rsidRPr="00923ECC">
        <w:rPr>
          <w:rFonts w:ascii="Book Antiqua" w:hAnsi="Book Antiqua"/>
          <w:sz w:val="20"/>
        </w:rPr>
        <w:t xml:space="preserve"> yielded the fossilized remains of a giant sea scorpion. The total length of this </w:t>
      </w:r>
      <w:r w:rsidRPr="00923ECC">
        <w:rPr>
          <w:rFonts w:ascii="Book Antiqua" w:hAnsi="Book Antiqua"/>
          <w:sz w:val="20"/>
        </w:rPr>
        <w:lastRenderedPageBreak/>
        <w:t xml:space="preserve">Eurypterid was conservatively estimated to be 2.5 meters or around 8.3 feet [4]. A number of paleontologists believe that this type of Eurypterid, </w:t>
      </w:r>
      <w:r w:rsidRPr="00923ECC">
        <w:rPr>
          <w:rFonts w:ascii="Book Antiqua" w:hAnsi="Book Antiqua"/>
          <w:i/>
          <w:iCs/>
          <w:sz w:val="20"/>
        </w:rPr>
        <w:t>Jaekelopterus rhenaniae</w:t>
      </w:r>
      <w:r w:rsidRPr="00923ECC">
        <w:rPr>
          <w:rFonts w:ascii="Book Antiqua" w:hAnsi="Book Antiqua"/>
          <w:sz w:val="20"/>
        </w:rPr>
        <w:t>, was the ancestor of modern land scorpions, though some question this conclusion. Since modern scorpions attain a maximum size of about 30 centimeters or about one foot, the size of these early specimens presents a huge puzzle.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noProof/>
          <w:sz w:val="20"/>
        </w:rPr>
      </w:pPr>
      <w:r w:rsidRPr="00923ECC">
        <w:rPr>
          <w:rFonts w:ascii="Book Antiqua" w:hAnsi="Book Antiqua"/>
          <w:sz w:val="20"/>
        </w:rPr>
        <w:t xml:space="preserve">However, the sea scorpions were only one of a number of giant invertebrates. The team that found this sea scorpion fossil was quoted on the BBC News as saying </w:t>
      </w:r>
      <w:r w:rsidRPr="00923ECC">
        <w:rPr>
          <w:rFonts w:ascii="Book Antiqua" w:hAnsi="Book Antiqua"/>
          <w:i/>
          <w:sz w:val="20"/>
        </w:rPr>
        <w:t>"The size of the beast suggests that spiders, insects, crabs and similar creatures were much larger in the past than previously thought."</w:t>
      </w:r>
      <w:r w:rsidRPr="00923ECC">
        <w:rPr>
          <w:rFonts w:ascii="Book Antiqua" w:hAnsi="Book Antiqua"/>
          <w:sz w:val="20"/>
        </w:rPr>
        <w:t>[5</w:t>
      </w:r>
      <w:proofErr w:type="gramStart"/>
      <w:r w:rsidRPr="00923ECC">
        <w:rPr>
          <w:rFonts w:ascii="Book Antiqua" w:hAnsi="Book Antiqua"/>
          <w:sz w:val="20"/>
        </w:rPr>
        <w:t xml:space="preserve">] </w:t>
      </w:r>
      <w:r w:rsidRPr="00923ECC">
        <w:rPr>
          <w:rFonts w:ascii="Book Antiqua" w:hAnsi="Book Antiqua"/>
          <w:i/>
          <w:sz w:val="20"/>
        </w:rPr>
        <w:t xml:space="preserve"> </w:t>
      </w:r>
      <w:r w:rsidRPr="00923ECC">
        <w:rPr>
          <w:rFonts w:ascii="Book Antiqua" w:hAnsi="Book Antiqua"/>
          <w:sz w:val="20"/>
        </w:rPr>
        <w:t>The</w:t>
      </w:r>
      <w:proofErr w:type="gramEnd"/>
      <w:r w:rsidRPr="00923ECC">
        <w:rPr>
          <w:rFonts w:ascii="Book Antiqua" w:hAnsi="Book Antiqua"/>
          <w:sz w:val="20"/>
        </w:rPr>
        <w:t xml:space="preserve"> team, headed by Dr. Simon Braddy, also mentioned that monster millipedes, giant cockroaches, and jumbo dragonflies also appear in this segment of the fossil record. The giant millipede, Arthropleura, was over 2 meters (6.6 feet) long and is considered to be related to the centipedes and millipedes we have today. A size comparison appears in Fig. 2 top &amp; bottom.</w:t>
      </w:r>
      <w:r w:rsidRPr="00923ECC">
        <w:rPr>
          <w:rFonts w:ascii="Book Antiqua" w:hAnsi="Book Antiqua"/>
          <w:sz w:val="20"/>
        </w:rPr>
        <w:tab/>
      </w:r>
    </w:p>
    <w:p w:rsidR="0014236D" w:rsidRPr="00923ECC" w:rsidRDefault="0014236D" w:rsidP="0014236D">
      <w:pPr>
        <w:pStyle w:val="NoSpacing"/>
        <w:jc w:val="both"/>
        <w:rPr>
          <w:rFonts w:ascii="Book Antiqua" w:hAnsi="Book Antiqua"/>
          <w:noProof/>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largest Paleozoic dragonfly found so far was Meganeura with a wingspans ranging up to 75 centimeters (2.5 feet), and an estimated weight of 450 grams (1 pound). In comparison, the largest dragonfly today has a wingspan of only 7 inches. In fact, Meganeura appears to have been the largest airborne insect of all time [5]. The largest single wing width found measured 33 centimeters, which means a full span would be close to 70 cm, as shown in Fig. 2.</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Gigantic fauna is not limited to the Paleozoic Era. In Mesozoic strata we find gigantism among invertebrates. </w:t>
      </w:r>
      <w:proofErr w:type="gramStart"/>
      <w:r w:rsidRPr="00923ECC">
        <w:rPr>
          <w:rFonts w:ascii="Book Antiqua" w:hAnsi="Book Antiqua"/>
          <w:sz w:val="20"/>
        </w:rPr>
        <w:t>For example, fleas, attained lengths of up to 2.06 centimeters or so [6].</w:t>
      </w:r>
      <w:proofErr w:type="gramEnd"/>
      <w:r w:rsidRPr="00923ECC">
        <w:rPr>
          <w:rFonts w:ascii="Book Antiqua" w:hAnsi="Book Antiqua"/>
          <w:sz w:val="20"/>
        </w:rPr>
        <w:t xml:space="preserve">  It is also in the Mesozoic where the famous dinosaurs are found</w:t>
      </w:r>
      <w:proofErr w:type="gramStart"/>
      <w:r w:rsidRPr="00923ECC">
        <w:rPr>
          <w:rFonts w:ascii="Book Antiqua" w:hAnsi="Book Antiqua"/>
          <w:sz w:val="20"/>
        </w:rPr>
        <w:t>,  dinosaurs</w:t>
      </w:r>
      <w:proofErr w:type="gramEnd"/>
      <w:r w:rsidRPr="00923ECC">
        <w:rPr>
          <w:rFonts w:ascii="Book Antiqua" w:hAnsi="Book Antiqua"/>
          <w:sz w:val="20"/>
        </w:rPr>
        <w:t xml:space="preserve"> such as Diplodocus which was 90 feet (27 meters) long, 16 feet (5 meters) tall at the hips, and weighed from 10 to 20 tons. Apatosaurus was up to 40 meters (130 feet) long, over 17 meters (55 feet) tall and weighed over 30 tons. An approximate size comparison for some Mesozoic fauna is given in Figure 3.</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6115050" cy="3371850"/>
            <wp:effectExtent l="19050" t="0" r="0" b="0"/>
            <wp:docPr id="141"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097" cstate="print"/>
                    <a:srcRect/>
                    <a:stretch>
                      <a:fillRect/>
                    </a:stretch>
                  </pic:blipFill>
                  <pic:spPr bwMode="auto">
                    <a:xfrm>
                      <a:off x="0" y="0"/>
                      <a:ext cx="6125667" cy="3377704"/>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3:</w:t>
      </w:r>
      <w:r w:rsidRPr="001203CB">
        <w:rPr>
          <w:rFonts w:ascii="Book Antiqua" w:hAnsi="Book Antiqua"/>
          <w:i/>
          <w:sz w:val="18"/>
          <w:szCs w:val="18"/>
        </w:rPr>
        <w:t xml:space="preserve"> Some large Mesozoic dinosaurs compared in size with a human.</w:t>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The Cenozoic Era also presents us with gigantism, but in a different set of dominant fauna. The Megatherium, or giant ground sloth, weighed 5 tons and, standing on its hind legs and tail, could reach a height of 20 feet. It may have been one of the largest mammals to walk the earth. In similar fashion, the giant wombat, Diprotodon, the size of a rhinoceros, may have been the largest marsupial to ever inhabit this planet. In Australia today, wombats are </w:t>
      </w:r>
      <w:proofErr w:type="gramStart"/>
      <w:r w:rsidRPr="00923ECC">
        <w:rPr>
          <w:rFonts w:ascii="Book Antiqua" w:hAnsi="Book Antiqua"/>
          <w:sz w:val="20"/>
        </w:rPr>
        <w:t>under</w:t>
      </w:r>
      <w:proofErr w:type="gramEnd"/>
      <w:r w:rsidRPr="00923ECC">
        <w:rPr>
          <w:rFonts w:ascii="Book Antiqua" w:hAnsi="Book Antiqua"/>
          <w:sz w:val="20"/>
        </w:rPr>
        <w:t xml:space="preserve"> three </w:t>
      </w:r>
      <w:r w:rsidRPr="00923ECC">
        <w:rPr>
          <w:rFonts w:ascii="Book Antiqua" w:hAnsi="Book Antiqua"/>
          <w:sz w:val="20"/>
        </w:rPr>
        <w:lastRenderedPageBreak/>
        <w:t xml:space="preserve">feet long. Giant kangaroos stood 10 feet (3 meters) tall and weighed 450 pounds (200 kilograms), and there is evidence of an 1100 pound (500 kg) flightless bird, whose fossils have recently </w:t>
      </w:r>
      <w:proofErr w:type="gramStart"/>
      <w:r w:rsidRPr="00923ECC">
        <w:rPr>
          <w:rFonts w:ascii="Book Antiqua" w:hAnsi="Book Antiqua"/>
          <w:sz w:val="20"/>
        </w:rPr>
        <w:t>been</w:t>
      </w:r>
      <w:proofErr w:type="gramEnd"/>
      <w:r w:rsidRPr="00923ECC">
        <w:rPr>
          <w:rFonts w:ascii="Book Antiqua" w:hAnsi="Book Antiqua"/>
          <w:sz w:val="20"/>
        </w:rPr>
        <w:t xml:space="preserve"> discussed [7]. Some other comparisons are given in Figure 4.</w:t>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jc w:val="center"/>
        <w:rPr>
          <w:rFonts w:ascii="Book Antiqua" w:hAnsi="Book Antiqua"/>
          <w:color w:val="C00000"/>
          <w:sz w:val="20"/>
        </w:rPr>
      </w:pPr>
      <w:r w:rsidRPr="00923ECC">
        <w:rPr>
          <w:rFonts w:ascii="Book Antiqua" w:hAnsi="Book Antiqua"/>
          <w:noProof/>
          <w:sz w:val="20"/>
        </w:rPr>
        <w:drawing>
          <wp:inline distT="0" distB="0" distL="0" distR="0">
            <wp:extent cx="6571750" cy="3629025"/>
            <wp:effectExtent l="19050" t="0" r="500" b="0"/>
            <wp:docPr id="142" name="gmi-ResViewSizer_img" descr="http://fc07.deviantart.net/fs71/i/2011/326/7/c/megafauna_sizes_by_pantherasonya-d4h0f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ResViewSizer_img" descr="http://fc07.deviantart.net/fs71/i/2011/326/7/c/megafauna_sizes_by_pantherasonya-d4h0fr6.jpg"/>
                    <pic:cNvPicPr>
                      <a:picLocks noChangeAspect="1" noChangeArrowheads="1"/>
                    </pic:cNvPicPr>
                  </pic:nvPicPr>
                  <pic:blipFill>
                    <a:blip r:embed="rId1098" cstate="print"/>
                    <a:srcRect t="7812" r="426"/>
                    <a:stretch>
                      <a:fillRect/>
                    </a:stretch>
                  </pic:blipFill>
                  <pic:spPr bwMode="auto">
                    <a:xfrm>
                      <a:off x="0" y="0"/>
                      <a:ext cx="6566191" cy="362595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color w:val="C00000"/>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4:</w:t>
      </w:r>
      <w:r w:rsidRPr="001203CB">
        <w:rPr>
          <w:rFonts w:ascii="Book Antiqua" w:hAnsi="Book Antiqua"/>
          <w:i/>
          <w:sz w:val="18"/>
          <w:szCs w:val="18"/>
        </w:rPr>
        <w:t xml:space="preserve"> Cenozoic fauna and megafauna approximate size comparisons.</w:t>
      </w:r>
    </w:p>
    <w:p w:rsidR="0014236D" w:rsidRPr="00923ECC" w:rsidRDefault="0014236D" w:rsidP="0014236D">
      <w:pPr>
        <w:pStyle w:val="NoSpacing"/>
        <w:jc w:val="both"/>
        <w:rPr>
          <w:rFonts w:ascii="Book Antiqua" w:hAnsi="Book Antiqua"/>
          <w:color w:val="C00000"/>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color w:val="C00000"/>
          <w:sz w:val="20"/>
        </w:rPr>
        <w:tab/>
      </w:r>
      <w:r w:rsidRPr="00923ECC">
        <w:rPr>
          <w:rFonts w:ascii="Book Antiqua" w:hAnsi="Book Antiqua"/>
          <w:sz w:val="20"/>
        </w:rPr>
        <w:t xml:space="preserve">In other words, gigantism appears to be a significant part of the fossil record, but it is not something we see today.  The plants and animals we see in our world are usually very much smaller than their early relatives, which we find only in fossils.  At present no satisfactory explanation has been offered for either why things were so large before or, conversely perhaps, why things are so small now.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b/>
          <w:sz w:val="20"/>
        </w:rPr>
      </w:pPr>
      <w:r w:rsidRPr="00923ECC">
        <w:rPr>
          <w:rFonts w:ascii="Book Antiqua" w:hAnsi="Book Antiqua"/>
          <w:b/>
          <w:sz w:val="20"/>
        </w:rPr>
        <w:t xml:space="preserve">2.  Problems </w:t>
      </w:r>
      <w:proofErr w:type="gramStart"/>
      <w:r w:rsidRPr="00923ECC">
        <w:rPr>
          <w:rFonts w:ascii="Book Antiqua" w:hAnsi="Book Antiqua"/>
          <w:b/>
          <w:sz w:val="20"/>
        </w:rPr>
        <w:t>With</w:t>
      </w:r>
      <w:proofErr w:type="gramEnd"/>
      <w:r w:rsidRPr="00923ECC">
        <w:rPr>
          <w:rFonts w:ascii="Book Antiqua" w:hAnsi="Book Antiqua"/>
          <w:b/>
          <w:sz w:val="20"/>
        </w:rPr>
        <w:t xml:space="preserve"> Fossil Fauna</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2. 1 </w:t>
      </w:r>
      <w:proofErr w:type="gramStart"/>
      <w:r w:rsidRPr="00923ECC">
        <w:rPr>
          <w:rFonts w:ascii="Book Antiqua" w:hAnsi="Book Antiqua"/>
          <w:i/>
          <w:sz w:val="20"/>
          <w:szCs w:val="20"/>
        </w:rPr>
        <w:t>The</w:t>
      </w:r>
      <w:proofErr w:type="gramEnd"/>
      <w:r w:rsidRPr="00923ECC">
        <w:rPr>
          <w:rFonts w:ascii="Book Antiqua" w:hAnsi="Book Antiqua"/>
          <w:i/>
          <w:sz w:val="20"/>
          <w:szCs w:val="20"/>
        </w:rPr>
        <w:t xml:space="preserve"> Importance of a Sheath Around Nerves</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Nerves in all vertebrate animals conduct electrical impulses.  In the same way a wire must be insulated to keep the electrical current from dissipating, nerves are insulated by a fatty layer called myelin (see figure 5). This myelin coating allows the nerve impulses to travel at a very high speed.</w:t>
      </w:r>
      <w:r w:rsidRPr="00923ECC">
        <w:rPr>
          <w:rFonts w:ascii="Book Antiqua" w:hAnsi="Book Antiqua"/>
          <w:color w:val="FF0000"/>
          <w:sz w:val="20"/>
        </w:rPr>
        <w:t xml:space="preserve"> </w:t>
      </w:r>
      <w:r w:rsidRPr="00923ECC">
        <w:rPr>
          <w:rFonts w:ascii="Book Antiqua" w:hAnsi="Book Antiqua"/>
          <w:sz w:val="20"/>
        </w:rPr>
        <w:t>This speed rises from about 1 meter per second for a bare nerve fiber, perhaps about 10 microns in diameter, to over 50 meters per second for the same axon sheathed in myelin. (A micron is one millionth of a meter.)</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i/>
          <w:sz w:val="20"/>
        </w:rPr>
      </w:pPr>
      <w:r w:rsidRPr="00923ECC">
        <w:rPr>
          <w:rFonts w:ascii="Book Antiqua" w:hAnsi="Book Antiqua"/>
          <w:sz w:val="20"/>
        </w:rPr>
        <w:t>This leads us to a difficulty where some of the giants are concerned. Dr. David Colman, Director of Montreal Neurological Institute and Hospital responded to an article by Sander and Claus in</w:t>
      </w:r>
      <w:r w:rsidRPr="00923ECC">
        <w:rPr>
          <w:rFonts w:ascii="Book Antiqua" w:hAnsi="Book Antiqua"/>
          <w:i/>
          <w:sz w:val="20"/>
        </w:rPr>
        <w:t xml:space="preserve"> Science</w:t>
      </w:r>
      <w:r w:rsidRPr="00923ECC">
        <w:rPr>
          <w:rFonts w:ascii="Book Antiqua" w:hAnsi="Book Antiqua"/>
          <w:sz w:val="20"/>
        </w:rPr>
        <w:t xml:space="preserve">, 322 (2007), pp.200-201 where they discussed the means of development of a variety of attributes in dinosaurs. In response, Dr Coleman said: </w:t>
      </w:r>
      <w:r w:rsidRPr="00923ECC">
        <w:rPr>
          <w:rFonts w:ascii="Book Antiqua" w:hAnsi="Book Antiqua"/>
          <w:i/>
          <w:sz w:val="20"/>
        </w:rPr>
        <w:t>"... it is curious that the authors [Sander and Clauss] missed what must have been the ... prerequisite for all these other attributes to develop - the myelin sheath [around the nerve fibers], which is the most important specialization of the vertebrate nervous system after the synapse."</w:t>
      </w:r>
      <w:r w:rsidRPr="00923ECC">
        <w:rPr>
          <w:rFonts w:ascii="Book Antiqua" w:hAnsi="Book Antiqua"/>
          <w:sz w:val="20"/>
        </w:rPr>
        <w:t>[8]</w:t>
      </w:r>
      <w:r w:rsidRPr="00923ECC">
        <w:rPr>
          <w:rFonts w:ascii="Book Antiqua" w:hAnsi="Book Antiqua"/>
          <w:i/>
          <w:sz w:val="20"/>
        </w:rPr>
        <w:t xml:space="preserv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color w:val="FF0000"/>
          <w:sz w:val="20"/>
        </w:rPr>
      </w:pPr>
      <w:r w:rsidRPr="00923ECC">
        <w:rPr>
          <w:rFonts w:ascii="Book Antiqua" w:hAnsi="Book Antiqua"/>
          <w:noProof/>
          <w:sz w:val="20"/>
        </w:rPr>
        <w:drawing>
          <wp:inline distT="0" distB="0" distL="0" distR="0">
            <wp:extent cx="4425962" cy="2505075"/>
            <wp:effectExtent l="19050" t="0" r="0" b="0"/>
            <wp:docPr id="143" name="il_fi"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neuron"/>
                    <pic:cNvPicPr>
                      <a:picLocks noChangeAspect="1" noChangeArrowheads="1"/>
                    </pic:cNvPicPr>
                  </pic:nvPicPr>
                  <pic:blipFill>
                    <a:blip r:embed="rId1099" cstate="print"/>
                    <a:srcRect t="6638"/>
                    <a:stretch>
                      <a:fillRect/>
                    </a:stretch>
                  </pic:blipFill>
                  <pic:spPr bwMode="auto">
                    <a:xfrm>
                      <a:off x="0" y="0"/>
                      <a:ext cx="4425962" cy="250507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b/>
          <w:i/>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5:</w:t>
      </w:r>
      <w:r w:rsidRPr="001203CB">
        <w:rPr>
          <w:rFonts w:ascii="Book Antiqua" w:hAnsi="Book Antiqua"/>
          <w:i/>
          <w:sz w:val="18"/>
          <w:szCs w:val="18"/>
        </w:rPr>
        <w:t xml:space="preserve"> Typical nerve cell (neuron). Schwan's cells make myelin.</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i/>
          <w:sz w:val="20"/>
        </w:rPr>
        <w:tab/>
      </w:r>
      <w:r w:rsidRPr="00923ECC">
        <w:rPr>
          <w:rFonts w:ascii="Book Antiqua" w:hAnsi="Book Antiqua"/>
          <w:sz w:val="20"/>
        </w:rPr>
        <w:t xml:space="preserve">Dr. Coleman goes on: </w:t>
      </w:r>
      <w:r w:rsidRPr="00923ECC">
        <w:rPr>
          <w:rFonts w:ascii="Book Antiqua" w:hAnsi="Book Antiqua"/>
          <w:i/>
          <w:sz w:val="20"/>
        </w:rPr>
        <w:t>"Imagine a giant sauropod whose nerves were not myelinated. Bitten in the tail by a predator, it would take a full 40 seconds for action potentials [nerve impulses] to ascend the length of the tail, body and neck to reach the brain, and another 40 seconds for the signal to return to the tail muscles. Is there any doubt that this reaction time would be incompatible with a successful defensive or escape response?"</w:t>
      </w:r>
      <w:r w:rsidRPr="00923ECC">
        <w:rPr>
          <w:rFonts w:ascii="Book Antiqua" w:hAnsi="Book Antiqua"/>
          <w:sz w:val="20"/>
        </w:rPr>
        <w:t>[8] On the figures given in that article, myelinated nerves of the same diameter would require about 1.6 seconds for the round trip reaction time.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Dr, Coleman continues:</w:t>
      </w:r>
      <w:r w:rsidRPr="00923ECC">
        <w:rPr>
          <w:rFonts w:ascii="Book Antiqua" w:hAnsi="Book Antiqua"/>
          <w:i/>
          <w:sz w:val="20"/>
        </w:rPr>
        <w:t xml:space="preserve"> "The [myelin] sheath is segmented, and there are openings [nodes of Ranvier] where the axon is 'bare' and where sodium channels cluster. The action potential [nerve impulse] jumps from node to node at great speed (saltatory conduction), much greater than if the nerve were nonmyelinated." </w:t>
      </w:r>
      <w:r w:rsidRPr="00923ECC">
        <w:rPr>
          <w:rFonts w:ascii="Book Antiqua" w:hAnsi="Book Antiqua"/>
          <w:sz w:val="20"/>
        </w:rPr>
        <w:t>Dr. Colman finalizes by saying,</w:t>
      </w:r>
      <w:r w:rsidRPr="00923ECC">
        <w:rPr>
          <w:rFonts w:ascii="Book Antiqua" w:hAnsi="Book Antiqua"/>
          <w:i/>
          <w:sz w:val="20"/>
        </w:rPr>
        <w:t xml:space="preserve"> "Thus, we have to conclude that by myelinating the nervous system, massive body size became possible; it permitted survival by organisms that then became progressively larger, possibly because of </w:t>
      </w:r>
      <w:r w:rsidRPr="00923ECC">
        <w:rPr>
          <w:rFonts w:ascii="Book Antiqua" w:hAnsi="Book Antiqua"/>
          <w:b/>
          <w:i/>
          <w:sz w:val="20"/>
        </w:rPr>
        <w:t>secondary</w:t>
      </w:r>
      <w:r w:rsidRPr="00923ECC">
        <w:rPr>
          <w:rFonts w:ascii="Book Antiqua" w:hAnsi="Book Antiqua"/>
          <w:i/>
          <w:sz w:val="20"/>
        </w:rPr>
        <w:t xml:space="preserve"> factors such as those proposed by Sander and Clauss."</w:t>
      </w:r>
      <w:r w:rsidRPr="00923ECC">
        <w:rPr>
          <w:rFonts w:ascii="Book Antiqua" w:hAnsi="Book Antiqua"/>
          <w:sz w:val="20"/>
        </w:rPr>
        <w:t>[8]</w:t>
      </w:r>
      <w:r w:rsidRPr="00923ECC">
        <w:rPr>
          <w:rFonts w:ascii="Book Antiqua" w:hAnsi="Book Antiqua"/>
          <w:i/>
          <w:sz w:val="20"/>
        </w:rPr>
        <w:t xml:space="preserve"> </w:t>
      </w:r>
      <w:r w:rsidRPr="00923ECC">
        <w:rPr>
          <w:rFonts w:ascii="Book Antiqua" w:hAnsi="Book Antiqua"/>
          <w:sz w:val="20"/>
        </w:rPr>
        <w:t xml:space="preserv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It is at this point that an important fact need be noted. A.S. Hill et al. state: </w:t>
      </w:r>
      <w:r w:rsidRPr="00923ECC">
        <w:rPr>
          <w:rFonts w:ascii="Book Antiqua" w:hAnsi="Book Antiqua"/>
          <w:i/>
          <w:sz w:val="20"/>
        </w:rPr>
        <w:t>"Most animals, from jellyfish to man, rely on electrical impulses called action potentials (APs) for rapid, long distance neuronal signaling. ... In jawed vertebrates (i.e. sharks, jawed bony fish, and tetrapods), the rate of AP propagation along nerve fibers, or axons, is markedly increased by myelin. ... By contrast, invertebrate neurons typically lack myelinated axons ..."</w:t>
      </w:r>
      <w:r w:rsidRPr="00923ECC">
        <w:rPr>
          <w:rFonts w:ascii="Book Antiqua" w:hAnsi="Book Antiqua"/>
          <w:sz w:val="20"/>
        </w:rPr>
        <w:t>[9]</w:t>
      </w:r>
      <w:r w:rsidRPr="00923ECC">
        <w:rPr>
          <w:rFonts w:ascii="Book Antiqua" w:hAnsi="Book Antiqua"/>
          <w:i/>
          <w:sz w:val="20"/>
        </w:rPr>
        <w:t xml:space="preserve"> </w:t>
      </w:r>
      <w:proofErr w:type="gramStart"/>
      <w:r w:rsidRPr="00923ECC">
        <w:rPr>
          <w:rFonts w:ascii="Book Antiqua" w:hAnsi="Book Antiqua"/>
          <w:sz w:val="20"/>
        </w:rPr>
        <w:t>Their</w:t>
      </w:r>
      <w:proofErr w:type="gramEnd"/>
      <w:r w:rsidRPr="00923ECC">
        <w:rPr>
          <w:rFonts w:ascii="Book Antiqua" w:hAnsi="Book Antiqua"/>
          <w:sz w:val="20"/>
        </w:rPr>
        <w:t xml:space="preserve"> paper illustrated the difference between the myelinated nerves of the jawed vertebrates and the unmyelinated nerves of the invertebrates (non chordates).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2. 2 </w:t>
      </w:r>
      <w:proofErr w:type="gramStart"/>
      <w:r w:rsidRPr="00923ECC">
        <w:rPr>
          <w:rFonts w:ascii="Book Antiqua" w:hAnsi="Book Antiqua"/>
          <w:i/>
          <w:sz w:val="20"/>
          <w:szCs w:val="20"/>
        </w:rPr>
        <w:t>The</w:t>
      </w:r>
      <w:proofErr w:type="gramEnd"/>
      <w:r w:rsidRPr="00923ECC">
        <w:rPr>
          <w:rFonts w:ascii="Book Antiqua" w:hAnsi="Book Antiqua"/>
          <w:i/>
          <w:sz w:val="20"/>
          <w:szCs w:val="20"/>
        </w:rPr>
        <w:t xml:space="preserve"> Importance of Bio-Electro-Magnetism</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For both vertebrates and invertebrates, then, it is important to know how nerves conduct their messages.  Zalc et al. summarize the situation as follows.</w:t>
      </w:r>
      <w:r w:rsidRPr="00923ECC">
        <w:rPr>
          <w:rFonts w:ascii="Book Antiqua" w:hAnsi="Book Antiqua"/>
          <w:i/>
          <w:sz w:val="20"/>
        </w:rPr>
        <w:t xml:space="preserve"> "The myelin sheath was a transformative vertebrate acquisition, enabling great increases in impulse propagation velocity along axons. ... In non-myelinated axons, the propagation speed of the action potential [nerve signal] is directly proportional to the axon diameter. In both vertebrates and invertebrates, axon diameter averages between 0.5 and 30 microns. As a consequence, action potentials along non-myelinated invertebrate axons propagate at about 1 m sec</w:t>
      </w:r>
      <w:r w:rsidRPr="00923ECC">
        <w:rPr>
          <w:rFonts w:ascii="Book Antiqua" w:hAnsi="Book Antiqua"/>
          <w:i/>
          <w:sz w:val="20"/>
          <w:vertAlign w:val="superscript"/>
        </w:rPr>
        <w:t>−1</w:t>
      </w:r>
      <w:r w:rsidRPr="00923ECC">
        <w:rPr>
          <w:rFonts w:ascii="Book Antiqua" w:hAnsi="Book Antiqua"/>
          <w:i/>
          <w:sz w:val="20"/>
        </w:rPr>
        <w:t xml:space="preserve"> or less for an axon of </w:t>
      </w:r>
      <w:r w:rsidRPr="00923ECC">
        <w:rPr>
          <w:rFonts w:ascii="Book Antiqua" w:hAnsi="Book Antiqua"/>
          <w:i/>
          <w:noProof/>
          <w:sz w:val="20"/>
        </w:rPr>
        <w:drawing>
          <wp:inline distT="0" distB="0" distL="0" distR="0">
            <wp:extent cx="127000" cy="38100"/>
            <wp:effectExtent l="19050" t="0" r="6350" b="0"/>
            <wp:docPr id="144" name="Picture 54" descr="not, vert, sim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t, vert, similar"/>
                    <pic:cNvPicPr>
                      <a:picLocks noChangeAspect="1" noChangeArrowheads="1"/>
                    </pic:cNvPicPr>
                  </pic:nvPicPr>
                  <pic:blipFill>
                    <a:blip r:embed="rId1100" cstate="print"/>
                    <a:srcRect/>
                    <a:stretch>
                      <a:fillRect/>
                    </a:stretch>
                  </pic:blipFill>
                  <pic:spPr bwMode="auto">
                    <a:xfrm>
                      <a:off x="0" y="0"/>
                      <a:ext cx="127000" cy="38100"/>
                    </a:xfrm>
                    <a:prstGeom prst="rect">
                      <a:avLst/>
                    </a:prstGeom>
                    <a:noFill/>
                    <a:ln w="9525">
                      <a:noFill/>
                      <a:miter lim="800000"/>
                      <a:headEnd/>
                      <a:tailEnd/>
                    </a:ln>
                  </pic:spPr>
                </pic:pic>
              </a:graphicData>
            </a:graphic>
          </wp:inline>
        </w:drawing>
      </w:r>
      <w:r w:rsidRPr="00923ECC">
        <w:rPr>
          <w:rFonts w:ascii="Book Antiqua" w:hAnsi="Book Antiqua"/>
          <w:i/>
          <w:sz w:val="20"/>
        </w:rPr>
        <w:t>10 microns in diameter. This is sufficient, however, for routine conduction within the framework of animals of relatively small size (between 0.1 and 30 cm)."</w:t>
      </w:r>
      <w:r w:rsidRPr="00923ECC">
        <w:rPr>
          <w:rFonts w:ascii="Book Antiqua" w:hAnsi="Book Antiqua"/>
          <w:sz w:val="20"/>
        </w:rPr>
        <w:t>[10] It is thus important to know how the nerve operates.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sz w:val="20"/>
        </w:rPr>
        <w:tab/>
        <w:t xml:space="preserve">J. Malmivuo and R. Plonsey have made some key comments which have a bearing on our problem. In [11], page 33, they state: </w:t>
      </w:r>
      <w:r w:rsidRPr="00923ECC">
        <w:rPr>
          <w:rFonts w:ascii="Book Antiqua" w:hAnsi="Book Antiqua"/>
          <w:i/>
          <w:sz w:val="20"/>
        </w:rPr>
        <w:t xml:space="preserve">"All cells exhibit a voltage difference across the cell membrane. Nerve cells and muscle cells are excitable. Their cell membrane can produce electrochemical impulses and conduct them along the membrane. In muscle cells, this electric </w:t>
      </w:r>
      <w:proofErr w:type="gramStart"/>
      <w:r w:rsidRPr="00923ECC">
        <w:rPr>
          <w:rFonts w:ascii="Book Antiqua" w:hAnsi="Book Antiqua"/>
          <w:i/>
          <w:sz w:val="20"/>
        </w:rPr>
        <w:t>phenomena</w:t>
      </w:r>
      <w:proofErr w:type="gramEnd"/>
      <w:r w:rsidRPr="00923ECC">
        <w:rPr>
          <w:rFonts w:ascii="Book Antiqua" w:hAnsi="Book Antiqua"/>
          <w:i/>
          <w:sz w:val="20"/>
        </w:rPr>
        <w:t xml:space="preserve"> is </w:t>
      </w:r>
      <w:r w:rsidRPr="00923ECC">
        <w:rPr>
          <w:rFonts w:ascii="Book Antiqua" w:hAnsi="Book Antiqua"/>
          <w:i/>
          <w:sz w:val="20"/>
        </w:rPr>
        <w:lastRenderedPageBreak/>
        <w:t>also associated with the contraction of the cell [the working of the muscle]. In other cells, such as gland cells and ciliated cells, it is believed that the membrane voltage is important to the execution of cell function."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Malmivuo and Plonsey continue [11]</w:t>
      </w:r>
      <w:r w:rsidRPr="00923ECC">
        <w:rPr>
          <w:rFonts w:ascii="Book Antiqua" w:hAnsi="Book Antiqua"/>
          <w:i/>
          <w:sz w:val="20"/>
        </w:rPr>
        <w:t>, "The origin of the membrane voltage is the same in nerve cells as in muscle cells. In both cell types, the membrane generates an impulse as a consequence of excitation. This impulse propagates in both cell types in the same manner."</w:t>
      </w:r>
      <w:r w:rsidRPr="00923ECC">
        <w:rPr>
          <w:rFonts w:ascii="Book Antiqua" w:hAnsi="Book Antiqua"/>
          <w:sz w:val="20"/>
        </w:rPr>
        <w:t xml:space="preserve"> Then in [11] page 39 they explain, </w:t>
      </w:r>
      <w:r w:rsidRPr="00923ECC">
        <w:rPr>
          <w:rFonts w:ascii="Book Antiqua" w:hAnsi="Book Antiqua"/>
          <w:i/>
          <w:sz w:val="20"/>
        </w:rPr>
        <w:t>"If the excitatory stimulus is strong enough, the transmembrane potential [voltage] reaches the threshold, and the membrane produces a characteristic electric impulse,</w:t>
      </w:r>
      <w:r w:rsidRPr="00923ECC">
        <w:rPr>
          <w:rFonts w:ascii="Book Antiqua" w:hAnsi="Book Antiqua"/>
          <w:sz w:val="20"/>
        </w:rPr>
        <w:t xml:space="preserve"> the </w:t>
      </w:r>
      <w:r w:rsidRPr="00923ECC">
        <w:rPr>
          <w:rFonts w:ascii="Book Antiqua" w:hAnsi="Book Antiqua"/>
          <w:b/>
          <w:i/>
          <w:sz w:val="20"/>
        </w:rPr>
        <w:t>nerve impulse.</w:t>
      </w:r>
      <w:r w:rsidRPr="00923ECC">
        <w:rPr>
          <w:rFonts w:ascii="Book Antiqua" w:hAnsi="Book Antiqua"/>
          <w:i/>
          <w:sz w:val="20"/>
        </w:rPr>
        <w:t xml:space="preserve"> This potential [voltage] response follows a[n] ... all-or-nothing law."</w:t>
      </w:r>
      <w:r w:rsidRPr="00923ECC">
        <w:rPr>
          <w:rFonts w:ascii="Book Antiqua" w:hAnsi="Book Antiqua"/>
          <w:sz w:val="20"/>
        </w:rPr>
        <w:t xml:space="preserve"> (</w:t>
      </w:r>
      <w:proofErr w:type="gramStart"/>
      <w:r w:rsidRPr="00923ECC">
        <w:rPr>
          <w:rFonts w:ascii="Book Antiqua" w:hAnsi="Book Antiqua"/>
          <w:sz w:val="20"/>
        </w:rPr>
        <w:t>emphasis</w:t>
      </w:r>
      <w:proofErr w:type="gramEnd"/>
      <w:r w:rsidRPr="00923ECC">
        <w:rPr>
          <w:rFonts w:ascii="Book Antiqua" w:hAnsi="Book Antiqua"/>
          <w:sz w:val="20"/>
        </w:rPr>
        <w:t xml:space="preserve"> in the original) In other words, if the stimulus is not strong enough, there will be no response. It is only once the stimulus is strong enough to rise above a threshold voltage that any signal will be sent.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Thus it is the voltage difference across the cell membrane which initiates an electric current. As early as 1905, Ludvig Hermann suggested that the voltage difference between excited and unexcited regions of the axon would cause small currents to flow between them in such a direction that they stimulate the unexcited region. This has proved to be correct and these currents are now called 'local circuit currents.'</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3 More About Axons </w:t>
      </w:r>
    </w:p>
    <w:p w:rsidR="0014236D" w:rsidRPr="00923ECC" w:rsidRDefault="0014236D" w:rsidP="0014236D">
      <w:pPr>
        <w:pStyle w:val="NoSpacing"/>
        <w:jc w:val="both"/>
        <w:rPr>
          <w:rFonts w:ascii="Book Antiqua" w:hAnsi="Book Antiqua"/>
          <w:sz w:val="20"/>
          <w:u w:val="single"/>
        </w:rPr>
      </w:pPr>
      <w:r w:rsidRPr="00923ECC">
        <w:rPr>
          <w:rFonts w:ascii="Book Antiqua" w:hAnsi="Book Antiqua"/>
          <w:sz w:val="20"/>
        </w:rPr>
        <w:tab/>
        <w:t xml:space="preserve">Malmivuo and Plonsey outline in [11] on page 42 what actually happens as follows: </w:t>
      </w:r>
      <w:r w:rsidRPr="00923ECC">
        <w:rPr>
          <w:rFonts w:ascii="Book Antiqua" w:hAnsi="Book Antiqua"/>
          <w:i/>
          <w:sz w:val="20"/>
        </w:rPr>
        <w:t>"Activation in the form of the nerve impulse (action potential) is first seen in the root of the axon - the initial segment of the axon, often called the axon hillock."</w:t>
      </w:r>
      <w:r w:rsidRPr="00923ECC">
        <w:rPr>
          <w:rFonts w:ascii="Book Antiqua" w:hAnsi="Book Antiqua"/>
          <w:sz w:val="20"/>
        </w:rPr>
        <w:t xml:space="preserve"> Note that this segment of the axon is unmyelinated. </w:t>
      </w:r>
      <w:r w:rsidRPr="00923ECC">
        <w:rPr>
          <w:rFonts w:ascii="Book Antiqua" w:hAnsi="Book Antiqua"/>
          <w:i/>
          <w:sz w:val="20"/>
        </w:rPr>
        <w:t xml:space="preserve">"From there it propagates along the axon. ... </w:t>
      </w:r>
      <w:r w:rsidRPr="00923ECC">
        <w:rPr>
          <w:rFonts w:ascii="Book Antiqua" w:hAnsi="Book Antiqua"/>
          <w:i/>
          <w:sz w:val="20"/>
          <w:u w:val="single"/>
        </w:rPr>
        <w:t>The conduction velocity depends on the electric properties and the geometry of the axon."</w:t>
      </w:r>
      <w:r w:rsidRPr="00923ECC">
        <w:rPr>
          <w:rFonts w:ascii="Book Antiqua" w:hAnsi="Book Antiqua"/>
          <w:i/>
          <w:sz w:val="20"/>
        </w:rPr>
        <w:t xml:space="preserve"> </w:t>
      </w:r>
      <w:r w:rsidRPr="00923ECC">
        <w:rPr>
          <w:rFonts w:ascii="Book Antiqua" w:hAnsi="Book Antiqua"/>
          <w:sz w:val="20"/>
        </w:rPr>
        <w:t>[</w:t>
      </w:r>
      <w:proofErr w:type="gramStart"/>
      <w:r w:rsidRPr="00923ECC">
        <w:rPr>
          <w:rFonts w:ascii="Book Antiqua" w:hAnsi="Book Antiqua"/>
          <w:sz w:val="20"/>
        </w:rPr>
        <w:t>emphasis</w:t>
      </w:r>
      <w:proofErr w:type="gramEnd"/>
      <w:r w:rsidRPr="00923ECC">
        <w:rPr>
          <w:rFonts w:ascii="Book Antiqua" w:hAnsi="Book Antiqua"/>
          <w:sz w:val="20"/>
        </w:rPr>
        <w:t xml:space="preserve"> added].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Malmivuo and Plonsey point out that those two properties are the electrical capacitance per unit length of the axon, and the diameter of the axon. The membrane capacitance per unit length determines the amount of charge required to achieve a certain potential or voltage and therefore the rate of flow of electric current. Large capacitance values mean slower conduction velocities if other factors remain the same. The capacitance is much smaller in myelinated axons than in unmyelinated versions and, as a consequence, the nerve conduction velocity is higher in myelinated axons.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other factor affecting conduction velocity is the diameter of the axon. Signal propagation is linearly dependent upon the diameter of the myelinated axon. In the case of myelinated axons, the nerve impulse propagates by jumping from one node of Ranvier (see Figure 5) to the next. In other words, the speed of electrical transmission through the nerve depends on both the capacitance and diameter of the axon.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4 How Voltage Differences Arise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Between the inside and outside of a cell, there can </w:t>
      </w:r>
      <w:proofErr w:type="gramStart"/>
      <w:r w:rsidRPr="00923ECC">
        <w:rPr>
          <w:rFonts w:ascii="Book Antiqua" w:hAnsi="Book Antiqua"/>
          <w:sz w:val="20"/>
        </w:rPr>
        <w:t>exist</w:t>
      </w:r>
      <w:proofErr w:type="gramEnd"/>
      <w:r w:rsidRPr="00923ECC">
        <w:rPr>
          <w:rFonts w:ascii="Book Antiqua" w:hAnsi="Book Antiqua"/>
          <w:sz w:val="20"/>
        </w:rPr>
        <w:t xml:space="preserve"> a voltage difference. This occurs because the fluids inside and outside a cell are highly conductive, while the cell's membrane is highly resistive. The voltage change therefore occurs across the width of the cell membrane itself. The voltage difference arises from the action of ionized atoms. The main ions involved with nerve conduction are the sodium </w:t>
      </w:r>
      <m:oMath>
        <m:sSup>
          <m:sSupPr>
            <m:ctrlPr>
              <w:rPr>
                <w:rFonts w:ascii="Cambria Math" w:hAnsi="Book Antiqua"/>
                <w:i/>
                <w:sz w:val="20"/>
              </w:rPr>
            </m:ctrlPr>
          </m:sSupPr>
          <m:e>
            <m:r>
              <w:rPr>
                <w:rFonts w:ascii="Cambria Math" w:hAnsi="Cambria Math"/>
                <w:sz w:val="20"/>
              </w:rPr>
              <m:t>Na</m:t>
            </m:r>
          </m:e>
          <m:sup>
            <m:r>
              <w:rPr>
                <w:rFonts w:ascii="Cambria Math" w:hAnsi="Book Antiqua"/>
                <w:sz w:val="20"/>
              </w:rPr>
              <m:t>+</m:t>
            </m:r>
          </m:sup>
        </m:sSup>
      </m:oMath>
      <w:r w:rsidRPr="00923ECC">
        <w:rPr>
          <w:rFonts w:ascii="Book Antiqua" w:hAnsi="Book Antiqua"/>
          <w:sz w:val="20"/>
        </w:rPr>
        <w:t xml:space="preserve"> ion and potassium </w:t>
      </w:r>
      <m:oMath>
        <m:sSup>
          <m:sSupPr>
            <m:ctrlPr>
              <w:rPr>
                <w:rFonts w:ascii="Cambria Math" w:hAnsi="Book Antiqua"/>
                <w:i/>
                <w:sz w:val="20"/>
              </w:rPr>
            </m:ctrlPr>
          </m:sSupPr>
          <m:e>
            <m:r>
              <w:rPr>
                <w:rFonts w:ascii="Cambria Math" w:hAnsi="Cambria Math"/>
                <w:sz w:val="20"/>
              </w:rPr>
              <m:t>K</m:t>
            </m:r>
          </m:e>
          <m:sup>
            <m:r>
              <w:rPr>
                <w:rFonts w:ascii="Cambria Math" w:hAnsi="Book Antiqua"/>
                <w:sz w:val="20"/>
              </w:rPr>
              <m:t>+</m:t>
            </m:r>
          </m:sup>
        </m:sSup>
      </m:oMath>
      <w:r w:rsidRPr="00923ECC">
        <w:rPr>
          <w:rFonts w:ascii="Book Antiqua" w:hAnsi="Book Antiqua"/>
          <w:sz w:val="20"/>
        </w:rPr>
        <w:t xml:space="preserve"> ion. Both of these ions have a positive (+) charge since one electron has been removed from each. The movement of these ions and their concentrations </w:t>
      </w:r>
      <w:proofErr w:type="gramStart"/>
      <w:r w:rsidRPr="00923ECC">
        <w:rPr>
          <w:rFonts w:ascii="Book Antiqua" w:hAnsi="Book Antiqua"/>
          <w:sz w:val="20"/>
        </w:rPr>
        <w:t>on  either</w:t>
      </w:r>
      <w:proofErr w:type="gramEnd"/>
      <w:r w:rsidRPr="00923ECC">
        <w:rPr>
          <w:rFonts w:ascii="Book Antiqua" w:hAnsi="Book Antiqua"/>
          <w:sz w:val="20"/>
        </w:rPr>
        <w:t xml:space="preserve"> side of the cell membrane result in changing voltage. Their movement is achieved through the agency of ion channels, ion pumps and ion transporters, which are embedded in the membrane itself. These agencies maintain different ion concentrations inside and outside the cell. With myelinated nerves, the presence of dense clusters of sodium ion channels on the initial axon segment and at the nodes of Ranvier is </w:t>
      </w:r>
      <w:proofErr w:type="gramStart"/>
      <w:r w:rsidRPr="00923ECC">
        <w:rPr>
          <w:rFonts w:ascii="Book Antiqua" w:hAnsi="Book Antiqua"/>
          <w:sz w:val="20"/>
        </w:rPr>
        <w:t>key</w:t>
      </w:r>
      <w:proofErr w:type="gramEnd"/>
      <w:r w:rsidRPr="00923ECC">
        <w:rPr>
          <w:rFonts w:ascii="Book Antiqua" w:hAnsi="Book Antiqua"/>
          <w:sz w:val="20"/>
        </w:rPr>
        <w:t xml:space="preserve"> in the production of rapidly conducted electrical impulses.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Thus, with nerves,</w:t>
      </w:r>
      <w:r w:rsidRPr="00923ECC">
        <w:rPr>
          <w:rFonts w:ascii="Book Antiqua" w:hAnsi="Book Antiqua"/>
          <w:color w:val="FF0000"/>
          <w:sz w:val="20"/>
        </w:rPr>
        <w:t xml:space="preserve"> </w:t>
      </w:r>
      <w:r w:rsidRPr="00923ECC">
        <w:rPr>
          <w:rFonts w:ascii="Book Antiqua" w:hAnsi="Book Antiqua"/>
          <w:sz w:val="20"/>
        </w:rPr>
        <w:t xml:space="preserve">we are speaking about electric charges, voltage differences, and the movement of charges (which constitute an electric current). That means we are dealing with the laws of physics generally and electro-magnetism in particular.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lastRenderedPageBreak/>
        <w:t>2. 5 Influence of the Zero Point Energy (ZPE)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All electric and magnetic phenomena are dependent upon the strength of a massive field of electro-magnetic energy which pervades the entire universe – the Zero Point Energy [12]. It is call the Zero Point Energy (ZPE) because it has been found to be present even when a vacuum has been cooled to as close to absolute </w:t>
      </w:r>
      <w:proofErr w:type="gramStart"/>
      <w:r w:rsidRPr="00923ECC">
        <w:rPr>
          <w:rFonts w:ascii="Book Antiqua" w:hAnsi="Book Antiqua"/>
          <w:sz w:val="20"/>
        </w:rPr>
        <w:t>zero</w:t>
      </w:r>
      <w:proofErr w:type="gramEnd"/>
      <w:r w:rsidRPr="00923ECC">
        <w:rPr>
          <w:rFonts w:ascii="Book Antiqua" w:hAnsi="Book Antiqua"/>
          <w:sz w:val="20"/>
        </w:rPr>
        <w:t xml:space="preserve"> as possible.  It is made up of all different wavelengths going in every direction at once [13].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All currently accepted cosmological models agree there was an initial expansion of the universe.  (Whether or not that expansion continues is not part of this discussion).  This initial expansion resulted in an enormous amount of potential energy being invested in the fabric of space in the same way a stretched rubber band possesses potential energy </w:t>
      </w:r>
      <w:proofErr w:type="gramStart"/>
      <w:r w:rsidRPr="00923ECC">
        <w:rPr>
          <w:rFonts w:ascii="Book Antiqua" w:hAnsi="Book Antiqua"/>
          <w:sz w:val="20"/>
        </w:rPr>
        <w:t>When</w:t>
      </w:r>
      <w:proofErr w:type="gramEnd"/>
      <w:r w:rsidRPr="00923ECC">
        <w:rPr>
          <w:rFonts w:ascii="Book Antiqua" w:hAnsi="Book Antiqua"/>
          <w:sz w:val="20"/>
        </w:rPr>
        <w:t xml:space="preserve"> released, the potential energy in the rubber band will convert to kinetic, or active energy.  This conversion process is very rapid at first and then slows down and the potential energy begins to run out.   Similarly, the potential energy invested in the fabric of space during its expansion converted into kinetic energy.  It appears as this universally pervasive energy we call the Zero Point Energy.  And, like the rubber band, the conversion rate from potential to kinetic energy was extremely rapid at first, and then slowed down dramatically [14].   This process of conversion did continue for some time, and while it was continuing, the electro-magnetic ZPE field was becoming stronger as evidenced by astronomical data [15].</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change in the strength of the ZPE, as it built up, had two major effects. First, both the (electric) permittivity and (magnetic) permeability of space increased. Second, it has also been shown that, while electrostatic forces remained unchanged, the field strength of an electric charge is inversely proportional to the square root of the ZPE strength [12]. This same proportionality applies to currents.  This also means that when the ZPE strength was lower, all capacitances were also lower in direct proportion. </w:t>
      </w:r>
    </w:p>
    <w:p w:rsidR="0014236D" w:rsidRDefault="0014236D" w:rsidP="0014236D">
      <w:pPr>
        <w:pStyle w:val="NormalWeb"/>
        <w:numPr>
          <w:ilvl w:val="0"/>
          <w:numId w:val="44"/>
        </w:numPr>
        <w:jc w:val="both"/>
        <w:rPr>
          <w:rFonts w:ascii="Book Antiqua" w:hAnsi="Book Antiqua"/>
          <w:b/>
          <w:sz w:val="20"/>
          <w:szCs w:val="20"/>
        </w:rPr>
      </w:pPr>
      <w:r w:rsidRPr="00477A64">
        <w:rPr>
          <w:rFonts w:ascii="Book Antiqua" w:hAnsi="Book Antiqua"/>
          <w:b/>
          <w:sz w:val="20"/>
          <w:szCs w:val="20"/>
        </w:rPr>
        <w:t>The Zero Point Energy</w:t>
      </w:r>
      <w:r>
        <w:rPr>
          <w:rFonts w:ascii="Book Antiqua" w:hAnsi="Book Antiqua"/>
          <w:b/>
          <w:sz w:val="20"/>
          <w:szCs w:val="20"/>
        </w:rPr>
        <w:t>,</w:t>
      </w:r>
      <w:r w:rsidRPr="00477A64">
        <w:rPr>
          <w:rFonts w:ascii="Book Antiqua" w:hAnsi="Book Antiqua"/>
          <w:b/>
          <w:sz w:val="20"/>
          <w:szCs w:val="20"/>
        </w:rPr>
        <w:t xml:space="preserve"> and Biological Effects</w:t>
      </w:r>
      <w:r>
        <w:rPr>
          <w:rFonts w:ascii="Book Antiqua" w:hAnsi="Book Antiqua"/>
          <w:b/>
          <w:sz w:val="20"/>
          <w:szCs w:val="20"/>
        </w:rPr>
        <w:t xml:space="preserve"> from Bio-Electro-Magnetism</w:t>
      </w:r>
    </w:p>
    <w:p w:rsidR="0014236D" w:rsidRPr="00477A64" w:rsidRDefault="0014236D" w:rsidP="0014236D">
      <w:pPr>
        <w:pStyle w:val="NormalWeb"/>
        <w:ind w:left="720"/>
        <w:jc w:val="both"/>
        <w:rPr>
          <w:rFonts w:ascii="Book Antiqua" w:hAnsi="Book Antiqua"/>
          <w:i/>
          <w:sz w:val="20"/>
          <w:szCs w:val="20"/>
        </w:rPr>
      </w:pPr>
      <w:r w:rsidRPr="00477A64">
        <w:rPr>
          <w:rFonts w:ascii="Book Antiqua" w:hAnsi="Book Antiqua"/>
          <w:i/>
          <w:sz w:val="20"/>
          <w:szCs w:val="20"/>
        </w:rPr>
        <w:t>3.1 Introduction</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 result of this, biologically, is that, in the early days of life on earth,</w:t>
      </w:r>
      <w:r w:rsidRPr="00923ECC">
        <w:rPr>
          <w:rFonts w:ascii="Book Antiqua" w:hAnsi="Book Antiqua"/>
          <w:color w:val="FF0000"/>
          <w:sz w:val="20"/>
          <w:szCs w:val="20"/>
        </w:rPr>
        <w:t xml:space="preserve"> </w:t>
      </w:r>
      <w:r w:rsidRPr="00923ECC">
        <w:rPr>
          <w:rFonts w:ascii="Book Antiqua" w:hAnsi="Book Antiqua"/>
          <w:sz w:val="20"/>
          <w:szCs w:val="20"/>
        </w:rPr>
        <w:t xml:space="preserve">when ZPE strength was lower, the field strengths of both </w:t>
      </w:r>
      <m:oMath>
        <m:sSup>
          <m:sSupPr>
            <m:ctrlPr>
              <w:rPr>
                <w:rFonts w:ascii="Cambria Math" w:hAnsi="Book Antiqua"/>
                <w:i/>
                <w:sz w:val="20"/>
                <w:szCs w:val="20"/>
              </w:rPr>
            </m:ctrlPr>
          </m:sSupPr>
          <m:e>
            <m:r>
              <w:rPr>
                <w:rFonts w:ascii="Cambria Math" w:hAnsi="Cambria Math"/>
                <w:sz w:val="20"/>
                <w:szCs w:val="20"/>
              </w:rPr>
              <m:t>Na</m:t>
            </m:r>
          </m:e>
          <m:sup>
            <m:r>
              <w:rPr>
                <w:rFonts w:ascii="Cambria Math" w:hAnsi="Book Antiqua"/>
                <w:sz w:val="20"/>
                <w:szCs w:val="20"/>
              </w:rPr>
              <m:t>+</m:t>
            </m:r>
          </m:sup>
        </m:sSup>
      </m:oMath>
      <w:r w:rsidRPr="00923ECC">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m:t>
            </m:r>
          </m:sup>
        </m:sSup>
      </m:oMath>
      <w:r w:rsidRPr="00923ECC">
        <w:rPr>
          <w:rFonts w:ascii="Book Antiqua" w:hAnsi="Book Antiqua"/>
          <w:sz w:val="20"/>
          <w:szCs w:val="20"/>
        </w:rPr>
        <w:t xml:space="preserve"> ions were stronger.  Stronger field strengths resulted in stronger currents, as previously mentioned. More importantly, the capacitance of the axons was also lower. It is this which is the determining factor in the rate of signal conduction in the axon. On page 42 of [11], Malmivuo and Plonsey show in equation (2.1) that signal conduction velocity along the axon is inversely proportional to the capacitance of the axon. Mathematically, all other terms which would be variable under changing ZPE conditions cancel out. This leaves capacitance as the sole player where nerve conduction velocities are concerned.  Thus, when the ZPE strength was 1/10th of its current value, so was the capacitance of the axons. Under these conditions, then, the nerve signals were not only stronger, but traveled 10 times as fast down the axon.  When data from both astronomical and geological observations are coordinated, it is evident that the strength of the ZPE during the development of life on earth was significantly lower than 1/10 of what it is now.  So both nerve signal velocities and reaction times would have been much faster </w:t>
      </w:r>
      <w:r>
        <w:rPr>
          <w:rFonts w:ascii="Book Antiqua" w:hAnsi="Book Antiqua"/>
          <w:sz w:val="20"/>
          <w:szCs w:val="20"/>
        </w:rPr>
        <w:t xml:space="preserve">in the past </w:t>
      </w:r>
      <w:r w:rsidRPr="00923ECC">
        <w:rPr>
          <w:rFonts w:ascii="Book Antiqua" w:hAnsi="Book Antiqua"/>
          <w:sz w:val="20"/>
          <w:szCs w:val="20"/>
        </w:rPr>
        <w:t>as a result.</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Invertebrates such as the giant fauna of the Paleozoic, the great sea scorpions, the monster millipedes, the immense dragonflies, all had non-myelinated nerves.  As will be mentioned by Dr. Zalc, today there appears to be a limiting size of about 30 centimeters for these organisms [10].  Yet these animals must have been efficient in order to have survived.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With a lower ZPE, and thus a lower capacitance, unmyelinated axons would present no problem to invertebrates. The significantly faster nerve signal velocities would allow them to grow to the enormous sizes seen in the fossil record and still be efficient creatures. This also applies to the large dinosaurs. Theoretical problems regarding their reaction times are no longer relevant under these conditions.  If, during their time, the ZPE was only 1/10 its current strength, their reaction times would be only 0.16 seconds.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lastRenderedPageBreak/>
        <w:t>3.</w:t>
      </w:r>
      <w:r w:rsidRPr="00923ECC">
        <w:rPr>
          <w:rFonts w:ascii="Book Antiqua" w:hAnsi="Book Antiqua"/>
          <w:i/>
          <w:sz w:val="20"/>
          <w:szCs w:val="20"/>
        </w:rPr>
        <w:t>2 The Role of the Synapse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time-delay in the transmission of nerve signals across the synapse also needs to be considered. The synapse, or synaptic cleft, is the gap between two nerve cells. These synapses also operate as a gateway where signals are passed on to other cells such as muscles or glands. In effect, there is a transmitting terminal on the end of an axon and a receiving terminal at the beginning of the adjacent cell. Nerve signals must travel across this synaptic cleft to get to the next cell or neuron. Today this process may take as long as 1 millisecond.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 are two forms of transmission across the synapse: electrical and chemical. Both forms are used throughout the nervous system, but the most common form today is chemical transmission.  However, when the synaptic cleft is very small (about 0.0035 microns wide) electrical transmission is more common.  This narrow gap allows direct electrical coupling between the neurons. In this case, the signal crosses the cleft essentially instantaneously. In contrast, the synapse depending on chemical transmission is about 0.01 to 0.05 microns, or about 10 times the width of the smaller synapses. Chemical transmission rates are much slower than electrical transmission rates.  The question is</w:t>
      </w:r>
      <w:proofErr w:type="gramStart"/>
      <w:r w:rsidRPr="00923ECC">
        <w:rPr>
          <w:rFonts w:ascii="Book Antiqua" w:hAnsi="Book Antiqua"/>
          <w:sz w:val="20"/>
        </w:rPr>
        <w:t>,</w:t>
      </w:r>
      <w:proofErr w:type="gramEnd"/>
      <w:r w:rsidRPr="00923ECC">
        <w:rPr>
          <w:rFonts w:ascii="Book Antiqua" w:hAnsi="Book Antiqua"/>
          <w:sz w:val="20"/>
        </w:rPr>
        <w:t xml:space="preserve"> has this always been the case? </w:t>
      </w:r>
    </w:p>
    <w:p w:rsidR="0014236D"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Several steps are involved in the transmission of signals through the nervous system. First, the electrical signal progresses down the axon to its terminal. This terminal is a swelling in the axon and contains neurotransmitter molecules (which include glutamate, acetylcholine, seratonin, histamine, γ-aminiobutyric acid and others). The electric signal depolarizes the axon terminal, and this opens a voltage-dependent channel which allows </w:t>
      </w:r>
      <m:oMath>
        <m:sSup>
          <m:sSupPr>
            <m:ctrlPr>
              <w:rPr>
                <w:rFonts w:ascii="Cambria Math" w:hAnsi="Book Antiqua"/>
                <w:i/>
                <w:sz w:val="20"/>
              </w:rPr>
            </m:ctrlPr>
          </m:sSupPr>
          <m:e>
            <m:r>
              <w:rPr>
                <w:rFonts w:ascii="Cambria Math" w:hAnsi="Cambria Math"/>
                <w:sz w:val="20"/>
              </w:rPr>
              <m:t>Ca</m:t>
            </m:r>
          </m:e>
          <m:sup>
            <m:r>
              <w:rPr>
                <w:rFonts w:ascii="Cambria Math" w:hAnsi="Book Antiqua"/>
                <w:sz w:val="20"/>
              </w:rPr>
              <m:t>++</m:t>
            </m:r>
          </m:sup>
        </m:sSup>
      </m:oMath>
      <w:r w:rsidRPr="00923ECC">
        <w:rPr>
          <w:rFonts w:ascii="Book Antiqua" w:hAnsi="Book Antiqua"/>
          <w:sz w:val="20"/>
        </w:rPr>
        <w:t xml:space="preserve"> calcium ions to flow into the terminal.  This causes the terminal to expel the neurotransmitter molecules into the synaptic cleft.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neurotransmitters diffuse across the cleft and then attach to the receptors on the other side of the synaptic gap. This attachment then excites the receiving neuron, which opens a voltage-gated sodium ion channel in response, and so the electric current continues. In the meantime, the neurotransmitter molecules, or "ligands", are expelled from the receptors and recycled back to the axon terminal.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3.3</w:t>
      </w:r>
      <w:r w:rsidRPr="00923ECC">
        <w:rPr>
          <w:rFonts w:ascii="Book Antiqua" w:hAnsi="Book Antiqua"/>
          <w:i/>
          <w:sz w:val="20"/>
          <w:szCs w:val="20"/>
        </w:rPr>
        <w:t xml:space="preserve"> Electro-Magnetism in Synapse Diffusion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An important point that has emerged from experiments is that the apparently simple diffusion of the neurotransmitter molecule across the synapse, and its subsequent "docking" in the specifically designed receptor, is actually facilitated by electromagnetism. The initial research and experimentation was done by R.F. Stewart and B. M. Craven on the neurotransmitter gamma-aminobutyric acid (GABA). As they examined that molecule in detail, they found that </w:t>
      </w:r>
      <w:r w:rsidRPr="00923ECC">
        <w:rPr>
          <w:rFonts w:ascii="Book Antiqua" w:hAnsi="Book Antiqua"/>
          <w:i/>
          <w:sz w:val="20"/>
        </w:rPr>
        <w:t>"there is an extensive region of electropositivity around the ammonium group, and an electronegative region around the carboxylate group."</w:t>
      </w:r>
      <w:r w:rsidRPr="00923ECC">
        <w:rPr>
          <w:rFonts w:ascii="Book Antiqua" w:hAnsi="Book Antiqua"/>
          <w:sz w:val="20"/>
        </w:rPr>
        <w:t xml:space="preserve">[16] It is therefore apparent that this neurotransmitter molecule has a dipole field with a negatively charged end and a positively charged end.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was confirmed by later studies. T. Shikata and K. Hashimoto detailed their experimental results with the neurotransmitters GABA and L-Glutamate [17]. They confirmed that large dipole moments existed with both of these molecules, and that the receptors for these molecules detect differences in both magnitude and direction of these dipole electric fields. They explain, </w:t>
      </w:r>
      <w:r w:rsidRPr="00923ECC">
        <w:rPr>
          <w:rFonts w:ascii="Book Antiqua" w:hAnsi="Book Antiqua"/>
          <w:i/>
          <w:sz w:val="20"/>
        </w:rPr>
        <w:t>"</w:t>
      </w:r>
      <w:proofErr w:type="gramStart"/>
      <w:r w:rsidRPr="00923ECC">
        <w:rPr>
          <w:rFonts w:ascii="Book Antiqua" w:hAnsi="Book Antiqua"/>
          <w:i/>
          <w:sz w:val="20"/>
        </w:rPr>
        <w:t>the</w:t>
      </w:r>
      <w:proofErr w:type="gramEnd"/>
      <w:r w:rsidRPr="00923ECC">
        <w:rPr>
          <w:rFonts w:ascii="Book Antiqua" w:hAnsi="Book Antiqua"/>
          <w:i/>
          <w:sz w:val="20"/>
        </w:rPr>
        <w:t xml:space="preserve"> receptors effectively control the orientation of GABA and L-Glutamate via dipole-dipole interaction ... i.e. an electric field is generated between the binding sites and the [ligands]."</w:t>
      </w:r>
      <w:r w:rsidRPr="00923ECC">
        <w:rPr>
          <w:rFonts w:ascii="Book Antiqua" w:hAnsi="Book Antiqua"/>
          <w:sz w:val="20"/>
        </w:rPr>
        <w:t>[17]</w:t>
      </w:r>
      <w:r w:rsidRPr="00923ECC">
        <w:rPr>
          <w:rFonts w:ascii="Book Antiqua" w:hAnsi="Book Antiqua"/>
          <w:i/>
          <w:sz w:val="20"/>
        </w:rPr>
        <w:t xml:space="preserve"> </w:t>
      </w:r>
      <w:r w:rsidRPr="00923ECC">
        <w:rPr>
          <w:rFonts w:ascii="Book Antiqua" w:hAnsi="Book Antiqua"/>
          <w:sz w:val="20"/>
        </w:rPr>
        <w:t>In other words, the apparently simple diffusion of the ligand or neuro-transmitter molecule across the synapse is in fact facilitated by electrostatic attraction, and so, too, is the "docking" procedure.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has been confirmed recently by research performed by P. Kovacic, R. Posos, and C. D. Draskovich. In their key paper regarding this, "Unifying Electrostatic Mechanism for Receptor - Ligand Activity," [18] they elaborate on an earlier electrostatic mechanism discovered for the receptor-ligand activity. They write </w:t>
      </w:r>
      <w:r w:rsidRPr="00923ECC">
        <w:rPr>
          <w:rFonts w:ascii="Book Antiqua" w:hAnsi="Book Antiqua"/>
          <w:i/>
          <w:sz w:val="20"/>
        </w:rPr>
        <w:t>"The fundamental aspect entails the presence of molecular electrostatic potential [voltage] associated with ions and dipoles in the ligand. The ligand can be regarded as an electrical link that joins prevalent electrostatic fields present in the surrounding protein matrix. ... A summary of receptor biology is also provided, including receptors for acetylcholine (nicotinic and muscarinic), GABA, adrenergic, and glutamate."</w:t>
      </w:r>
      <w:r w:rsidRPr="00923ECC">
        <w:rPr>
          <w:rFonts w:ascii="Book Antiqua" w:hAnsi="Book Antiqua"/>
          <w:sz w:val="20"/>
        </w:rPr>
        <w:t>[18]</w:t>
      </w:r>
      <w:r w:rsidRPr="00923ECC">
        <w:rPr>
          <w:rFonts w:ascii="Book Antiqua" w:hAnsi="Book Antiqua"/>
          <w:i/>
          <w:sz w:val="20"/>
        </w:rPr>
        <w:t xml:space="preserve"> </w:t>
      </w:r>
      <w:r w:rsidRPr="00923ECC">
        <w:rPr>
          <w:rFonts w:ascii="Book Antiqua" w:hAnsi="Book Antiqua"/>
          <w:sz w:val="20"/>
        </w:rPr>
        <w:t xml:space="preserve">In other </w:t>
      </w:r>
      <w:r w:rsidRPr="00923ECC">
        <w:rPr>
          <w:rFonts w:ascii="Book Antiqua" w:hAnsi="Book Antiqua"/>
          <w:sz w:val="20"/>
        </w:rPr>
        <w:lastRenderedPageBreak/>
        <w:t xml:space="preserve">words, in all the ligands studied, it has been found that the action of dipoles, electrostatic fields and voltage on both ligands and receptors are responsible for the diffusion across the synapse.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3.4</w:t>
      </w:r>
      <w:r w:rsidRPr="00923ECC">
        <w:rPr>
          <w:rFonts w:ascii="Book Antiqua" w:hAnsi="Book Antiqua"/>
          <w:i/>
          <w:sz w:val="20"/>
          <w:szCs w:val="20"/>
        </w:rPr>
        <w:t xml:space="preserve"> Voltage-Driven Diffusion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Therefore, even in the case of chemical transmission,</w:t>
      </w:r>
      <w:r w:rsidRPr="00923ECC">
        <w:rPr>
          <w:rFonts w:ascii="Book Antiqua" w:hAnsi="Book Antiqua"/>
          <w:color w:val="FF0000"/>
          <w:sz w:val="20"/>
        </w:rPr>
        <w:t xml:space="preserve"> </w:t>
      </w:r>
      <w:r w:rsidRPr="00923ECC">
        <w:rPr>
          <w:rFonts w:ascii="Book Antiqua" w:hAnsi="Book Antiqua"/>
          <w:sz w:val="20"/>
        </w:rPr>
        <w:t>we are dealing with electrically driven or voltage-driven diffusion for the transmission of nerve signals across the synapse. We have already noted that the field strength of an electric charge is inversely proportional to the square-root of the strength of the ZPE. This also applies to dipole fields. As a consequence, these ligands would be more strongly attracted to their receptors when the ZPE strength was lower.</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 This attraction, and hence the rate of movement of the diffusing molecule, will be proportional to the voltages involved. Since the voltage from such charges is inversely proportional to the square-root of ZPE strength, the rate of voltage-driven diffusion will be inversely proportional in the same way. Therefore, when the ZPE was at 1/10th of its present strength, the rate of diffusion across the synapse was about 3.2 times faster. All biological voltages would change in proportion to this.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3.5</w:t>
      </w:r>
      <w:r w:rsidRPr="00923ECC">
        <w:rPr>
          <w:rFonts w:ascii="Book Antiqua" w:hAnsi="Book Antiqua"/>
          <w:i/>
          <w:sz w:val="20"/>
          <w:szCs w:val="20"/>
        </w:rPr>
        <w:t xml:space="preserve"> Conclusion on Gigantism in Fossil Fauna</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It thus appears that the whole process of nerve transmission, including voltage-driven diffusion, may have been more efficient in earlier times when the strength of the ZPE was lower. Other published research of Kovacic, Posos, and Draskovich has indicated that voltage driven diffusion may be operating in a variety of other biological applications. This conclusion is enhanced by the work of Malmivuo and Plonsey [11].  Their studies show that everything from cell behavior to muscular and gland behavior is related to bio-electro-magnetics.  A lower ZPE would result, as mentioned, in greater voltage differences, and it is this which would promote faster and more efficient ion transfers, be they within the cells themselves or between cells such as nerves.</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 xml:space="preserve">There are some important ideas to consider in this regard.  Both muscular systems and glands, in particular, are dependent upon both the strength of electrical impulses and the associated ion transfers.  Bio-electro-magnetics, dealing with both these areas, affect almost every part of an organism’s functioning.  Thus, it may well follow that a number of the biological problems we see today would not have been common, or perhaps not even existed, in times past.  For instance, if biological systems were more efficient with lower ZPE strengths, resulting in more efficient muscular systems, many heart problems we see today might not have existed before.  If glandular activity was also more efficient, immune systems would have also been stronger and more quickly reactive.  This type of thing may then indicate a potential for not only gigantism, but longer life spans as well, which would have been necessary for some of the animals to attain the sizes they did.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3.6</w:t>
      </w:r>
      <w:r w:rsidRPr="00923ECC">
        <w:rPr>
          <w:rFonts w:ascii="Book Antiqua" w:hAnsi="Book Antiqua"/>
          <w:i/>
          <w:sz w:val="20"/>
          <w:szCs w:val="20"/>
        </w:rPr>
        <w:t xml:space="preserve"> Cenozoic Extinction of Megafauna</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There are a number of theories as to why the megafauna became extinct in the Cenozoic Era. Large mammals are prominent in fossil strata from the Eocene to the end of the Miocene, that is, from 55 million down to 5 million atomic years. In the interval from 5 million down to 2.6 million atomic years the extinction of these creatures becomes apparent. During the ice-age the process continued until the last stragglers disappear in the interval between 50,000 and 15,000 atomic years ago. There has been speculation that both human expansion and climate changes were responsible. However, another factor may also have been at work; the behavior of the ZPE.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curve describing the increase of the ZPE has been shown to be the inverse of the curve that astronomical redshift data follow. This was detailed in a paper presented at the 17th NPA Conference in 2010 [15].  This same astronomical curve describes the rapidity of transmission of bio-electro-magnetic phenomena since that, too, is inversely related to ZPE strength. It flattens out with increasing time, but at a fairly high level. Then, as the present era approached, there was a sudden drop in red shift values until they reach their present point. We can pick up this drop in the </w:t>
      </w:r>
      <w:r w:rsidRPr="00923ECC">
        <w:rPr>
          <w:rFonts w:ascii="Book Antiqua" w:hAnsi="Book Antiqua"/>
          <w:sz w:val="20"/>
        </w:rPr>
        <w:lastRenderedPageBreak/>
        <w:t xml:space="preserve">astronomical data as our Local Group of galaxies is approached. The time-frame for this drop starts from about 10 million down to about 3 million atomic years ago. This is in good accord with fossil data. So a key factor in the </w:t>
      </w:r>
      <w:proofErr w:type="gramStart"/>
      <w:r w:rsidRPr="00923ECC">
        <w:rPr>
          <w:rFonts w:ascii="Book Antiqua" w:hAnsi="Book Antiqua"/>
          <w:sz w:val="20"/>
        </w:rPr>
        <w:t>megafauna</w:t>
      </w:r>
      <w:proofErr w:type="gramEnd"/>
      <w:r w:rsidRPr="00923ECC">
        <w:rPr>
          <w:rFonts w:ascii="Book Antiqua" w:hAnsi="Book Antiqua"/>
          <w:sz w:val="20"/>
        </w:rPr>
        <w:t xml:space="preserve"> extinction may have been related to the sudden increase in the strength of the ZPE at that point, which would have produced an equally rapid decline in the efficiency, strength, and propagation rates of bio-electro-magnetic effects.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b/>
          <w:sz w:val="20"/>
        </w:rPr>
      </w:pPr>
      <w:r>
        <w:rPr>
          <w:rFonts w:ascii="Book Antiqua" w:hAnsi="Book Antiqua"/>
          <w:b/>
          <w:sz w:val="20"/>
        </w:rPr>
        <w:t>4</w:t>
      </w:r>
      <w:r w:rsidRPr="00923ECC">
        <w:rPr>
          <w:rFonts w:ascii="Book Antiqua" w:hAnsi="Book Antiqua"/>
          <w:b/>
          <w:sz w:val="20"/>
        </w:rPr>
        <w:t>.  Fossil Flora</w:t>
      </w:r>
      <w:r>
        <w:rPr>
          <w:rFonts w:ascii="Book Antiqua" w:hAnsi="Book Antiqua"/>
          <w:b/>
          <w:sz w:val="20"/>
        </w:rPr>
        <w:t>, the ZPE, and the Behavior of Light Amplitudes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Because flora were so prolific in both size and numbers in the fossil record, it may well be that some factor or factors promoting plant growth also changed. To understand possible causes for any change in plant size and numbers, we must examine the basic processes involved in plant growth. This means we must examine both photosynthesis in plants, which uses light energy, and the behavior of light with time.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4</w:t>
      </w:r>
      <w:r w:rsidRPr="00923ECC">
        <w:rPr>
          <w:rFonts w:ascii="Book Antiqua" w:hAnsi="Book Antiqua"/>
          <w:i/>
          <w:sz w:val="20"/>
          <w:szCs w:val="20"/>
        </w:rPr>
        <w:t xml:space="preserve">. 1 Light </w:t>
      </w:r>
      <w:proofErr w:type="gramStart"/>
      <w:r w:rsidRPr="00923ECC">
        <w:rPr>
          <w:rFonts w:ascii="Book Antiqua" w:hAnsi="Book Antiqua"/>
          <w:i/>
          <w:sz w:val="20"/>
          <w:szCs w:val="20"/>
        </w:rPr>
        <w:t>Through</w:t>
      </w:r>
      <w:proofErr w:type="gramEnd"/>
      <w:r w:rsidRPr="00923ECC">
        <w:rPr>
          <w:rFonts w:ascii="Book Antiqua" w:hAnsi="Book Antiqua"/>
          <w:i/>
          <w:sz w:val="20"/>
          <w:szCs w:val="20"/>
        </w:rPr>
        <w:t xml:space="preserve"> Time</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A photon of light is released when an electron on any atom, from any element, is forced out of position relative to the nucleus and then snaps back into position.  The energy it took to force it out of position is the energy released as a photon of light when it snaps back into position. Data indicate that the speed of light was much faster in the past [19, 20]. It was subsequently demonstrated that the speed of light is inversely dependent upon the strength of the Zero Point Energy (ZPE) [13].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increase in the strength of the ZPE through time had two effects on light.  First, a stronger ZPE slowed light down.  Since ZPE waves go in all directions, they impact each other in somewhat the same way as the wake of a speedboat impacts waves in the ocean. Where waves meet, they crest and form whitecaps which die down quickly.  When ZPE waves meet, they create a concentration of energy which results in the formation of a positive and negative pair of particles.  These virtual particles flash into existence momentarily, then re-combine and annihilate. While they exist, they can absorb a photon of light the same way any other particle can. However their almost instantaneous recombination releases the photon to continue on its way.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more virtual particles a photon of light must navigate, the longer it takes to reach its final destination, or point of final absorption. It has been estimated that today, in any given second, there are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63</m:t>
            </m:r>
          </m:sup>
        </m:sSup>
        <m:r>
          <w:rPr>
            <w:rFonts w:ascii="Cambria Math" w:hAnsi="Book Antiqua"/>
            <w:sz w:val="20"/>
          </w:rPr>
          <m:t xml:space="preserve"> </m:t>
        </m:r>
      </m:oMath>
      <w:r w:rsidRPr="00923ECC">
        <w:rPr>
          <w:rFonts w:ascii="Book Antiqua" w:hAnsi="Book Antiqua"/>
          <w:sz w:val="20"/>
        </w:rPr>
        <w:t>virtual particles flashing into and out of existence in any given cubic meter. Consequently, light photons encounter huge numbers of these virtual particles even over very short distances.  When the ZPE was weaker, there were fewer virtual particles at any one time in any given volume to slow down the passage of a photon of light.  As the ZPE built up, then, the speed of light necessarily slowed.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Effectively, the vacuum has become "thicker" with these virtual particles over time.  This means that before, with a lower ZPE, and hence fewer virtual particles, the speed of light was higher and therefore more photons of light were arriving at any location at any given instant. It has also be shown that light generation processes in stars, such as our sun, were correspondingly more rapid [21].  </w:t>
      </w:r>
    </w:p>
    <w:p w:rsidR="0014236D" w:rsidRPr="00923ECC" w:rsidRDefault="0014236D" w:rsidP="0014236D">
      <w:pPr>
        <w:pStyle w:val="NormalWeb"/>
        <w:jc w:val="both"/>
        <w:rPr>
          <w:rFonts w:ascii="Book Antiqua" w:hAnsi="Book Antiqua"/>
          <w:i/>
          <w:sz w:val="20"/>
          <w:szCs w:val="20"/>
        </w:rPr>
      </w:pPr>
      <w:proofErr w:type="gramStart"/>
      <w:r>
        <w:rPr>
          <w:rFonts w:ascii="Book Antiqua" w:hAnsi="Book Antiqua"/>
          <w:i/>
          <w:sz w:val="20"/>
          <w:szCs w:val="20"/>
        </w:rPr>
        <w:t>4</w:t>
      </w:r>
      <w:r w:rsidRPr="00923ECC">
        <w:rPr>
          <w:rFonts w:ascii="Book Antiqua" w:hAnsi="Book Antiqua"/>
          <w:i/>
          <w:sz w:val="20"/>
          <w:szCs w:val="20"/>
        </w:rPr>
        <w:t>. 2 Higher Light-Speed</w:t>
      </w:r>
      <w:proofErr w:type="gramEnd"/>
      <w:r w:rsidRPr="00923ECC">
        <w:rPr>
          <w:rFonts w:ascii="Book Antiqua" w:hAnsi="Book Antiqua"/>
          <w:i/>
          <w:sz w:val="20"/>
          <w:szCs w:val="20"/>
        </w:rPr>
        <w:t xml:space="preserve"> Also Means Softer Light</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With greater numbers of light waves, or photons, reaching them, it might be thought that plants and trees would burn up. However, this is not the case. To understand why, it is necessary to understand something about waves in motion.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 basic formula applies in such cases. It states that for any given wave, the square of the wave amplitude (or height) multiplied by the wave velocity is a constant [22]. So initially, when the speed (the velocity) of light was high, the heights or amplitudes of these light waves had to be quite small. As the speed of light reduced, the heights or amplitudes of these light waves increased. A similar situation can be seen in a tsunami wave. When traveling fast in the middle of the </w:t>
      </w:r>
      <w:r w:rsidRPr="00923ECC">
        <w:rPr>
          <w:rFonts w:ascii="Book Antiqua" w:hAnsi="Book Antiqua"/>
          <w:sz w:val="20"/>
        </w:rPr>
        <w:lastRenderedPageBreak/>
        <w:t xml:space="preserve">ocean, it may only be a meter high. As it nears land, the changes it encounters simultaneously reduce its speed and increase its height.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brightness, or intensity, of light is determined by the wave amplitude or height (see Figure 6). The amplitude changes with the speed.  When the speed of light was higher, the amplitude was lower – thus the light per photon from the sun was less bright.  But there were proportionally more photons arriving per second with this lower amplitude. The result was that the total brightness would have been the same as now. When light speed slowed, amplitude increased.  Today, the light from each photon is very bright, but there are fewer photons arriving per second.  The result is that the overall brightness has not changed.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3539455" cy="2589519"/>
            <wp:effectExtent l="19050" t="0" r="3845" b="0"/>
            <wp:docPr id="145"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549217" cy="2596661"/>
                    </a:xfrm>
                    <a:prstGeom prst="rect">
                      <a:avLst/>
                    </a:prstGeom>
                    <a:noFill/>
                    <a:ln w="9525">
                      <a:noFill/>
                      <a:miter lim="800000"/>
                      <a:headEnd/>
                      <a:tailEnd/>
                    </a:ln>
                  </pic:spPr>
                </pic:pic>
              </a:graphicData>
            </a:graphic>
          </wp:inline>
        </w:drawing>
      </w:r>
    </w:p>
    <w:p w:rsidR="0014236D" w:rsidRPr="00923ECC" w:rsidRDefault="0014236D" w:rsidP="0014236D">
      <w:pPr>
        <w:pStyle w:val="NoSpacing"/>
        <w:rPr>
          <w:rFonts w:ascii="Book Antiqua" w:hAnsi="Book Antiqua"/>
          <w:sz w:val="18"/>
          <w:szCs w:val="18"/>
        </w:rPr>
      </w:pPr>
    </w:p>
    <w:p w:rsidR="0014236D" w:rsidRPr="001203CB" w:rsidRDefault="0014236D" w:rsidP="0014236D">
      <w:pPr>
        <w:pStyle w:val="NoSpacing"/>
        <w:rPr>
          <w:rFonts w:ascii="Book Antiqua" w:hAnsi="Book Antiqua"/>
          <w:i/>
          <w:sz w:val="18"/>
          <w:szCs w:val="18"/>
        </w:rPr>
      </w:pPr>
      <w:r w:rsidRPr="001203CB">
        <w:rPr>
          <w:rFonts w:ascii="Book Antiqua" w:hAnsi="Book Antiqua"/>
          <w:b/>
          <w:i/>
          <w:sz w:val="18"/>
          <w:szCs w:val="18"/>
        </w:rPr>
        <w:t>Figure 6:</w:t>
      </w:r>
      <w:r w:rsidRPr="001203CB">
        <w:rPr>
          <w:rFonts w:ascii="Book Antiqua" w:hAnsi="Book Antiqua"/>
          <w:i/>
          <w:sz w:val="18"/>
          <w:szCs w:val="18"/>
        </w:rPr>
        <w:t xml:space="preserve">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It is important to note that the changes in the ZPE, and therefore in the amplitude and velocity of the light, did not alter the wave lengths themselves; they were the same from maximum point to maximum point [13].  This means the colors were not different, as colors are a result of wave length, not wave height or speed.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It is the height of the light wave that indicates its brightness, and it seemed intuitive for a long time to associate the brightness with the energy of the light itself.  In the early twentieth century, however, something called the photoelectric effect was discovered.  It was already known that if a ray of light hit a bit of metal, an electron could be discharged and </w:t>
      </w:r>
      <w:proofErr w:type="gramStart"/>
      <w:r w:rsidRPr="00923ECC">
        <w:rPr>
          <w:rFonts w:ascii="Book Antiqua" w:hAnsi="Book Antiqua"/>
          <w:sz w:val="20"/>
        </w:rPr>
        <w:t>initiate</w:t>
      </w:r>
      <w:proofErr w:type="gramEnd"/>
      <w:r w:rsidRPr="00923ECC">
        <w:rPr>
          <w:rFonts w:ascii="Book Antiqua" w:hAnsi="Book Antiqua"/>
          <w:sz w:val="20"/>
        </w:rPr>
        <w:t xml:space="preserve"> an electric current.  However, there was a surprise involved:  some light, no matter how brightly it was concentrated on the metal, failed to activate an electric current.  On the other hand, certain colors of light, no matter how faint, did activate the current.  Light color is determined by wavelength, and therefore is the determining factor in the amount of light energy any light wave contains.  The energy is not a matter of brightness, but of color.</w:t>
      </w:r>
    </w:p>
    <w:p w:rsidR="0014236D" w:rsidRPr="00923ECC" w:rsidRDefault="0014236D" w:rsidP="0014236D">
      <w:pPr>
        <w:pStyle w:val="NoSpacing"/>
        <w:jc w:val="both"/>
        <w:rPr>
          <w:rFonts w:ascii="Book Antiqua" w:hAnsi="Book Antiqua"/>
          <w:sz w:val="20"/>
        </w:rPr>
      </w:pPr>
    </w:p>
    <w:p w:rsidR="0014236D" w:rsidRDefault="0014236D" w:rsidP="0014236D">
      <w:pPr>
        <w:pStyle w:val="NoSpacing"/>
        <w:ind w:firstLine="720"/>
        <w:jc w:val="both"/>
        <w:rPr>
          <w:rFonts w:ascii="Book Antiqua" w:hAnsi="Book Antiqua"/>
          <w:sz w:val="20"/>
        </w:rPr>
      </w:pPr>
      <w:r w:rsidRPr="00923ECC">
        <w:rPr>
          <w:rFonts w:ascii="Book Antiqua" w:hAnsi="Book Antiqua"/>
          <w:sz w:val="20"/>
        </w:rPr>
        <w:t xml:space="preserve">A unifying way of looking at this difference might be to consider light as being composed of a series of photons instead of waves. For light of a fixed wavelength, we can consider all photons to have the same size. So, as the unbroken stream of photons slows down, the photon size remains the same, but the photon becomes “denser,” or has a greater mass. This is done on the basis that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923ECC">
        <w:rPr>
          <w:rFonts w:ascii="Book Antiqua" w:hAnsi="Book Antiqua"/>
          <w:sz w:val="20"/>
        </w:rPr>
        <w:t xml:space="preserve"> is a constant. Its total energy</w:t>
      </w:r>
      <w:proofErr w:type="gramStart"/>
      <w:r w:rsidRPr="00923ECC">
        <w:rPr>
          <w:rFonts w:ascii="Book Antiqua" w:hAnsi="Book Antiqua"/>
          <w:sz w:val="20"/>
        </w:rPr>
        <w:t xml:space="preserve">, </w:t>
      </w:r>
      <m:oMath>
        <w:proofErr w:type="gramEnd"/>
        <m:r>
          <w:rPr>
            <w:rFonts w:ascii="Cambria Math" w:hAnsi="Cambria Math"/>
            <w:sz w:val="20"/>
          </w:rPr>
          <m:t>E</m:t>
        </m:r>
      </m:oMath>
      <w:r w:rsidRPr="00923ECC">
        <w:rPr>
          <w:rFonts w:ascii="Book Antiqua" w:hAnsi="Book Antiqua"/>
          <w:sz w:val="20"/>
        </w:rPr>
        <w:t xml:space="preserve">, remains constant, but as its speed, </w:t>
      </w:r>
      <m:oMath>
        <m:r>
          <w:rPr>
            <w:rFonts w:ascii="Cambria Math" w:hAnsi="Cambria Math"/>
            <w:sz w:val="20"/>
          </w:rPr>
          <m:t>c</m:t>
        </m:r>
      </m:oMath>
      <w:r w:rsidRPr="00923ECC">
        <w:rPr>
          <w:rFonts w:ascii="Book Antiqua" w:hAnsi="Book Antiqua"/>
          <w:sz w:val="20"/>
        </w:rPr>
        <w:t xml:space="preserve">, drops its effective “mass,” </w:t>
      </w:r>
      <m:oMath>
        <m:r>
          <w:rPr>
            <w:rFonts w:ascii="Cambria Math" w:hAnsi="Cambria Math"/>
            <w:sz w:val="20"/>
          </w:rPr>
          <m:t>m</m:t>
        </m:r>
      </m:oMath>
      <w:r w:rsidRPr="00923ECC">
        <w:rPr>
          <w:rFonts w:ascii="Book Antiqua" w:hAnsi="Book Antiqua"/>
          <w:sz w:val="20"/>
        </w:rPr>
        <w:t xml:space="preserve">, increases. Thus, as an analogy, when the speed of light was high, a photon might be considered to have the density, or mass, of a snowflake. However, as c decreased, and the number of photons arriving at an observer per second decreased, the density, or mass, of each photon increased in compensation so it was now more like that of a hailstone, even though its size was unaltered. This change in “density” or mass occurred as ε and µ changed. </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Thus light photons, while more numerous originally, were each “softer.”</w:t>
      </w:r>
      <w:r w:rsidRPr="00923ECC">
        <w:rPr>
          <w:rFonts w:ascii="Book Antiqua" w:hAnsi="Book Antiqua"/>
          <w:sz w:val="20"/>
        </w:rPr>
        <w:tab/>
        <w:t xml:space="preserve">This means that as far as early plants were concerned, the strength of each photon’s impact on a leaf was less, even though its energy (color) was the same as now.  So while there were more photons hitting each leaf at any given time, it was more like being bathed in this soft light. Today the overall brightness of the light is the same, but the impact of each photon individually is greater.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In summary, the indication is that, in times past, plants received more photons of light of a given energy per unit area per second than they do now.  However there is no difference in the total amount of brightness through time.  Was there, then, a difference in the manner photosynthesis operated before which would result in gigantism in plants?</w:t>
      </w:r>
    </w:p>
    <w:p w:rsidR="0014236D" w:rsidRPr="0072042F" w:rsidRDefault="0014236D" w:rsidP="0014236D">
      <w:pPr>
        <w:pStyle w:val="NormalWeb"/>
        <w:ind w:left="360"/>
        <w:rPr>
          <w:rFonts w:ascii="Book Antiqua" w:hAnsi="Book Antiqua"/>
          <w:b/>
          <w:sz w:val="20"/>
          <w:szCs w:val="20"/>
        </w:rPr>
      </w:pPr>
      <w:r>
        <w:rPr>
          <w:rFonts w:ascii="Book Antiqua" w:hAnsi="Book Antiqua"/>
          <w:b/>
          <w:sz w:val="20"/>
          <w:szCs w:val="20"/>
        </w:rPr>
        <w:t xml:space="preserve">5  </w:t>
      </w:r>
      <w:r w:rsidRPr="0072042F">
        <w:rPr>
          <w:rFonts w:ascii="Book Antiqua" w:hAnsi="Book Antiqua"/>
          <w:b/>
          <w:sz w:val="20"/>
          <w:szCs w:val="20"/>
        </w:rPr>
        <w:t xml:space="preserve"> Overview of Photosynthesis</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Photosynthesis is the basic process whereby plants, algae, and some bacteria use energy from sunlight to convert water and carbon-dioxide to oxygen and sugars. A basic equation which describes the overall process is as follows: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sz w:val="20"/>
        </w:rPr>
      </w:pPr>
      <m:oMath>
        <m:r>
          <w:rPr>
            <w:rFonts w:ascii="Cambria Math" w:hAnsi="Book Antiqua"/>
            <w:sz w:val="20"/>
          </w:rPr>
          <m:t>6</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6</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r>
          <w:rPr>
            <w:rFonts w:ascii="Cambria Math" w:hAnsi="Book Antiqua"/>
            <w:sz w:val="20"/>
          </w:rPr>
          <m:t xml:space="preserve">  </m:t>
        </m:r>
        <m:r>
          <w:rPr>
            <w:rFonts w:ascii="Cambria Math" w:hAnsi="Book Antiqua"/>
            <w:i/>
            <w:sz w:val="20"/>
          </w:rPr>
          <w:sym w:font="Wingdings" w:char="F0E0"/>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C</m:t>
            </m:r>
          </m:e>
          <m:sub>
            <m:r>
              <w:rPr>
                <w:rFonts w:ascii="Cambria Math" w:hAnsi="Book Antiqua"/>
                <w:sz w:val="20"/>
              </w:rPr>
              <m:t>6</m:t>
            </m:r>
          </m:sub>
        </m:sSub>
        <m:sSub>
          <m:sSubPr>
            <m:ctrlPr>
              <w:rPr>
                <w:rFonts w:ascii="Cambria Math" w:hAnsi="Book Antiqua"/>
                <w:i/>
                <w:sz w:val="20"/>
              </w:rPr>
            </m:ctrlPr>
          </m:sSubPr>
          <m:e>
            <m:r>
              <w:rPr>
                <w:rFonts w:ascii="Cambria Math" w:hAnsi="Cambria Math"/>
                <w:sz w:val="20"/>
              </w:rPr>
              <m:t>H</m:t>
            </m:r>
          </m:e>
          <m:sub>
            <m:r>
              <w:rPr>
                <w:rFonts w:ascii="Cambria Math" w:hAnsi="Book Antiqua"/>
                <w:sz w:val="20"/>
              </w:rPr>
              <m:t>12</m:t>
            </m:r>
          </m:sub>
        </m:sSub>
        <m:sSub>
          <m:sSubPr>
            <m:ctrlPr>
              <w:rPr>
                <w:rFonts w:ascii="Cambria Math" w:hAnsi="Book Antiqua"/>
                <w:i/>
                <w:sz w:val="20"/>
              </w:rPr>
            </m:ctrlPr>
          </m:sSubPr>
          <m:e>
            <m:r>
              <w:rPr>
                <w:rFonts w:ascii="Cambria Math" w:hAnsi="Cambria Math"/>
                <w:sz w:val="20"/>
              </w:rPr>
              <m:t>O</m:t>
            </m:r>
          </m:e>
          <m:sub>
            <m:r>
              <w:rPr>
                <w:rFonts w:ascii="Cambria Math" w:hAnsi="Book Antiqua"/>
                <w:sz w:val="20"/>
              </w:rPr>
              <m:t>6</m:t>
            </m:r>
          </m:sub>
        </m:sSub>
        <m:r>
          <w:rPr>
            <w:rFonts w:ascii="Cambria Math" w:hAnsi="Book Antiqua"/>
            <w:sz w:val="20"/>
          </w:rPr>
          <m:t xml:space="preserve">  +  6</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(1)</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Photosynthesis is made possible when the energy in photons of light is converted to chemical energy by the organism.  This conversion occurs in two stages. The first stage is called photophosphorylation. The processes which occur with photophosphorylation are sometimes referred to as the "light reactions" since they can only take place during daylight hours. The second stage, known as the Calvin Cycle, or the carbon fixation process, takes products of the light reactions, combines them with carbon dioxide, and fixes the carbon into sugars used for plant growth.  This stage of photosynthesis does not require a light source to be present. Let us begin with the light reactions.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5.1</w:t>
      </w:r>
      <w:r w:rsidRPr="00923ECC">
        <w:rPr>
          <w:rFonts w:ascii="Book Antiqua" w:hAnsi="Book Antiqua"/>
          <w:i/>
          <w:sz w:val="20"/>
          <w:szCs w:val="20"/>
        </w:rPr>
        <w:t xml:space="preserve"> The ‘Light Reactions’</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One basic difference between animal cells and plant cells is the existence of something called chloroplasts in the plant cells. The structure of a chloroplast is shown in Figure 7. In plants and algae, (the eukaryotes), the light reactions all occur within the chloroplast. The chloroplast is a specialized component of certain cells which not only contains chlorophyll but also the systems responsible for photosynthesis (see Figure 7). The matrix of the chloroplast is a thick fluid where various ions, enzymes and molecules are found. This matrix is called the stroma. Bacteria (prokaryotes) have a slightly different arrangement but with a similar purpose.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4302337" cy="2228370"/>
            <wp:effectExtent l="19050" t="0" r="2963" b="0"/>
            <wp:docPr id="146" name="Picture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pic:cNvPicPr>
                      <a:picLocks noChangeAspect="1" noChangeArrowheads="1"/>
                    </pic:cNvPicPr>
                  </pic:nvPicPr>
                  <pic:blipFill>
                    <a:blip r:embed="rId1101" cstate="print"/>
                    <a:srcRect/>
                    <a:stretch>
                      <a:fillRect/>
                    </a:stretch>
                  </pic:blipFill>
                  <pic:spPr bwMode="auto">
                    <a:xfrm>
                      <a:off x="0" y="0"/>
                      <a:ext cx="4313490" cy="2234147"/>
                    </a:xfrm>
                    <a:prstGeom prst="rect">
                      <a:avLst/>
                    </a:prstGeom>
                    <a:noFill/>
                    <a:ln w="9525">
                      <a:noFill/>
                      <a:miter lim="800000"/>
                      <a:headEnd/>
                      <a:tailEnd/>
                    </a:ln>
                  </pic:spPr>
                </pic:pic>
              </a:graphicData>
            </a:graphic>
          </wp:inline>
        </w:drawing>
      </w:r>
    </w:p>
    <w:p w:rsidR="0014236D" w:rsidRPr="00923ECC" w:rsidRDefault="0014236D" w:rsidP="0014236D">
      <w:pPr>
        <w:pStyle w:val="NormPara"/>
        <w:spacing w:before="80" w:after="80"/>
        <w:ind w:firstLine="0"/>
        <w:jc w:val="left"/>
        <w:rPr>
          <w:szCs w:val="18"/>
        </w:rPr>
      </w:pPr>
    </w:p>
    <w:p w:rsidR="0014236D" w:rsidRPr="001203CB" w:rsidRDefault="0014236D" w:rsidP="00D1626D">
      <w:pPr>
        <w:pStyle w:val="NormPara"/>
        <w:spacing w:before="80" w:after="80"/>
        <w:ind w:firstLine="0"/>
        <w:jc w:val="center"/>
        <w:rPr>
          <w:i/>
          <w:szCs w:val="18"/>
        </w:rPr>
      </w:pPr>
      <w:r w:rsidRPr="00F02364">
        <w:rPr>
          <w:b/>
          <w:i/>
          <w:szCs w:val="18"/>
        </w:rPr>
        <w:t>Figure 7:</w:t>
      </w:r>
      <w:r w:rsidRPr="001203CB">
        <w:rPr>
          <w:i/>
          <w:szCs w:val="18"/>
        </w:rPr>
        <w:t xml:space="preserve">  Structure of a chloroplast.</w:t>
      </w:r>
    </w:p>
    <w:p w:rsidR="00E622F1" w:rsidRDefault="00E622F1" w:rsidP="0014236D">
      <w:pPr>
        <w:pStyle w:val="NormalWeb"/>
        <w:rPr>
          <w:rFonts w:ascii="Book Antiqua" w:hAnsi="Book Antiqua"/>
          <w:i/>
          <w:sz w:val="20"/>
          <w:szCs w:val="20"/>
        </w:rPr>
      </w:pPr>
    </w:p>
    <w:p w:rsidR="0014236D" w:rsidRPr="00923ECC" w:rsidRDefault="0014236D" w:rsidP="0014236D">
      <w:pPr>
        <w:pStyle w:val="NormalWeb"/>
        <w:rPr>
          <w:rFonts w:ascii="Book Antiqua" w:hAnsi="Book Antiqua"/>
          <w:i/>
          <w:sz w:val="20"/>
          <w:szCs w:val="20"/>
        </w:rPr>
      </w:pPr>
      <w:r>
        <w:rPr>
          <w:rFonts w:ascii="Book Antiqua" w:hAnsi="Book Antiqua"/>
          <w:i/>
          <w:sz w:val="20"/>
          <w:szCs w:val="20"/>
        </w:rPr>
        <w:t>5.2</w:t>
      </w:r>
      <w:r w:rsidRPr="00923ECC">
        <w:rPr>
          <w:rFonts w:ascii="Book Antiqua" w:hAnsi="Book Antiqua"/>
          <w:i/>
          <w:sz w:val="20"/>
          <w:szCs w:val="20"/>
        </w:rPr>
        <w:t xml:space="preserve"> Processes </w:t>
      </w:r>
      <w:proofErr w:type="gramStart"/>
      <w:r w:rsidRPr="00923ECC">
        <w:rPr>
          <w:rFonts w:ascii="Book Antiqua" w:hAnsi="Book Antiqua"/>
          <w:i/>
          <w:sz w:val="20"/>
          <w:szCs w:val="20"/>
        </w:rPr>
        <w:t>Inside</w:t>
      </w:r>
      <w:proofErr w:type="gramEnd"/>
      <w:r w:rsidRPr="00923ECC">
        <w:rPr>
          <w:rFonts w:ascii="Book Antiqua" w:hAnsi="Book Antiqua"/>
          <w:i/>
          <w:sz w:val="20"/>
          <w:szCs w:val="20"/>
        </w:rPr>
        <w:t xml:space="preserve"> a Chloroplast</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 process begins when light photons are collected and absorbed by the surface ‘antenna pigments’ (see Figure 8). These pigments contain chlorophyll, but they do not use the light energy themselves.  They collect light energy and transfer it deeper into the plant cell where a series of pigment molecules and proteins together, called the ‘reaction center,’ begin the actual energy conversion in the thylakoid membrane.</w:t>
      </w:r>
    </w:p>
    <w:p w:rsidR="0014236D" w:rsidRPr="00923ECC" w:rsidRDefault="0014236D" w:rsidP="0014236D">
      <w:pPr>
        <w:pStyle w:val="NormPara"/>
        <w:spacing w:before="80" w:after="80"/>
        <w:ind w:firstLine="0"/>
        <w:jc w:val="center"/>
        <w:rPr>
          <w:sz w:val="20"/>
        </w:rPr>
      </w:pPr>
      <w:r w:rsidRPr="00923ECC">
        <w:rPr>
          <w:noProof/>
          <w:sz w:val="20"/>
        </w:rPr>
        <w:drawing>
          <wp:inline distT="0" distB="0" distL="0" distR="0">
            <wp:extent cx="4490907" cy="2896881"/>
            <wp:effectExtent l="19050" t="0" r="4893" b="0"/>
            <wp:docPr id="974" name="il_fi" descr="http://image.wistatutor.com/content/feed/tvc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wistatutor.com/content/feed/tvcs/po.JPG"/>
                    <pic:cNvPicPr>
                      <a:picLocks noChangeAspect="1" noChangeArrowheads="1"/>
                    </pic:cNvPicPr>
                  </pic:nvPicPr>
                  <pic:blipFill>
                    <a:blip r:embed="rId1102" cstate="print">
                      <a:lum/>
                    </a:blip>
                    <a:srcRect l="3726" t="5913" r="7137" b="9225"/>
                    <a:stretch>
                      <a:fillRect/>
                    </a:stretch>
                  </pic:blipFill>
                  <pic:spPr bwMode="auto">
                    <a:xfrm>
                      <a:off x="0" y="0"/>
                      <a:ext cx="4482976" cy="2891765"/>
                    </a:xfrm>
                    <a:prstGeom prst="rect">
                      <a:avLst/>
                    </a:prstGeom>
                    <a:noFill/>
                    <a:ln w="9525">
                      <a:noFill/>
                      <a:miter lim="800000"/>
                      <a:headEnd/>
                      <a:tailEnd/>
                    </a:ln>
                  </pic:spPr>
                </pic:pic>
              </a:graphicData>
            </a:graphic>
          </wp:inline>
        </w:drawing>
      </w:r>
    </w:p>
    <w:p w:rsidR="0014236D" w:rsidRPr="00923ECC" w:rsidRDefault="0014236D" w:rsidP="0014236D">
      <w:pPr>
        <w:pStyle w:val="NormPara"/>
        <w:spacing w:before="80" w:after="120"/>
        <w:ind w:firstLine="0"/>
        <w:jc w:val="left"/>
        <w:rPr>
          <w:szCs w:val="18"/>
        </w:rPr>
      </w:pPr>
    </w:p>
    <w:p w:rsidR="0014236D" w:rsidRPr="00F02364" w:rsidRDefault="0014236D" w:rsidP="00D1626D">
      <w:pPr>
        <w:pStyle w:val="NormPara"/>
        <w:spacing w:before="80" w:after="120"/>
        <w:ind w:firstLine="0"/>
        <w:jc w:val="center"/>
        <w:rPr>
          <w:i/>
          <w:szCs w:val="18"/>
        </w:rPr>
      </w:pPr>
      <w:r w:rsidRPr="00F02364">
        <w:rPr>
          <w:b/>
          <w:i/>
          <w:szCs w:val="18"/>
        </w:rPr>
        <w:t>Figure 8:</w:t>
      </w:r>
      <w:r w:rsidRPr="00F02364">
        <w:rPr>
          <w:i/>
          <w:szCs w:val="18"/>
        </w:rPr>
        <w:t xml:space="preserve">  Antenna system and reaction center in thylakoid membrane.</w:t>
      </w:r>
    </w:p>
    <w:p w:rsidR="0014236D" w:rsidRPr="00923ECC" w:rsidRDefault="0014236D" w:rsidP="0014236D">
      <w:pPr>
        <w:pStyle w:val="NormPara"/>
        <w:spacing w:before="80" w:after="120"/>
        <w:ind w:firstLine="0"/>
        <w:jc w:val="left"/>
        <w:rPr>
          <w:szCs w:val="18"/>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The antenna </w:t>
      </w:r>
      <w:proofErr w:type="gramStart"/>
      <w:r w:rsidRPr="00923ECC">
        <w:rPr>
          <w:rFonts w:ascii="Book Antiqua" w:hAnsi="Book Antiqua"/>
          <w:sz w:val="20"/>
        </w:rPr>
        <w:t>pigments,</w:t>
      </w:r>
      <w:proofErr w:type="gramEnd"/>
      <w:r w:rsidRPr="00923ECC">
        <w:rPr>
          <w:rFonts w:ascii="Book Antiqua" w:hAnsi="Book Antiqua"/>
          <w:sz w:val="20"/>
        </w:rPr>
        <w:t xml:space="preserve"> are made up of chlorophyll </w:t>
      </w:r>
      <w:r w:rsidRPr="00923ECC">
        <w:rPr>
          <w:rFonts w:ascii="Book Antiqua" w:hAnsi="Book Antiqua"/>
          <w:b/>
          <w:i/>
          <w:sz w:val="20"/>
        </w:rPr>
        <w:t>a</w:t>
      </w:r>
      <w:r w:rsidRPr="00923ECC">
        <w:rPr>
          <w:rFonts w:ascii="Book Antiqua" w:hAnsi="Book Antiqua"/>
          <w:sz w:val="20"/>
        </w:rPr>
        <w:t xml:space="preserve"> and chlorophyll</w:t>
      </w:r>
      <w:r w:rsidRPr="00923ECC">
        <w:rPr>
          <w:rFonts w:ascii="Book Antiqua" w:hAnsi="Book Antiqua"/>
          <w:b/>
          <w:sz w:val="20"/>
        </w:rPr>
        <w:t xml:space="preserve"> </w:t>
      </w:r>
      <w:r w:rsidRPr="00923ECC">
        <w:rPr>
          <w:rFonts w:ascii="Book Antiqua" w:hAnsi="Book Antiqua"/>
          <w:b/>
          <w:i/>
          <w:sz w:val="20"/>
        </w:rPr>
        <w:t>b</w:t>
      </w:r>
      <w:r w:rsidRPr="00923ECC">
        <w:rPr>
          <w:rFonts w:ascii="Book Antiqua" w:hAnsi="Book Antiqua"/>
          <w:sz w:val="20"/>
        </w:rPr>
        <w:t xml:space="preserve"> as well as some carotenoid molecules. Chlorophylls </w:t>
      </w:r>
      <w:r w:rsidRPr="00923ECC">
        <w:rPr>
          <w:rFonts w:ascii="Book Antiqua" w:hAnsi="Book Antiqua"/>
          <w:b/>
          <w:i/>
          <w:sz w:val="20"/>
        </w:rPr>
        <w:t>a</w:t>
      </w:r>
      <w:r w:rsidRPr="00923ECC">
        <w:rPr>
          <w:rFonts w:ascii="Book Antiqua" w:hAnsi="Book Antiqua"/>
          <w:b/>
          <w:sz w:val="20"/>
        </w:rPr>
        <w:t xml:space="preserve"> </w:t>
      </w:r>
      <w:r w:rsidRPr="00923ECC">
        <w:rPr>
          <w:rFonts w:ascii="Book Antiqua" w:hAnsi="Book Antiqua"/>
          <w:sz w:val="20"/>
        </w:rPr>
        <w:t xml:space="preserve">and </w:t>
      </w:r>
      <w:r w:rsidRPr="00923ECC">
        <w:rPr>
          <w:rFonts w:ascii="Book Antiqua" w:hAnsi="Book Antiqua"/>
          <w:b/>
          <w:i/>
          <w:sz w:val="20"/>
        </w:rPr>
        <w:t>b</w:t>
      </w:r>
      <w:r w:rsidRPr="00923ECC">
        <w:rPr>
          <w:rFonts w:ascii="Book Antiqua" w:hAnsi="Book Antiqua"/>
          <w:sz w:val="20"/>
        </w:rPr>
        <w:t xml:space="preserve"> differ in the wavelengths they absorb best, but both absorb red and blue much better than yellow and green. However, the carotenoids fill this gap by preferentially absorbing green light. The entire antenna complex, comprising from 100 to 5000 molecules, ensures that the majority of light photons will be trapped and passed on to their associated reaction centers. The number of pigment molecules in the antenna complex is flexible.  It is usual for systems growing in low light or shady conditions to have more antenna molecules connected to each reaction center than those in full sun.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The process by which energy is passed down to the thylakoid reaction centers is via electron transfer.  There are two photo-systems with which the antenna complexes and their reaction centers are associated. In Photosystem II (PS II) the reaction center contains chlorophyll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vertAlign w:val="subscript"/>
        </w:rPr>
        <w:t xml:space="preserve"> </w:t>
      </w:r>
      <w:r w:rsidRPr="00923ECC">
        <w:rPr>
          <w:rFonts w:ascii="Book Antiqua" w:hAnsi="Book Antiqua"/>
          <w:sz w:val="20"/>
        </w:rPr>
        <w:t xml:space="preserve">while Photosystem I (PS I) contains chlorophyll </w:t>
      </w:r>
      <w:r w:rsidRPr="00923ECC">
        <w:rPr>
          <w:rFonts w:ascii="Book Antiqua" w:hAnsi="Book Antiqua"/>
          <w:b/>
          <w:sz w:val="20"/>
        </w:rPr>
        <w:t>P</w:t>
      </w:r>
      <w:r w:rsidRPr="00923ECC">
        <w:rPr>
          <w:rFonts w:ascii="Book Antiqua" w:hAnsi="Book Antiqua"/>
          <w:b/>
          <w:sz w:val="20"/>
          <w:vertAlign w:val="subscript"/>
        </w:rPr>
        <w:t>700</w:t>
      </w:r>
      <w:r w:rsidRPr="00923ECC">
        <w:rPr>
          <w:rFonts w:ascii="Book Antiqua" w:hAnsi="Book Antiqua"/>
          <w:sz w:val="20"/>
        </w:rPr>
        <w:t>. Absorption of one photon of light by PS II removes one electron from</w:t>
      </w:r>
      <w:r w:rsidRPr="00923ECC">
        <w:rPr>
          <w:rFonts w:ascii="Book Antiqua" w:hAnsi="Book Antiqua"/>
          <w:b/>
          <w:sz w:val="20"/>
        </w:rPr>
        <w:t xml:space="preserve"> P</w:t>
      </w:r>
      <w:r w:rsidRPr="00923ECC">
        <w:rPr>
          <w:rFonts w:ascii="Book Antiqua" w:hAnsi="Book Antiqua"/>
          <w:b/>
          <w:sz w:val="20"/>
          <w:vertAlign w:val="subscript"/>
        </w:rPr>
        <w:t>680</w:t>
      </w:r>
      <w:r w:rsidRPr="00923ECC">
        <w:rPr>
          <w:rFonts w:ascii="Book Antiqua" w:hAnsi="Book Antiqua"/>
          <w:sz w:val="20"/>
        </w:rPr>
        <w:t xml:space="preserve">. With its resulting positive charge,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rPr>
        <w:t xml:space="preserve"> can remove one electron from a molecule of water. When this process has occurred four times (using two molecules of water), one molecule of oxygen is released and the hydrogen has been split into four electrons and four protons. The following equation describes this: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i/>
          <w:sz w:val="20"/>
        </w:rPr>
      </w:pPr>
      <m:oMath>
        <m:r>
          <w:rPr>
            <w:rFonts w:ascii="Cambria Math" w:hAnsi="Book Antiqua"/>
            <w:sz w:val="20"/>
          </w:rPr>
          <m:t>2</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+ 4 </m:t>
        </m:r>
        <m:r>
          <w:rPr>
            <w:rFonts w:ascii="Cambria Math" w:hAnsi="Cambria Math"/>
            <w:sz w:val="20"/>
          </w:rPr>
          <m:t>p</m:t>
        </m:r>
        <m:r>
          <w:rPr>
            <w:rFonts w:ascii="Book Antiqua" w:hAnsi="Cambria Math"/>
            <w:sz w:val="20"/>
          </w:rPr>
          <m:t>h</m:t>
        </m:r>
        <m:r>
          <w:rPr>
            <w:rFonts w:ascii="Cambria Math" w:hAnsi="Cambria Math"/>
            <w:sz w:val="20"/>
          </w:rPr>
          <m:t>otons</m:t>
        </m:r>
        <m:r>
          <w:rPr>
            <w:rFonts w:ascii="Cambria Math" w:hAnsi="Book Antiqua"/>
            <w:sz w:val="20"/>
          </w:rPr>
          <m:t xml:space="preserve"> </m:t>
        </m:r>
        <m:r>
          <w:rPr>
            <w:rFonts w:ascii="Book Antiqua" w:hAnsi="Book Antiqua"/>
            <w:sz w:val="20"/>
          </w:rPr>
          <m:t>-----</m:t>
        </m:r>
        <m:r>
          <w:rPr>
            <w:rFonts w:ascii="Cambria Math" w:hAnsi="Book Antiqua"/>
            <w:sz w:val="20"/>
          </w:rPr>
          <m:t>&gt; 4</m:t>
        </m:r>
        <m:sSup>
          <m:sSupPr>
            <m:ctrlPr>
              <w:rPr>
                <w:rFonts w:ascii="Cambria Math" w:hAnsi="Book Antiqua"/>
                <w:i/>
                <w:sz w:val="20"/>
              </w:rPr>
            </m:ctrlPr>
          </m:sSupPr>
          <m:e>
            <m:r>
              <w:rPr>
                <w:rFonts w:ascii="Cambria Math" w:hAnsi="Cambria Math"/>
                <w:sz w:val="20"/>
              </w:rPr>
              <m:t>H</m:t>
            </m:r>
          </m:e>
          <m:sup>
            <m:r>
              <w:rPr>
                <w:rFonts w:ascii="Cambria Math" w:hAnsi="Book Antiqua"/>
                <w:sz w:val="20"/>
              </w:rPr>
              <m:t>+</m:t>
            </m:r>
          </m:sup>
        </m:sSup>
        <m:r>
          <w:rPr>
            <w:rFonts w:ascii="Cambria Math" w:hAnsi="Book Antiqua"/>
            <w:sz w:val="20"/>
          </w:rPr>
          <m:t xml:space="preserve"> + 4</m:t>
        </m:r>
        <m:sSup>
          <m:sSupPr>
            <m:ctrlPr>
              <w:rPr>
                <w:rFonts w:ascii="Cambria Math" w:hAnsi="Book Antiqua"/>
                <w:i/>
                <w:sz w:val="20"/>
              </w:rPr>
            </m:ctrlPr>
          </m:sSupPr>
          <m:e>
            <m:r>
              <w:rPr>
                <w:rFonts w:ascii="Cambria Math" w:hAnsi="Cambria Math"/>
                <w:sz w:val="20"/>
              </w:rPr>
              <m:t>e</m:t>
            </m:r>
          </m:e>
          <m:sup>
            <m:r>
              <w:rPr>
                <w:rFonts w:ascii="Book Antiqua" w:hAnsi="Book Antiqua"/>
                <w:sz w:val="20"/>
              </w:rPr>
              <m:t>-</m:t>
            </m:r>
          </m:sup>
        </m:sSup>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vertAlign w:val="subscript"/>
        </w:rPr>
        <w:t xml:space="preserve"> </w:t>
      </w:r>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(2)</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lastRenderedPageBreak/>
        <w:tab/>
        <w:t xml:space="preserve">These electrons then pass down the potential gradient between PS II and PS I, effectively producing an electric current. In the process, the electrons pass through a cytachrome complex. This cytachrome complex uses the energy from the electron current to pump the protons, liberated from the water molecule, against their concentration gradient and out of the fluid stroma, into the interior of the thylakoid. The energy released as these protons move back down the concentration gradient, and back into the stroma again, is then specifically channeled to synthesize the ATP molecule (Adenosine Tri-Phosphate).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conversion of ADP (the Di-Phosphate form) to ATP (the Tri-Phosphate) involves the addition of one more phosphate group to the original molecule.  The energy required to attach this third phosphate is where the energy is stored.  Finally, electrons are transferred via Photosystem I to </w:t>
      </w:r>
      <m:oMath>
        <m:sSup>
          <m:sSupPr>
            <m:ctrlPr>
              <w:rPr>
                <w:rFonts w:ascii="Cambria Math" w:hAnsi="Book Antiqua"/>
                <w:i/>
                <w:sz w:val="20"/>
              </w:rPr>
            </m:ctrlPr>
          </m:sSupPr>
          <m:e>
            <m:r>
              <w:rPr>
                <w:rFonts w:ascii="Cambria Math" w:hAnsi="Cambria Math"/>
                <w:sz w:val="20"/>
              </w:rPr>
              <m:t>NADP</m:t>
            </m:r>
          </m:e>
          <m:sup>
            <m:r>
              <w:rPr>
                <w:rFonts w:ascii="Cambria Math" w:hAnsi="Book Antiqua"/>
                <w:sz w:val="20"/>
              </w:rPr>
              <m:t>+</m:t>
            </m:r>
          </m:sup>
        </m:sSup>
      </m:oMath>
      <w:r w:rsidRPr="00923ECC">
        <w:rPr>
          <w:rFonts w:ascii="Book Antiqua" w:hAnsi="Book Antiqua"/>
          <w:sz w:val="20"/>
        </w:rPr>
        <w:t xml:space="preserve"> to make NADPH, which is the reduced form of nicotinamide adenine </w:t>
      </w:r>
      <w:proofErr w:type="gramStart"/>
      <w:r w:rsidRPr="00923ECC">
        <w:rPr>
          <w:rFonts w:ascii="Book Antiqua" w:hAnsi="Book Antiqua"/>
          <w:sz w:val="20"/>
        </w:rPr>
        <w:t>dinucleotide</w:t>
      </w:r>
      <w:proofErr w:type="gramEnd"/>
      <w:r w:rsidRPr="00923ECC">
        <w:rPr>
          <w:rFonts w:ascii="Book Antiqua" w:hAnsi="Book Antiqua"/>
          <w:sz w:val="20"/>
        </w:rPr>
        <w:t xml:space="preserve"> phosphate. Again, the addition of the hydrogen requires energy, and it is in this bonding that the energy is stored for the cell to use later.  The two products resulting from these photon driven reactions are therefore NADPH and ATP, both of which supply energy for metabolic processes, and, as a result, are sometimes called the energy currency for cells.</w:t>
      </w:r>
    </w:p>
    <w:p w:rsidR="0014236D" w:rsidRPr="00923ECC" w:rsidRDefault="0014236D" w:rsidP="0014236D">
      <w:pPr>
        <w:pStyle w:val="NoSpacing"/>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rate of energy transfer between antenna pigments on the way to the reaction centers is very rapid,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oMath>
      <w:r w:rsidRPr="00923ECC">
        <w:rPr>
          <w:rFonts w:ascii="Book Antiqua" w:hAnsi="Book Antiqua"/>
          <w:sz w:val="20"/>
        </w:rPr>
        <w:t xml:space="preserve"> seconds down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923ECC">
        <w:rPr>
          <w:rFonts w:ascii="Book Antiqua" w:hAnsi="Book Antiqua"/>
          <w:sz w:val="20"/>
        </w:rPr>
        <w:t xml:space="preserve"> seconds. In the reaction centers, the charge separation reaction occurs in times that typically range from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12</m:t>
            </m:r>
          </m:sup>
        </m:sSup>
      </m:oMath>
      <w:r w:rsidRPr="00923ECC">
        <w:rPr>
          <w:rFonts w:ascii="Book Antiqua" w:hAnsi="Book Antiqua"/>
          <w:sz w:val="20"/>
        </w:rPr>
        <w:t xml:space="preserve"> to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923ECC">
        <w:rPr>
          <w:rFonts w:ascii="Book Antiqua" w:hAnsi="Book Antiqua"/>
          <w:sz w:val="20"/>
        </w:rPr>
        <w:t xml:space="preserve"> seconds. The synthesis of ATP and NADPH is much slower, taking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6</m:t>
            </m:r>
          </m:sup>
        </m:sSup>
      </m:oMath>
      <w:r w:rsidRPr="00923ECC">
        <w:rPr>
          <w:rFonts w:ascii="Book Antiqua" w:hAnsi="Book Antiqua"/>
          <w:sz w:val="20"/>
        </w:rPr>
        <w:t xml:space="preserve"> down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r>
          <w:rPr>
            <w:rFonts w:ascii="Cambria Math" w:hAnsi="Book Antiqua"/>
            <w:sz w:val="20"/>
          </w:rPr>
          <m:t xml:space="preserve"> </m:t>
        </m:r>
      </m:oMath>
      <w:r w:rsidRPr="00923ECC">
        <w:rPr>
          <w:rFonts w:ascii="Book Antiqua" w:hAnsi="Book Antiqua"/>
          <w:sz w:val="20"/>
        </w:rPr>
        <w:t xml:space="preserve">seconds [23]. This means that the electron transport chain is fast enough to utilize the majority of the incoming photons.  However, in today’s full sunlight the formation of ATP and NADPH cannot keep up with the amount of light the plant absorbs. This is not due to the amount of light received, but to the limiting speed of the reactions. The result is photo-inhibition, causing the plant to shut down part of the electron transport chain.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Pr>
          <w:rFonts w:ascii="Book Antiqua" w:hAnsi="Book Antiqua"/>
          <w:i/>
          <w:sz w:val="20"/>
        </w:rPr>
        <w:t>5.3</w:t>
      </w:r>
      <w:r w:rsidRPr="00923ECC">
        <w:rPr>
          <w:rFonts w:ascii="Book Antiqua" w:hAnsi="Book Antiqua"/>
          <w:i/>
          <w:sz w:val="20"/>
        </w:rPr>
        <w:t xml:space="preserve"> Photo-Inhibition</w:t>
      </w:r>
    </w:p>
    <w:p w:rsidR="0014236D" w:rsidRPr="00923ECC" w:rsidRDefault="0014236D" w:rsidP="0014236D">
      <w:pPr>
        <w:pStyle w:val="NoSpacing"/>
        <w:ind w:left="360"/>
        <w:jc w:val="both"/>
        <w:rPr>
          <w:rFonts w:ascii="Book Antiqua" w:hAnsi="Book Antiqua"/>
          <w:b/>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Normally, the chlorophyll molecule itself has two electrons in its outer shell, and they will be spinning in opposite directions.  More light than the plant can handle tends to cause the formation of "triplet state" chlorophyll. In this state, the two electrons in the outer shell have identical spin orientations instead of opposite spins. This triplet chlorophyll readily reacts with oxygen which leads to a very reactive single oxygen atom being released (these are called free radicals in our own bodies).  These oxygen atoms damage proteins. This damage then slows down the formation of ATP and NADPH.  However, experiments have shown the problem can be countered when carotenoids are in close proximity to the chlorophylls. This counter-action occurs because carotenoids efficiently "quench" the triplet states of chlorophyll and so avoid the formation of the singlet, or free radical, oxygen.</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Carotenoids are fat-soluble pigments found primarily in plants.  They are critical to the photosynthesis processes.  Carotenoids are anti-oxidants, protecting against not only free radical oxygen atoms, but over-exposure to light as well.  Plants produce carotenoids in response to exposure to light; the more the exposure, the more the carotenoid production occurs up to what appear to be certain limits [24, 25]. There is no reason to doubt that the same protection which is afforded plants today would also have been in operation in times past. In support of this, it has been shown through experiments and research that ATP and NADPH production will increase when more light photons are available.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When we put</w:t>
      </w:r>
      <w:r w:rsidR="00E622F1">
        <w:rPr>
          <w:rFonts w:ascii="Book Antiqua" w:hAnsi="Book Antiqua"/>
          <w:sz w:val="20"/>
        </w:rPr>
        <w:t xml:space="preserve"> all</w:t>
      </w:r>
      <w:r w:rsidRPr="00923ECC">
        <w:rPr>
          <w:rFonts w:ascii="Book Antiqua" w:hAnsi="Book Antiqua"/>
          <w:sz w:val="20"/>
        </w:rPr>
        <w:t xml:space="preserve"> this together, we are left with the interesting hypothesis that, in times past, when the speed of light was faster, the increased number of light photons reaching plants was prevented from doing possible damage due to increased carotenoid production.  At the same time, the plants’ abilities to store more energy were increased.  As the speed of light decreased with time, plants received fewer photons of light per unit of time and carotenoid production would have dropped proportionately, as would the ability to store energy via the production of ATP and NADPH.  </w:t>
      </w:r>
    </w:p>
    <w:p w:rsidR="0014236D" w:rsidRPr="00B47A71" w:rsidRDefault="0014236D" w:rsidP="0014236D">
      <w:pPr>
        <w:pStyle w:val="NormalWeb"/>
        <w:jc w:val="both"/>
        <w:rPr>
          <w:rFonts w:ascii="Book Antiqua" w:hAnsi="Book Antiqua"/>
          <w:b/>
          <w:sz w:val="20"/>
          <w:szCs w:val="20"/>
        </w:rPr>
      </w:pPr>
      <w:r w:rsidRPr="00B47A71">
        <w:rPr>
          <w:rFonts w:ascii="Book Antiqua" w:hAnsi="Book Antiqua"/>
          <w:b/>
          <w:sz w:val="20"/>
          <w:szCs w:val="20"/>
        </w:rPr>
        <w:t>6 The Carbon Fixation Process</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Carbon fixation through the Calvin cycle is the second phase of photosynthesis and is sometimes labeled the “dark phase,” or "dark reactions". These reactions take carbon dioxide from the air and, using the energy stored in ATP </w:t>
      </w:r>
      <w:r w:rsidRPr="00923ECC">
        <w:rPr>
          <w:rFonts w:ascii="Book Antiqua" w:hAnsi="Book Antiqua"/>
          <w:sz w:val="20"/>
          <w:szCs w:val="20"/>
        </w:rPr>
        <w:lastRenderedPageBreak/>
        <w:t xml:space="preserve">and NADPH, convert the energy to sugars. This cycle uses a catalyst which changes carbon dioxide into two identical molecules each containing 3-carbon atoms. These 3-carbon molecules are then the basis for the synthesis of glucose and other sugars. Because there are 3-carbon atoms in the molecules produced by the catalyst, this process is referred to as the </w:t>
      </w:r>
      <m:oMath>
        <m:sSub>
          <m:sSubPr>
            <m:ctrlPr>
              <w:rPr>
                <w:rFonts w:ascii="Cambria Math" w:hAnsi="Book Antiqua"/>
                <w:b/>
                <w:i/>
                <w:sz w:val="20"/>
                <w:szCs w:val="20"/>
              </w:rPr>
            </m:ctrlPr>
          </m:sSubPr>
          <m:e>
            <m:r>
              <m:rPr>
                <m:sty m:val="bi"/>
              </m:rPr>
              <w:rPr>
                <w:rFonts w:ascii="Cambria Math" w:hAnsi="Cambria Math"/>
                <w:sz w:val="20"/>
                <w:szCs w:val="20"/>
              </w:rPr>
              <m:t>C</m:t>
            </m:r>
          </m:e>
          <m:sub>
            <m:r>
              <m:rPr>
                <m:sty m:val="bi"/>
              </m:rPr>
              <w:rPr>
                <w:rFonts w:ascii="Cambria Math" w:hAnsi="Cambria Math"/>
                <w:sz w:val="20"/>
                <w:szCs w:val="20"/>
              </w:rPr>
              <m:t>3</m:t>
            </m:r>
          </m:sub>
        </m:sSub>
      </m:oMath>
      <w:r w:rsidRPr="00923ECC">
        <w:rPr>
          <w:rFonts w:ascii="Book Antiqua" w:hAnsi="Book Antiqua"/>
          <w:b/>
          <w:sz w:val="20"/>
          <w:szCs w:val="20"/>
        </w:rPr>
        <w:t xml:space="preserve"> </w:t>
      </w:r>
      <w:r w:rsidRPr="00923ECC">
        <w:rPr>
          <w:rFonts w:ascii="Book Antiqua" w:hAnsi="Book Antiqua"/>
          <w:sz w:val="20"/>
          <w:szCs w:val="20"/>
        </w:rPr>
        <w:t xml:space="preserve">pathway.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catalyst that is used in this process is the enzyme ribulose biphosphate carboxylase oxygenase, which is usually referred to (for obvious reasons) as Rubisco.  Rubisco is capable of catalyzing two different reactions. The Calvin cycle, as explained above, is the primary reaction using Rubisco.  In it carbon dioxide is converted to sugars.  However, when carbon dioxide concentrations are low, Rubisco enables a different reaction by taking available oxygen and, combining it with the plant’s carbon, producing carbon dioxide.  This is called photorespiration, and effectively reverses all the hard work the plant has done using carbon dioxide to form sugars.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In order to avoid robbing the plant of its own sugars, relatively high carbon dioxide concentrations are desirable so that reactions proceed along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pathway instead reverting to photorespiration. Interestingly, the fossil record indicates that carbon dioxide concentrations were about 0.3% of the total atmospheric content at the time of plant gigantism.  This is about ten times the amount in our atmosphere today (which is 0.025%). When carbon dioxide was at that high level, photorespiration would have been extremely rare.  This, then, is one part of the explanation for the gigantism in fossil plants.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carbon dioxide content of our atmosphere remained at 10 times its current level throughout the Paleozoic and Mesozoic Eras.  But shortly after the onset of the Cenozoic Era, nearly 60 million atomic years ago,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in the atmosphere began dropping until 20 million atomic years ago when it reached today's concentration. About the time that the</w:t>
      </w:r>
      <m:oMath>
        <m:r>
          <w:rPr>
            <w:rFonts w:ascii="Cambria Math" w:hAnsi="Book Antiqua"/>
            <w:sz w:val="20"/>
          </w:rPr>
          <m:t xml:space="preserve">  </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dropped, about 10,000 species of flowering plants, or angiosperms, in 19 different families became prominent, including some 4500 species of grasses, or Poaceae. These plants all have a mechanism which increases their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vertAlign w:val="subscript"/>
        </w:rPr>
        <w:t xml:space="preserve"> </w:t>
      </w:r>
      <w:r w:rsidRPr="00923ECC">
        <w:rPr>
          <w:rFonts w:ascii="Book Antiqua" w:hAnsi="Book Antiqua"/>
          <w:sz w:val="20"/>
        </w:rPr>
        <w:t xml:space="preserve">concentrations before the Rubisco catalysis occurs, enabling them to thrive in a low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content.  This may be a major reason the angiosperms became so prominent in the Cenozoic.</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angiosperms employ a supplementary method of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uptake in addition to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 xml:space="preserve">pathway. This method produces oxaloacetic, malic and aspartic acids which all contain 4-carbon molecules. As a consequence, these plants are called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plants. They have structural changes in their leaf anatomy so that their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and</w:t>
      </w:r>
      <w:r w:rsidRPr="00923ECC">
        <w:rPr>
          <w:rFonts w:ascii="Book Antiqua" w:hAnsi="Book Antiqua"/>
          <w:b/>
          <w:sz w:val="20"/>
        </w:rPr>
        <w:t xml:space="preserv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pathways are separated to allow their reactions to occur in different parts of the leaf.</w:t>
      </w:r>
    </w:p>
    <w:p w:rsidR="0014236D" w:rsidRPr="00923ECC" w:rsidRDefault="0014236D" w:rsidP="0014236D">
      <w:pPr>
        <w:pStyle w:val="NoSpacing"/>
        <w:jc w:val="both"/>
        <w:rPr>
          <w:rFonts w:ascii="Book Antiqua" w:hAnsi="Book Antiqua"/>
          <w:sz w:val="20"/>
        </w:rPr>
      </w:pPr>
    </w:p>
    <w:p w:rsidR="0072049F" w:rsidRDefault="0014236D" w:rsidP="0014236D">
      <w:pPr>
        <w:pStyle w:val="NoSpacing"/>
        <w:jc w:val="both"/>
        <w:rPr>
          <w:rFonts w:ascii="Book Antiqua" w:hAnsi="Book Antiqua"/>
          <w:sz w:val="20"/>
        </w:rPr>
      </w:pPr>
      <w:r w:rsidRPr="00923ECC">
        <w:rPr>
          <w:rFonts w:ascii="Book Antiqua" w:hAnsi="Book Antiqua"/>
          <w:sz w:val="20"/>
        </w:rPr>
        <w:tab/>
        <w:t xml:space="preserve">This is the situation with horsetails. They show up as giants in fossils.  But they have so little leaf surface to capture the light and provide energy to the plant; how did they grow so tall? The answer may be hinted at in an article by Hibberd and Quick in </w:t>
      </w:r>
      <w:r w:rsidRPr="00923ECC">
        <w:rPr>
          <w:rFonts w:ascii="Book Antiqua" w:hAnsi="Book Antiqua"/>
          <w:i/>
          <w:sz w:val="20"/>
        </w:rPr>
        <w:t>Nature</w:t>
      </w:r>
      <w:r w:rsidRPr="00923ECC">
        <w:rPr>
          <w:rFonts w:ascii="Book Antiqua" w:hAnsi="Book Antiqua"/>
          <w:sz w:val="20"/>
        </w:rPr>
        <w:t xml:space="preserve"> [26]. In that article, they report some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 xml:space="preserve">plants, notably celery and tobacco, also had a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type of mechanism for fixing carbon in their stems and leaf stalks. </w:t>
      </w:r>
    </w:p>
    <w:p w:rsidR="0072049F" w:rsidRDefault="0072049F" w:rsidP="0014236D">
      <w:pPr>
        <w:pStyle w:val="NoSpacing"/>
        <w:jc w:val="both"/>
        <w:rPr>
          <w:rFonts w:ascii="Book Antiqua" w:hAnsi="Book Antiqua"/>
          <w:sz w:val="20"/>
        </w:rPr>
      </w:pPr>
    </w:p>
    <w:p w:rsidR="0014236D" w:rsidRPr="00923ECC" w:rsidRDefault="0014236D" w:rsidP="0072049F">
      <w:pPr>
        <w:pStyle w:val="NoSpacing"/>
        <w:ind w:firstLine="720"/>
        <w:jc w:val="both"/>
        <w:rPr>
          <w:rFonts w:ascii="Book Antiqua" w:hAnsi="Book Antiqua"/>
          <w:sz w:val="20"/>
        </w:rPr>
      </w:pPr>
      <w:r w:rsidRPr="00923ECC">
        <w:rPr>
          <w:rFonts w:ascii="Book Antiqua" w:hAnsi="Book Antiqua"/>
          <w:sz w:val="20"/>
        </w:rPr>
        <w:t xml:space="preserve">In this case, </w:t>
      </w:r>
      <w:proofErr w:type="gramStart"/>
      <w:r w:rsidRPr="00923ECC">
        <w:rPr>
          <w:rFonts w:ascii="Book Antiqua" w:hAnsi="Book Antiqua"/>
          <w:sz w:val="20"/>
        </w:rPr>
        <w:t xml:space="preserve">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from</w:t>
      </w:r>
      <w:proofErr w:type="gramEnd"/>
      <w:r w:rsidRPr="00923ECC">
        <w:rPr>
          <w:rFonts w:ascii="Book Antiqua" w:hAnsi="Book Antiqua"/>
          <w:sz w:val="20"/>
        </w:rPr>
        <w:t xml:space="preserve"> root respiration diffuses into the sap at concentrations considerably higher than air.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rises up in the plant, and is fixed, using Rubisco, by this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w:t>
      </w:r>
      <w:r w:rsidRPr="00923ECC">
        <w:rPr>
          <w:rFonts w:ascii="Book Antiqua" w:hAnsi="Book Antiqua"/>
          <w:b/>
          <w:sz w:val="20"/>
        </w:rPr>
        <w:t xml:space="preserve"> </w:t>
      </w:r>
      <w:r w:rsidRPr="00923ECC">
        <w:rPr>
          <w:rFonts w:ascii="Book Antiqua" w:hAnsi="Book Antiqua"/>
          <w:sz w:val="20"/>
        </w:rPr>
        <w:t xml:space="preserve">mechanism, in the stems and leaf stalks rather than diffusing out to the atmosphere. </w:t>
      </w:r>
    </w:p>
    <w:p w:rsidR="0014236D" w:rsidRPr="00923ECC" w:rsidRDefault="0014236D" w:rsidP="0014236D">
      <w:pPr>
        <w:pStyle w:val="NoSpacing"/>
        <w:jc w:val="both"/>
        <w:rPr>
          <w:rFonts w:ascii="Book Antiqua" w:hAnsi="Book Antiqua"/>
          <w:sz w:val="20"/>
        </w:rPr>
      </w:pPr>
    </w:p>
    <w:p w:rsidR="0072049F" w:rsidRDefault="0014236D" w:rsidP="0014236D">
      <w:pPr>
        <w:pStyle w:val="NoSpacing"/>
        <w:jc w:val="both"/>
        <w:rPr>
          <w:rFonts w:ascii="Book Antiqua" w:hAnsi="Book Antiqua"/>
          <w:sz w:val="20"/>
        </w:rPr>
      </w:pPr>
      <w:r w:rsidRPr="00923ECC">
        <w:rPr>
          <w:rFonts w:ascii="Book Antiqua" w:hAnsi="Book Antiqua"/>
          <w:sz w:val="20"/>
        </w:rPr>
        <w:tab/>
        <w:t xml:space="preserve">This occurs in the exact positions that would allow carbon fixation and lignin synthesis in the early horsetails and club mosses. Hibberd and Quick’s data also show that this process occurs at a high rate because the production of the intermediate PEP molecule in the veins was 18 times greater than in the leaves. The indication was that this may be a more general phenomenon than otherwise expected. </w:t>
      </w:r>
    </w:p>
    <w:p w:rsidR="0072049F" w:rsidRDefault="0072049F" w:rsidP="0014236D">
      <w:pPr>
        <w:pStyle w:val="NoSpacing"/>
        <w:jc w:val="both"/>
        <w:rPr>
          <w:rFonts w:ascii="Book Antiqua" w:hAnsi="Book Antiqua"/>
          <w:sz w:val="20"/>
        </w:rPr>
      </w:pPr>
    </w:p>
    <w:p w:rsidR="0014236D" w:rsidRDefault="0014236D" w:rsidP="0072049F">
      <w:pPr>
        <w:pStyle w:val="NoSpacing"/>
        <w:ind w:firstLine="720"/>
        <w:jc w:val="both"/>
        <w:rPr>
          <w:rFonts w:ascii="Book Antiqua" w:hAnsi="Book Antiqua"/>
          <w:sz w:val="20"/>
        </w:rPr>
      </w:pPr>
      <w:r w:rsidRPr="00923ECC">
        <w:rPr>
          <w:rFonts w:ascii="Book Antiqua" w:hAnsi="Book Antiqua"/>
          <w:sz w:val="20"/>
        </w:rPr>
        <w:t xml:space="preserve">The reason is that large quantities of light are needed for this mechanism to activate and begin operation. Since there would be an abundance of light photons in the Paleozoic Era due to a lower ZPE, then we have a very plausible explanation for the size of club mosses and horsetails in the fossil record. </w:t>
      </w:r>
    </w:p>
    <w:p w:rsidR="0072049F" w:rsidRPr="00923ECC" w:rsidRDefault="0072049F" w:rsidP="0072049F">
      <w:pPr>
        <w:pStyle w:val="NoSpacing"/>
        <w:ind w:firstLine="720"/>
        <w:jc w:val="both"/>
        <w:rPr>
          <w:rFonts w:ascii="Book Antiqua" w:hAnsi="Book Antiqua"/>
          <w:sz w:val="20"/>
        </w:rPr>
      </w:pPr>
    </w:p>
    <w:p w:rsidR="0014236D" w:rsidRDefault="0014236D" w:rsidP="0014236D">
      <w:pPr>
        <w:pStyle w:val="NormalWeb"/>
        <w:jc w:val="both"/>
        <w:rPr>
          <w:rFonts w:ascii="Book Antiqua" w:hAnsi="Book Antiqua"/>
          <w:b/>
          <w:sz w:val="20"/>
          <w:szCs w:val="20"/>
        </w:rPr>
      </w:pPr>
      <w:r w:rsidRPr="00B47A71">
        <w:rPr>
          <w:rFonts w:ascii="Book Antiqua" w:hAnsi="Book Antiqua"/>
          <w:b/>
          <w:sz w:val="20"/>
          <w:szCs w:val="20"/>
        </w:rPr>
        <w:lastRenderedPageBreak/>
        <w:t>7 Activating the Rubisco Enzyme</w:t>
      </w:r>
    </w:p>
    <w:p w:rsidR="0014236D" w:rsidRPr="00B47A71" w:rsidRDefault="0014236D" w:rsidP="0014236D">
      <w:pPr>
        <w:pStyle w:val="NormalWeb"/>
        <w:jc w:val="both"/>
        <w:rPr>
          <w:rFonts w:ascii="Book Antiqua" w:hAnsi="Book Antiqua"/>
          <w:i/>
          <w:sz w:val="20"/>
          <w:szCs w:val="20"/>
        </w:rPr>
      </w:pPr>
      <w:r w:rsidRPr="00B47A71">
        <w:rPr>
          <w:rFonts w:ascii="Book Antiqua" w:hAnsi="Book Antiqua"/>
          <w:i/>
          <w:sz w:val="20"/>
          <w:szCs w:val="20"/>
        </w:rPr>
        <w:t>7.1 The Rate-Limiting Step of Rubisco</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As noted, as long as the concentration of carotenoids is maintained at a suitable level, there is no photo-inhibition and “light reactions” can all proceed rapidly. When the flux of photons from the sun was higher, the production rate of carotenoids, ATP and NADPH would have been correspondingly greater, in line with what experiments today show.  However, the carbon fixation reactions of the Calvin cycle, which use ATP and NADPH, only export stable products to the plant in times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oMath>
      <w:r w:rsidRPr="00923ECC">
        <w:rPr>
          <w:rFonts w:ascii="Book Antiqua" w:hAnsi="Book Antiqua"/>
          <w:sz w:val="20"/>
        </w:rPr>
        <w:t xml:space="preserve"> seconds down about 0.3 seconds. Examination of these reactions indicates that the rate limiting step is the performance of the Rubisco enzyme.  Rubisco is readily de-activated. Since catalysis itself is rapid, the problem is to get the Rubisco enzyme activated so that catalysis can occur.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Up until 1987 it had been thought that the absence of either or both the </w:t>
      </w:r>
      <m:oMath>
        <m:sSup>
          <m:sSupPr>
            <m:ctrlPr>
              <w:rPr>
                <w:rFonts w:ascii="Cambria Math" w:hAnsi="Book Antiqua"/>
                <w:i/>
                <w:sz w:val="20"/>
              </w:rPr>
            </m:ctrlPr>
          </m:sSupPr>
          <m:e>
            <m:r>
              <w:rPr>
                <w:rFonts w:ascii="Cambria Math" w:hAnsi="Cambria Math"/>
                <w:sz w:val="20"/>
              </w:rPr>
              <m:t>Mg</m:t>
            </m:r>
          </m:e>
          <m:sup>
            <m:r>
              <w:rPr>
                <w:rFonts w:ascii="Cambria Math" w:hAnsi="Book Antiqua"/>
                <w:sz w:val="20"/>
              </w:rPr>
              <m:t>++</m:t>
            </m:r>
          </m:sup>
        </m:sSup>
      </m:oMath>
      <w:r w:rsidRPr="00923ECC">
        <w:rPr>
          <w:rFonts w:ascii="Book Antiqua" w:hAnsi="Book Antiqua"/>
          <w:sz w:val="20"/>
        </w:rPr>
        <w:t xml:space="preserve"> ion and a special carbamate group was the cause of Rubisco deactivation. But then it was found that an enzyme, subsequently called rubisco activase, was vital to the process of activation. It was then verified that all the other problems with activation of the Rubisco enzyme were secondary, and that activation depended entirely on the concentrations of both Rubisco and rubisco activase.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Several important conclusions came from two other studies [27, 28].  In the first, it is stated that the presence of ATP leads to Rubisco activation through the action of rubisco activase.  Since ATP is a product of the "light reactions", its concentration would have been higher long ago, when photon reception rates were higher. Thus Rubisco activation would also have been higher.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second conclusion from the follow-up study involves a data-based equation for the rate of Rubisco activity which stated that</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i/>
          <w:sz w:val="20"/>
        </w:rPr>
      </w:pPr>
      <m:oMath>
        <m:r>
          <w:rPr>
            <w:rFonts w:ascii="Cambria Math" w:hAnsi="Cambria Math"/>
            <w:sz w:val="20"/>
          </w:rPr>
          <m:t>Activation</m:t>
        </m:r>
        <m:r>
          <w:rPr>
            <w:rFonts w:ascii="Cambria Math" w:hAnsi="Book Antiqua"/>
            <w:sz w:val="20"/>
          </w:rPr>
          <m:t xml:space="preserve"> </m:t>
        </m:r>
        <m:r>
          <w:rPr>
            <w:rFonts w:ascii="Cambria Math" w:hAnsi="Cambria Math"/>
            <w:sz w:val="20"/>
          </w:rPr>
          <m:t>Rate</m:t>
        </m:r>
        <m:r>
          <w:rPr>
            <w:rFonts w:ascii="Cambria Math" w:hAnsi="Book Antiqua"/>
            <w:sz w:val="20"/>
          </w:rPr>
          <m:t xml:space="preserve"> = </m:t>
        </m:r>
        <m:r>
          <w:rPr>
            <w:rFonts w:ascii="Cambria Math" w:hAnsi="Cambria Math"/>
            <w:sz w:val="20"/>
          </w:rPr>
          <m:t>k</m:t>
        </m:r>
        <m:r>
          <w:rPr>
            <w:rFonts w:ascii="Cambria Math" w:hAnsi="Book Antiqua"/>
            <w:sz w:val="20"/>
          </w:rPr>
          <m:t>. [</m:t>
        </m:r>
        <m:r>
          <w:rPr>
            <w:rFonts w:ascii="Cambria Math" w:hAnsi="Cambria Math"/>
            <w:sz w:val="20"/>
          </w:rPr>
          <m:t>Rubisco</m:t>
        </m:r>
        <m:r>
          <w:rPr>
            <w:rFonts w:ascii="Cambria Math" w:hAnsi="Book Antiqua"/>
            <w:sz w:val="20"/>
          </w:rPr>
          <m:t>] . [</m:t>
        </m:r>
        <m:r>
          <w:rPr>
            <w:rFonts w:ascii="Cambria Math" w:hAnsi="Cambria Math"/>
            <w:sz w:val="20"/>
          </w:rPr>
          <m:t>rubisco</m:t>
        </m:r>
        <m:r>
          <w:rPr>
            <w:rFonts w:ascii="Cambria Math" w:hAnsi="Book Antiqua"/>
            <w:sz w:val="20"/>
          </w:rPr>
          <m:t xml:space="preserve"> </m:t>
        </m:r>
        <m:r>
          <w:rPr>
            <w:rFonts w:ascii="Cambria Math" w:hAnsi="Cambria Math"/>
            <w:sz w:val="20"/>
          </w:rPr>
          <m:t>activase</m:t>
        </m:r>
        <m:r>
          <w:rPr>
            <w:rFonts w:ascii="Cambria Math" w:hAnsi="Book Antiqua"/>
            <w:sz w:val="20"/>
          </w:rPr>
          <m:t>]</m:t>
        </m:r>
      </m:oMath>
      <w:r w:rsidRPr="00923ECC">
        <w:rPr>
          <w:rFonts w:ascii="Book Antiqua" w:hAnsi="Book Antiqua"/>
          <w:i/>
          <w:sz w:val="20"/>
        </w:rPr>
        <w:t xml:space="preserve"> </w:t>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t>(3)</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The quantities inside the square brackets are the concentrations with </w:t>
      </w:r>
      <m:oMath>
        <m:r>
          <w:rPr>
            <w:rFonts w:ascii="Cambria Math" w:hAnsi="Cambria Math"/>
            <w:sz w:val="20"/>
          </w:rPr>
          <m:t>k</m:t>
        </m:r>
      </m:oMath>
      <w:r w:rsidRPr="00923ECC">
        <w:rPr>
          <w:rFonts w:ascii="Book Antiqua" w:hAnsi="Book Antiqua"/>
          <w:sz w:val="20"/>
        </w:rPr>
        <w:t xml:space="preserve"> being a constant of proportionality. Therefore, based on experimental data, this means that when the rubisco activase concentrations are higher, so are the activation rates. It is in this context that the authors of the follow-up report noted that there was only one rubisco activase site for every 72 Rubisco sites. However, as mentioned, rubisco activase is directly dependent upon the amount of ATP produced.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increased number of photons available to the plant at any one time in the past would have not only increased production of ATP, and therefore the activity of the rubisco </w:t>
      </w:r>
      <w:proofErr w:type="gramStart"/>
      <w:r w:rsidRPr="00923ECC">
        <w:rPr>
          <w:rFonts w:ascii="Book Antiqua" w:hAnsi="Book Antiqua"/>
          <w:sz w:val="20"/>
        </w:rPr>
        <w:t>activase,</w:t>
      </w:r>
      <w:proofErr w:type="gramEnd"/>
      <w:r w:rsidRPr="00923ECC">
        <w:rPr>
          <w:rFonts w:ascii="Book Antiqua" w:hAnsi="Book Antiqua"/>
          <w:sz w:val="20"/>
        </w:rPr>
        <w:t xml:space="preserve"> it may well have meant there were more rubisco activase sites per Rubisco sites. This combination would have made for a much more efficient series of processes, which would then contribute to a greater reaction rate and thus more plant growth.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7.2</w:t>
      </w:r>
      <w:r w:rsidRPr="00923ECC">
        <w:rPr>
          <w:rFonts w:ascii="Book Antiqua" w:hAnsi="Book Antiqua"/>
          <w:i/>
          <w:sz w:val="20"/>
          <w:szCs w:val="20"/>
        </w:rPr>
        <w:t xml:space="preserve"> Changes in the Rubisco Enzyme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 is another clue which needs to be followed.  Today we have identified three forms of Rubisco and a Rubisco-like protein (RLP).  Are they descendents of an original form of Rubisco, or have all four always been present?  Each of today's forms is missing something that one of the other forms has.  In the same way we see speciation in animals, perhaps Rubisco itself has degenerated into four sub-forms which started as a much more complete and efficient original.</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sz w:val="20"/>
        </w:rPr>
        <w:tab/>
        <w:t xml:space="preserve">Indeed, this is not an unusual suggestion. F. R. Tabita et al. noted in their abstract that </w:t>
      </w:r>
      <w:r w:rsidRPr="00923ECC">
        <w:rPr>
          <w:rFonts w:ascii="Book Antiqua" w:hAnsi="Book Antiqua"/>
          <w:i/>
          <w:sz w:val="20"/>
        </w:rPr>
        <w:t xml:space="preserve">"Phylogenetic analyses indicate that there are three classes of bona fide RubisCO proteins, forms I, II and III, which all catalyse the same reactions. In addition, there exists another form of RubisCO, form IV, which...is actually a homologue of RubisCO and is called the RubisCO-like protein (RLP). Both RubisCO and RLP appear to have evolved from an ancestor protein ..., and comprehensive analyses indicate that the different forms (I, II, III and IV) contain various subgroups, with individual sequences derived from representatives of all three kingdoms of life." </w:t>
      </w:r>
      <w:r w:rsidRPr="00923ECC">
        <w:rPr>
          <w:rFonts w:ascii="Book Antiqua" w:hAnsi="Book Antiqua"/>
          <w:sz w:val="20"/>
        </w:rPr>
        <w:t>[29]</w:t>
      </w:r>
      <w:r w:rsidRPr="00923ECC">
        <w:rPr>
          <w:rFonts w:ascii="Book Antiqua" w:hAnsi="Book Antiqua"/>
          <w:i/>
          <w:sz w:val="20"/>
        </w:rPr>
        <w:t>.</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i/>
          <w:sz w:val="20"/>
        </w:rPr>
        <w:lastRenderedPageBreak/>
        <w:tab/>
        <w:t xml:space="preserve"> </w:t>
      </w:r>
      <w:r w:rsidRPr="00923ECC">
        <w:rPr>
          <w:rFonts w:ascii="Book Antiqua" w:hAnsi="Book Antiqua"/>
          <w:sz w:val="20"/>
        </w:rPr>
        <w:t xml:space="preserve">This indicates that there was probably an ancestor from which the three Rubiscos and Rubisco-like proteins were derived which was free from the problems that </w:t>
      </w:r>
      <w:r w:rsidRPr="00555FC2">
        <w:rPr>
          <w:rFonts w:ascii="Book Antiqua" w:hAnsi="Book Antiqua"/>
          <w:sz w:val="20"/>
        </w:rPr>
        <w:t>each form of</w:t>
      </w:r>
      <w:r w:rsidRPr="0052635B">
        <w:rPr>
          <w:rFonts w:ascii="Book Antiqua" w:hAnsi="Book Antiqua"/>
          <w:color w:val="FF0000"/>
          <w:sz w:val="20"/>
        </w:rPr>
        <w:t xml:space="preserve"> </w:t>
      </w:r>
      <w:r w:rsidRPr="00923ECC">
        <w:rPr>
          <w:rFonts w:ascii="Book Antiqua" w:hAnsi="Book Antiqua"/>
          <w:sz w:val="20"/>
        </w:rPr>
        <w:t>Rubisco currently has.</w:t>
      </w:r>
    </w:p>
    <w:p w:rsidR="0014236D" w:rsidRPr="00923ECC" w:rsidRDefault="0014236D" w:rsidP="0014236D">
      <w:pPr>
        <w:pStyle w:val="NoSpacing"/>
        <w:jc w:val="both"/>
        <w:rPr>
          <w:rFonts w:ascii="Book Antiqua" w:hAnsi="Book Antiqua"/>
          <w:b/>
          <w:sz w:val="20"/>
        </w:rPr>
      </w:pPr>
    </w:p>
    <w:p w:rsidR="0014236D" w:rsidRPr="00923ECC" w:rsidRDefault="0014236D" w:rsidP="0014236D">
      <w:pPr>
        <w:pStyle w:val="NoSpacing"/>
        <w:jc w:val="both"/>
        <w:rPr>
          <w:rFonts w:ascii="Book Antiqua" w:hAnsi="Book Antiqua"/>
          <w:i/>
          <w:sz w:val="20"/>
        </w:rPr>
      </w:pPr>
      <w:r>
        <w:rPr>
          <w:rFonts w:ascii="Book Antiqua" w:hAnsi="Book Antiqua"/>
          <w:b/>
          <w:sz w:val="20"/>
        </w:rPr>
        <w:t>8</w:t>
      </w:r>
      <w:r w:rsidRPr="00923ECC">
        <w:rPr>
          <w:rFonts w:ascii="Book Antiqua" w:hAnsi="Book Antiqua"/>
          <w:b/>
          <w:sz w:val="20"/>
        </w:rPr>
        <w:t>.  Other implications for the fossil record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conclusions have implications in other areas as well. For example, in the ocean, </w:t>
      </w:r>
      <w:proofErr w:type="gramStart"/>
      <w:r w:rsidRPr="00923ECC">
        <w:rPr>
          <w:rFonts w:ascii="Book Antiqua" w:hAnsi="Book Antiqua"/>
          <w:sz w:val="20"/>
        </w:rPr>
        <w:t>phytoplankton also fix</w:t>
      </w:r>
      <w:proofErr w:type="gramEnd"/>
      <w:r w:rsidRPr="00923ECC">
        <w:rPr>
          <w:rFonts w:ascii="Book Antiqua" w:hAnsi="Book Antiqua"/>
          <w:sz w:val="20"/>
        </w:rPr>
        <w:t xml:space="preserve"> carbon by photosynthesis. </w:t>
      </w:r>
      <w:proofErr w:type="gramStart"/>
      <w:r w:rsidRPr="00923ECC">
        <w:rPr>
          <w:rFonts w:ascii="Book Antiqua" w:hAnsi="Book Antiqua"/>
          <w:sz w:val="20"/>
        </w:rPr>
        <w:t>These</w:t>
      </w:r>
      <w:proofErr w:type="gramEnd"/>
      <w:r w:rsidRPr="00923ECC">
        <w:rPr>
          <w:rFonts w:ascii="Book Antiqua" w:hAnsi="Book Antiqua"/>
          <w:sz w:val="20"/>
        </w:rPr>
        <w:t xml:space="preserve"> plankton are made up of autotrophic, prokaryotic, and eukaryotic algae such as diatoms, cyanobacteria, dinoflagelletes, and coccolithophores which</w:t>
      </w:r>
      <w:r>
        <w:rPr>
          <w:rFonts w:ascii="Book Antiqua" w:hAnsi="Book Antiqua"/>
          <w:sz w:val="20"/>
        </w:rPr>
        <w:t xml:space="preserve"> </w:t>
      </w:r>
      <w:r w:rsidRPr="00923ECC">
        <w:rPr>
          <w:rFonts w:ascii="Book Antiqua" w:hAnsi="Book Antiqua"/>
          <w:sz w:val="20"/>
        </w:rPr>
        <w:t xml:space="preserve">inhabit the near surface regions of the ocean. Because photosynthesis plays an important role in the growth and reproduction of these algae, it </w:t>
      </w:r>
      <w:r>
        <w:rPr>
          <w:rFonts w:ascii="Book Antiqua" w:hAnsi="Book Antiqua"/>
          <w:sz w:val="20"/>
        </w:rPr>
        <w:t>is to be</w:t>
      </w:r>
      <w:r w:rsidRPr="00923ECC">
        <w:rPr>
          <w:rFonts w:ascii="Book Antiqua" w:hAnsi="Book Antiqua"/>
          <w:sz w:val="20"/>
        </w:rPr>
        <w:t xml:space="preserve"> expected that all these forms would proliferate under conditions of both higher photon counts and more available carbon dioxide. </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This</w:t>
      </w:r>
      <w:r>
        <w:rPr>
          <w:rFonts w:ascii="Book Antiqua" w:hAnsi="Book Antiqua"/>
          <w:sz w:val="20"/>
        </w:rPr>
        <w:t>,</w:t>
      </w:r>
      <w:r w:rsidRPr="00923ECC">
        <w:rPr>
          <w:rFonts w:ascii="Book Antiqua" w:hAnsi="Book Antiqua"/>
          <w:sz w:val="20"/>
        </w:rPr>
        <w:t xml:space="preserve"> in turn</w:t>
      </w:r>
      <w:r>
        <w:rPr>
          <w:rFonts w:ascii="Book Antiqua" w:hAnsi="Book Antiqua"/>
          <w:sz w:val="20"/>
        </w:rPr>
        <w:t>,</w:t>
      </w:r>
      <w:r w:rsidRPr="00923ECC">
        <w:rPr>
          <w:rFonts w:ascii="Book Antiqua" w:hAnsi="Book Antiqua"/>
          <w:sz w:val="20"/>
        </w:rPr>
        <w:t xml:space="preserve"> would support larger numbers of zooplankton which feed on the phytoplankton. Scientists working for the Census of Marine Life reported in a News Release for 4th May, 2006, that zooplankton represent a fundamental link in the food chain between ocean plant life and larger organisms [30]. Literally thousands of tiny animal species are involved. Consequently, since the food supply may well have been more plentiful in the past, larger populations of marine species could have been supported. </w:t>
      </w:r>
    </w:p>
    <w:p w:rsidR="0014236D"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A study by M. Mitra and A Melis mentions an additional factor. They reported that experiments with algae have shown that, under high photon counts, chlorophyll antenna sizes in algae will individually reduce. When this happened, it was found that there was greater transmittance of light deeper into the culture, photo inhibition was reduced, and efficiency significantly improved [31]. Under conditions of higher photon counts, this process would assist algae to utilize all available photons without photo-inhibition.</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 xml:space="preserve">To give some idea of the consequences of this in earlier times, consider the Paleozoic trilobites. Many are described as either filter feeders, or pelagic planktonivores, or considered to have grazed on beds of algae. These are the very food items that would have proliferated due to a high photon count. As a consequence, the huge colonies of trilobites which appear in the fossil record no longer present an enigma, but rather are a testimony, along with Paleozoic forests, of a much higher photon reception rate as well as </w:t>
      </w:r>
      <w:proofErr w:type="gramStart"/>
      <w:r w:rsidRPr="00923ECC">
        <w:rPr>
          <w:rFonts w:ascii="Book Antiqua" w:hAnsi="Book Antiqua"/>
          <w:sz w:val="20"/>
        </w:rPr>
        <w:t>a higher</w:t>
      </w:r>
      <w:proofErr w:type="gramEnd"/>
      <w:r w:rsidRPr="00923ECC">
        <w:rPr>
          <w:rFonts w:ascii="Book Antiqua" w:hAnsi="Book Antiqua"/>
          <w:sz w:val="20"/>
        </w:rPr>
        <w:t xml:space="preserve"> carbon dioxide content. Indeed, the whole ecosystem would have been more vigorous and robust. Since this ecosystem is the basis of the oceanic food chain, it might be expected that the numbers of ocean creatures would also have been higher.</w:t>
      </w:r>
    </w:p>
    <w:p w:rsidR="0014236D"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It should also be noted that the bacterio-plankton are involved in re-mineralizing the water, so this process would have been enhanced as well. </w:t>
      </w:r>
      <w:r>
        <w:rPr>
          <w:rFonts w:ascii="Book Antiqua" w:hAnsi="Book Antiqua"/>
          <w:sz w:val="20"/>
        </w:rPr>
        <w:t xml:space="preserve">As noted in the book, </w:t>
      </w:r>
      <w:r w:rsidRPr="008767C6">
        <w:rPr>
          <w:rFonts w:ascii="Book Antiqua" w:hAnsi="Book Antiqua"/>
          <w:b/>
          <w:i/>
          <w:sz w:val="20"/>
        </w:rPr>
        <w:t>Plankton of Inland Waters</w:t>
      </w:r>
      <w:r>
        <w:rPr>
          <w:rFonts w:ascii="Book Antiqua" w:hAnsi="Book Antiqua"/>
          <w:sz w:val="20"/>
        </w:rPr>
        <w:t xml:space="preserve">, </w:t>
      </w:r>
      <w:r w:rsidRPr="008767C6">
        <w:rPr>
          <w:rFonts w:ascii="Book Antiqua" w:hAnsi="Book Antiqua"/>
          <w:i/>
          <w:sz w:val="20"/>
        </w:rPr>
        <w:t>“as decomposers, bacterioplankton degrade dissolved organic matter, assimilate the byproduct into their cell (bacterial production), and remineralize carbon and nutrients back to the water through respiration.”</w:t>
      </w:r>
      <w:r>
        <w:rPr>
          <w:rFonts w:ascii="Book Antiqua" w:hAnsi="Book Antiqua"/>
          <w:sz w:val="20"/>
        </w:rPr>
        <w:t xml:space="preserve">  As the authors also point out, the bacterioplankton are important in the cycling of phosphorus, nitrogen and other elements [32].</w:t>
      </w:r>
    </w:p>
    <w:p w:rsidR="0014236D" w:rsidRDefault="0014236D" w:rsidP="0014236D">
      <w:pPr>
        <w:pStyle w:val="NormalWeb"/>
        <w:numPr>
          <w:ilvl w:val="1"/>
          <w:numId w:val="55"/>
        </w:numPr>
        <w:jc w:val="both"/>
        <w:rPr>
          <w:rFonts w:ascii="Book Antiqua" w:hAnsi="Book Antiqua"/>
          <w:i/>
          <w:sz w:val="20"/>
          <w:szCs w:val="20"/>
        </w:rPr>
      </w:pPr>
      <w:r w:rsidRPr="00923ECC">
        <w:rPr>
          <w:rFonts w:ascii="Book Antiqua" w:hAnsi="Book Antiqua"/>
          <w:i/>
          <w:sz w:val="20"/>
          <w:szCs w:val="20"/>
        </w:rPr>
        <w:t>The Growth of Stromatolites</w:t>
      </w:r>
    </w:p>
    <w:p w:rsidR="0072049F" w:rsidRDefault="0072049F" w:rsidP="0072049F">
      <w:pPr>
        <w:pStyle w:val="NoSpacing"/>
        <w:ind w:firstLine="360"/>
        <w:jc w:val="both"/>
        <w:rPr>
          <w:rFonts w:ascii="Book Antiqua" w:hAnsi="Book Antiqua"/>
          <w:sz w:val="20"/>
        </w:rPr>
      </w:pPr>
      <w:r w:rsidRPr="00923ECC">
        <w:rPr>
          <w:rFonts w:ascii="Book Antiqua" w:hAnsi="Book Antiqua"/>
          <w:sz w:val="20"/>
        </w:rPr>
        <w:t xml:space="preserve">Stromatolite fossils </w:t>
      </w:r>
      <w:r>
        <w:rPr>
          <w:rFonts w:ascii="Book Antiqua" w:hAnsi="Book Antiqua"/>
          <w:sz w:val="20"/>
        </w:rPr>
        <w:t xml:space="preserve">are an excellent </w:t>
      </w:r>
      <w:r w:rsidRPr="00923ECC">
        <w:rPr>
          <w:rFonts w:ascii="Book Antiqua" w:hAnsi="Book Antiqua"/>
          <w:sz w:val="20"/>
        </w:rPr>
        <w:t xml:space="preserve">example.  </w:t>
      </w:r>
      <w:r>
        <w:rPr>
          <w:rFonts w:ascii="Book Antiqua" w:hAnsi="Book Antiqua"/>
          <w:sz w:val="20"/>
        </w:rPr>
        <w:t xml:space="preserve">These are the first true fossils known to exist in the geologic column. There are some chemically formed structures that appear similar to true stromatolites and may be mistaken for them. However, analysis shows that there is </w:t>
      </w:r>
      <w:proofErr w:type="gramStart"/>
      <w:r>
        <w:rPr>
          <w:rFonts w:ascii="Book Antiqua" w:hAnsi="Book Antiqua"/>
          <w:sz w:val="20"/>
        </w:rPr>
        <w:t>a large majority that are</w:t>
      </w:r>
      <w:proofErr w:type="gramEnd"/>
      <w:r>
        <w:rPr>
          <w:rFonts w:ascii="Book Antiqua" w:hAnsi="Book Antiqua"/>
          <w:sz w:val="20"/>
        </w:rPr>
        <w:t xml:space="preserve"> true fossils.</w:t>
      </w:r>
      <w:r w:rsidRPr="00923ECC">
        <w:rPr>
          <w:rFonts w:ascii="Book Antiqua" w:hAnsi="Book Antiqua"/>
          <w:sz w:val="20"/>
        </w:rPr>
        <w:t xml:space="preserve"> </w:t>
      </w:r>
    </w:p>
    <w:p w:rsidR="0072049F" w:rsidRDefault="0072049F" w:rsidP="0072049F">
      <w:pPr>
        <w:pStyle w:val="NoSpacing"/>
        <w:ind w:firstLine="360"/>
        <w:jc w:val="both"/>
        <w:rPr>
          <w:rFonts w:ascii="Book Antiqua" w:hAnsi="Book Antiqua"/>
          <w:sz w:val="20"/>
        </w:rPr>
      </w:pPr>
    </w:p>
    <w:p w:rsidR="0072049F" w:rsidRPr="00923ECC" w:rsidRDefault="0072049F" w:rsidP="0072049F">
      <w:pPr>
        <w:pStyle w:val="NoSpacing"/>
        <w:ind w:firstLine="360"/>
        <w:jc w:val="both"/>
        <w:rPr>
          <w:rFonts w:ascii="Book Antiqua" w:hAnsi="Book Antiqua"/>
          <w:sz w:val="20"/>
        </w:rPr>
      </w:pPr>
      <w:r>
        <w:rPr>
          <w:rFonts w:ascii="Book Antiqua" w:hAnsi="Book Antiqua"/>
          <w:sz w:val="20"/>
        </w:rPr>
        <w:t>Of the true stromatolite fossils,</w:t>
      </w:r>
      <w:r w:rsidRPr="00923ECC">
        <w:rPr>
          <w:rFonts w:ascii="Book Antiqua" w:hAnsi="Book Antiqua"/>
          <w:sz w:val="20"/>
        </w:rPr>
        <w:t xml:space="preserve"> analysis has shown that </w:t>
      </w:r>
      <w:r>
        <w:rPr>
          <w:rFonts w:ascii="Book Antiqua" w:hAnsi="Book Antiqua"/>
          <w:sz w:val="20"/>
        </w:rPr>
        <w:t>they</w:t>
      </w:r>
      <w:r w:rsidRPr="00923ECC">
        <w:rPr>
          <w:rFonts w:ascii="Book Antiqua" w:hAnsi="Book Antiqua"/>
          <w:sz w:val="20"/>
        </w:rPr>
        <w:t xml:space="preserve"> are formed by cyanobacteria (blue-green algae). Stromatolites are still growing in Shark Bay, Western Australia (Figure 9) and the Exuma Cays in the Bahamas. These structures may be domed</w:t>
      </w:r>
      <w:r>
        <w:rPr>
          <w:rFonts w:ascii="Book Antiqua" w:hAnsi="Book Antiqua"/>
          <w:sz w:val="20"/>
        </w:rPr>
        <w:t>,</w:t>
      </w:r>
      <w:r w:rsidRPr="00923ECC">
        <w:rPr>
          <w:rFonts w:ascii="Book Antiqua" w:hAnsi="Book Antiqua"/>
          <w:sz w:val="20"/>
        </w:rPr>
        <w:t xml:space="preserve"> branching</w:t>
      </w:r>
      <w:r>
        <w:rPr>
          <w:rFonts w:ascii="Book Antiqua" w:hAnsi="Book Antiqua"/>
          <w:sz w:val="20"/>
        </w:rPr>
        <w:t>,</w:t>
      </w:r>
      <w:r w:rsidRPr="00923ECC">
        <w:rPr>
          <w:rFonts w:ascii="Book Antiqua" w:hAnsi="Book Antiqua"/>
          <w:sz w:val="20"/>
        </w:rPr>
        <w:t xml:space="preserve"> vase-shaped, or a variety of similar mound-like shapes. The algae use water, carbon dioxide and sunlight to produce oxygen and calcium carbonate. A layer of mucus forms over mats of cyanobacterial cells. In these mats, sand, grit and other debris from the surrounding area are trapped in the mucus and become cemented with calcium carbonate. As a result, the structure is built up of thin laminations of limestone.</w:t>
      </w:r>
    </w:p>
    <w:p w:rsidR="0014236D" w:rsidRDefault="0014236D" w:rsidP="0014236D">
      <w:pPr>
        <w:pStyle w:val="NoSpacing"/>
        <w:jc w:val="both"/>
        <w:rPr>
          <w:rFonts w:ascii="Book Antiqua" w:hAnsi="Book Antiqua"/>
          <w:noProof/>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lastRenderedPageBreak/>
        <w:drawing>
          <wp:inline distT="0" distB="0" distL="0" distR="0">
            <wp:extent cx="6274174" cy="2581836"/>
            <wp:effectExtent l="19050" t="0" r="0" b="0"/>
            <wp:docPr id="975" name="Picture 53" descr="stromatol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romatolites"/>
                    <pic:cNvPicPr>
                      <a:picLocks noChangeAspect="1" noChangeArrowheads="1"/>
                    </pic:cNvPicPr>
                  </pic:nvPicPr>
                  <pic:blipFill>
                    <a:blip r:embed="rId1103" cstate="print"/>
                    <a:srcRect t="11783" r="-7" b="20914"/>
                    <a:stretch>
                      <a:fillRect/>
                    </a:stretch>
                  </pic:blipFill>
                  <pic:spPr bwMode="auto">
                    <a:xfrm>
                      <a:off x="0" y="0"/>
                      <a:ext cx="6285447" cy="258647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D1626D">
      <w:pPr>
        <w:pStyle w:val="NoSpacing"/>
        <w:jc w:val="center"/>
        <w:rPr>
          <w:rFonts w:ascii="Book Antiqua" w:hAnsi="Book Antiqua"/>
          <w:i/>
          <w:sz w:val="18"/>
          <w:szCs w:val="18"/>
        </w:rPr>
      </w:pPr>
      <w:r w:rsidRPr="00F02364">
        <w:rPr>
          <w:rFonts w:ascii="Book Antiqua" w:hAnsi="Book Antiqua"/>
          <w:b/>
          <w:i/>
          <w:sz w:val="18"/>
          <w:szCs w:val="18"/>
        </w:rPr>
        <w:t>Figure 9:</w:t>
      </w:r>
      <w:r w:rsidRPr="00F02364">
        <w:rPr>
          <w:rFonts w:ascii="Book Antiqua" w:hAnsi="Book Antiqua"/>
          <w:i/>
          <w:sz w:val="18"/>
          <w:szCs w:val="18"/>
        </w:rPr>
        <w:t xml:space="preserve"> Living stromatolites in Shark Bay, Western Australia. </w:t>
      </w:r>
      <w:proofErr w:type="gramStart"/>
      <w:r w:rsidRPr="00F02364">
        <w:rPr>
          <w:rFonts w:ascii="Book Antiqua" w:hAnsi="Book Antiqua"/>
          <w:i/>
          <w:sz w:val="18"/>
          <w:szCs w:val="18"/>
        </w:rPr>
        <w:t>Top - with the tide in.</w:t>
      </w:r>
      <w:proofErr w:type="gramEnd"/>
      <w:r w:rsidRPr="00F02364">
        <w:rPr>
          <w:rFonts w:ascii="Book Antiqua" w:hAnsi="Book Antiqua"/>
          <w:i/>
          <w:sz w:val="18"/>
          <w:szCs w:val="18"/>
        </w:rPr>
        <w:t xml:space="preserve">  </w:t>
      </w:r>
      <w:proofErr w:type="gramStart"/>
      <w:r w:rsidRPr="00F02364">
        <w:rPr>
          <w:rFonts w:ascii="Book Antiqua" w:hAnsi="Book Antiqua"/>
          <w:i/>
          <w:sz w:val="18"/>
          <w:szCs w:val="18"/>
        </w:rPr>
        <w:t>Bottom – with the tide out.</w:t>
      </w:r>
      <w:proofErr w:type="gramEnd"/>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center"/>
        <w:rPr>
          <w:rFonts w:ascii="Book Antiqua" w:hAnsi="Book Antiqua"/>
          <w:i/>
          <w:sz w:val="20"/>
        </w:rPr>
      </w:pPr>
      <w:r w:rsidRPr="00923ECC">
        <w:rPr>
          <w:rFonts w:ascii="Book Antiqua" w:hAnsi="Book Antiqua"/>
          <w:noProof/>
          <w:sz w:val="20"/>
        </w:rPr>
        <w:drawing>
          <wp:inline distT="0" distB="0" distL="0" distR="0">
            <wp:extent cx="6180122" cy="3004457"/>
            <wp:effectExtent l="19050" t="0" r="0" b="0"/>
            <wp:docPr id="976" name="il_fi" descr="http://www.outbacktours.info/Stromatolites,%20Hamelin%20Pool,%20Shark%20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utbacktours.info/Stromatolites,%20Hamelin%20Pool,%20Shark%20Bay.jpg"/>
                    <pic:cNvPicPr>
                      <a:picLocks noChangeAspect="1" noChangeArrowheads="1"/>
                    </pic:cNvPicPr>
                  </pic:nvPicPr>
                  <pic:blipFill>
                    <a:blip r:embed="rId1104" cstate="print"/>
                    <a:srcRect t="14820" r="2038" b="28670"/>
                    <a:stretch>
                      <a:fillRect/>
                    </a:stretch>
                  </pic:blipFill>
                  <pic:spPr bwMode="auto">
                    <a:xfrm>
                      <a:off x="0" y="0"/>
                      <a:ext cx="6183250" cy="3005978"/>
                    </a:xfrm>
                    <a:prstGeom prst="rect">
                      <a:avLst/>
                    </a:prstGeom>
                    <a:noFill/>
                    <a:ln w="9525">
                      <a:noFill/>
                      <a:miter lim="800000"/>
                      <a:headEnd/>
                      <a:tailEnd/>
                    </a:ln>
                  </pic:spPr>
                </pic:pic>
              </a:graphicData>
            </a:graphic>
          </wp:inline>
        </w:drawing>
      </w:r>
    </w:p>
    <w:p w:rsidR="0014236D" w:rsidRPr="00923ECC" w:rsidRDefault="0014236D" w:rsidP="0014236D">
      <w:pPr>
        <w:pStyle w:val="NoSpacing"/>
        <w:jc w:val="center"/>
        <w:rPr>
          <w:rFonts w:ascii="Book Antiqua" w:hAnsi="Book Antiqua"/>
          <w:i/>
          <w:sz w:val="20"/>
        </w:rPr>
      </w:pPr>
    </w:p>
    <w:p w:rsidR="0014236D" w:rsidRDefault="0014236D" w:rsidP="0014236D">
      <w:pPr>
        <w:pStyle w:val="NoSpacing"/>
        <w:ind w:firstLine="720"/>
        <w:jc w:val="both"/>
        <w:rPr>
          <w:rFonts w:ascii="Book Antiqua" w:hAnsi="Book Antiqua"/>
          <w:sz w:val="20"/>
        </w:rPr>
      </w:pPr>
    </w:p>
    <w:p w:rsidR="0072049F" w:rsidRDefault="0014236D" w:rsidP="0014236D">
      <w:pPr>
        <w:pStyle w:val="NoSpacing"/>
        <w:ind w:firstLine="720"/>
        <w:jc w:val="both"/>
        <w:rPr>
          <w:rFonts w:ascii="Book Antiqua" w:hAnsi="Book Antiqua"/>
          <w:sz w:val="20"/>
        </w:rPr>
      </w:pPr>
      <w:r w:rsidRPr="00923ECC">
        <w:rPr>
          <w:rFonts w:ascii="Book Antiqua" w:hAnsi="Book Antiqua"/>
          <w:sz w:val="20"/>
        </w:rPr>
        <w:t>Stromatolites first appear in the Precambrian</w:t>
      </w:r>
      <w:r>
        <w:rPr>
          <w:rFonts w:ascii="Book Antiqua" w:hAnsi="Book Antiqua"/>
          <w:sz w:val="20"/>
        </w:rPr>
        <w:t xml:space="preserve"> strata</w:t>
      </w:r>
      <w:r w:rsidRPr="00923ECC">
        <w:rPr>
          <w:rFonts w:ascii="Book Antiqua" w:hAnsi="Book Antiqua"/>
          <w:sz w:val="20"/>
        </w:rPr>
        <w:t xml:space="preserve">, with the earliest confirmed microbial structure dating at 2.73 billion atomic years ago [32]. </w:t>
      </w:r>
      <w:r>
        <w:rPr>
          <w:rFonts w:ascii="Book Antiqua" w:hAnsi="Book Antiqua"/>
          <w:sz w:val="20"/>
        </w:rPr>
        <w:t>It is their growth rates today which</w:t>
      </w:r>
      <w:r w:rsidRPr="00923ECC">
        <w:rPr>
          <w:rFonts w:ascii="Book Antiqua" w:hAnsi="Book Antiqua"/>
          <w:sz w:val="20"/>
        </w:rPr>
        <w:t xml:space="preserve"> have been used as markers of the time needed for their sizes in the fossil record.  </w:t>
      </w:r>
    </w:p>
    <w:p w:rsidR="0072049F" w:rsidRDefault="0072049F"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i/>
          <w:sz w:val="20"/>
        </w:rPr>
      </w:pPr>
      <w:r w:rsidRPr="00923ECC">
        <w:rPr>
          <w:rFonts w:ascii="Book Antiqua" w:hAnsi="Book Antiqua"/>
          <w:sz w:val="20"/>
        </w:rPr>
        <w:t>Once again, however,</w:t>
      </w:r>
      <w:r w:rsidRPr="00923ECC">
        <w:rPr>
          <w:rFonts w:ascii="Book Antiqua" w:hAnsi="Book Antiqua"/>
          <w:color w:val="FF0000"/>
          <w:sz w:val="20"/>
        </w:rPr>
        <w:t xml:space="preserve"> </w:t>
      </w:r>
      <w:r w:rsidRPr="00923ECC">
        <w:rPr>
          <w:rFonts w:ascii="Book Antiqua" w:hAnsi="Book Antiqua"/>
          <w:sz w:val="20"/>
        </w:rPr>
        <w:t>photosynthesis plays an important part in the growth and reproduction of the algae making up most stromatolites. Consequently, higher photon counts and more carbon dioxide would enhance their growth rate as well as their numbers. For this reason, the use of stromatolite colonies in the fossil record as markers of a long growing time, and hence an equally long interval without deposition, may have to be reassessed (see Figure 10).</w:t>
      </w:r>
    </w:p>
    <w:p w:rsidR="0014236D" w:rsidRDefault="0014236D" w:rsidP="0014236D">
      <w:pPr>
        <w:pStyle w:val="NoSpacing"/>
        <w:jc w:val="center"/>
        <w:rPr>
          <w:rFonts w:ascii="Book Antiqua" w:hAnsi="Book Antiqua"/>
          <w:i/>
          <w:sz w:val="20"/>
        </w:rPr>
      </w:pPr>
    </w:p>
    <w:p w:rsidR="0014236D" w:rsidRPr="00923ECC" w:rsidRDefault="0014236D" w:rsidP="0014236D">
      <w:pPr>
        <w:pStyle w:val="NoSpacing"/>
        <w:jc w:val="center"/>
        <w:rPr>
          <w:rFonts w:ascii="Book Antiqua" w:hAnsi="Book Antiqua"/>
          <w:i/>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lastRenderedPageBreak/>
        <w:drawing>
          <wp:inline distT="0" distB="0" distL="0" distR="0">
            <wp:extent cx="6578838" cy="2724150"/>
            <wp:effectExtent l="19050" t="0" r="0" b="0"/>
            <wp:docPr id="977" name="il_fi" descr="http://farm7.staticflickr.com/6178/6189037338_9447e6c8b5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rm7.staticflickr.com/6178/6189037338_9447e6c8b5_z.jpg"/>
                    <pic:cNvPicPr>
                      <a:picLocks noChangeAspect="1" noChangeArrowheads="1"/>
                    </pic:cNvPicPr>
                  </pic:nvPicPr>
                  <pic:blipFill>
                    <a:blip r:embed="rId1105" cstate="print"/>
                    <a:srcRect t="25505" r="-71" b="20253"/>
                    <a:stretch>
                      <a:fillRect/>
                    </a:stretch>
                  </pic:blipFill>
                  <pic:spPr bwMode="auto">
                    <a:xfrm>
                      <a:off x="0" y="0"/>
                      <a:ext cx="6587510" cy="2727741"/>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7C2647">
      <w:pPr>
        <w:pStyle w:val="NoSpacing"/>
        <w:jc w:val="center"/>
        <w:rPr>
          <w:rFonts w:ascii="Book Antiqua" w:hAnsi="Book Antiqua"/>
          <w:i/>
          <w:sz w:val="18"/>
          <w:szCs w:val="18"/>
        </w:rPr>
      </w:pPr>
      <w:r w:rsidRPr="00F02364">
        <w:rPr>
          <w:rFonts w:ascii="Book Antiqua" w:hAnsi="Book Antiqua"/>
          <w:b/>
          <w:i/>
          <w:sz w:val="18"/>
          <w:szCs w:val="18"/>
        </w:rPr>
        <w:t>Figure 10:</w:t>
      </w:r>
      <w:r w:rsidRPr="00F02364">
        <w:rPr>
          <w:rFonts w:ascii="Book Antiqua" w:hAnsi="Book Antiqua"/>
          <w:i/>
          <w:sz w:val="18"/>
          <w:szCs w:val="18"/>
        </w:rPr>
        <w:t xml:space="preserve"> Fossil stromatolite colony 460 million atomic years old in strata by the Ottawa River, Canada.</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8</w:t>
      </w:r>
      <w:r w:rsidRPr="00923ECC">
        <w:rPr>
          <w:rFonts w:ascii="Book Antiqua" w:hAnsi="Book Antiqua"/>
          <w:i/>
          <w:sz w:val="20"/>
          <w:szCs w:val="20"/>
        </w:rPr>
        <w:t>.2 Chalk Formation</w:t>
      </w:r>
    </w:p>
    <w:p w:rsidR="0014236D"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Microscopic green algae, known as coccolithophores, are also photosynthesizers. They also would grow </w:t>
      </w:r>
      <w:r>
        <w:rPr>
          <w:rFonts w:ascii="Book Antiqua" w:hAnsi="Book Antiqua"/>
          <w:sz w:val="20"/>
          <w:szCs w:val="20"/>
        </w:rPr>
        <w:t xml:space="preserve">and proliferate </w:t>
      </w:r>
      <w:r w:rsidRPr="00923ECC">
        <w:rPr>
          <w:rFonts w:ascii="Book Antiqua" w:hAnsi="Book Antiqua"/>
          <w:sz w:val="20"/>
          <w:szCs w:val="20"/>
        </w:rPr>
        <w:t xml:space="preserve">more rapidly with the higher photon count </w:t>
      </w:r>
      <w:r>
        <w:rPr>
          <w:rFonts w:ascii="Book Antiqua" w:hAnsi="Book Antiqua"/>
          <w:sz w:val="20"/>
          <w:szCs w:val="20"/>
        </w:rPr>
        <w:t>associated with a low ZPE</w:t>
      </w:r>
      <w:r w:rsidRPr="00923ECC">
        <w:rPr>
          <w:rFonts w:ascii="Book Antiqua" w:hAnsi="Book Antiqua"/>
          <w:sz w:val="20"/>
          <w:szCs w:val="20"/>
        </w:rPr>
        <w:t xml:space="preserve">. These coccoliths are the main </w:t>
      </w:r>
      <w:r>
        <w:rPr>
          <w:rFonts w:ascii="Book Antiqua" w:hAnsi="Book Antiqua"/>
          <w:sz w:val="20"/>
          <w:szCs w:val="20"/>
        </w:rPr>
        <w:t>components</w:t>
      </w:r>
      <w:r w:rsidRPr="00923ECC">
        <w:rPr>
          <w:rFonts w:ascii="Book Antiqua" w:hAnsi="Book Antiqua"/>
          <w:sz w:val="20"/>
          <w:szCs w:val="20"/>
        </w:rPr>
        <w:t xml:space="preserve"> of the Upper Cretaceous chalk beds in the UK and across </w:t>
      </w:r>
      <w:proofErr w:type="gramStart"/>
      <w:r w:rsidRPr="00923ECC">
        <w:rPr>
          <w:rFonts w:ascii="Book Antiqua" w:hAnsi="Book Antiqua"/>
          <w:sz w:val="20"/>
          <w:szCs w:val="20"/>
        </w:rPr>
        <w:t>western</w:t>
      </w:r>
      <w:proofErr w:type="gramEnd"/>
      <w:r w:rsidRPr="00923ECC">
        <w:rPr>
          <w:rFonts w:ascii="Book Antiqua" w:hAnsi="Book Antiqua"/>
          <w:sz w:val="20"/>
          <w:szCs w:val="20"/>
        </w:rPr>
        <w:t xml:space="preserve"> Europe. In England, the Chalk beds can total a thickness of 215 meters (700 feet)</w:t>
      </w:r>
      <w:r>
        <w:rPr>
          <w:rFonts w:ascii="Book Antiqua" w:hAnsi="Book Antiqua"/>
          <w:sz w:val="20"/>
          <w:szCs w:val="20"/>
        </w:rPr>
        <w:t>;</w:t>
      </w:r>
      <w:r w:rsidRPr="00923ECC">
        <w:rPr>
          <w:rFonts w:ascii="Book Antiqua" w:hAnsi="Book Antiqua"/>
          <w:sz w:val="20"/>
          <w:szCs w:val="20"/>
        </w:rPr>
        <w:t xml:space="preserve"> they form the White Cliffs of Dover (Figure 11). </w:t>
      </w:r>
      <w:r>
        <w:rPr>
          <w:rFonts w:ascii="Book Antiqua" w:hAnsi="Book Antiqua"/>
          <w:sz w:val="20"/>
          <w:szCs w:val="20"/>
        </w:rPr>
        <w:t>C</w:t>
      </w:r>
      <w:r w:rsidRPr="00923ECC">
        <w:rPr>
          <w:rFonts w:ascii="Book Antiqua" w:hAnsi="Book Antiqua"/>
          <w:sz w:val="20"/>
          <w:szCs w:val="20"/>
        </w:rPr>
        <w:t xml:space="preserve">occoliths make calcium carbonate shells which are the basic constituent of these chalk beds. </w:t>
      </w:r>
      <w:r>
        <w:rPr>
          <w:rFonts w:ascii="Book Antiqua" w:hAnsi="Book Antiqua"/>
          <w:sz w:val="20"/>
          <w:szCs w:val="20"/>
        </w:rPr>
        <w:t xml:space="preserve">Standard explanations are at a loss to explain the purity and depth of these deposits.  </w:t>
      </w:r>
      <w:r w:rsidRPr="00923ECC">
        <w:rPr>
          <w:rFonts w:ascii="Book Antiqua" w:hAnsi="Book Antiqua"/>
          <w:sz w:val="20"/>
          <w:szCs w:val="20"/>
        </w:rPr>
        <w:t xml:space="preserve"> </w:t>
      </w:r>
      <w:r>
        <w:rPr>
          <w:rFonts w:ascii="Book Antiqua" w:hAnsi="Book Antiqua"/>
          <w:sz w:val="20"/>
          <w:szCs w:val="20"/>
        </w:rPr>
        <w:t>If, however, we consider the conditions at the time they were alive, as described here, there is a potential solution to that problem.  The build-up of the strata forming these cliffs would have been much faster, which would also explain their purity.</w:t>
      </w:r>
    </w:p>
    <w:p w:rsidR="0014236D" w:rsidRPr="00923ECC" w:rsidRDefault="0014236D" w:rsidP="0014236D">
      <w:pPr>
        <w:pStyle w:val="NormalWeb"/>
        <w:jc w:val="both"/>
        <w:rPr>
          <w:rFonts w:ascii="Book Antiqua" w:hAnsi="Book Antiqua"/>
          <w:sz w:val="20"/>
        </w:rPr>
      </w:pPr>
    </w:p>
    <w:p w:rsidR="0014236D" w:rsidRPr="00923ECC" w:rsidRDefault="0014236D" w:rsidP="0014236D">
      <w:pPr>
        <w:pStyle w:val="NormalWeb"/>
        <w:jc w:val="center"/>
        <w:rPr>
          <w:rFonts w:ascii="Book Antiqua" w:hAnsi="Book Antiqua"/>
          <w:sz w:val="20"/>
        </w:rPr>
      </w:pPr>
      <w:r w:rsidRPr="00923ECC">
        <w:rPr>
          <w:rFonts w:ascii="Book Antiqua" w:hAnsi="Book Antiqua"/>
          <w:sz w:val="20"/>
          <w:szCs w:val="20"/>
        </w:rPr>
        <w:t>.</w:t>
      </w:r>
      <w:r w:rsidRPr="00923ECC">
        <w:rPr>
          <w:rFonts w:ascii="Book Antiqua" w:hAnsi="Book Antiqua"/>
          <w:noProof/>
          <w:sz w:val="20"/>
        </w:rPr>
        <w:drawing>
          <wp:inline distT="0" distB="0" distL="0" distR="0">
            <wp:extent cx="4838700" cy="2152650"/>
            <wp:effectExtent l="19050" t="0" r="0" b="0"/>
            <wp:docPr id="978" name="Picture 70" descr="White Cliffs of Dover"/>
            <wp:cNvGraphicFramePr/>
            <a:graphic xmlns:a="http://schemas.openxmlformats.org/drawingml/2006/main">
              <a:graphicData uri="http://schemas.openxmlformats.org/drawingml/2006/picture">
                <pic:pic xmlns:pic="http://schemas.openxmlformats.org/drawingml/2006/picture">
                  <pic:nvPicPr>
                    <pic:cNvPr id="4" name="ctl00_ContentPlaceHolder1_imgPictureLarge" descr="White Cliffs of Dover"/>
                    <pic:cNvPicPr/>
                  </pic:nvPicPr>
                  <pic:blipFill>
                    <a:blip r:embed="rId1106" cstate="print">
                      <a:lum contrast="30000"/>
                    </a:blip>
                    <a:srcRect t="31351" r="20077" b="21354"/>
                    <a:stretch>
                      <a:fillRect/>
                    </a:stretch>
                  </pic:blipFill>
                  <pic:spPr bwMode="auto">
                    <a:xfrm>
                      <a:off x="0" y="0"/>
                      <a:ext cx="4838700" cy="2152650"/>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322CE8">
      <w:pPr>
        <w:pStyle w:val="NoSpacing"/>
        <w:jc w:val="center"/>
        <w:rPr>
          <w:rFonts w:ascii="Book Antiqua" w:hAnsi="Book Antiqua"/>
          <w:i/>
          <w:sz w:val="18"/>
          <w:szCs w:val="18"/>
        </w:rPr>
      </w:pPr>
      <w:r w:rsidRPr="00F02364">
        <w:rPr>
          <w:rFonts w:ascii="Book Antiqua" w:hAnsi="Book Antiqua"/>
          <w:b/>
          <w:i/>
          <w:sz w:val="18"/>
          <w:szCs w:val="18"/>
        </w:rPr>
        <w:t>Figure 11:</w:t>
      </w:r>
      <w:r w:rsidRPr="00F02364">
        <w:rPr>
          <w:rFonts w:ascii="Book Antiqua" w:hAnsi="Book Antiqua"/>
          <w:i/>
          <w:sz w:val="18"/>
          <w:szCs w:val="18"/>
        </w:rPr>
        <w:t xml:space="preserve"> The White Cliffs of Dover, England, are chalk beds.</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lastRenderedPageBreak/>
        <w:t>8</w:t>
      </w:r>
      <w:r w:rsidRPr="00923ECC">
        <w:rPr>
          <w:rFonts w:ascii="Book Antiqua" w:hAnsi="Book Antiqua"/>
          <w:i/>
          <w:sz w:val="20"/>
          <w:szCs w:val="20"/>
        </w:rPr>
        <w:t>.3 Coral Reefs</w:t>
      </w:r>
    </w:p>
    <w:p w:rsidR="0014236D" w:rsidRPr="00923ECC" w:rsidRDefault="0014236D" w:rsidP="0014236D">
      <w:pPr>
        <w:pStyle w:val="NormalWeb"/>
        <w:ind w:firstLine="720"/>
        <w:jc w:val="both"/>
        <w:rPr>
          <w:rFonts w:ascii="Book Antiqua" w:hAnsi="Book Antiqua"/>
          <w:i/>
          <w:sz w:val="20"/>
          <w:szCs w:val="20"/>
        </w:rPr>
      </w:pPr>
      <w:r w:rsidRPr="00923ECC">
        <w:rPr>
          <w:rFonts w:ascii="Book Antiqua" w:hAnsi="Book Antiqua"/>
          <w:sz w:val="20"/>
          <w:szCs w:val="20"/>
        </w:rPr>
        <w:t>There are some massive coral reefs that exist today</w:t>
      </w:r>
      <w:r>
        <w:rPr>
          <w:rFonts w:ascii="Book Antiqua" w:hAnsi="Book Antiqua"/>
          <w:sz w:val="20"/>
          <w:szCs w:val="20"/>
        </w:rPr>
        <w:t>.</w:t>
      </w:r>
      <w:r w:rsidRPr="00923ECC">
        <w:rPr>
          <w:rFonts w:ascii="Book Antiqua" w:hAnsi="Book Antiqua"/>
          <w:sz w:val="20"/>
          <w:szCs w:val="20"/>
        </w:rPr>
        <w:t xml:space="preserve"> </w:t>
      </w:r>
      <w:r>
        <w:rPr>
          <w:rFonts w:ascii="Book Antiqua" w:hAnsi="Book Antiqua"/>
          <w:sz w:val="20"/>
          <w:szCs w:val="20"/>
        </w:rPr>
        <w:t>The</w:t>
      </w:r>
      <w:r w:rsidRPr="00923ECC">
        <w:rPr>
          <w:rFonts w:ascii="Book Antiqua" w:hAnsi="Book Antiqua"/>
          <w:sz w:val="20"/>
          <w:szCs w:val="20"/>
        </w:rPr>
        <w:t xml:space="preserve"> Great Barrier Reef off Australia’s north-east coast which forms an under-water rampart some 2000 km long and up to 145 km wide</w:t>
      </w:r>
      <w:r>
        <w:rPr>
          <w:rFonts w:ascii="Book Antiqua" w:hAnsi="Book Antiqua"/>
          <w:sz w:val="20"/>
          <w:szCs w:val="20"/>
        </w:rPr>
        <w:t xml:space="preserve"> is, perhaps, the most famous</w:t>
      </w:r>
      <w:r w:rsidRPr="00923ECC">
        <w:rPr>
          <w:rFonts w:ascii="Book Antiqua" w:hAnsi="Book Antiqua"/>
          <w:sz w:val="20"/>
          <w:szCs w:val="20"/>
        </w:rPr>
        <w:t xml:space="preserve">. The depth of this structure can, in places, go down to 120 meters. Coral reefs also exist in the fossil record. A classic example of a fossilized coral </w:t>
      </w:r>
      <w:proofErr w:type="gramStart"/>
      <w:r w:rsidRPr="00923ECC">
        <w:rPr>
          <w:rFonts w:ascii="Book Antiqua" w:hAnsi="Book Antiqua"/>
          <w:sz w:val="20"/>
          <w:szCs w:val="20"/>
        </w:rPr>
        <w:t>reef, that existed during Silurian and Devonian times,</w:t>
      </w:r>
      <w:proofErr w:type="gramEnd"/>
      <w:r w:rsidRPr="00923ECC">
        <w:rPr>
          <w:rFonts w:ascii="Book Antiqua" w:hAnsi="Book Antiqua"/>
          <w:sz w:val="20"/>
          <w:szCs w:val="20"/>
        </w:rPr>
        <w:t xml:space="preserve"> can be seen in the Falls of the Ohio State Park. At this location in Jeffersonville, Indiana, the Ohio River has eroded a section of the reef shown in Figures 12 and 13 below. The reef itself covers hundreds of square miles in Kentucky and Indiana. Its full length stretches for about 1600 km and it is several hundred kilometers wide. In other words, this fossil reef is of similar size to the present Great Barrier Reef, but has an age ranging from about 425 to 380 million atomic years ago. </w:t>
      </w:r>
      <w:r>
        <w:rPr>
          <w:rFonts w:ascii="Book Antiqua" w:hAnsi="Book Antiqua"/>
          <w:sz w:val="20"/>
          <w:szCs w:val="20"/>
        </w:rPr>
        <w:t xml:space="preserve"> The evidence of fossil coral, bryozoans and reef layers indicate this reef </w:t>
      </w:r>
      <w:r w:rsidRPr="00923ECC">
        <w:rPr>
          <w:rFonts w:ascii="Book Antiqua" w:hAnsi="Book Antiqua"/>
          <w:sz w:val="20"/>
          <w:szCs w:val="20"/>
        </w:rPr>
        <w:t xml:space="preserve">was not merely washed into place as some would like to claim, but actually grew </w:t>
      </w:r>
      <w:r w:rsidRPr="00923ECC">
        <w:rPr>
          <w:rFonts w:ascii="Book Antiqua" w:hAnsi="Book Antiqua"/>
          <w:i/>
          <w:sz w:val="20"/>
          <w:szCs w:val="20"/>
        </w:rPr>
        <w:t>in situ</w:t>
      </w:r>
      <w:r>
        <w:rPr>
          <w:rFonts w:ascii="Book Antiqua" w:hAnsi="Book Antiqua"/>
          <w:i/>
          <w:sz w:val="20"/>
          <w:szCs w:val="20"/>
        </w:rPr>
        <w:t>,</w:t>
      </w:r>
      <w:r w:rsidRPr="00267A29">
        <w:rPr>
          <w:rFonts w:ascii="Book Antiqua" w:hAnsi="Book Antiqua"/>
          <w:sz w:val="20"/>
          <w:szCs w:val="20"/>
        </w:rPr>
        <w:t xml:space="preserve"> </w:t>
      </w:r>
      <w:r>
        <w:rPr>
          <w:rFonts w:ascii="Book Antiqua" w:hAnsi="Book Antiqua"/>
          <w:sz w:val="20"/>
          <w:szCs w:val="20"/>
        </w:rPr>
        <w:t xml:space="preserve">just </w:t>
      </w:r>
      <w:r w:rsidRPr="00267A29">
        <w:rPr>
          <w:rFonts w:ascii="Book Antiqua" w:hAnsi="Book Antiqua"/>
          <w:sz w:val="20"/>
          <w:szCs w:val="20"/>
        </w:rPr>
        <w:t>l</w:t>
      </w:r>
      <w:r>
        <w:rPr>
          <w:rFonts w:ascii="Book Antiqua" w:hAnsi="Book Antiqua"/>
          <w:sz w:val="20"/>
          <w:szCs w:val="20"/>
        </w:rPr>
        <w:t>ike the Barrier Reef.</w:t>
      </w:r>
    </w:p>
    <w:p w:rsidR="0014236D" w:rsidRPr="00923ECC" w:rsidRDefault="0014236D" w:rsidP="0014236D">
      <w:pPr>
        <w:pStyle w:val="NormalWeb"/>
        <w:jc w:val="center"/>
        <w:rPr>
          <w:rFonts w:ascii="Book Antiqua" w:hAnsi="Book Antiqua"/>
          <w:sz w:val="20"/>
          <w:szCs w:val="20"/>
        </w:rPr>
      </w:pPr>
      <w:r w:rsidRPr="00923ECC">
        <w:rPr>
          <w:rFonts w:ascii="Book Antiqua" w:hAnsi="Book Antiqua"/>
          <w:noProof/>
          <w:sz w:val="20"/>
          <w:szCs w:val="20"/>
        </w:rPr>
        <w:drawing>
          <wp:inline distT="0" distB="0" distL="0" distR="0">
            <wp:extent cx="5962650" cy="2238375"/>
            <wp:effectExtent l="19050" t="0" r="0" b="0"/>
            <wp:docPr id="979" name="Picture 8" descr="http://naturalishistoria.files.wordpress.com/2012/06/falls-ohio-coral-reef-devonian-fossil1.jpg?w=660&amp;h=437"/>
            <wp:cNvGraphicFramePr/>
            <a:graphic xmlns:a="http://schemas.openxmlformats.org/drawingml/2006/main">
              <a:graphicData uri="http://schemas.openxmlformats.org/drawingml/2006/picture">
                <pic:pic xmlns:pic="http://schemas.openxmlformats.org/drawingml/2006/picture">
                  <pic:nvPicPr>
                    <pic:cNvPr id="7" name="Picture 6" descr="http://naturalishistoria.files.wordpress.com/2012/06/falls-ohio-coral-reef-devonian-fossil1.jpg?w=660&amp;h=437"/>
                    <pic:cNvPicPr/>
                  </pic:nvPicPr>
                  <pic:blipFill>
                    <a:blip r:embed="rId1107" cstate="print"/>
                    <a:srcRect t="25782" r="-213" b="18530"/>
                    <a:stretch>
                      <a:fillRect/>
                    </a:stretch>
                  </pic:blipFill>
                  <pic:spPr bwMode="auto">
                    <a:xfrm>
                      <a:off x="0" y="0"/>
                      <a:ext cx="5962650" cy="2238375"/>
                    </a:xfrm>
                    <a:prstGeom prst="rect">
                      <a:avLst/>
                    </a:prstGeom>
                    <a:noFill/>
                    <a:ln w="9525">
                      <a:noFill/>
                      <a:miter lim="800000"/>
                      <a:headEnd/>
                      <a:tailEnd/>
                    </a:ln>
                  </pic:spPr>
                </pic:pic>
              </a:graphicData>
            </a:graphic>
          </wp:inline>
        </w:drawing>
      </w:r>
    </w:p>
    <w:p w:rsidR="0014236D" w:rsidRDefault="0014236D" w:rsidP="0014236D">
      <w:pPr>
        <w:pStyle w:val="NormalWeb"/>
        <w:rPr>
          <w:rFonts w:ascii="Book Antiqua" w:hAnsi="Book Antiqua"/>
          <w:i/>
          <w:sz w:val="18"/>
          <w:szCs w:val="18"/>
        </w:rPr>
      </w:pPr>
      <w:r w:rsidRPr="00F02364">
        <w:rPr>
          <w:rFonts w:ascii="Book Antiqua" w:hAnsi="Book Antiqua"/>
          <w:b/>
          <w:i/>
          <w:sz w:val="18"/>
          <w:szCs w:val="18"/>
        </w:rPr>
        <w:t>Figure 12:</w:t>
      </w:r>
      <w:r w:rsidRPr="00F02364">
        <w:rPr>
          <w:rFonts w:ascii="Book Antiqua" w:hAnsi="Book Antiqua"/>
          <w:i/>
          <w:sz w:val="18"/>
          <w:szCs w:val="18"/>
        </w:rPr>
        <w:t xml:space="preserve"> Part of a huge fossilized Devonian coral reef exposed by erosion of the Ohio River in Jeffersonville, Indiana. More is seen on the far side of the river.</w:t>
      </w: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Corals polyps have a basic structure similar to a sea anemone. These polyps manufacture their own massive calcareous skeletons made up of a form of calcium carbonate called aragonite (</w:t>
      </w:r>
      <m:oMath>
        <m:r>
          <w:rPr>
            <w:rFonts w:ascii="Cambria Math" w:hAnsi="Cambria Math"/>
            <w:sz w:val="20"/>
            <w:szCs w:val="20"/>
          </w:rPr>
          <m:t>CaC</m:t>
        </m:r>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oMath>
      <w:r w:rsidRPr="00923ECC">
        <w:rPr>
          <w:rFonts w:ascii="Book Antiqua" w:hAnsi="Book Antiqua"/>
          <w:sz w:val="20"/>
          <w:szCs w:val="20"/>
        </w:rPr>
        <w:t>). The size of the polyps themselves range from about one millimeter in diameter up to 20 centimeters. Their skeletons are composed of three-dimensional, fan-like structures that radiate from the centrally-located fibers that form the underside or basal unit of the polyp skin. This lining of the underside of the polyp is called the calicoblastic layer. This layer contains specialized cells which continually secrete both calcium ions (</w:t>
      </w:r>
      <m:oMath>
        <m:sSup>
          <m:sSupPr>
            <m:ctrlPr>
              <w:rPr>
                <w:rFonts w:ascii="Cambria Math" w:hAnsi="Book Antiqua"/>
                <w:i/>
                <w:sz w:val="20"/>
                <w:szCs w:val="20"/>
              </w:rPr>
            </m:ctrlPr>
          </m:sSupPr>
          <m:e>
            <m:r>
              <w:rPr>
                <w:rFonts w:ascii="Cambria Math" w:hAnsi="Cambria Math"/>
                <w:sz w:val="20"/>
                <w:szCs w:val="20"/>
              </w:rPr>
              <m:t>Ca</m:t>
            </m:r>
          </m:e>
          <m:sup>
            <m:r>
              <w:rPr>
                <w:rFonts w:ascii="Cambria Math" w:hAnsi="Book Antiqua"/>
                <w:sz w:val="20"/>
                <w:szCs w:val="20"/>
              </w:rPr>
              <m:t>2+</m:t>
            </m:r>
          </m:sup>
        </m:sSup>
      </m:oMath>
      <w:r w:rsidRPr="00923ECC">
        <w:rPr>
          <w:rFonts w:ascii="Book Antiqua" w:hAnsi="Book Antiqua"/>
          <w:sz w:val="20"/>
          <w:szCs w:val="20"/>
        </w:rPr>
        <w:t>) and bicarbonate ions (</w:t>
      </w:r>
      <m:oMath>
        <m:r>
          <w:rPr>
            <w:rFonts w:ascii="Cambria Math" w:hAnsi="Cambria Math"/>
            <w:sz w:val="20"/>
            <w:szCs w:val="20"/>
          </w:rPr>
          <m:t>HC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e>
          <m:sup>
            <m:r>
              <w:rPr>
                <w:rFonts w:ascii="Book Antiqua" w:hAnsi="Book Antiqua"/>
                <w:sz w:val="20"/>
                <w:szCs w:val="20"/>
              </w:rPr>
              <m:t>-</m:t>
            </m:r>
          </m:sup>
        </m:sSup>
      </m:oMath>
      <w:r w:rsidRPr="00923ECC">
        <w:rPr>
          <w:rFonts w:ascii="Book Antiqua" w:hAnsi="Book Antiqua"/>
          <w:sz w:val="20"/>
          <w:szCs w:val="20"/>
        </w:rPr>
        <w:t xml:space="preserve">). The calcium carbonate is deposited around the centrally-located fibers. Simply stated, these ions are obtained from the calcium and carbon-dioxide in the surrounding sea-water, although some carbon-dioxide comes from respiration. In any case, this results in the deposition of calcium carbonate; a process called calcification. </w:t>
      </w:r>
    </w:p>
    <w:p w:rsidR="0014236D"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 xml:space="preserve">However, this process is very energy demanding. The necessary energy is provided by the algae which reside in membrane-bound cavities in each of the cells of the stomach wall of the coral polyp. A group of algae from the genus </w:t>
      </w:r>
      <w:r w:rsidRPr="00923ECC">
        <w:rPr>
          <w:rFonts w:ascii="Book Antiqua" w:hAnsi="Book Antiqua"/>
          <w:i/>
          <w:sz w:val="20"/>
          <w:szCs w:val="20"/>
        </w:rPr>
        <w:t>Symbiodinium</w:t>
      </w:r>
      <w:r w:rsidRPr="00923ECC">
        <w:rPr>
          <w:rFonts w:ascii="Book Antiqua" w:hAnsi="Book Antiqua"/>
          <w:sz w:val="20"/>
          <w:szCs w:val="20"/>
        </w:rPr>
        <w:t xml:space="preserve"> has formed this partnership with the corals and are called </w:t>
      </w:r>
      <w:r w:rsidRPr="00923ECC">
        <w:rPr>
          <w:rFonts w:ascii="Book Antiqua" w:hAnsi="Book Antiqua"/>
          <w:i/>
          <w:sz w:val="20"/>
          <w:szCs w:val="20"/>
        </w:rPr>
        <w:t>zooxanthellae</w:t>
      </w:r>
      <w:r w:rsidRPr="00923ECC">
        <w:rPr>
          <w:rFonts w:ascii="Book Antiqua" w:hAnsi="Book Antiqua"/>
          <w:sz w:val="20"/>
          <w:szCs w:val="20"/>
        </w:rPr>
        <w:t xml:space="preserve">. Specific strains of zooxanthellae are adapted to specific coral species, though some corals are not discriminating about them. The zooxanthellae produce sugars by using the sun’s energy in the same way that the higher plants do. This straightforward photosynthesis provides over 95% of the energy needs of the corals [33]. </w:t>
      </w:r>
    </w:p>
    <w:tbl>
      <w:tblPr>
        <w:tblStyle w:val="TableGrid"/>
        <w:tblW w:w="0" w:type="auto"/>
        <w:jc w:val="center"/>
        <w:tblLook w:val="06A0"/>
      </w:tblPr>
      <w:tblGrid>
        <w:gridCol w:w="5496"/>
        <w:gridCol w:w="5256"/>
      </w:tblGrid>
      <w:tr w:rsidR="0014236D" w:rsidRPr="00923ECC" w:rsidTr="00322CE8">
        <w:trPr>
          <w:jc w:val="center"/>
        </w:trPr>
        <w:tc>
          <w:tcPr>
            <w:tcW w:w="5496" w:type="dxa"/>
          </w:tcPr>
          <w:p w:rsidR="0014236D" w:rsidRPr="00923ECC" w:rsidRDefault="0014236D" w:rsidP="003442EA">
            <w:pPr>
              <w:pStyle w:val="NormalWeb"/>
              <w:jc w:val="both"/>
              <w:rPr>
                <w:rFonts w:ascii="Book Antiqua" w:hAnsi="Book Antiqua"/>
                <w:sz w:val="20"/>
                <w:szCs w:val="20"/>
              </w:rPr>
            </w:pPr>
            <w:r w:rsidRPr="00923ECC">
              <w:rPr>
                <w:rFonts w:ascii="Book Antiqua" w:hAnsi="Book Antiqua"/>
                <w:noProof/>
                <w:sz w:val="20"/>
                <w:szCs w:val="20"/>
              </w:rPr>
              <w:lastRenderedPageBreak/>
              <w:drawing>
                <wp:inline distT="0" distB="0" distL="0" distR="0">
                  <wp:extent cx="3333750" cy="2857500"/>
                  <wp:effectExtent l="19050" t="0" r="0" b="0"/>
                  <wp:docPr id="980" name="Picture 9" descr="http://naturalishistoria.files.wordpress.com/2012/06/large-coral-fossil-falls-ohio.jpg?w=660&amp;h=437"/>
                  <wp:cNvGraphicFramePr/>
                  <a:graphic xmlns:a="http://schemas.openxmlformats.org/drawingml/2006/main">
                    <a:graphicData uri="http://schemas.openxmlformats.org/drawingml/2006/picture">
                      <pic:pic xmlns:pic="http://schemas.openxmlformats.org/drawingml/2006/picture">
                        <pic:nvPicPr>
                          <pic:cNvPr id="8" name="Picture 7" descr="http://naturalishistoria.files.wordpress.com/2012/06/large-coral-fossil-falls-ohio.jpg?w=660&amp;h=437"/>
                          <pic:cNvPicPr/>
                        </pic:nvPicPr>
                        <pic:blipFill>
                          <a:blip r:embed="rId1108" cstate="print"/>
                          <a:srcRect r="12125"/>
                          <a:stretch>
                            <a:fillRect/>
                          </a:stretch>
                        </pic:blipFill>
                        <pic:spPr bwMode="auto">
                          <a:xfrm>
                            <a:off x="0" y="0"/>
                            <a:ext cx="3333750" cy="2857500"/>
                          </a:xfrm>
                          <a:prstGeom prst="rect">
                            <a:avLst/>
                          </a:prstGeom>
                          <a:noFill/>
                          <a:ln w="9525">
                            <a:noFill/>
                            <a:miter lim="800000"/>
                            <a:headEnd/>
                            <a:tailEnd/>
                          </a:ln>
                        </pic:spPr>
                      </pic:pic>
                    </a:graphicData>
                  </a:graphic>
                </wp:inline>
              </w:drawing>
            </w:r>
          </w:p>
        </w:tc>
        <w:tc>
          <w:tcPr>
            <w:tcW w:w="5256" w:type="dxa"/>
          </w:tcPr>
          <w:p w:rsidR="0014236D" w:rsidRPr="00923ECC" w:rsidRDefault="0014236D" w:rsidP="003442EA">
            <w:pPr>
              <w:pStyle w:val="NormalWeb"/>
              <w:jc w:val="both"/>
              <w:rPr>
                <w:rFonts w:ascii="Book Antiqua" w:hAnsi="Book Antiqua"/>
                <w:sz w:val="20"/>
                <w:szCs w:val="20"/>
              </w:rPr>
            </w:pPr>
            <w:r w:rsidRPr="00923ECC">
              <w:rPr>
                <w:rFonts w:ascii="Book Antiqua" w:hAnsi="Book Antiqua"/>
                <w:noProof/>
                <w:sz w:val="20"/>
                <w:szCs w:val="20"/>
              </w:rPr>
              <w:drawing>
                <wp:inline distT="0" distB="0" distL="0" distR="0">
                  <wp:extent cx="3173146" cy="2857500"/>
                  <wp:effectExtent l="19050" t="0" r="8204" b="0"/>
                  <wp:docPr id="981" name="il_fi" descr="http://floridanature.files.wordpress.com/2009/11/coral-polyps-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loridanature.files.wordpress.com/2009/11/coral-polyps-1280.jpg"/>
                          <pic:cNvPicPr>
                            <a:picLocks noChangeAspect="1" noChangeArrowheads="1"/>
                          </pic:cNvPicPr>
                        </pic:nvPicPr>
                        <pic:blipFill>
                          <a:blip r:embed="rId1109" cstate="print"/>
                          <a:srcRect l="46065" t="24507" r="28005" b="46318"/>
                          <a:stretch>
                            <a:fillRect/>
                          </a:stretch>
                        </pic:blipFill>
                        <pic:spPr bwMode="auto">
                          <a:xfrm>
                            <a:off x="0" y="0"/>
                            <a:ext cx="3181758" cy="2865255"/>
                          </a:xfrm>
                          <a:prstGeom prst="rect">
                            <a:avLst/>
                          </a:prstGeom>
                          <a:noFill/>
                          <a:ln w="9525">
                            <a:noFill/>
                            <a:miter lim="800000"/>
                            <a:headEnd/>
                            <a:tailEnd/>
                          </a:ln>
                        </pic:spPr>
                      </pic:pic>
                    </a:graphicData>
                  </a:graphic>
                </wp:inline>
              </w:drawing>
            </w:r>
          </w:p>
        </w:tc>
      </w:tr>
    </w:tbl>
    <w:p w:rsidR="0014236D" w:rsidRPr="00F02364" w:rsidRDefault="0014236D" w:rsidP="0014236D">
      <w:pPr>
        <w:pStyle w:val="NormalWeb"/>
        <w:rPr>
          <w:rFonts w:ascii="Book Antiqua" w:hAnsi="Book Antiqua"/>
          <w:i/>
          <w:sz w:val="18"/>
          <w:szCs w:val="18"/>
        </w:rPr>
      </w:pPr>
      <w:r w:rsidRPr="00F02364">
        <w:rPr>
          <w:rFonts w:ascii="Book Antiqua" w:hAnsi="Book Antiqua"/>
          <w:b/>
          <w:i/>
          <w:sz w:val="18"/>
          <w:szCs w:val="18"/>
        </w:rPr>
        <w:t>Figure 13 (Left):</w:t>
      </w:r>
      <w:r w:rsidRPr="00F02364">
        <w:rPr>
          <w:rFonts w:ascii="Book Antiqua" w:hAnsi="Book Antiqua"/>
          <w:i/>
          <w:sz w:val="18"/>
          <w:szCs w:val="18"/>
        </w:rPr>
        <w:t xml:space="preserve"> An excellent example of a fossil coral from the reef exposed by the Ohio River above. The reef dates from about 425 to 380 million atomic years old. </w:t>
      </w:r>
      <w:r w:rsidRPr="00F02364">
        <w:rPr>
          <w:rFonts w:ascii="Book Antiqua" w:hAnsi="Book Antiqua"/>
          <w:b/>
          <w:i/>
          <w:sz w:val="18"/>
          <w:szCs w:val="18"/>
        </w:rPr>
        <w:t>(Right):</w:t>
      </w:r>
      <w:r w:rsidRPr="00F02364">
        <w:rPr>
          <w:rFonts w:ascii="Book Antiqua" w:hAnsi="Book Antiqua"/>
          <w:i/>
          <w:sz w:val="18"/>
          <w:szCs w:val="18"/>
        </w:rPr>
        <w:t xml:space="preserve"> Some polyps of a modern coral </w:t>
      </w:r>
      <w:proofErr w:type="gramStart"/>
      <w:r w:rsidRPr="00F02364">
        <w:rPr>
          <w:rFonts w:ascii="Book Antiqua" w:hAnsi="Book Antiqua"/>
          <w:i/>
          <w:sz w:val="18"/>
          <w:szCs w:val="18"/>
        </w:rPr>
        <w:t>reef</w:t>
      </w:r>
      <w:r>
        <w:rPr>
          <w:rFonts w:ascii="Book Antiqua" w:hAnsi="Book Antiqua"/>
          <w:i/>
          <w:sz w:val="18"/>
          <w:szCs w:val="18"/>
        </w:rPr>
        <w:t xml:space="preserve"> </w:t>
      </w:r>
      <w:r w:rsidRPr="00F02364">
        <w:rPr>
          <w:rFonts w:ascii="Book Antiqua" w:hAnsi="Book Antiqua"/>
          <w:i/>
          <w:sz w:val="18"/>
          <w:szCs w:val="18"/>
        </w:rPr>
        <w:t xml:space="preserve"> for</w:t>
      </w:r>
      <w:proofErr w:type="gramEnd"/>
      <w:r w:rsidRPr="00F02364">
        <w:rPr>
          <w:rFonts w:ascii="Book Antiqua" w:hAnsi="Book Antiqua"/>
          <w:i/>
          <w:sz w:val="18"/>
          <w:szCs w:val="18"/>
        </w:rPr>
        <w:t xml:space="preserve"> comparison.</w:t>
      </w: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 xml:space="preserve">Since </w:t>
      </w:r>
      <w:r>
        <w:rPr>
          <w:rFonts w:ascii="Book Antiqua" w:hAnsi="Book Antiqua"/>
          <w:sz w:val="20"/>
          <w:szCs w:val="20"/>
        </w:rPr>
        <w:t>the algal respiration</w:t>
      </w:r>
      <w:r w:rsidRPr="00923ECC">
        <w:rPr>
          <w:rFonts w:ascii="Book Antiqua" w:hAnsi="Book Antiqua"/>
          <w:sz w:val="20"/>
          <w:szCs w:val="20"/>
        </w:rPr>
        <w:t xml:space="preserve"> functions via photosynthesis, </w:t>
      </w:r>
      <w:r>
        <w:rPr>
          <w:rFonts w:ascii="Book Antiqua" w:hAnsi="Book Antiqua"/>
          <w:sz w:val="20"/>
          <w:szCs w:val="20"/>
        </w:rPr>
        <w:t>it</w:t>
      </w:r>
      <w:r w:rsidRPr="00923ECC">
        <w:rPr>
          <w:rFonts w:ascii="Book Antiqua" w:hAnsi="Book Antiqua"/>
          <w:sz w:val="20"/>
          <w:szCs w:val="20"/>
        </w:rPr>
        <w:t xml:space="preserve"> is very dependent on light. Indoor experiments have shown that [34], </w:t>
      </w:r>
      <w:r w:rsidRPr="00923ECC">
        <w:rPr>
          <w:rFonts w:ascii="Book Antiqua" w:hAnsi="Book Antiqua"/>
          <w:i/>
          <w:sz w:val="20"/>
          <w:szCs w:val="20"/>
        </w:rPr>
        <w:t>“when exposed to light, quality growth of the skeleton takes place at a rate that is three to five times faster than in darkness. This period of strengthening is known as ‘light enhanced calcification’ [35].</w:t>
      </w:r>
      <w:r w:rsidRPr="00923ECC">
        <w:rPr>
          <w:rFonts w:ascii="Book Antiqua" w:hAnsi="Book Antiqua"/>
          <w:sz w:val="20"/>
          <w:szCs w:val="20"/>
        </w:rPr>
        <w:t xml:space="preserve">” Experiments done in sunlight have shown that </w:t>
      </w:r>
      <w:r w:rsidRPr="00923ECC">
        <w:rPr>
          <w:rFonts w:ascii="Book Antiqua" w:hAnsi="Book Antiqua"/>
          <w:i/>
          <w:sz w:val="20"/>
          <w:szCs w:val="20"/>
        </w:rPr>
        <w:t>“The growth of the coral skeleton is on average 14 times faster in sunlight than it is in darkness… Even daily variations in light intensity have a measurable effect on the calcification rate; the uptake of calcium is fastest at noon on a clear, sunny day, is reduced by 50 percent on a cloudy day and by nearly 90 percent in total darkness.”</w:t>
      </w:r>
      <w:r w:rsidRPr="00923ECC">
        <w:rPr>
          <w:rFonts w:ascii="Book Antiqua" w:hAnsi="Book Antiqua"/>
          <w:sz w:val="20"/>
          <w:szCs w:val="20"/>
        </w:rPr>
        <w:t xml:space="preserve"> [36] </w:t>
      </w: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The situation that exists with lower ZPE strengths in the past, and therefore higher photon counts per second from all light sources, ha</w:t>
      </w:r>
      <w:r>
        <w:rPr>
          <w:rFonts w:ascii="Book Antiqua" w:hAnsi="Book Antiqua"/>
          <w:sz w:val="20"/>
          <w:szCs w:val="20"/>
        </w:rPr>
        <w:t>s</w:t>
      </w:r>
      <w:r w:rsidRPr="00923ECC">
        <w:rPr>
          <w:rFonts w:ascii="Book Antiqua" w:hAnsi="Book Antiqua"/>
          <w:sz w:val="20"/>
          <w:szCs w:val="20"/>
        </w:rPr>
        <w:t xml:space="preserve"> been outlined earlier. As this is applied to the formation of coral reefs, it would seem that a very favorable environment exist</w:t>
      </w:r>
      <w:r>
        <w:rPr>
          <w:rFonts w:ascii="Book Antiqua" w:hAnsi="Book Antiqua"/>
          <w:sz w:val="20"/>
          <w:szCs w:val="20"/>
        </w:rPr>
        <w:t>ed</w:t>
      </w:r>
      <w:r w:rsidRPr="00923ECC">
        <w:rPr>
          <w:rFonts w:ascii="Book Antiqua" w:hAnsi="Book Antiqua"/>
          <w:sz w:val="20"/>
          <w:szCs w:val="20"/>
        </w:rPr>
        <w:t xml:space="preserve"> for a reef formation rate which was considerably more rapid than exists today. Therefore we need to be careful when ascribing excessively long times to the formation of some of the massive reef systems seen in the fossil record. </w:t>
      </w:r>
    </w:p>
    <w:p w:rsidR="0014236D" w:rsidRPr="00703A0F" w:rsidRDefault="0014236D" w:rsidP="0014236D">
      <w:pPr>
        <w:pStyle w:val="NormalWeb"/>
        <w:jc w:val="both"/>
        <w:rPr>
          <w:rFonts w:ascii="Book Antiqua" w:hAnsi="Book Antiqua"/>
          <w:b/>
          <w:sz w:val="20"/>
          <w:szCs w:val="20"/>
        </w:rPr>
      </w:pPr>
      <w:r w:rsidRPr="00703A0F">
        <w:rPr>
          <w:rFonts w:ascii="Book Antiqua" w:hAnsi="Book Antiqua"/>
          <w:b/>
          <w:sz w:val="20"/>
          <w:szCs w:val="20"/>
        </w:rPr>
        <w:t>9 The Oklo reactor and banded iron formtions</w:t>
      </w: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In the case of the Oklo reactor, discussed in Chapter 8, the detailed picture that emerges is that of </w:t>
      </w:r>
      <w:r>
        <w:rPr>
          <w:rFonts w:ascii="Book Antiqua" w:hAnsi="Book Antiqua"/>
          <w:sz w:val="20"/>
        </w:rPr>
        <w:t>large</w:t>
      </w:r>
      <w:r w:rsidRPr="00F84121">
        <w:rPr>
          <w:rFonts w:ascii="Book Antiqua" w:hAnsi="Book Antiqua"/>
          <w:sz w:val="20"/>
        </w:rPr>
        <w:t xml:space="preserve"> pulsing geyser</w:t>
      </w:r>
      <w:r>
        <w:rPr>
          <w:rFonts w:ascii="Book Antiqua" w:hAnsi="Book Antiqua"/>
          <w:sz w:val="20"/>
        </w:rPr>
        <w:t>s</w:t>
      </w:r>
      <w:r w:rsidRPr="00F84121">
        <w:rPr>
          <w:rFonts w:ascii="Book Antiqua" w:hAnsi="Book Antiqua"/>
          <w:sz w:val="20"/>
        </w:rPr>
        <w:t xml:space="preserve"> whose water was being acted on by algae</w:t>
      </w:r>
      <w:r>
        <w:rPr>
          <w:rFonts w:ascii="Book Antiqua" w:hAnsi="Book Antiqua"/>
          <w:sz w:val="20"/>
        </w:rPr>
        <w:t xml:space="preserve"> in a large lake or body of water</w:t>
      </w:r>
      <w:r w:rsidRPr="00F84121">
        <w:rPr>
          <w:rFonts w:ascii="Book Antiqua" w:hAnsi="Book Antiqua"/>
          <w:sz w:val="20"/>
        </w:rPr>
        <w:t>. The evidence presented in Chapter 9 is that water was being driven out from deep in the earth</w:t>
      </w:r>
      <w:r>
        <w:rPr>
          <w:rFonts w:ascii="Book Antiqua" w:hAnsi="Book Antiqua"/>
          <w:sz w:val="20"/>
        </w:rPr>
        <w:t>’s</w:t>
      </w:r>
      <w:r w:rsidRPr="00F84121">
        <w:rPr>
          <w:rFonts w:ascii="Book Antiqua" w:hAnsi="Book Antiqua"/>
          <w:sz w:val="20"/>
        </w:rPr>
        <w:t xml:space="preserve"> interior by radioactive heating. This water </w:t>
      </w:r>
      <w:r>
        <w:rPr>
          <w:rFonts w:ascii="Book Antiqua" w:hAnsi="Book Antiqua"/>
          <w:sz w:val="20"/>
        </w:rPr>
        <w:t>continued to build</w:t>
      </w:r>
      <w:r w:rsidRPr="00F84121">
        <w:rPr>
          <w:rFonts w:ascii="Book Antiqua" w:hAnsi="Book Antiqua"/>
          <w:sz w:val="20"/>
        </w:rPr>
        <w:t xml:space="preserve"> under the crust until the pressure was </w:t>
      </w:r>
      <w:r>
        <w:rPr>
          <w:rFonts w:ascii="Book Antiqua" w:hAnsi="Book Antiqua"/>
          <w:sz w:val="20"/>
        </w:rPr>
        <w:t>first</w:t>
      </w:r>
      <w:r w:rsidRPr="00F84121">
        <w:rPr>
          <w:rFonts w:ascii="Book Antiqua" w:hAnsi="Book Antiqua"/>
          <w:sz w:val="20"/>
        </w:rPr>
        <w:t xml:space="preserve"> released catastrophic</w:t>
      </w:r>
      <w:r>
        <w:rPr>
          <w:rFonts w:ascii="Book Antiqua" w:hAnsi="Book Antiqua"/>
          <w:sz w:val="20"/>
        </w:rPr>
        <w:t>ally by the</w:t>
      </w:r>
      <w:r w:rsidRPr="00F84121">
        <w:rPr>
          <w:rFonts w:ascii="Book Antiqua" w:hAnsi="Book Antiqua"/>
          <w:sz w:val="20"/>
        </w:rPr>
        <w:t xml:space="preserve"> out-gassing event of Snowball Earth. </w:t>
      </w:r>
    </w:p>
    <w:p w:rsidR="0014236D" w:rsidRPr="00F84121" w:rsidRDefault="0014236D" w:rsidP="0014236D">
      <w:pPr>
        <w:pStyle w:val="NoSpacing"/>
        <w:jc w:val="both"/>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Pr>
          <w:rFonts w:ascii="Book Antiqua" w:hAnsi="Book Antiqua"/>
          <w:sz w:val="20"/>
        </w:rPr>
        <w:t>Throughout</w:t>
      </w:r>
      <w:r w:rsidRPr="00F84121">
        <w:rPr>
          <w:rFonts w:ascii="Book Antiqua" w:hAnsi="Book Antiqua"/>
          <w:sz w:val="20"/>
        </w:rPr>
        <w:t xml:space="preserve"> the Archaeozoic, </w:t>
      </w:r>
      <w:r>
        <w:rPr>
          <w:rFonts w:ascii="Book Antiqua" w:hAnsi="Book Antiqua"/>
          <w:sz w:val="20"/>
        </w:rPr>
        <w:t xml:space="preserve">then, </w:t>
      </w:r>
      <w:r w:rsidRPr="00F84121">
        <w:rPr>
          <w:rFonts w:ascii="Book Antiqua" w:hAnsi="Book Antiqua"/>
          <w:sz w:val="20"/>
        </w:rPr>
        <w:t xml:space="preserve">water under pressure was building up under the crust and being expelled in a system of geysers on the surface. Under the ocean the process </w:t>
      </w:r>
      <w:r>
        <w:rPr>
          <w:rFonts w:ascii="Book Antiqua" w:hAnsi="Book Antiqua"/>
          <w:sz w:val="20"/>
        </w:rPr>
        <w:t>would have been</w:t>
      </w:r>
      <w:r w:rsidRPr="00F84121">
        <w:rPr>
          <w:rFonts w:ascii="Book Antiqua" w:hAnsi="Book Antiqua"/>
          <w:sz w:val="20"/>
        </w:rPr>
        <w:t xml:space="preserve"> similar to the black smokers we have today in the south-east Pacific Rise, only much more prolific. </w:t>
      </w:r>
    </w:p>
    <w:p w:rsidR="0014236D" w:rsidRPr="00F84121" w:rsidRDefault="0014236D" w:rsidP="0014236D">
      <w:pPr>
        <w:pStyle w:val="NoSpacing"/>
        <w:jc w:val="both"/>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Since there are 16 separate reaction sites in the extensive Oklo region, it is possible that there may have been </w:t>
      </w:r>
      <w:r>
        <w:rPr>
          <w:rFonts w:ascii="Book Antiqua" w:hAnsi="Book Antiqua"/>
          <w:sz w:val="20"/>
        </w:rPr>
        <w:t>a number of</w:t>
      </w:r>
      <w:r w:rsidRPr="00F84121">
        <w:rPr>
          <w:rFonts w:ascii="Book Antiqua" w:hAnsi="Book Antiqua"/>
          <w:sz w:val="20"/>
        </w:rPr>
        <w:t xml:space="preserve"> separate geysers each bringing up water rich in minerals, including uranium</w:t>
      </w:r>
      <w:r>
        <w:rPr>
          <w:rFonts w:ascii="Book Antiqua" w:hAnsi="Book Antiqua"/>
          <w:sz w:val="20"/>
        </w:rPr>
        <w:t>,</w:t>
      </w:r>
      <w:r w:rsidRPr="00F84121">
        <w:rPr>
          <w:rFonts w:ascii="Book Antiqua" w:hAnsi="Book Antiqua"/>
          <w:sz w:val="20"/>
        </w:rPr>
        <w:t xml:space="preserve"> from the earth’s interior. </w:t>
      </w:r>
      <w:r>
        <w:rPr>
          <w:rFonts w:ascii="Book Antiqua" w:hAnsi="Book Antiqua"/>
          <w:sz w:val="20"/>
        </w:rPr>
        <w:t>On the surface, these</w:t>
      </w:r>
      <w:r w:rsidRPr="00F84121">
        <w:rPr>
          <w:rFonts w:ascii="Book Antiqua" w:hAnsi="Book Antiqua"/>
          <w:sz w:val="20"/>
        </w:rPr>
        <w:t xml:space="preserve"> algae</w:t>
      </w:r>
      <w:r>
        <w:rPr>
          <w:rFonts w:ascii="Book Antiqua" w:hAnsi="Book Antiqua"/>
          <w:sz w:val="20"/>
        </w:rPr>
        <w:t xml:space="preserve"> </w:t>
      </w:r>
      <w:r w:rsidRPr="00F84121">
        <w:rPr>
          <w:rFonts w:ascii="Book Antiqua" w:hAnsi="Book Antiqua"/>
          <w:sz w:val="20"/>
        </w:rPr>
        <w:t>act</w:t>
      </w:r>
      <w:r>
        <w:rPr>
          <w:rFonts w:ascii="Book Antiqua" w:hAnsi="Book Antiqua"/>
          <w:sz w:val="20"/>
        </w:rPr>
        <w:t>ed</w:t>
      </w:r>
      <w:r w:rsidRPr="00F84121">
        <w:rPr>
          <w:rFonts w:ascii="Book Antiqua" w:hAnsi="Book Antiqua"/>
          <w:sz w:val="20"/>
        </w:rPr>
        <w:t xml:space="preserve"> to concentrate the uranium</w:t>
      </w:r>
      <w:r>
        <w:rPr>
          <w:rFonts w:ascii="Book Antiqua" w:hAnsi="Book Antiqua"/>
          <w:sz w:val="20"/>
        </w:rPr>
        <w:t xml:space="preserve"> from the water</w:t>
      </w:r>
      <w:r w:rsidRPr="00F84121">
        <w:rPr>
          <w:rFonts w:ascii="Book Antiqua" w:hAnsi="Book Antiqua"/>
          <w:sz w:val="20"/>
        </w:rPr>
        <w:t xml:space="preserve"> in the Oklo region</w:t>
      </w:r>
      <w:r>
        <w:rPr>
          <w:rFonts w:ascii="Book Antiqua" w:hAnsi="Book Antiqua"/>
          <w:sz w:val="20"/>
        </w:rPr>
        <w:t>.</w:t>
      </w:r>
      <w:r w:rsidRPr="00F84121">
        <w:rPr>
          <w:rFonts w:ascii="Book Antiqua" w:hAnsi="Book Antiqua"/>
          <w:sz w:val="20"/>
        </w:rPr>
        <w:t xml:space="preserve"> Since the algae were </w:t>
      </w:r>
      <w:r>
        <w:rPr>
          <w:rFonts w:ascii="Book Antiqua" w:hAnsi="Book Antiqua"/>
          <w:sz w:val="20"/>
        </w:rPr>
        <w:t>photosynthesizing much more quickly</w:t>
      </w:r>
      <w:r w:rsidRPr="00F84121">
        <w:rPr>
          <w:rFonts w:ascii="Book Antiqua" w:hAnsi="Book Antiqua"/>
          <w:sz w:val="20"/>
        </w:rPr>
        <w:t xml:space="preserve"> </w:t>
      </w:r>
      <w:r>
        <w:rPr>
          <w:rFonts w:ascii="Book Antiqua" w:hAnsi="Book Antiqua"/>
          <w:sz w:val="20"/>
        </w:rPr>
        <w:t>due to the</w:t>
      </w:r>
      <w:r w:rsidRPr="00F84121">
        <w:rPr>
          <w:rFonts w:ascii="Book Antiqua" w:hAnsi="Book Antiqua"/>
          <w:sz w:val="20"/>
        </w:rPr>
        <w:t xml:space="preserve"> low ZPE</w:t>
      </w:r>
      <w:r>
        <w:rPr>
          <w:rFonts w:ascii="Book Antiqua" w:hAnsi="Book Antiqua"/>
          <w:sz w:val="20"/>
        </w:rPr>
        <w:t xml:space="preserve"> at the time</w:t>
      </w:r>
      <w:r w:rsidRPr="00F84121">
        <w:rPr>
          <w:rFonts w:ascii="Book Antiqua" w:hAnsi="Book Antiqua"/>
          <w:sz w:val="20"/>
        </w:rPr>
        <w:t xml:space="preserve">, the uranium concentration process would have </w:t>
      </w:r>
      <w:r w:rsidRPr="00F84121">
        <w:rPr>
          <w:rFonts w:ascii="Book Antiqua" w:hAnsi="Book Antiqua"/>
          <w:sz w:val="20"/>
        </w:rPr>
        <w:lastRenderedPageBreak/>
        <w:t xml:space="preserve">been quicker and more efficient. </w:t>
      </w:r>
      <w:r>
        <w:rPr>
          <w:rFonts w:ascii="Book Antiqua" w:hAnsi="Book Antiqua"/>
          <w:sz w:val="20"/>
        </w:rPr>
        <w:t>The</w:t>
      </w:r>
      <w:r w:rsidRPr="00F84121">
        <w:rPr>
          <w:rFonts w:ascii="Book Antiqua" w:hAnsi="Book Antiqua"/>
          <w:sz w:val="20"/>
        </w:rPr>
        <w:t xml:space="preserve"> high percentage of clay particles </w:t>
      </w:r>
      <w:r>
        <w:rPr>
          <w:rFonts w:ascii="Book Antiqua" w:hAnsi="Book Antiqua"/>
          <w:sz w:val="20"/>
        </w:rPr>
        <w:t xml:space="preserve">which </w:t>
      </w:r>
      <w:r w:rsidRPr="00F84121">
        <w:rPr>
          <w:rFonts w:ascii="Book Antiqua" w:hAnsi="Book Antiqua"/>
          <w:sz w:val="20"/>
        </w:rPr>
        <w:t>were also involved may have been from the geysers themselves or from the adjacent environment.</w:t>
      </w:r>
    </w:p>
    <w:p w:rsidR="0014236D" w:rsidRPr="00F84121" w:rsidRDefault="0014236D" w:rsidP="0014236D">
      <w:pPr>
        <w:pStyle w:val="NoSpacing"/>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In a similar way the banded iron formations are typical of this </w:t>
      </w:r>
      <w:r>
        <w:rPr>
          <w:rFonts w:ascii="Book Antiqua" w:hAnsi="Book Antiqua"/>
          <w:sz w:val="20"/>
        </w:rPr>
        <w:t xml:space="preserve">Archaeozoic </w:t>
      </w:r>
      <w:r w:rsidRPr="00F84121">
        <w:rPr>
          <w:rFonts w:ascii="Book Antiqua" w:hAnsi="Book Antiqua"/>
          <w:sz w:val="20"/>
        </w:rPr>
        <w:t xml:space="preserve">period. </w:t>
      </w:r>
      <w:r>
        <w:rPr>
          <w:rFonts w:ascii="Book Antiqua" w:hAnsi="Book Antiqua"/>
          <w:sz w:val="20"/>
        </w:rPr>
        <w:t xml:space="preserve">Today these iron-rich deposits are mined on land.  But when they were formed, it was done under water. </w:t>
      </w:r>
      <w:r w:rsidRPr="00F84121">
        <w:rPr>
          <w:rFonts w:ascii="Book Antiqua" w:hAnsi="Book Antiqua"/>
          <w:sz w:val="20"/>
        </w:rPr>
        <w:t xml:space="preserve">The iron is thought to </w:t>
      </w:r>
      <w:r>
        <w:rPr>
          <w:rFonts w:ascii="Book Antiqua" w:hAnsi="Book Antiqua"/>
          <w:sz w:val="20"/>
        </w:rPr>
        <w:t xml:space="preserve">have </w:t>
      </w:r>
      <w:r w:rsidRPr="00F84121">
        <w:rPr>
          <w:rFonts w:ascii="Book Antiqua" w:hAnsi="Book Antiqua"/>
          <w:sz w:val="20"/>
        </w:rPr>
        <w:t>originate</w:t>
      </w:r>
      <w:r>
        <w:rPr>
          <w:rFonts w:ascii="Book Antiqua" w:hAnsi="Book Antiqua"/>
          <w:sz w:val="20"/>
        </w:rPr>
        <w:t>d</w:t>
      </w:r>
      <w:r w:rsidRPr="00F84121">
        <w:rPr>
          <w:rFonts w:ascii="Book Antiqua" w:hAnsi="Book Antiqua"/>
          <w:sz w:val="20"/>
        </w:rPr>
        <w:t xml:space="preserve"> </w:t>
      </w:r>
      <w:r>
        <w:rPr>
          <w:rFonts w:ascii="Book Antiqua" w:hAnsi="Book Antiqua"/>
          <w:sz w:val="20"/>
        </w:rPr>
        <w:t>in</w:t>
      </w:r>
      <w:r w:rsidRPr="00F84121">
        <w:rPr>
          <w:rFonts w:ascii="Book Antiqua" w:hAnsi="Book Antiqua"/>
          <w:sz w:val="20"/>
        </w:rPr>
        <w:t xml:space="preserve"> </w:t>
      </w:r>
      <w:r>
        <w:rPr>
          <w:rFonts w:ascii="Book Antiqua" w:hAnsi="Book Antiqua"/>
          <w:sz w:val="20"/>
        </w:rPr>
        <w:t xml:space="preserve">the </w:t>
      </w:r>
      <w:r w:rsidRPr="00F84121">
        <w:rPr>
          <w:rFonts w:ascii="Book Antiqua" w:hAnsi="Book Antiqua"/>
          <w:sz w:val="20"/>
        </w:rPr>
        <w:t xml:space="preserve">hydrothermal outpourings </w:t>
      </w:r>
      <w:r>
        <w:rPr>
          <w:rFonts w:ascii="Book Antiqua" w:hAnsi="Book Antiqua"/>
          <w:sz w:val="20"/>
        </w:rPr>
        <w:t>of</w:t>
      </w:r>
      <w:r w:rsidRPr="00F84121">
        <w:rPr>
          <w:rFonts w:ascii="Book Antiqua" w:hAnsi="Book Antiqua"/>
          <w:sz w:val="20"/>
        </w:rPr>
        <w:t xml:space="preserve"> ocean geysers. These geysers outpoured a solution which was rich in silica as well as being rich in the soluble </w:t>
      </w:r>
      <w:proofErr w:type="gramStart"/>
      <w:r w:rsidRPr="00F84121">
        <w:rPr>
          <w:rFonts w:ascii="Book Antiqua" w:hAnsi="Book Antiqua"/>
          <w:sz w:val="20"/>
        </w:rPr>
        <w:t>Fe(</w:t>
      </w:r>
      <w:proofErr w:type="gramEnd"/>
      <w:r w:rsidRPr="00F84121">
        <w:rPr>
          <w:rFonts w:ascii="Book Antiqua" w:hAnsi="Book Antiqua"/>
          <w:sz w:val="20"/>
        </w:rPr>
        <w:t xml:space="preserve">II) form of iron [37]. </w:t>
      </w:r>
      <w:r>
        <w:rPr>
          <w:rFonts w:ascii="Book Antiqua" w:hAnsi="Book Antiqua"/>
          <w:sz w:val="20"/>
        </w:rPr>
        <w:t xml:space="preserve"> Again we find phototropic bacteria, including the blue-green algae, playing an important role.  They supplied the high oxygen content to the water which then precipitated the soluble iron as the insoluble </w:t>
      </w:r>
      <w:proofErr w:type="gramStart"/>
      <w:r>
        <w:rPr>
          <w:rFonts w:ascii="Book Antiqua" w:hAnsi="Book Antiqua"/>
          <w:sz w:val="20"/>
        </w:rPr>
        <w:t>Fe(</w:t>
      </w:r>
      <w:proofErr w:type="gramEnd"/>
      <w:r>
        <w:rPr>
          <w:rFonts w:ascii="Book Antiqua" w:hAnsi="Book Antiqua"/>
          <w:sz w:val="20"/>
        </w:rPr>
        <w:t xml:space="preserve">III).  Several processes by which this may occur are discussed in </w:t>
      </w:r>
      <w:r w:rsidRPr="00BD5A13">
        <w:rPr>
          <w:rFonts w:ascii="Book Antiqua" w:hAnsi="Book Antiqua"/>
          <w:i/>
          <w:sz w:val="20"/>
        </w:rPr>
        <w:t>Deposition of Banded Formations by Oxidizing Bacteria</w:t>
      </w:r>
      <w:r w:rsidRPr="00BD5A13">
        <w:rPr>
          <w:rFonts w:ascii="Book Antiqua" w:hAnsi="Book Antiqua"/>
          <w:sz w:val="20"/>
        </w:rPr>
        <w:t xml:space="preserve"> [38].</w:t>
      </w:r>
      <w:r w:rsidRPr="00F84121">
        <w:rPr>
          <w:rFonts w:ascii="Book Antiqua" w:hAnsi="Book Antiqua"/>
          <w:sz w:val="20"/>
        </w:rPr>
        <w:t xml:space="preserve"> </w:t>
      </w:r>
    </w:p>
    <w:p w:rsidR="0014236D" w:rsidRPr="00F84121" w:rsidRDefault="0014236D" w:rsidP="0014236D">
      <w:pPr>
        <w:pStyle w:val="NoSpacing"/>
        <w:jc w:val="both"/>
        <w:rPr>
          <w:rFonts w:ascii="Book Antiqua" w:hAnsi="Book Antiqua"/>
          <w:sz w:val="20"/>
        </w:rPr>
      </w:pPr>
    </w:p>
    <w:p w:rsidR="0014236D" w:rsidRPr="00923ECC" w:rsidRDefault="0014236D" w:rsidP="0014236D">
      <w:pPr>
        <w:shd w:val="clear" w:color="auto" w:fill="FFFFFF"/>
        <w:jc w:val="center"/>
        <w:rPr>
          <w:rFonts w:ascii="Book Antiqua" w:eastAsia="Times New Roman" w:hAnsi="Book Antiqua"/>
          <w:color w:val="000000"/>
        </w:rPr>
      </w:pPr>
      <w:r w:rsidRPr="00923ECC">
        <w:rPr>
          <w:rFonts w:ascii="Book Antiqua" w:eastAsia="Times New Roman" w:hAnsi="Book Antiqua"/>
          <w:noProof/>
          <w:color w:val="000000"/>
          <w:lang w:val="en-US"/>
        </w:rPr>
        <w:drawing>
          <wp:inline distT="0" distB="0" distL="0" distR="0">
            <wp:extent cx="5949606" cy="2351315"/>
            <wp:effectExtent l="19050" t="0" r="0" b="0"/>
            <wp:docPr id="982" name="Picture 2" descr="http://2.bp.blogspot.com/_2AKQ_gFjQeo/TUZoD4EDNDI/AAAAAAAAAEU/zA5aFvKRVjY/s1600/BIFphoto.png"/>
            <wp:cNvGraphicFramePr/>
            <a:graphic xmlns:a="http://schemas.openxmlformats.org/drawingml/2006/main">
              <a:graphicData uri="http://schemas.openxmlformats.org/drawingml/2006/picture">
                <pic:pic xmlns:pic="http://schemas.openxmlformats.org/drawingml/2006/picture">
                  <pic:nvPicPr>
                    <pic:cNvPr id="4" name="irc_mi" descr="http://2.bp.blogspot.com/_2AKQ_gFjQeo/TUZoD4EDNDI/AAAAAAAAAEU/zA5aFvKRVjY/s1600/BIFphoto.png"/>
                    <pic:cNvPicPr/>
                  </pic:nvPicPr>
                  <pic:blipFill>
                    <a:blip r:embed="rId1110" cstate="print"/>
                    <a:srcRect t="9061"/>
                    <a:stretch>
                      <a:fillRect/>
                    </a:stretch>
                  </pic:blipFill>
                  <pic:spPr bwMode="auto">
                    <a:xfrm>
                      <a:off x="0" y="0"/>
                      <a:ext cx="5953125" cy="2352706"/>
                    </a:xfrm>
                    <a:prstGeom prst="rect">
                      <a:avLst/>
                    </a:prstGeom>
                    <a:noFill/>
                    <a:ln w="9525">
                      <a:noFill/>
                      <a:miter lim="800000"/>
                      <a:headEnd/>
                      <a:tailEnd/>
                    </a:ln>
                  </pic:spPr>
                </pic:pic>
              </a:graphicData>
            </a:graphic>
          </wp:inline>
        </w:drawing>
      </w:r>
    </w:p>
    <w:p w:rsidR="0014236D" w:rsidRPr="00923ECC" w:rsidRDefault="0014236D" w:rsidP="0014236D">
      <w:pPr>
        <w:shd w:val="clear" w:color="auto" w:fill="FFFFFF"/>
        <w:jc w:val="both"/>
        <w:rPr>
          <w:rFonts w:ascii="Book Antiqua" w:eastAsia="Times New Roman" w:hAnsi="Book Antiqua"/>
          <w:color w:val="000000"/>
          <w:sz w:val="18"/>
          <w:szCs w:val="18"/>
        </w:rPr>
      </w:pPr>
    </w:p>
    <w:p w:rsidR="0014236D" w:rsidRPr="00923ECC" w:rsidRDefault="0014236D" w:rsidP="00FB5E64">
      <w:pPr>
        <w:shd w:val="clear" w:color="auto" w:fill="FFFFFF"/>
        <w:jc w:val="center"/>
        <w:rPr>
          <w:rFonts w:ascii="Book Antiqua" w:eastAsia="Times New Roman" w:hAnsi="Book Antiqua"/>
          <w:color w:val="000000"/>
          <w:sz w:val="18"/>
          <w:szCs w:val="18"/>
        </w:rPr>
      </w:pPr>
      <w:r w:rsidRPr="00F02364">
        <w:rPr>
          <w:rFonts w:ascii="Book Antiqua" w:eastAsia="Times New Roman" w:hAnsi="Book Antiqua"/>
          <w:b/>
          <w:i/>
          <w:color w:val="000000"/>
          <w:sz w:val="18"/>
          <w:szCs w:val="18"/>
        </w:rPr>
        <w:t>Figure 14:</w:t>
      </w:r>
      <w:r w:rsidRPr="00F02364">
        <w:rPr>
          <w:rFonts w:ascii="Book Antiqua" w:eastAsia="Times New Roman" w:hAnsi="Book Antiqua"/>
          <w:i/>
          <w:color w:val="000000"/>
          <w:sz w:val="18"/>
          <w:szCs w:val="18"/>
        </w:rPr>
        <w:t xml:space="preserve"> On</w:t>
      </w:r>
      <w:r w:rsidR="000B50E1">
        <w:rPr>
          <w:rFonts w:ascii="Book Antiqua" w:eastAsia="Times New Roman" w:hAnsi="Book Antiqua"/>
          <w:i/>
          <w:color w:val="000000"/>
          <w:sz w:val="18"/>
          <w:szCs w:val="18"/>
        </w:rPr>
        <w:t>e scenario for the formation of</w:t>
      </w:r>
      <w:r w:rsidRPr="00F02364">
        <w:rPr>
          <w:rFonts w:ascii="Book Antiqua" w:eastAsia="Times New Roman" w:hAnsi="Book Antiqua"/>
          <w:i/>
          <w:color w:val="000000"/>
          <w:sz w:val="18"/>
          <w:szCs w:val="18"/>
        </w:rPr>
        <w:t xml:space="preserve"> banded iron.</w:t>
      </w:r>
    </w:p>
    <w:p w:rsidR="0014236D" w:rsidRPr="00923ECC" w:rsidRDefault="0014236D" w:rsidP="0014236D">
      <w:pPr>
        <w:shd w:val="clear" w:color="auto" w:fill="FFFFFF"/>
        <w:jc w:val="both"/>
        <w:rPr>
          <w:rFonts w:ascii="Book Antiqua" w:eastAsia="Times New Roman" w:hAnsi="Book Antiqua"/>
          <w:color w:val="000000"/>
          <w:sz w:val="18"/>
          <w:szCs w:val="18"/>
        </w:rPr>
      </w:pPr>
    </w:p>
    <w:tbl>
      <w:tblPr>
        <w:tblStyle w:val="TableGrid"/>
        <w:tblW w:w="0" w:type="auto"/>
        <w:jc w:val="center"/>
        <w:tblLook w:val="04A0"/>
      </w:tblPr>
      <w:tblGrid>
        <w:gridCol w:w="5106"/>
        <w:gridCol w:w="5646"/>
      </w:tblGrid>
      <w:tr w:rsidR="0014236D" w:rsidRPr="00923ECC" w:rsidTr="00322CE8">
        <w:trPr>
          <w:jc w:val="center"/>
        </w:trPr>
        <w:tc>
          <w:tcPr>
            <w:tcW w:w="4360" w:type="dxa"/>
          </w:tcPr>
          <w:p w:rsidR="0014236D" w:rsidRPr="00923ECC" w:rsidRDefault="0014236D" w:rsidP="003442EA">
            <w:pPr>
              <w:jc w:val="both"/>
              <w:rPr>
                <w:rFonts w:ascii="Book Antiqua" w:hAnsi="Book Antiqua"/>
                <w:color w:val="000000"/>
              </w:rPr>
            </w:pPr>
            <w:r w:rsidRPr="00923ECC">
              <w:rPr>
                <w:rFonts w:ascii="Book Antiqua" w:hAnsi="Book Antiqua"/>
                <w:noProof/>
                <w:color w:val="000000"/>
                <w:lang w:val="en-US"/>
              </w:rPr>
              <w:drawing>
                <wp:inline distT="0" distB="0" distL="0" distR="0">
                  <wp:extent cx="3086100" cy="2886075"/>
                  <wp:effectExtent l="19050" t="0" r="0" b="0"/>
                  <wp:docPr id="983" name="Picture 4" descr="http://www.nordcee.dk/uploads/images/Full_size/AustraliaBIF.JPG"/>
                  <wp:cNvGraphicFramePr/>
                  <a:graphic xmlns:a="http://schemas.openxmlformats.org/drawingml/2006/main">
                    <a:graphicData uri="http://schemas.openxmlformats.org/drawingml/2006/picture">
                      <pic:pic xmlns:pic="http://schemas.openxmlformats.org/drawingml/2006/picture">
                        <pic:nvPicPr>
                          <pic:cNvPr id="135170" name="Picture 2" descr="http://www.nordcee.dk/uploads/images/Full_size/AustraliaBIF.JPG"/>
                          <pic:cNvPicPr>
                            <a:picLocks noChangeAspect="1" noChangeArrowheads="1"/>
                          </pic:cNvPicPr>
                        </pic:nvPicPr>
                        <pic:blipFill>
                          <a:blip r:embed="rId1111" cstate="print"/>
                          <a:srcRect l="13369"/>
                          <a:stretch>
                            <a:fillRect/>
                          </a:stretch>
                        </pic:blipFill>
                        <pic:spPr bwMode="auto">
                          <a:xfrm>
                            <a:off x="0" y="0"/>
                            <a:ext cx="3086100" cy="2886075"/>
                          </a:xfrm>
                          <a:prstGeom prst="rect">
                            <a:avLst/>
                          </a:prstGeom>
                          <a:noFill/>
                        </pic:spPr>
                      </pic:pic>
                    </a:graphicData>
                  </a:graphic>
                </wp:inline>
              </w:drawing>
            </w:r>
          </w:p>
        </w:tc>
        <w:tc>
          <w:tcPr>
            <w:tcW w:w="4360" w:type="dxa"/>
          </w:tcPr>
          <w:p w:rsidR="0014236D" w:rsidRPr="00923ECC" w:rsidRDefault="0014236D" w:rsidP="003442EA">
            <w:pPr>
              <w:jc w:val="both"/>
              <w:rPr>
                <w:rFonts w:ascii="Book Antiqua" w:hAnsi="Book Antiqua"/>
                <w:color w:val="000000"/>
              </w:rPr>
            </w:pPr>
            <w:r w:rsidRPr="00923ECC">
              <w:rPr>
                <w:rFonts w:ascii="Book Antiqua" w:hAnsi="Book Antiqua"/>
                <w:noProof/>
                <w:color w:val="000000"/>
                <w:lang w:val="en-US"/>
              </w:rPr>
              <w:drawing>
                <wp:inline distT="0" distB="0" distL="0" distR="0">
                  <wp:extent cx="3428999" cy="2886075"/>
                  <wp:effectExtent l="19050" t="0" r="1" b="0"/>
                  <wp:docPr id="984" name="Picture 3" descr="http://scienceillustrated.com.au/blog/wp-content/uploads/2011/10/BIF1.gif"/>
                  <wp:cNvGraphicFramePr/>
                  <a:graphic xmlns:a="http://schemas.openxmlformats.org/drawingml/2006/main">
                    <a:graphicData uri="http://schemas.openxmlformats.org/drawingml/2006/picture">
                      <pic:pic xmlns:pic="http://schemas.openxmlformats.org/drawingml/2006/picture">
                        <pic:nvPicPr>
                          <pic:cNvPr id="35842" name="Picture 2" descr="http://scienceillustrated.com.au/blog/wp-content/uploads/2011/10/BIF1.gif"/>
                          <pic:cNvPicPr>
                            <a:picLocks noChangeAspect="1" noChangeArrowheads="1"/>
                          </pic:cNvPicPr>
                        </pic:nvPicPr>
                        <pic:blipFill>
                          <a:blip r:embed="rId1112" cstate="print"/>
                          <a:srcRect l="8482" r="6293"/>
                          <a:stretch>
                            <a:fillRect/>
                          </a:stretch>
                        </pic:blipFill>
                        <pic:spPr bwMode="auto">
                          <a:xfrm>
                            <a:off x="0" y="0"/>
                            <a:ext cx="3430460" cy="2887304"/>
                          </a:xfrm>
                          <a:prstGeom prst="rect">
                            <a:avLst/>
                          </a:prstGeom>
                          <a:noFill/>
                        </pic:spPr>
                      </pic:pic>
                    </a:graphicData>
                  </a:graphic>
                </wp:inline>
              </w:drawing>
            </w:r>
          </w:p>
        </w:tc>
      </w:tr>
    </w:tbl>
    <w:p w:rsidR="0014236D" w:rsidRPr="00923ECC" w:rsidRDefault="0014236D" w:rsidP="0014236D">
      <w:pPr>
        <w:shd w:val="clear" w:color="auto" w:fill="FFFFFF"/>
        <w:jc w:val="both"/>
        <w:rPr>
          <w:rFonts w:ascii="Book Antiqua" w:eastAsia="Times New Roman" w:hAnsi="Book Antiqua"/>
          <w:color w:val="000000"/>
        </w:rPr>
      </w:pPr>
    </w:p>
    <w:p w:rsidR="0014236D" w:rsidRDefault="0014236D" w:rsidP="0014236D">
      <w:pPr>
        <w:shd w:val="clear" w:color="auto" w:fill="FFFFFF"/>
        <w:rPr>
          <w:rFonts w:ascii="Book Antiqua" w:eastAsia="Times New Roman" w:hAnsi="Book Antiqua"/>
          <w:i/>
          <w:color w:val="000000"/>
          <w:sz w:val="18"/>
          <w:szCs w:val="18"/>
        </w:rPr>
      </w:pPr>
      <w:r w:rsidRPr="00F02364">
        <w:rPr>
          <w:rFonts w:ascii="Book Antiqua" w:eastAsia="Times New Roman" w:hAnsi="Book Antiqua"/>
          <w:b/>
          <w:i/>
          <w:color w:val="000000"/>
          <w:sz w:val="18"/>
          <w:szCs w:val="18"/>
        </w:rPr>
        <w:t>Figure 15:</w:t>
      </w:r>
      <w:r w:rsidRPr="00F02364">
        <w:rPr>
          <w:rFonts w:ascii="Book Antiqua" w:eastAsia="Times New Roman" w:hAnsi="Book Antiqua"/>
          <w:i/>
          <w:color w:val="000000"/>
          <w:sz w:val="18"/>
          <w:szCs w:val="18"/>
        </w:rPr>
        <w:t xml:space="preserve"> Banded iron formation, Western Australia. (Left) </w:t>
      </w:r>
      <w:proofErr w:type="gramStart"/>
      <w:r w:rsidRPr="00F02364">
        <w:rPr>
          <w:rFonts w:ascii="Book Antiqua" w:eastAsia="Times New Roman" w:hAnsi="Book Antiqua"/>
          <w:i/>
          <w:color w:val="000000"/>
          <w:sz w:val="18"/>
          <w:szCs w:val="18"/>
        </w:rPr>
        <w:t>Medium scale view.</w:t>
      </w:r>
      <w:proofErr w:type="gramEnd"/>
      <w:r w:rsidRPr="00F02364">
        <w:rPr>
          <w:rFonts w:ascii="Book Antiqua" w:eastAsia="Times New Roman" w:hAnsi="Book Antiqua"/>
          <w:i/>
          <w:color w:val="000000"/>
          <w:sz w:val="18"/>
          <w:szCs w:val="18"/>
        </w:rPr>
        <w:t xml:space="preserve"> </w:t>
      </w:r>
      <w:proofErr w:type="gramStart"/>
      <w:r w:rsidRPr="00F02364">
        <w:rPr>
          <w:rFonts w:ascii="Book Antiqua" w:eastAsia="Times New Roman" w:hAnsi="Book Antiqua"/>
          <w:i/>
          <w:color w:val="000000"/>
          <w:sz w:val="18"/>
          <w:szCs w:val="18"/>
        </w:rPr>
        <w:t>(Right) smaller detail showing red iron oxide bands separated by dark layers of chert (silica).</w:t>
      </w:r>
      <w:proofErr w:type="gramEnd"/>
    </w:p>
    <w:p w:rsidR="003C71A2" w:rsidRPr="00F02364" w:rsidRDefault="003C71A2" w:rsidP="0014236D">
      <w:pPr>
        <w:shd w:val="clear" w:color="auto" w:fill="FFFFFF"/>
        <w:rPr>
          <w:rFonts w:ascii="Book Antiqua" w:eastAsia="Times New Roman" w:hAnsi="Book Antiqua"/>
          <w:i/>
          <w:color w:val="000000"/>
          <w:sz w:val="18"/>
          <w:szCs w:val="18"/>
        </w:rPr>
      </w:pPr>
    </w:p>
    <w:p w:rsidR="003C71A2" w:rsidRPr="00F84121" w:rsidRDefault="003C71A2" w:rsidP="003C71A2">
      <w:pPr>
        <w:pStyle w:val="NoSpacing"/>
        <w:ind w:firstLine="720"/>
        <w:jc w:val="both"/>
        <w:rPr>
          <w:rFonts w:ascii="Book Antiqua" w:hAnsi="Book Antiqua"/>
          <w:sz w:val="20"/>
        </w:rPr>
      </w:pPr>
      <w:r w:rsidRPr="00F84121">
        <w:rPr>
          <w:rFonts w:ascii="Book Antiqua" w:hAnsi="Book Antiqua"/>
          <w:sz w:val="20"/>
        </w:rPr>
        <w:lastRenderedPageBreak/>
        <w:t xml:space="preserve">The cyclical nature of the banded iron deposits may reflect either the diurnal tidal situation in a near-shore environment, or, alternately, the diurnal sequence of daylight and darkness which affected the bacterial production of oxygen needed for the precipitation of the iron. During the period when the bacteria lay dormant and produced little oxygen, no iron </w:t>
      </w:r>
      <w:r>
        <w:rPr>
          <w:rFonts w:ascii="Book Antiqua" w:hAnsi="Book Antiqua"/>
          <w:sz w:val="20"/>
        </w:rPr>
        <w:t>precipitated due to the lack of oxygen.  Instead,</w:t>
      </w:r>
      <w:r w:rsidRPr="00F84121">
        <w:rPr>
          <w:rFonts w:ascii="Book Antiqua" w:hAnsi="Book Antiqua"/>
          <w:sz w:val="20"/>
        </w:rPr>
        <w:t xml:space="preserve"> the silica rich solution formed layers of chert. Figure 14 illustrates one of several possible scenarios.</w:t>
      </w:r>
      <w:r>
        <w:rPr>
          <w:rFonts w:ascii="Book Antiqua" w:hAnsi="Book Antiqua"/>
          <w:sz w:val="20"/>
        </w:rPr>
        <w:t xml:space="preserve"> Figure 15 shows some banded iron formations in detail.</w:t>
      </w:r>
    </w:p>
    <w:p w:rsidR="0014236D" w:rsidRPr="00923ECC" w:rsidRDefault="0014236D" w:rsidP="0014236D">
      <w:pPr>
        <w:pStyle w:val="NormalWeb"/>
        <w:jc w:val="both"/>
        <w:rPr>
          <w:rFonts w:ascii="Book Antiqua" w:hAnsi="Book Antiqua"/>
          <w:b/>
          <w:sz w:val="20"/>
          <w:szCs w:val="20"/>
        </w:rPr>
      </w:pPr>
      <w:r>
        <w:rPr>
          <w:rFonts w:ascii="Book Antiqua" w:hAnsi="Book Antiqua"/>
          <w:b/>
          <w:sz w:val="20"/>
          <w:szCs w:val="20"/>
        </w:rPr>
        <w:t>10</w:t>
      </w:r>
      <w:r w:rsidRPr="00923ECC">
        <w:rPr>
          <w:rFonts w:ascii="Book Antiqua" w:hAnsi="Book Antiqua"/>
          <w:b/>
          <w:sz w:val="20"/>
          <w:szCs w:val="20"/>
        </w:rPr>
        <w:t>.  Summary</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The gigantism we see in fossils has always puzzled palaeontologists.  Was there something genetic going on, or was it something to do with the environment itself?  As we have examined some of this material, we have looked at environmental causes, with only a moment’s question regarding the genetics of Rubisco itself.  But it looks as though we can attribute most of what we see in the gigantism in fossils to</w:t>
      </w:r>
      <w:r>
        <w:rPr>
          <w:rFonts w:ascii="Book Antiqua" w:hAnsi="Book Antiqua"/>
          <w:sz w:val="20"/>
        </w:rPr>
        <w:t xml:space="preserve"> the</w:t>
      </w:r>
      <w:r w:rsidRPr="00923ECC">
        <w:rPr>
          <w:rFonts w:ascii="Book Antiqua" w:hAnsi="Book Antiqua"/>
          <w:sz w:val="20"/>
        </w:rPr>
        <w:t xml:space="preserve"> environmental effects of a lower Zero Point Energy.</w:t>
      </w:r>
    </w:p>
    <w:p w:rsidR="0014236D" w:rsidRPr="00923ECC" w:rsidRDefault="0014236D" w:rsidP="0014236D">
      <w:pPr>
        <w:pStyle w:val="NoSpacing"/>
        <w:jc w:val="both"/>
        <w:rPr>
          <w:rFonts w:ascii="Book Antiqua" w:hAnsi="Book Antiqua"/>
          <w:b/>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Because ZPE strength was lower in the past, the electric and magnetic properties of the vacuum were different from now. </w:t>
      </w:r>
      <w:r>
        <w:rPr>
          <w:rFonts w:ascii="Book Antiqua" w:hAnsi="Book Antiqua"/>
          <w:sz w:val="20"/>
        </w:rPr>
        <w:t>V</w:t>
      </w:r>
      <w:r w:rsidRPr="00923ECC">
        <w:rPr>
          <w:rFonts w:ascii="Book Antiqua" w:hAnsi="Book Antiqua"/>
          <w:sz w:val="20"/>
        </w:rPr>
        <w:t xml:space="preserve">oltages and currents were inherently stronger and electric and magnetic interactions were much faster.  Because </w:t>
      </w:r>
      <w:r>
        <w:rPr>
          <w:rFonts w:ascii="Book Antiqua" w:hAnsi="Book Antiqua"/>
          <w:sz w:val="20"/>
        </w:rPr>
        <w:t>many processes</w:t>
      </w:r>
      <w:r w:rsidRPr="00923ECC">
        <w:rPr>
          <w:rFonts w:ascii="Book Antiqua" w:hAnsi="Book Antiqua"/>
          <w:sz w:val="20"/>
        </w:rPr>
        <w:t xml:space="preserve"> in both plants and animals are based upon some form of electric (ion) transfers,</w:t>
      </w:r>
      <w:r>
        <w:rPr>
          <w:rFonts w:ascii="Book Antiqua" w:hAnsi="Book Antiqua"/>
          <w:sz w:val="20"/>
        </w:rPr>
        <w:t xml:space="preserve"> or bio-electro-magnetics,</w:t>
      </w:r>
      <w:r w:rsidRPr="00923ECC">
        <w:rPr>
          <w:rFonts w:ascii="Book Antiqua" w:hAnsi="Book Antiqua"/>
          <w:sz w:val="20"/>
        </w:rPr>
        <w:t xml:space="preserve"> they react to the properties of space itself, and thus to the Zero Point Energy. So when the ZPE itself was lower, the</w:t>
      </w:r>
      <w:r>
        <w:rPr>
          <w:rFonts w:ascii="Book Antiqua" w:hAnsi="Book Antiqua"/>
          <w:sz w:val="20"/>
        </w:rPr>
        <w:t>se</w:t>
      </w:r>
      <w:r w:rsidRPr="00923ECC">
        <w:rPr>
          <w:rFonts w:ascii="Book Antiqua" w:hAnsi="Book Antiqua"/>
          <w:sz w:val="20"/>
        </w:rPr>
        <w:t xml:space="preserve"> processes were both faster and more efficient.   This means that the </w:t>
      </w:r>
      <w:r w:rsidRPr="007F5F84">
        <w:rPr>
          <w:rFonts w:ascii="Book Antiqua" w:hAnsi="Book Antiqua"/>
          <w:sz w:val="20"/>
        </w:rPr>
        <w:t>possible</w:t>
      </w:r>
      <w:r>
        <w:rPr>
          <w:rFonts w:ascii="Book Antiqua" w:hAnsi="Book Antiqua"/>
          <w:color w:val="FF0000"/>
          <w:sz w:val="20"/>
        </w:rPr>
        <w:t xml:space="preserve"> </w:t>
      </w:r>
      <w:r w:rsidRPr="00923ECC">
        <w:rPr>
          <w:rFonts w:ascii="Book Antiqua" w:hAnsi="Book Antiqua"/>
          <w:sz w:val="20"/>
        </w:rPr>
        <w:t xml:space="preserve">lack of myelin on the nerves of </w:t>
      </w:r>
      <w:r>
        <w:rPr>
          <w:rFonts w:ascii="Book Antiqua" w:hAnsi="Book Antiqua"/>
          <w:sz w:val="20"/>
        </w:rPr>
        <w:t>dinosaurs</w:t>
      </w:r>
      <w:r w:rsidRPr="00923ECC">
        <w:rPr>
          <w:rFonts w:ascii="Book Antiqua" w:hAnsi="Book Antiqua"/>
          <w:sz w:val="20"/>
        </w:rPr>
        <w:t xml:space="preserve">, for instance, did not stand in the way of their continued growth, as nerve impulses were much faster </w:t>
      </w:r>
      <w:r>
        <w:rPr>
          <w:rFonts w:ascii="Book Antiqua" w:hAnsi="Book Antiqua"/>
          <w:sz w:val="20"/>
        </w:rPr>
        <w:t>because the</w:t>
      </w:r>
      <w:r w:rsidRPr="00923ECC">
        <w:rPr>
          <w:rFonts w:ascii="Book Antiqua" w:hAnsi="Book Antiqua"/>
          <w:sz w:val="20"/>
        </w:rPr>
        <w:t xml:space="preserve"> capacitances </w:t>
      </w:r>
      <w:r>
        <w:rPr>
          <w:rFonts w:ascii="Book Antiqua" w:hAnsi="Book Antiqua"/>
          <w:sz w:val="20"/>
        </w:rPr>
        <w:t xml:space="preserve">of the nerve fibers were </w:t>
      </w:r>
      <w:r w:rsidRPr="00923ECC">
        <w:rPr>
          <w:rFonts w:ascii="Book Antiqua" w:hAnsi="Book Antiqua"/>
          <w:sz w:val="20"/>
        </w:rPr>
        <w:t xml:space="preserve">proportionately lower, allowing the animal to respond quickly to stimuli.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 lower ZPE also meant there were more light photons arriving per second with lower amplitudes.  So although the overall brightness was constant, and the photon energy (color) was unchanged, photosynthesis itself was more efficient.  The outcome was that flora could grow larger and more prolifically.  Thus, while genetic factors may also have been involved, there is strong evidence that it was the environment itself which was primarily responsible for the gigantism we see in the fossil record. </w:t>
      </w:r>
    </w:p>
    <w:p w:rsidR="0014236D" w:rsidRPr="00923ECC" w:rsidRDefault="0014236D" w:rsidP="0014236D">
      <w:pPr>
        <w:pStyle w:val="NoSpacing"/>
        <w:jc w:val="both"/>
        <w:rPr>
          <w:rFonts w:ascii="Book Antiqua" w:hAnsi="Book Antiqua"/>
          <w:sz w:val="20"/>
        </w:rPr>
      </w:pPr>
    </w:p>
    <w:p w:rsidR="0014236D" w:rsidRDefault="0014236D" w:rsidP="0014236D">
      <w:pPr>
        <w:pStyle w:val="NoSpacing"/>
        <w:ind w:firstLine="720"/>
        <w:jc w:val="both"/>
        <w:rPr>
          <w:rFonts w:ascii="Book Antiqua" w:hAnsi="Book Antiqua"/>
          <w:sz w:val="20"/>
        </w:rPr>
      </w:pPr>
      <w:r w:rsidRPr="00923ECC">
        <w:rPr>
          <w:rFonts w:ascii="Book Antiqua" w:hAnsi="Book Antiqua"/>
          <w:sz w:val="20"/>
        </w:rPr>
        <w:t xml:space="preserve">The final point that has been noted, with photosynthesis being more efficient, has other implications for the fossil record. The rate of growth of stromatolites and coral reefs is expected to </w:t>
      </w:r>
      <w:r>
        <w:rPr>
          <w:rFonts w:ascii="Book Antiqua" w:hAnsi="Book Antiqua"/>
          <w:sz w:val="20"/>
        </w:rPr>
        <w:t>have been</w:t>
      </w:r>
      <w:r w:rsidRPr="00923ECC">
        <w:rPr>
          <w:rFonts w:ascii="Book Antiqua" w:hAnsi="Book Antiqua"/>
          <w:sz w:val="20"/>
        </w:rPr>
        <w:t xml:space="preserve"> faster with lower ZPE strengths. </w:t>
      </w:r>
      <w:r>
        <w:rPr>
          <w:rFonts w:ascii="Book Antiqua" w:hAnsi="Book Antiqua"/>
          <w:sz w:val="20"/>
        </w:rPr>
        <w:t>T</w:t>
      </w:r>
      <w:r w:rsidRPr="00923ECC">
        <w:rPr>
          <w:rFonts w:ascii="Book Antiqua" w:hAnsi="Book Antiqua"/>
          <w:sz w:val="20"/>
        </w:rPr>
        <w:t xml:space="preserve">he </w:t>
      </w:r>
      <w:proofErr w:type="gramStart"/>
      <w:r w:rsidRPr="00923ECC">
        <w:rPr>
          <w:rFonts w:ascii="Book Antiqua" w:hAnsi="Book Antiqua"/>
          <w:sz w:val="20"/>
        </w:rPr>
        <w:t>coccolithophores</w:t>
      </w:r>
      <w:proofErr w:type="gramEnd"/>
      <w:r w:rsidRPr="00923ECC">
        <w:rPr>
          <w:rFonts w:ascii="Book Antiqua" w:hAnsi="Book Antiqua"/>
          <w:sz w:val="20"/>
        </w:rPr>
        <w:t xml:space="preserve"> from which chalk beds are built up, were also simple photosynthesizers, </w:t>
      </w:r>
      <w:r>
        <w:rPr>
          <w:rFonts w:ascii="Book Antiqua" w:hAnsi="Book Antiqua"/>
          <w:sz w:val="20"/>
        </w:rPr>
        <w:t>which means</w:t>
      </w:r>
      <w:r w:rsidRPr="00923ECC">
        <w:rPr>
          <w:rFonts w:ascii="Book Antiqua" w:hAnsi="Book Antiqua"/>
          <w:sz w:val="20"/>
        </w:rPr>
        <w:t xml:space="preserve"> that they proliferated more rapidly. </w:t>
      </w:r>
      <w:r>
        <w:rPr>
          <w:rFonts w:ascii="Book Antiqua" w:hAnsi="Book Antiqua"/>
          <w:sz w:val="20"/>
        </w:rPr>
        <w:t xml:space="preserve">The rapid photosynthesis of blue-green algae and other bacteria also helps explain the Oklo phenomena as well as the deposition of the banded iron formations. </w:t>
      </w:r>
      <w:r w:rsidRPr="00923ECC">
        <w:rPr>
          <w:rFonts w:ascii="Book Antiqua" w:hAnsi="Book Antiqua"/>
          <w:sz w:val="20"/>
        </w:rPr>
        <w:t xml:space="preserve">These developments require a re-assessment of the time taken to form some important features in the geological column. </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Els-body-text"/>
        <w:ind w:firstLine="0"/>
        <w:jc w:val="left"/>
        <w:rPr>
          <w:rFonts w:ascii="Book Antiqua" w:hAnsi="Book Antiqua"/>
          <w:b/>
        </w:rPr>
      </w:pPr>
      <w:r w:rsidRPr="00923ECC">
        <w:rPr>
          <w:rFonts w:ascii="Book Antiqua" w:hAnsi="Book Antiqua"/>
          <w:b/>
        </w:rPr>
        <w:t>References</w:t>
      </w:r>
    </w:p>
    <w:p w:rsidR="0014236D" w:rsidRPr="00923ECC" w:rsidRDefault="0014236D" w:rsidP="0014236D">
      <w:pPr>
        <w:pStyle w:val="Els-body-text"/>
        <w:jc w:val="left"/>
        <w:rPr>
          <w:rFonts w:ascii="Book Antiqua" w:hAnsi="Book Antiqua"/>
        </w:rPr>
      </w:pP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 M. E. White, </w:t>
      </w:r>
      <w:r w:rsidRPr="00923ECC">
        <w:rPr>
          <w:rFonts w:ascii="Book Antiqua" w:hAnsi="Book Antiqua"/>
          <w:i/>
          <w:sz w:val="16"/>
          <w:szCs w:val="16"/>
        </w:rPr>
        <w:t>The Greening of Gondwana,</w:t>
      </w:r>
      <w:r w:rsidRPr="00923ECC">
        <w:rPr>
          <w:rFonts w:ascii="Book Antiqua" w:hAnsi="Book Antiqua"/>
          <w:sz w:val="16"/>
          <w:szCs w:val="16"/>
        </w:rPr>
        <w:t xml:space="preserve"> p.75, Reed Books</w:t>
      </w:r>
      <w:proofErr w:type="gramStart"/>
      <w:r w:rsidRPr="00923ECC">
        <w:rPr>
          <w:rFonts w:ascii="Book Antiqua" w:hAnsi="Book Antiqua"/>
          <w:sz w:val="16"/>
          <w:szCs w:val="16"/>
        </w:rPr>
        <w:t>,  Australia</w:t>
      </w:r>
      <w:proofErr w:type="gramEnd"/>
      <w:r w:rsidRPr="00923ECC">
        <w:rPr>
          <w:rFonts w:ascii="Book Antiqua" w:hAnsi="Book Antiqua"/>
          <w:sz w:val="16"/>
          <w:szCs w:val="16"/>
        </w:rPr>
        <w:t>, 1988.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 A. Dimech, "</w:t>
      </w:r>
      <w:r w:rsidRPr="00923ECC">
        <w:rPr>
          <w:rFonts w:ascii="Book Antiqua" w:hAnsi="Book Antiqua"/>
          <w:i/>
          <w:sz w:val="16"/>
          <w:szCs w:val="16"/>
        </w:rPr>
        <w:t>The Mega Clubmoss Flora"</w:t>
      </w:r>
      <w:r w:rsidRPr="00923ECC">
        <w:rPr>
          <w:rFonts w:ascii="Book Antiqua" w:hAnsi="Book Antiqua"/>
          <w:sz w:val="16"/>
          <w:szCs w:val="16"/>
        </w:rPr>
        <w:t>, Plant Evolution Tour Part VI, at:</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13" w:history="1">
        <w:r w:rsidRPr="00923ECC">
          <w:rPr>
            <w:rStyle w:val="Hyperlink"/>
            <w:rFonts w:ascii="Book Antiqua" w:hAnsi="Book Antiqua"/>
            <w:i/>
            <w:szCs w:val="16"/>
          </w:rPr>
          <w:t>http://www.adonline.id.au/plantevol/tour/mega-clubmoss-flora.php</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 R. Khamsi, “Giant Claw Points to Monster Sea Scorpion,” </w:t>
      </w:r>
      <w:r w:rsidRPr="00923ECC">
        <w:rPr>
          <w:rFonts w:ascii="Book Antiqua" w:hAnsi="Book Antiqua"/>
          <w:i/>
          <w:sz w:val="16"/>
          <w:szCs w:val="16"/>
        </w:rPr>
        <w:t>New Scientist</w:t>
      </w:r>
      <w:r w:rsidRPr="00923ECC">
        <w:rPr>
          <w:rFonts w:ascii="Book Antiqua" w:hAnsi="Book Antiqua"/>
          <w:sz w:val="16"/>
          <w:szCs w:val="16"/>
        </w:rPr>
        <w:t xml:space="preserve">, 21 </w:t>
      </w:r>
      <w:proofErr w:type="gramStart"/>
      <w:r w:rsidRPr="00923ECC">
        <w:rPr>
          <w:rFonts w:ascii="Book Antiqua" w:hAnsi="Book Antiqua"/>
          <w:sz w:val="16"/>
          <w:szCs w:val="16"/>
        </w:rPr>
        <w:t>November ,</w:t>
      </w:r>
      <w:proofErr w:type="gramEnd"/>
      <w:r w:rsidRPr="00923ECC">
        <w:rPr>
          <w:rFonts w:ascii="Book Antiqua" w:hAnsi="Book Antiqua"/>
          <w:sz w:val="16"/>
          <w:szCs w:val="16"/>
        </w:rPr>
        <w:t xml:space="preserve"> 2007, online at: </w:t>
      </w:r>
      <w:hyperlink r:id="rId1114" w:history="1">
        <w:r w:rsidRPr="00923ECC">
          <w:rPr>
            <w:rStyle w:val="Hyperlink"/>
            <w:rFonts w:ascii="Book Antiqua" w:hAnsi="Book Antiqua"/>
            <w:i/>
            <w:szCs w:val="16"/>
          </w:rPr>
          <w:t>http://www.newscientist.com/article/dn12941-giant-claw-points-to-%20monster-sea-scorpion.html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[4] S. J. Braddy et al., </w:t>
      </w:r>
      <w:r w:rsidRPr="00923ECC">
        <w:rPr>
          <w:rFonts w:ascii="Book Antiqua" w:hAnsi="Book Antiqua"/>
          <w:i/>
          <w:sz w:val="16"/>
          <w:szCs w:val="16"/>
        </w:rPr>
        <w:t>Biology Letters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 xml:space="preserve">:1, pp.106-109, (23 Feb. 2008) at: </w:t>
      </w:r>
      <w:hyperlink r:id="rId1115" w:tgtFrame="ns" w:history="1">
        <w:r w:rsidRPr="00923ECC">
          <w:rPr>
            <w:rStyle w:val="Hyperlink"/>
            <w:rFonts w:ascii="Book Antiqua" w:hAnsi="Book Antiqua"/>
            <w:i/>
            <w:iCs/>
            <w:szCs w:val="16"/>
          </w:rPr>
          <w:t>Biology Letters</w:t>
        </w:r>
        <w:r w:rsidRPr="00923ECC">
          <w:rPr>
            <w:rStyle w:val="Hyperlink"/>
            <w:rFonts w:ascii="Book Antiqua" w:hAnsi="Book Antiqua"/>
            <w:szCs w:val="16"/>
          </w:rPr>
          <w:t xml:space="preserve"> (DOI: 10.1098/rsbl.2007.0491)</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[5] O. E. Tetlie, “390 Million Year Old Scorpion Fossil – Biggest Bug Known,” </w:t>
      </w:r>
      <w:r w:rsidRPr="00923ECC">
        <w:rPr>
          <w:rFonts w:ascii="Book Antiqua" w:hAnsi="Book Antiqua"/>
          <w:i/>
          <w:sz w:val="16"/>
          <w:szCs w:val="16"/>
        </w:rPr>
        <w:t>Yale News</w:t>
      </w:r>
      <w:r w:rsidRPr="00923ECC">
        <w:rPr>
          <w:rFonts w:ascii="Book Antiqua" w:hAnsi="Book Antiqua"/>
          <w:sz w:val="16"/>
          <w:szCs w:val="16"/>
        </w:rPr>
        <w:t>, Nov. 21, 2007 from:</w:t>
      </w:r>
    </w:p>
    <w:p w:rsidR="0014236D" w:rsidRPr="00923ECC" w:rsidRDefault="00241D2F" w:rsidP="0014236D">
      <w:pPr>
        <w:pStyle w:val="NoSpacing"/>
        <w:rPr>
          <w:rFonts w:ascii="Book Antiqua" w:hAnsi="Book Antiqua"/>
          <w:sz w:val="16"/>
          <w:szCs w:val="16"/>
        </w:rPr>
      </w:pPr>
      <w:hyperlink r:id="rId1116" w:history="1">
        <w:r w:rsidR="0014236D" w:rsidRPr="00923ECC">
          <w:rPr>
            <w:rStyle w:val="Hyperlink"/>
            <w:rFonts w:ascii="Book Antiqua" w:hAnsi="Book Antiqua"/>
            <w:i/>
            <w:szCs w:val="16"/>
          </w:rPr>
          <w:t>opa.yale.edu/news/article.aspx?id=2010</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[6] D. Huang et al, “Diverse transitional giant fleas from the Mesozoic of China,” Letter to </w:t>
      </w:r>
      <w:r w:rsidRPr="00923ECC">
        <w:rPr>
          <w:rFonts w:ascii="Book Antiqua" w:hAnsi="Book Antiqua"/>
          <w:i/>
          <w:sz w:val="16"/>
          <w:szCs w:val="16"/>
        </w:rPr>
        <w:t>Nature</w:t>
      </w:r>
      <w:r w:rsidRPr="00923ECC">
        <w:rPr>
          <w:rFonts w:ascii="Book Antiqua" w:hAnsi="Book Antiqua"/>
          <w:sz w:val="16"/>
          <w:szCs w:val="16"/>
        </w:rPr>
        <w:t>, 29</w:t>
      </w:r>
      <w:r w:rsidRPr="00923ECC">
        <w:rPr>
          <w:rFonts w:ascii="Book Antiqua" w:hAnsi="Book Antiqua"/>
          <w:sz w:val="16"/>
          <w:szCs w:val="16"/>
          <w:vertAlign w:val="superscript"/>
        </w:rPr>
        <w:t>th</w:t>
      </w:r>
      <w:r w:rsidRPr="00923ECC">
        <w:rPr>
          <w:rFonts w:ascii="Book Antiqua" w:hAnsi="Book Antiqua"/>
          <w:sz w:val="16"/>
          <w:szCs w:val="16"/>
        </w:rPr>
        <w:t xml:space="preserve"> February, 2012, doi:</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proofErr w:type="gramStart"/>
      <w:r w:rsidRPr="00923ECC">
        <w:rPr>
          <w:rFonts w:ascii="Book Antiqua" w:hAnsi="Book Antiqua"/>
          <w:sz w:val="16"/>
          <w:szCs w:val="16"/>
        </w:rPr>
        <w:t>10.1038/nature10839, and New Scientist, p.18, 3 March, 2012.</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[7] G. J. Prideaux et al., “Mammalian responses to Pleistocene climate change in south eastern Australia,” </w:t>
      </w:r>
      <w:r w:rsidRPr="00923ECC">
        <w:rPr>
          <w:rFonts w:ascii="Book Antiqua" w:hAnsi="Book Antiqua"/>
          <w:i/>
          <w:sz w:val="16"/>
          <w:szCs w:val="16"/>
        </w:rPr>
        <w:t>Geology</w:t>
      </w:r>
      <w:r w:rsidRPr="00923ECC">
        <w:rPr>
          <w:rFonts w:ascii="Book Antiqua" w:hAnsi="Book Antiqua"/>
          <w:sz w:val="16"/>
          <w:szCs w:val="16"/>
        </w:rPr>
        <w:t xml:space="preserve">, doi. 1130/G23070A.1 </w:t>
      </w:r>
      <w:hyperlink r:id="rId1117" w:history="1">
        <w:r w:rsidRPr="00923ECC">
          <w:rPr>
            <w:rStyle w:val="Hyperlink"/>
            <w:rFonts w:ascii="Book Antiqua" w:hAnsi="Book Antiqua"/>
            <w:i/>
            <w:szCs w:val="16"/>
          </w:rPr>
          <w:t>http://www.msnbc.msn.com/id/16359687/from/RS.5/</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[8] D. Colman, “Body Size </w:t>
      </w:r>
      <w:proofErr w:type="gramStart"/>
      <w:r w:rsidRPr="00923ECC">
        <w:rPr>
          <w:rFonts w:ascii="Book Antiqua" w:hAnsi="Book Antiqua"/>
          <w:sz w:val="16"/>
          <w:szCs w:val="16"/>
        </w:rPr>
        <w:t>In</w:t>
      </w:r>
      <w:proofErr w:type="gramEnd"/>
      <w:r w:rsidRPr="00923ECC">
        <w:rPr>
          <w:rFonts w:ascii="Book Antiqua" w:hAnsi="Book Antiqua"/>
          <w:sz w:val="16"/>
          <w:szCs w:val="16"/>
        </w:rPr>
        <w:t xml:space="preserve"> Herbivorous Dinosaurs,” </w:t>
      </w:r>
    </w:p>
    <w:p w:rsidR="0014236D" w:rsidRPr="00923ECC" w:rsidRDefault="00241D2F" w:rsidP="0014236D">
      <w:pPr>
        <w:pStyle w:val="NoSpacing"/>
        <w:rPr>
          <w:rFonts w:ascii="Book Antiqua" w:hAnsi="Book Antiqua"/>
          <w:i/>
          <w:sz w:val="16"/>
          <w:szCs w:val="16"/>
        </w:rPr>
      </w:pPr>
      <w:hyperlink r:id="rId1118" w:history="1">
        <w:r w:rsidR="0014236D" w:rsidRPr="00923ECC">
          <w:rPr>
            <w:rStyle w:val="Hyperlink"/>
            <w:rFonts w:ascii="Book Antiqua" w:hAnsi="Book Antiqua"/>
            <w:i/>
            <w:szCs w:val="16"/>
          </w:rPr>
          <w:t>http://www.mni.mcgill.ca/media/publications/neuroscienceletter/june09/colman/</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[9] A. S. Hill et al. </w:t>
      </w:r>
      <w:r w:rsidRPr="00923ECC">
        <w:rPr>
          <w:rFonts w:ascii="Book Antiqua" w:hAnsi="Book Antiqua"/>
          <w:i/>
          <w:sz w:val="16"/>
          <w:szCs w:val="16"/>
        </w:rPr>
        <w:t>PLOS Genetics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:12 (December 2008).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[10] B. Zalc, D. Goujet, D. Colman, “The Origin of the Myelination</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Program in Vertebrates,” </w:t>
      </w:r>
      <w:r w:rsidRPr="00923ECC">
        <w:rPr>
          <w:rFonts w:ascii="Book Antiqua" w:hAnsi="Book Antiqua"/>
          <w:i/>
          <w:sz w:val="16"/>
          <w:szCs w:val="16"/>
        </w:rPr>
        <w:t>Current Biology</w:t>
      </w:r>
      <w:r w:rsidRPr="00923ECC">
        <w:rPr>
          <w:rFonts w:ascii="Book Antiqua" w:hAnsi="Book Antiqua"/>
          <w:b/>
          <w:sz w:val="16"/>
          <w:szCs w:val="16"/>
        </w:rPr>
        <w:t xml:space="preserve"> 18</w:t>
      </w:r>
      <w:r w:rsidRPr="00923ECC">
        <w:rPr>
          <w:rFonts w:ascii="Book Antiqua" w:hAnsi="Book Antiqua"/>
          <w:sz w:val="16"/>
          <w:szCs w:val="16"/>
        </w:rPr>
        <w:t>:12 (24 June, 2008), pp. R511-R512.</w:t>
      </w:r>
      <w:proofErr w:type="gramEnd"/>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[11] J. Malmivuo and R. Plonsey, </w:t>
      </w:r>
      <w:r w:rsidRPr="00923ECC">
        <w:rPr>
          <w:rFonts w:ascii="Book Antiqua" w:hAnsi="Book Antiqua"/>
          <w:i/>
          <w:sz w:val="16"/>
          <w:szCs w:val="16"/>
        </w:rPr>
        <w:t>Bioelectromagnetism,</w:t>
      </w:r>
      <w:r w:rsidRPr="00923ECC">
        <w:rPr>
          <w:rFonts w:ascii="Book Antiqua" w:hAnsi="Book Antiqua"/>
          <w:sz w:val="16"/>
          <w:szCs w:val="16"/>
        </w:rPr>
        <w:t xml:space="preserve"> pp. 33, 39, 42, (Oxford University Press, New York, 1995).</w:t>
      </w:r>
      <w:proofErr w:type="gramEnd"/>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[12] B. Setterfield, </w:t>
      </w:r>
      <w:r w:rsidRPr="00923ECC">
        <w:rPr>
          <w:rFonts w:ascii="Book Antiqua" w:hAnsi="Book Antiqua"/>
          <w:color w:val="C00000"/>
          <w:sz w:val="16"/>
          <w:szCs w:val="16"/>
        </w:rPr>
        <w:t>"</w:t>
      </w:r>
      <w:r w:rsidRPr="00923ECC">
        <w:rPr>
          <w:rFonts w:ascii="Book Antiqua" w:hAnsi="Book Antiqua"/>
          <w:sz w:val="16"/>
          <w:szCs w:val="16"/>
        </w:rPr>
        <w:t xml:space="preserve">Reviewing a Plasma Universe with Zero Point Energy," </w:t>
      </w:r>
      <w:r w:rsidRPr="00923ECC">
        <w:rPr>
          <w:rFonts w:ascii="Book Antiqua" w:hAnsi="Book Antiqua"/>
          <w:i/>
          <w:sz w:val="16"/>
          <w:szCs w:val="16"/>
        </w:rPr>
        <w:t>Journal of Vectorial Relativity</w:t>
      </w:r>
      <w:r w:rsidRPr="00923ECC">
        <w:rPr>
          <w:rFonts w:ascii="Book Antiqua" w:hAnsi="Book Antiqua"/>
          <w:sz w:val="16"/>
          <w:szCs w:val="16"/>
        </w:rPr>
        <w:t>,</w:t>
      </w:r>
      <w:r w:rsidRPr="00923ECC">
        <w:rPr>
          <w:rFonts w:ascii="Book Antiqua" w:hAnsi="Book Antiqua"/>
          <w:b/>
          <w:sz w:val="16"/>
          <w:szCs w:val="16"/>
        </w:rPr>
        <w:t xml:space="preserve"> 3</w:t>
      </w:r>
      <w:r w:rsidRPr="00923ECC">
        <w:rPr>
          <w:rFonts w:ascii="Book Antiqua" w:hAnsi="Book Antiqua"/>
          <w:sz w:val="16"/>
          <w:szCs w:val="16"/>
        </w:rPr>
        <w:t>(3), pp. 1-29 (Sept. 2008).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lastRenderedPageBreak/>
        <w:t>[13] B. Setterfield, “Reviewing the Zero Point Energy,”</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2 </w:t>
      </w:r>
      <w:r w:rsidRPr="00923ECC">
        <w:rPr>
          <w:rFonts w:ascii="Book Antiqua" w:hAnsi="Book Antiqua"/>
          <w:sz w:val="16"/>
          <w:szCs w:val="16"/>
        </w:rPr>
        <w:t>(3), pp. 1-28, (Sept. 2007).</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[14] B. Setterfield, “Quantized Redshifts and the Zero Point Energy,” </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3 </w:t>
      </w:r>
      <w:r w:rsidRPr="00923ECC">
        <w:rPr>
          <w:rFonts w:ascii="Book Antiqua" w:hAnsi="Book Antiqua"/>
          <w:sz w:val="16"/>
          <w:szCs w:val="16"/>
        </w:rPr>
        <w:t>(4), pp.1-32, (Dec. 2008).</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[15] B. Setterfield, “Zero Point Energy and the Redshift,” </w:t>
      </w:r>
      <w:r w:rsidRPr="00923ECC">
        <w:rPr>
          <w:rFonts w:ascii="Book Antiqua" w:hAnsi="Book Antiqua"/>
          <w:i/>
          <w:sz w:val="16"/>
          <w:szCs w:val="16"/>
        </w:rPr>
        <w:t>Proceedings</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i/>
          <w:sz w:val="16"/>
          <w:szCs w:val="16"/>
        </w:rPr>
        <w:t>of</w:t>
      </w:r>
      <w:proofErr w:type="gramEnd"/>
      <w:r w:rsidRPr="00923ECC">
        <w:rPr>
          <w:rFonts w:ascii="Book Antiqua" w:hAnsi="Book Antiqua"/>
          <w:i/>
          <w:sz w:val="16"/>
          <w:szCs w:val="16"/>
        </w:rPr>
        <w:t xml:space="preserve"> the Natural Philosophy Alliance </w:t>
      </w:r>
      <w:r w:rsidRPr="00923ECC">
        <w:rPr>
          <w:rFonts w:ascii="Book Antiqua" w:hAnsi="Book Antiqua"/>
          <w:sz w:val="16"/>
          <w:szCs w:val="16"/>
        </w:rPr>
        <w:t>17th Conf. Vol.</w:t>
      </w:r>
      <w:r w:rsidRPr="00923ECC">
        <w:rPr>
          <w:rFonts w:ascii="Book Antiqua" w:hAnsi="Book Antiqua"/>
          <w:b/>
          <w:sz w:val="16"/>
          <w:szCs w:val="16"/>
        </w:rPr>
        <w:t xml:space="preserve"> 7</w:t>
      </w:r>
      <w:r w:rsidRPr="00923ECC">
        <w:rPr>
          <w:rFonts w:ascii="Book Antiqua" w:hAnsi="Book Antiqua"/>
          <w:sz w:val="16"/>
          <w:szCs w:val="16"/>
        </w:rPr>
        <w:t>, pp.518-527, (2010.</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[16] R. F. Stewart and B. M. Craven, </w:t>
      </w:r>
      <w:r w:rsidRPr="00923ECC">
        <w:rPr>
          <w:rFonts w:ascii="Book Antiqua" w:hAnsi="Book Antiqua"/>
          <w:i/>
          <w:sz w:val="16"/>
          <w:szCs w:val="16"/>
        </w:rPr>
        <w:t>Biophysical Journal</w:t>
      </w:r>
      <w:r w:rsidRPr="00923ECC">
        <w:rPr>
          <w:rFonts w:ascii="Book Antiqua" w:hAnsi="Book Antiqua"/>
          <w:sz w:val="16"/>
          <w:szCs w:val="16"/>
        </w:rPr>
        <w:t xml:space="preserve">, </w:t>
      </w:r>
      <w:r w:rsidRPr="00923ECC">
        <w:rPr>
          <w:rFonts w:ascii="Book Antiqua" w:hAnsi="Book Antiqua"/>
          <w:b/>
          <w:sz w:val="16"/>
          <w:szCs w:val="16"/>
        </w:rPr>
        <w:t>65</w:t>
      </w:r>
      <w:r w:rsidRPr="00923ECC">
        <w:rPr>
          <w:rFonts w:ascii="Book Antiqua" w:hAnsi="Book Antiqua"/>
          <w:sz w:val="16"/>
          <w:szCs w:val="16"/>
        </w:rPr>
        <w:t xml:space="preserve"> (3), pp. 998-1005, (September 1993).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[17] T. Shikata and K. Hashimoto, </w:t>
      </w:r>
      <w:r w:rsidRPr="00923ECC">
        <w:rPr>
          <w:rFonts w:ascii="Book Antiqua" w:hAnsi="Book Antiqua"/>
          <w:i/>
          <w:sz w:val="16"/>
          <w:szCs w:val="16"/>
        </w:rPr>
        <w:t>Journal of Physical Chemistry B</w:t>
      </w:r>
      <w:r w:rsidRPr="00923ECC">
        <w:rPr>
          <w:rFonts w:ascii="Book Antiqua" w:hAnsi="Book Antiqua"/>
          <w:sz w:val="16"/>
          <w:szCs w:val="16"/>
        </w:rPr>
        <w:t>,</w:t>
      </w:r>
      <w:r w:rsidRPr="00923ECC">
        <w:rPr>
          <w:rFonts w:ascii="Book Antiqua" w:hAnsi="Book Antiqua"/>
          <w:b/>
          <w:sz w:val="16"/>
          <w:szCs w:val="16"/>
        </w:rPr>
        <w:t>107</w:t>
      </w:r>
      <w:r w:rsidRPr="00923ECC">
        <w:rPr>
          <w:rFonts w:ascii="Book Antiqua" w:hAnsi="Book Antiqua"/>
          <w:sz w:val="16"/>
          <w:szCs w:val="16"/>
        </w:rPr>
        <w:t>:33, pp. 8701-8705, (2003).</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[18] P. Kovacic, R. Posos, and C D Draskovich, </w:t>
      </w:r>
      <w:r w:rsidRPr="00923ECC">
        <w:rPr>
          <w:rFonts w:ascii="Book Antiqua" w:hAnsi="Book Antiqua"/>
          <w:i/>
          <w:sz w:val="16"/>
          <w:szCs w:val="16"/>
        </w:rPr>
        <w:t xml:space="preserve">Journal of Receptors and Signal Transduction </w:t>
      </w:r>
      <w:r w:rsidRPr="00923ECC">
        <w:rPr>
          <w:rFonts w:ascii="Book Antiqua" w:hAnsi="Book Antiqua"/>
          <w:b/>
          <w:sz w:val="16"/>
          <w:szCs w:val="16"/>
        </w:rPr>
        <w:t>27</w:t>
      </w:r>
      <w:r w:rsidRPr="00923ECC">
        <w:rPr>
          <w:rFonts w:ascii="Book Antiqua" w:hAnsi="Book Antiqua"/>
          <w:sz w:val="16"/>
          <w:szCs w:val="16"/>
        </w:rPr>
        <w:t xml:space="preserve">:5-6, pp. 411-431, (2007).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[19] T. Norman, B. Setterfield, </w:t>
      </w:r>
      <w:r w:rsidRPr="00923ECC">
        <w:rPr>
          <w:rFonts w:ascii="Book Antiqua" w:hAnsi="Book Antiqua"/>
          <w:i/>
          <w:sz w:val="16"/>
          <w:szCs w:val="16"/>
        </w:rPr>
        <w:t>Atomic Constants, Light and Time</w:t>
      </w:r>
      <w:r w:rsidRPr="00923ECC">
        <w:rPr>
          <w:rFonts w:ascii="Book Antiqua" w:hAnsi="Book Antiqua"/>
          <w:sz w:val="16"/>
          <w:szCs w:val="16"/>
        </w:rPr>
        <w:t>, a Report for SRI International &amp; Flinders University, August 1987.</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[20] A. Montgomery, L. Dolphin, </w:t>
      </w:r>
      <w:r w:rsidRPr="00923ECC">
        <w:rPr>
          <w:rFonts w:ascii="Book Antiqua" w:hAnsi="Book Antiqua"/>
          <w:i/>
          <w:sz w:val="16"/>
          <w:szCs w:val="16"/>
        </w:rPr>
        <w:t>Galilean Electrodynamics</w:t>
      </w:r>
      <w:r w:rsidRPr="00923ECC">
        <w:rPr>
          <w:rFonts w:ascii="Book Antiqua" w:hAnsi="Book Antiqua"/>
          <w:sz w:val="16"/>
          <w:szCs w:val="16"/>
        </w:rPr>
        <w:t xml:space="preserve"> </w:t>
      </w:r>
      <w:r w:rsidRPr="00923ECC">
        <w:rPr>
          <w:rFonts w:ascii="Book Antiqua" w:hAnsi="Book Antiqua"/>
          <w:b/>
          <w:sz w:val="16"/>
          <w:szCs w:val="16"/>
        </w:rPr>
        <w:t xml:space="preserve">4 </w:t>
      </w:r>
      <w:r w:rsidRPr="00923ECC">
        <w:rPr>
          <w:rFonts w:ascii="Book Antiqua" w:hAnsi="Book Antiqua"/>
          <w:sz w:val="16"/>
          <w:szCs w:val="16"/>
        </w:rPr>
        <w:t>(5), pp. 93ff, (1993).</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[21] B. Setterfield, “Radiant Energy Emission,” at </w:t>
      </w:r>
      <w:hyperlink r:id="rId1119" w:history="1">
        <w:r w:rsidRPr="00923ECC">
          <w:rPr>
            <w:rStyle w:val="Hyperlink"/>
            <w:rFonts w:ascii="Book Antiqua" w:hAnsi="Book Antiqua"/>
            <w:i/>
            <w:szCs w:val="16"/>
          </w:rPr>
          <w:t>http://www.setterfield.org/000docs/behaviorzpeapp2.html</w:t>
        </w:r>
      </w:hyperlink>
      <w:r w:rsidRPr="00923ECC">
        <w:rPr>
          <w:rFonts w:ascii="Book Antiqua" w:hAnsi="Book Antiqua"/>
          <w:i/>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[22] F. A. Jenkins and H. E. White, </w:t>
      </w:r>
      <w:r w:rsidRPr="00923ECC">
        <w:rPr>
          <w:rFonts w:ascii="Book Antiqua" w:hAnsi="Book Antiqua"/>
          <w:i/>
          <w:sz w:val="16"/>
          <w:szCs w:val="16"/>
        </w:rPr>
        <w:t>Fundamentals of Optics</w:t>
      </w:r>
      <w:r w:rsidRPr="00923ECC">
        <w:rPr>
          <w:rFonts w:ascii="Book Antiqua" w:hAnsi="Book Antiqua"/>
          <w:sz w:val="16"/>
          <w:szCs w:val="16"/>
        </w:rPr>
        <w:t>, pp. 414, 481, McGraw-Hill, New York, 1957</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[23] W. Vermaas, “An Introduction to Photosynthesis and Its Applications,”</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20" w:history="1">
        <w:r w:rsidRPr="00923ECC">
          <w:rPr>
            <w:rStyle w:val="Hyperlink"/>
            <w:rFonts w:ascii="Book Antiqua" w:hAnsi="Book Antiqua"/>
            <w:i/>
            <w:szCs w:val="16"/>
          </w:rPr>
          <w:t>http://bioenergy.asu.edu/photosyn/education/photointro.html</w:t>
        </w:r>
      </w:hyperlink>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[24] M. Tada, M. Shiroishi, </w:t>
      </w:r>
      <w:r w:rsidRPr="00923ECC">
        <w:rPr>
          <w:rFonts w:ascii="Book Antiqua" w:hAnsi="Book Antiqua"/>
          <w:i/>
          <w:sz w:val="16"/>
          <w:szCs w:val="16"/>
        </w:rPr>
        <w:t>Plant and Cell Physiology</w:t>
      </w:r>
      <w:r w:rsidRPr="00923ECC">
        <w:rPr>
          <w:rFonts w:ascii="Book Antiqua" w:hAnsi="Book Antiqua"/>
          <w:sz w:val="16"/>
          <w:szCs w:val="16"/>
        </w:rPr>
        <w:t xml:space="preserve">, </w:t>
      </w:r>
      <w:r w:rsidRPr="00923ECC">
        <w:rPr>
          <w:rFonts w:ascii="Book Antiqua" w:hAnsi="Book Antiqua"/>
          <w:b/>
          <w:sz w:val="16"/>
          <w:szCs w:val="16"/>
        </w:rPr>
        <w:t>23</w:t>
      </w:r>
      <w:r w:rsidRPr="00923ECC">
        <w:rPr>
          <w:rFonts w:ascii="Book Antiqua" w:hAnsi="Book Antiqua"/>
          <w:sz w:val="16"/>
          <w:szCs w:val="16"/>
        </w:rPr>
        <w:t xml:space="preserve"> (3), pp. 541-547, (1982).</w:t>
      </w:r>
      <w:proofErr w:type="gramEnd"/>
      <w:r w:rsidRPr="00923ECC">
        <w:rPr>
          <w:rFonts w:ascii="Book Antiqua" w:hAnsi="Book Antiqua"/>
          <w:sz w:val="16"/>
          <w:szCs w:val="16"/>
        </w:rPr>
        <w:t xml:space="preserve"> Online at:</w:t>
      </w:r>
    </w:p>
    <w:p w:rsidR="0014236D" w:rsidRPr="00923ECC" w:rsidRDefault="00241D2F" w:rsidP="0014236D">
      <w:pPr>
        <w:pStyle w:val="NoSpacing"/>
        <w:rPr>
          <w:rFonts w:ascii="Book Antiqua" w:hAnsi="Book Antiqua"/>
          <w:i/>
          <w:color w:val="FF0000"/>
          <w:sz w:val="16"/>
          <w:szCs w:val="16"/>
        </w:rPr>
      </w:pPr>
      <w:hyperlink r:id="rId1121" w:history="1">
        <w:r w:rsidR="0014236D" w:rsidRPr="00923ECC">
          <w:rPr>
            <w:rStyle w:val="Hyperlink"/>
            <w:rFonts w:ascii="Book Antiqua" w:hAnsi="Book Antiqua"/>
            <w:i/>
            <w:szCs w:val="16"/>
          </w:rPr>
          <w:t>http://pcp.oxfordjournals.org/cgi/content/abstract/23/3/541</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[25]</w:t>
      </w:r>
      <w:r w:rsidRPr="00923ECC">
        <w:rPr>
          <w:rFonts w:ascii="Book Antiqua" w:hAnsi="Book Antiqua"/>
          <w:b/>
          <w:bCs/>
          <w:sz w:val="16"/>
          <w:szCs w:val="16"/>
        </w:rPr>
        <w:t xml:space="preserve"> </w:t>
      </w:r>
      <w:r w:rsidRPr="00923ECC">
        <w:rPr>
          <w:rFonts w:ascii="Book Antiqua" w:hAnsi="Book Antiqua"/>
          <w:bCs/>
          <w:sz w:val="16"/>
          <w:szCs w:val="16"/>
        </w:rPr>
        <w:t xml:space="preserve">L. C. Raymundo, C. O. Chichester, K. L. Simpson,  </w:t>
      </w:r>
      <w:r w:rsidRPr="00923ECC">
        <w:rPr>
          <w:rFonts w:ascii="Book Antiqua" w:hAnsi="Book Antiqua"/>
          <w:i/>
          <w:iCs/>
          <w:sz w:val="16"/>
          <w:szCs w:val="16"/>
        </w:rPr>
        <w:t>Journal of Agric. Food Chemistry,</w:t>
      </w:r>
      <w:r w:rsidRPr="00923ECC">
        <w:rPr>
          <w:rFonts w:ascii="Book Antiqua" w:hAnsi="Book Antiqua"/>
          <w:sz w:val="16"/>
          <w:szCs w:val="16"/>
        </w:rPr>
        <w:t xml:space="preserve">  </w:t>
      </w:r>
      <w:r w:rsidRPr="00923ECC">
        <w:rPr>
          <w:rFonts w:ascii="Book Antiqua" w:hAnsi="Book Antiqua"/>
          <w:b/>
          <w:iCs/>
          <w:sz w:val="16"/>
          <w:szCs w:val="16"/>
        </w:rPr>
        <w:t xml:space="preserve">24 </w:t>
      </w:r>
      <w:r w:rsidRPr="00923ECC">
        <w:rPr>
          <w:rFonts w:ascii="Book Antiqua" w:hAnsi="Book Antiqua"/>
          <w:iCs/>
          <w:sz w:val="16"/>
          <w:szCs w:val="16"/>
        </w:rPr>
        <w:t>(</w:t>
      </w:r>
      <w:r w:rsidRPr="00923ECC">
        <w:rPr>
          <w:rFonts w:ascii="Book Antiqua" w:hAnsi="Book Antiqua"/>
          <w:sz w:val="16"/>
          <w:szCs w:val="16"/>
        </w:rPr>
        <w:t xml:space="preserve">1), pp.  </w:t>
      </w:r>
      <w:proofErr w:type="gramStart"/>
      <w:r w:rsidRPr="00923ECC">
        <w:rPr>
          <w:rFonts w:ascii="Book Antiqua" w:hAnsi="Book Antiqua"/>
          <w:sz w:val="16"/>
          <w:szCs w:val="16"/>
        </w:rPr>
        <w:t>59–64, (1976).</w:t>
      </w:r>
      <w:proofErr w:type="gramEnd"/>
      <w:r w:rsidRPr="00923ECC">
        <w:rPr>
          <w:rFonts w:ascii="Book Antiqua" w:hAnsi="Book Antiqua"/>
          <w:sz w:val="16"/>
          <w:szCs w:val="16"/>
        </w:rPr>
        <w:t xml:space="preserve"> Online at: </w:t>
      </w:r>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 </w:t>
      </w:r>
      <w:hyperlink r:id="rId1122" w:history="1">
        <w:r w:rsidRPr="00923ECC">
          <w:rPr>
            <w:rStyle w:val="Hyperlink"/>
            <w:rFonts w:ascii="Book Antiqua" w:hAnsi="Book Antiqua"/>
            <w:i/>
            <w:szCs w:val="16"/>
          </w:rPr>
          <w:t>http://pubs.acs.org/doi/abs/10.1021/jf60203a028</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[26] J. M. Hibberd and W. P. Quick, </w:t>
      </w:r>
      <w:r w:rsidRPr="00923ECC">
        <w:rPr>
          <w:rFonts w:ascii="Book Antiqua" w:hAnsi="Book Antiqua"/>
          <w:i/>
          <w:sz w:val="16"/>
          <w:szCs w:val="16"/>
        </w:rPr>
        <w:t xml:space="preserve">Nature, </w:t>
      </w:r>
      <w:r w:rsidRPr="00923ECC">
        <w:rPr>
          <w:rFonts w:ascii="Book Antiqua" w:hAnsi="Book Antiqua"/>
          <w:b/>
          <w:sz w:val="16"/>
          <w:szCs w:val="16"/>
        </w:rPr>
        <w:t>415</w:t>
      </w:r>
      <w:r w:rsidRPr="00923ECC">
        <w:rPr>
          <w:rFonts w:ascii="Book Antiqua" w:hAnsi="Book Antiqua"/>
          <w:sz w:val="16"/>
          <w:szCs w:val="16"/>
        </w:rPr>
        <w:t xml:space="preserve">, pp. 375- 377 and 451-454 </w:t>
      </w:r>
      <w:proofErr w:type="gramStart"/>
      <w:r w:rsidRPr="00923ECC">
        <w:rPr>
          <w:rFonts w:ascii="Book Antiqua" w:hAnsi="Book Antiqua"/>
          <w:i/>
          <w:sz w:val="16"/>
          <w:szCs w:val="16"/>
        </w:rPr>
        <w:t>(</w:t>
      </w:r>
      <w:r w:rsidRPr="00923ECC">
        <w:rPr>
          <w:rFonts w:ascii="Book Antiqua" w:hAnsi="Book Antiqua"/>
          <w:sz w:val="16"/>
          <w:szCs w:val="16"/>
        </w:rPr>
        <w:t xml:space="preserve"> Jan</w:t>
      </w:r>
      <w:proofErr w:type="gramEnd"/>
      <w:r w:rsidRPr="00923ECC">
        <w:rPr>
          <w:rFonts w:ascii="Book Antiqua" w:hAnsi="Book Antiqua"/>
          <w:sz w:val="16"/>
          <w:szCs w:val="16"/>
        </w:rPr>
        <w:t>. 24, 2002).</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[27] V. J. Streusand and A. R. Portis Jr.,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85</w:t>
      </w:r>
      <w:r w:rsidRPr="00923ECC">
        <w:rPr>
          <w:rFonts w:ascii="Book Antiqua" w:hAnsi="Book Antiqua"/>
          <w:sz w:val="16"/>
          <w:szCs w:val="16"/>
        </w:rPr>
        <w:t xml:space="preserve"> (1), pp.152-154, (September 1987).</w:t>
      </w:r>
      <w:proofErr w:type="gramEnd"/>
      <w:r w:rsidRPr="00923ECC">
        <w:rPr>
          <w:rFonts w:ascii="Book Antiqua" w:hAnsi="Book Antiqua"/>
          <w:sz w:val="16"/>
          <w:szCs w:val="16"/>
        </w:rPr>
        <w:t xml:space="preserve"> Online at:</w:t>
      </w:r>
    </w:p>
    <w:p w:rsidR="0014236D" w:rsidRPr="00923ECC" w:rsidRDefault="00241D2F" w:rsidP="0014236D">
      <w:pPr>
        <w:pStyle w:val="NoSpacing"/>
        <w:rPr>
          <w:rFonts w:ascii="Book Antiqua" w:hAnsi="Book Antiqua"/>
          <w:i/>
          <w:sz w:val="16"/>
          <w:szCs w:val="16"/>
        </w:rPr>
      </w:pPr>
      <w:hyperlink r:id="rId1123" w:history="1">
        <w:r w:rsidR="0014236D" w:rsidRPr="00923ECC">
          <w:rPr>
            <w:rStyle w:val="Hyperlink"/>
            <w:rFonts w:ascii="Book Antiqua" w:hAnsi="Book Antiqua"/>
            <w:i/>
            <w:szCs w:val="16"/>
          </w:rPr>
          <w:t>http://www.ncbi.nlm.nih.gov/pmc/articles/PMC1054220/pdf/plntphys00618-0160.pdf</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[28]  S. P. Robinson, V. J. Streusand, J. M. Chatfield and A. R. Portis,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88</w:t>
      </w:r>
      <w:r w:rsidRPr="00923ECC">
        <w:rPr>
          <w:rFonts w:ascii="Book Antiqua" w:hAnsi="Book Antiqua"/>
          <w:sz w:val="16"/>
          <w:szCs w:val="16"/>
        </w:rPr>
        <w:t xml:space="preserve"> , pp.1008-1014 ((22 December 2008). Online at: </w:t>
      </w:r>
      <w:hyperlink r:id="rId1124" w:history="1">
        <w:r w:rsidRPr="00923ECC">
          <w:rPr>
            <w:rStyle w:val="Hyperlink"/>
            <w:rFonts w:ascii="Book Antiqua" w:hAnsi="Book Antiqua"/>
            <w:i/>
            <w:szCs w:val="16"/>
          </w:rPr>
          <w:t>http://www.ncbi.nlm.nih.gov/pmc/articles/PMC1055706/pdf/plntphys00634-0060.pdf</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[29] F. R. Tabita et al., </w:t>
      </w:r>
      <w:r w:rsidRPr="00923ECC">
        <w:rPr>
          <w:rFonts w:ascii="Book Antiqua" w:hAnsi="Book Antiqua"/>
          <w:i/>
          <w:sz w:val="16"/>
          <w:szCs w:val="16"/>
        </w:rPr>
        <w:t>Philosophical Transactions of the Royal Society, B</w:t>
      </w:r>
      <w:r w:rsidRPr="00923ECC">
        <w:rPr>
          <w:rFonts w:ascii="Book Antiqua" w:hAnsi="Book Antiqua"/>
          <w:sz w:val="16"/>
          <w:szCs w:val="16"/>
        </w:rPr>
        <w:t xml:space="preserve"> (Biological Sciences), 27 August 2008, Vol. </w:t>
      </w:r>
      <w:r w:rsidRPr="00923ECC">
        <w:rPr>
          <w:rFonts w:ascii="Book Antiqua" w:hAnsi="Book Antiqua"/>
          <w:b/>
          <w:sz w:val="16"/>
          <w:szCs w:val="16"/>
        </w:rPr>
        <w:t>363</w:t>
      </w:r>
      <w:r w:rsidRPr="00923ECC">
        <w:rPr>
          <w:rFonts w:ascii="Book Antiqua" w:hAnsi="Book Antiqua"/>
          <w:sz w:val="16"/>
          <w:szCs w:val="16"/>
        </w:rPr>
        <w:t>, No. 1504, pp.2629-2640.</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[30] Census of Marine Life </w:t>
      </w:r>
      <w:r w:rsidRPr="00923ECC">
        <w:rPr>
          <w:rFonts w:ascii="Book Antiqua" w:hAnsi="Book Antiqua"/>
          <w:i/>
          <w:sz w:val="16"/>
          <w:szCs w:val="16"/>
        </w:rPr>
        <w:t>(CML) News Release</w:t>
      </w:r>
      <w:r w:rsidRPr="00923ECC">
        <w:rPr>
          <w:rFonts w:ascii="Book Antiqua" w:hAnsi="Book Antiqua"/>
          <w:sz w:val="16"/>
          <w:szCs w:val="16"/>
        </w:rPr>
        <w:t>: “</w:t>
      </w:r>
      <w:r w:rsidRPr="00923ECC">
        <w:rPr>
          <w:rFonts w:ascii="Book Antiqua" w:hAnsi="Book Antiqua"/>
          <w:bCs/>
          <w:sz w:val="16"/>
          <w:szCs w:val="16"/>
        </w:rPr>
        <w:t>Scientists discover Zooplankton species key to ocean food chain,</w:t>
      </w:r>
      <w:proofErr w:type="gramStart"/>
      <w:r w:rsidRPr="00923ECC">
        <w:rPr>
          <w:rFonts w:ascii="Book Antiqua" w:hAnsi="Book Antiqua"/>
          <w:bCs/>
          <w:sz w:val="16"/>
          <w:szCs w:val="16"/>
        </w:rPr>
        <w:t>”(</w:t>
      </w:r>
      <w:proofErr w:type="gramEnd"/>
      <w:r w:rsidRPr="00923ECC">
        <w:rPr>
          <w:rFonts w:ascii="Book Antiqua" w:hAnsi="Book Antiqua"/>
          <w:bCs/>
          <w:sz w:val="16"/>
          <w:szCs w:val="16"/>
        </w:rPr>
        <w:t xml:space="preserve">4 May, 2006), found at: </w:t>
      </w:r>
      <w:hyperlink r:id="rId1125" w:history="1">
        <w:r w:rsidRPr="00923ECC">
          <w:rPr>
            <w:rStyle w:val="Hyperlink"/>
            <w:rFonts w:ascii="Book Antiqua" w:hAnsi="Book Antiqua"/>
            <w:szCs w:val="16"/>
          </w:rPr>
          <w:t>http://news.mongabay.com/2006/0504-coml.html</w:t>
        </w:r>
      </w:hyperlink>
      <w:r w:rsidRPr="00923ECC">
        <w:rPr>
          <w:rFonts w:ascii="Book Antiqua" w:hAnsi="Book Antiqua"/>
          <w:sz w:val="16"/>
          <w:szCs w:val="16"/>
        </w:rPr>
        <w:t>.</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[31] M. Mitra and A. Melis, </w:t>
      </w:r>
      <w:r w:rsidRPr="00923ECC">
        <w:rPr>
          <w:rFonts w:ascii="Book Antiqua" w:hAnsi="Book Antiqua"/>
          <w:i/>
          <w:sz w:val="16"/>
          <w:szCs w:val="16"/>
        </w:rPr>
        <w:t>Optics Express</w:t>
      </w:r>
      <w:r w:rsidRPr="00923ECC">
        <w:rPr>
          <w:rFonts w:ascii="Book Antiqua" w:hAnsi="Book Antiqua"/>
          <w:sz w:val="16"/>
          <w:szCs w:val="16"/>
        </w:rPr>
        <w:t xml:space="preserve"> </w:t>
      </w:r>
      <w:r w:rsidRPr="00923ECC">
        <w:rPr>
          <w:rFonts w:ascii="Book Antiqua" w:hAnsi="Book Antiqua"/>
          <w:b/>
          <w:sz w:val="16"/>
          <w:szCs w:val="16"/>
        </w:rPr>
        <w:t xml:space="preserve">16 </w:t>
      </w:r>
      <w:r w:rsidRPr="00923ECC">
        <w:rPr>
          <w:rFonts w:ascii="Book Antiqua" w:hAnsi="Book Antiqua"/>
          <w:sz w:val="16"/>
          <w:szCs w:val="16"/>
        </w:rPr>
        <w:t>(26), pp. 21807-21820, (22 December 2008).</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[32] W. V. Preiss, "The Adelaide Geosyncline," </w:t>
      </w:r>
      <w:r w:rsidRPr="00923ECC">
        <w:rPr>
          <w:rFonts w:ascii="Book Antiqua" w:hAnsi="Book Antiqua"/>
          <w:i/>
          <w:sz w:val="16"/>
          <w:szCs w:val="16"/>
        </w:rPr>
        <w:t xml:space="preserve">Geological Survey of South Australia, Bulletin </w:t>
      </w:r>
      <w:r w:rsidRPr="00923ECC">
        <w:rPr>
          <w:rFonts w:ascii="Book Antiqua" w:hAnsi="Book Antiqua"/>
          <w:b/>
          <w:sz w:val="16"/>
          <w:szCs w:val="16"/>
        </w:rPr>
        <w:t>53</w:t>
      </w:r>
      <w:r w:rsidRPr="00923ECC">
        <w:rPr>
          <w:rFonts w:ascii="Book Antiqua" w:hAnsi="Book Antiqua"/>
          <w:sz w:val="16"/>
          <w:szCs w:val="16"/>
        </w:rPr>
        <w:t>, p.286 etc. (1987).</w:t>
      </w:r>
      <w:proofErr w:type="gramEnd"/>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[33] </w:t>
      </w:r>
      <w:hyperlink r:id="rId1126" w:history="1">
        <w:r w:rsidRPr="00923ECC">
          <w:rPr>
            <w:rStyle w:val="Hyperlink"/>
            <w:rFonts w:ascii="Book Antiqua" w:hAnsi="Book Antiqua"/>
            <w:i/>
            <w:szCs w:val="16"/>
          </w:rPr>
          <w:t>http://www.coralscience.org/main/articles/biochemistry-2/how-reefs-grow</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[34] Vollmer Lab at Northeastern University’s Marine Science Center, S. June, E. Pullekines, M. LaPlante, F. Aronson, “Coral Calcification,” at:</w:t>
      </w:r>
    </w:p>
    <w:p w:rsidR="0014236D" w:rsidRPr="00923ECC" w:rsidRDefault="00241D2F" w:rsidP="0014236D">
      <w:pPr>
        <w:pStyle w:val="NoSpacing"/>
        <w:rPr>
          <w:rFonts w:ascii="Book Antiqua" w:hAnsi="Book Antiqua"/>
          <w:i/>
          <w:sz w:val="16"/>
          <w:szCs w:val="16"/>
        </w:rPr>
      </w:pPr>
      <w:hyperlink r:id="rId1127" w:history="1">
        <w:r w:rsidR="0014236D" w:rsidRPr="00923ECC">
          <w:rPr>
            <w:rStyle w:val="Hyperlink"/>
            <w:rFonts w:ascii="Book Antiqua" w:hAnsi="Book Antiqua"/>
            <w:i/>
            <w:szCs w:val="16"/>
          </w:rPr>
          <w:t>http://nuweb5.neu.edu/vollmerlabwp/biology-of-corals/coral-calcification/</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[35] A. L. Cohen, T. A. McConnaughey, “Geochemical perspectives on coral mineralization,” </w:t>
      </w:r>
      <w:r w:rsidRPr="00923ECC">
        <w:rPr>
          <w:rFonts w:ascii="Book Antiqua" w:hAnsi="Book Antiqua"/>
          <w:i/>
          <w:sz w:val="16"/>
          <w:szCs w:val="16"/>
        </w:rPr>
        <w:t>Reviews in Mineralogy and Geochemistry</w:t>
      </w:r>
      <w:r w:rsidRPr="00923ECC">
        <w:rPr>
          <w:rFonts w:ascii="Book Antiqua" w:hAnsi="Book Antiqua"/>
          <w:sz w:val="16"/>
          <w:szCs w:val="16"/>
        </w:rPr>
        <w:t xml:space="preserve">, </w:t>
      </w:r>
      <w:r w:rsidRPr="00923ECC">
        <w:rPr>
          <w:rFonts w:ascii="Book Antiqua" w:hAnsi="Book Antiqua"/>
          <w:b/>
          <w:sz w:val="16"/>
          <w:szCs w:val="16"/>
        </w:rPr>
        <w:t>54:</w:t>
      </w:r>
      <w:r w:rsidRPr="00923ECC">
        <w:rPr>
          <w:rFonts w:ascii="Book Antiqua" w:hAnsi="Book Antiqua"/>
          <w:sz w:val="16"/>
          <w:szCs w:val="16"/>
        </w:rPr>
        <w:t>151-187 (2003).</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[36] T. F. Goreau, N. I. Goreau, T. J. Goreau, “Corals and Coral Reefs,” </w:t>
      </w:r>
      <w:r w:rsidRPr="00923ECC">
        <w:rPr>
          <w:rFonts w:ascii="Book Antiqua" w:hAnsi="Book Antiqua"/>
          <w:i/>
          <w:sz w:val="16"/>
          <w:szCs w:val="16"/>
        </w:rPr>
        <w:t>Scientific American</w:t>
      </w:r>
      <w:r w:rsidRPr="00923ECC">
        <w:rPr>
          <w:rFonts w:ascii="Book Antiqua" w:hAnsi="Book Antiqua"/>
          <w:sz w:val="16"/>
          <w:szCs w:val="16"/>
        </w:rPr>
        <w:t>, August 1979. Available at:</w:t>
      </w:r>
    </w:p>
    <w:p w:rsidR="0014236D" w:rsidRPr="00923ECC" w:rsidRDefault="00241D2F" w:rsidP="0014236D">
      <w:pPr>
        <w:pStyle w:val="NoSpacing"/>
        <w:rPr>
          <w:rFonts w:ascii="Book Antiqua" w:hAnsi="Book Antiqua"/>
        </w:rPr>
      </w:pPr>
      <w:hyperlink r:id="rId1128" w:history="1">
        <w:r w:rsidR="0014236D" w:rsidRPr="00923ECC">
          <w:rPr>
            <w:rStyle w:val="Hyperlink"/>
            <w:rFonts w:ascii="Book Antiqua" w:hAnsi="Book Antiqua"/>
            <w:szCs w:val="16"/>
          </w:rPr>
          <w:t>http://www.globalcoral.org/corals_and_coral_reefs.htm</w:t>
        </w:r>
      </w:hyperlink>
    </w:p>
    <w:p w:rsidR="0014236D" w:rsidRPr="00923ECC" w:rsidRDefault="0014236D" w:rsidP="0014236D">
      <w:pPr>
        <w:shd w:val="clear" w:color="auto" w:fill="FFFFFF"/>
        <w:rPr>
          <w:rFonts w:ascii="Book Antiqua" w:eastAsia="Times New Roman" w:hAnsi="Book Antiqua"/>
          <w:color w:val="000000"/>
          <w:sz w:val="16"/>
          <w:szCs w:val="16"/>
        </w:rPr>
      </w:pPr>
      <w:r w:rsidRPr="00923ECC">
        <w:rPr>
          <w:rFonts w:ascii="Book Antiqua" w:eastAsia="Times New Roman" w:hAnsi="Book Antiqua"/>
          <w:color w:val="000000"/>
          <w:sz w:val="16"/>
          <w:szCs w:val="16"/>
        </w:rPr>
        <w:t xml:space="preserve">[37] H. D. </w:t>
      </w:r>
      <w:r w:rsidRPr="00923ECC">
        <w:rPr>
          <w:rFonts w:ascii="Book Antiqua" w:hAnsi="Book Antiqua"/>
          <w:sz w:val="16"/>
          <w:szCs w:val="16"/>
        </w:rPr>
        <w:t xml:space="preserve">Holland, “The oceans: A possible source of iron in iron-formations,” </w:t>
      </w:r>
      <w:r w:rsidRPr="00923ECC">
        <w:rPr>
          <w:rFonts w:ascii="Book Antiqua" w:hAnsi="Book Antiqua"/>
          <w:i/>
          <w:sz w:val="16"/>
          <w:szCs w:val="16"/>
        </w:rPr>
        <w:t>Economic Geology and the Bulletin of the Society of Economic Geologists</w:t>
      </w:r>
      <w:proofErr w:type="gramStart"/>
      <w:r w:rsidRPr="00923ECC">
        <w:rPr>
          <w:rFonts w:ascii="Book Antiqua" w:hAnsi="Book Antiqua"/>
          <w:sz w:val="16"/>
          <w:szCs w:val="16"/>
        </w:rPr>
        <w:t xml:space="preserve">,  </w:t>
      </w:r>
      <w:r w:rsidRPr="00923ECC">
        <w:rPr>
          <w:rFonts w:ascii="Book Antiqua" w:hAnsi="Book Antiqua"/>
          <w:b/>
          <w:sz w:val="16"/>
          <w:szCs w:val="16"/>
        </w:rPr>
        <w:t>68</w:t>
      </w:r>
      <w:proofErr w:type="gramEnd"/>
      <w:r w:rsidRPr="00923ECC">
        <w:rPr>
          <w:rFonts w:ascii="Book Antiqua" w:hAnsi="Book Antiqua"/>
          <w:b/>
          <w:sz w:val="16"/>
          <w:szCs w:val="16"/>
        </w:rPr>
        <w:t xml:space="preserve"> </w:t>
      </w:r>
      <w:r w:rsidRPr="00923ECC">
        <w:rPr>
          <w:rFonts w:ascii="Book Antiqua" w:hAnsi="Book Antiqua"/>
          <w:sz w:val="16"/>
          <w:szCs w:val="16"/>
        </w:rPr>
        <w:t>(1973),  pp. 1169–1172.</w:t>
      </w:r>
    </w:p>
    <w:p w:rsidR="0014236D" w:rsidRPr="00923ECC" w:rsidRDefault="0014236D" w:rsidP="0014236D">
      <w:pPr>
        <w:shd w:val="clear" w:color="auto" w:fill="FFFFFF"/>
        <w:rPr>
          <w:rFonts w:ascii="Book Antiqua" w:hAnsi="Book Antiqua"/>
          <w:color w:val="000000"/>
          <w:sz w:val="16"/>
          <w:szCs w:val="16"/>
        </w:rPr>
      </w:pPr>
      <w:r w:rsidRPr="00923ECC">
        <w:rPr>
          <w:rFonts w:ascii="Book Antiqua" w:eastAsia="Times New Roman" w:hAnsi="Book Antiqua"/>
          <w:color w:val="000000"/>
        </w:rPr>
        <w:t xml:space="preserve">[38] </w:t>
      </w:r>
      <w:r w:rsidRPr="00923ECC">
        <w:rPr>
          <w:rFonts w:ascii="Book Antiqua" w:eastAsia="Times New Roman" w:hAnsi="Book Antiqua"/>
          <w:color w:val="000000"/>
          <w:sz w:val="16"/>
          <w:szCs w:val="16"/>
        </w:rPr>
        <w:t>A. Kappler et al., “Deposition of banded iron formations…by oxidizing bacteria,</w:t>
      </w:r>
      <w:proofErr w:type="gramStart"/>
      <w:r w:rsidRPr="00923ECC">
        <w:rPr>
          <w:rFonts w:ascii="Book Antiqua" w:eastAsia="Times New Roman" w:hAnsi="Book Antiqua"/>
          <w:color w:val="000000"/>
          <w:sz w:val="16"/>
          <w:szCs w:val="16"/>
        </w:rPr>
        <w:t>”.</w:t>
      </w:r>
      <w:proofErr w:type="gramEnd"/>
      <w:r w:rsidRPr="00923ECC">
        <w:rPr>
          <w:rFonts w:ascii="Book Antiqua" w:eastAsia="Times New Roman" w:hAnsi="Book Antiqua"/>
          <w:color w:val="000000"/>
          <w:sz w:val="16"/>
          <w:szCs w:val="16"/>
        </w:rPr>
        <w:t xml:space="preserve"> </w:t>
      </w:r>
      <w:r w:rsidRPr="00923ECC">
        <w:rPr>
          <w:rFonts w:ascii="Book Antiqua" w:eastAsia="Times New Roman" w:hAnsi="Book Antiqua"/>
          <w:i/>
          <w:color w:val="000000"/>
          <w:sz w:val="16"/>
          <w:szCs w:val="16"/>
        </w:rPr>
        <w:t>Geology</w:t>
      </w:r>
      <w:proofErr w:type="gramStart"/>
      <w:r w:rsidRPr="00923ECC">
        <w:rPr>
          <w:rFonts w:ascii="Book Antiqua" w:eastAsia="Times New Roman" w:hAnsi="Book Antiqua"/>
          <w:i/>
          <w:color w:val="000000"/>
          <w:sz w:val="16"/>
          <w:szCs w:val="16"/>
        </w:rPr>
        <w:t xml:space="preserve">, </w:t>
      </w:r>
      <w:r w:rsidRPr="00923ECC">
        <w:rPr>
          <w:rFonts w:ascii="Book Antiqua" w:eastAsia="Times New Roman" w:hAnsi="Book Antiqua"/>
          <w:color w:val="000000"/>
          <w:sz w:val="16"/>
          <w:szCs w:val="16"/>
        </w:rPr>
        <w:t xml:space="preserve"> (</w:t>
      </w:r>
      <w:proofErr w:type="gramEnd"/>
      <w:r w:rsidRPr="00923ECC">
        <w:rPr>
          <w:rFonts w:ascii="Book Antiqua" w:eastAsia="Times New Roman" w:hAnsi="Book Antiqua"/>
          <w:color w:val="000000"/>
          <w:sz w:val="16"/>
          <w:szCs w:val="16"/>
        </w:rPr>
        <w:t xml:space="preserve">Nov. 2005), pp.865-868. Also at: </w:t>
      </w:r>
      <w:hyperlink r:id="rId1129" w:history="1">
        <w:r w:rsidRPr="00923ECC">
          <w:rPr>
            <w:rStyle w:val="Hyperlink"/>
            <w:rFonts w:ascii="Book Antiqua" w:hAnsi="Book Antiqua"/>
            <w:i/>
            <w:szCs w:val="16"/>
          </w:rPr>
          <w:t>http://www.ess.uci.edu/~cpasquer/papers/kappleretal_GEO2005.pdf</w:t>
        </w:r>
      </w:hyperlink>
    </w:p>
    <w:p w:rsidR="0014236D" w:rsidRPr="00923ECC" w:rsidRDefault="0014236D" w:rsidP="0014236D">
      <w:pPr>
        <w:pStyle w:val="NoSpacing"/>
        <w:rPr>
          <w:rFonts w:ascii="Book Antiqua" w:hAnsi="Book Antiqua"/>
          <w:sz w:val="16"/>
          <w:szCs w:val="16"/>
        </w:rPr>
      </w:pPr>
    </w:p>
    <w:p w:rsidR="0014236D" w:rsidRPr="00923ECC" w:rsidRDefault="0014236D" w:rsidP="0014236D">
      <w:pPr>
        <w:pStyle w:val="NoSpacing"/>
        <w:rPr>
          <w:rFonts w:ascii="Book Antiqua" w:hAnsi="Book Antiqua"/>
          <w:sz w:val="16"/>
          <w:szCs w:val="16"/>
        </w:rPr>
      </w:pPr>
      <w:r w:rsidRPr="00CE743D">
        <w:rPr>
          <w:rFonts w:ascii="Book Antiqua" w:hAnsi="Book Antiqua"/>
          <w:b/>
          <w:sz w:val="16"/>
          <w:szCs w:val="16"/>
        </w:rPr>
        <w:t>Figure References</w:t>
      </w:r>
      <w:r w:rsidRPr="00923ECC">
        <w:rPr>
          <w:rFonts w:ascii="Book Antiqua" w:hAnsi="Book Antiqua"/>
          <w:b/>
          <w:sz w:val="20"/>
        </w:rPr>
        <w:t xml:space="preserve"> </w:t>
      </w:r>
      <w:r w:rsidRPr="00923ECC">
        <w:rPr>
          <w:rFonts w:ascii="Book Antiqua" w:hAnsi="Book Antiqua"/>
          <w:i/>
          <w:sz w:val="20"/>
        </w:rPr>
        <w:t xml:space="preserve">– </w:t>
      </w:r>
      <w:r w:rsidRPr="00CE743D">
        <w:rPr>
          <w:rFonts w:ascii="Book Antiqua" w:hAnsi="Book Antiqua"/>
          <w:i/>
          <w:sz w:val="16"/>
          <w:szCs w:val="16"/>
        </w:rPr>
        <w:t>All URL’s retrieved 9/13/12</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 Late Paleozoic scene. </w:t>
      </w:r>
      <w:hyperlink r:id="rId1130" w:history="1">
        <w:r w:rsidRPr="00923ECC">
          <w:rPr>
            <w:rStyle w:val="Hyperlink"/>
            <w:rFonts w:ascii="Book Antiqua" w:hAnsi="Book Antiqua"/>
            <w:i/>
            <w:szCs w:val="16"/>
          </w:rPr>
          <w:t>http://universe-review.ca/R10-23-plants.htm</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Figure 2:  Size comparison of Paleozoic Flora and Fauna.</w:t>
      </w:r>
    </w:p>
    <w:p w:rsidR="0014236D" w:rsidRPr="00923ECC" w:rsidRDefault="0014236D" w:rsidP="0014236D">
      <w:pPr>
        <w:pStyle w:val="NoSpacing"/>
        <w:rPr>
          <w:rFonts w:ascii="Book Antiqua" w:hAnsi="Book Antiqua"/>
          <w:i/>
          <w:sz w:val="16"/>
          <w:szCs w:val="16"/>
        </w:rPr>
      </w:pPr>
      <w:r w:rsidRPr="00923ECC">
        <w:rPr>
          <w:rFonts w:ascii="Book Antiqua" w:hAnsi="Book Antiqua"/>
          <w:i/>
          <w:sz w:val="16"/>
          <w:szCs w:val="16"/>
        </w:rPr>
        <w:t xml:space="preserve">Top: </w:t>
      </w:r>
      <w:hyperlink r:id="rId1131" w:history="1">
        <w:r w:rsidRPr="00923ECC">
          <w:rPr>
            <w:rStyle w:val="Hyperlink"/>
            <w:rFonts w:ascii="Book Antiqua" w:hAnsi="Book Antiqua"/>
            <w:i/>
            <w:szCs w:val="16"/>
          </w:rPr>
          <w:t>http://written-in-stone-seen-through-my-lens.blogspot.com/2012/06/eurypterid-eurypterus-remipes-is_29.html</w:t>
        </w:r>
      </w:hyperlink>
    </w:p>
    <w:p w:rsidR="0014236D" w:rsidRDefault="0014236D" w:rsidP="0014236D">
      <w:pPr>
        <w:pStyle w:val="NoSpacing"/>
        <w:rPr>
          <w:rFonts w:ascii="Book Antiqua" w:hAnsi="Book Antiqua"/>
          <w:i/>
          <w:sz w:val="16"/>
          <w:szCs w:val="16"/>
        </w:rPr>
      </w:pPr>
      <w:r w:rsidRPr="00923ECC">
        <w:rPr>
          <w:rFonts w:ascii="Book Antiqua" w:hAnsi="Book Antiqua"/>
          <w:sz w:val="16"/>
          <w:szCs w:val="16"/>
        </w:rPr>
        <w:t>And bottom:</w:t>
      </w:r>
      <w:r w:rsidRPr="00923ECC">
        <w:rPr>
          <w:rFonts w:ascii="Book Antiqua" w:hAnsi="Book Antiqua"/>
          <w:i/>
          <w:sz w:val="16"/>
          <w:szCs w:val="16"/>
        </w:rPr>
        <w:t xml:space="preserve"> </w:t>
      </w:r>
      <w:hyperlink r:id="rId1132" w:history="1">
        <w:r w:rsidRPr="00AE01FC">
          <w:rPr>
            <w:rStyle w:val="Hyperlink"/>
            <w:rFonts w:ascii="Book Antiqua" w:hAnsi="Book Antiqua"/>
            <w:i/>
            <w:szCs w:val="16"/>
          </w:rPr>
          <w:t>http://www.search4dinosaurs.com/rb_carboniferous.html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Figure 3: Some Mesozoic dinosaurs compared in size with a human.</w:t>
      </w:r>
    </w:p>
    <w:p w:rsidR="0014236D" w:rsidRPr="00923ECC" w:rsidRDefault="00241D2F" w:rsidP="0014236D">
      <w:pPr>
        <w:pStyle w:val="NoSpacing"/>
        <w:rPr>
          <w:rFonts w:ascii="Book Antiqua" w:hAnsi="Book Antiqua"/>
          <w:i/>
          <w:sz w:val="16"/>
          <w:szCs w:val="16"/>
        </w:rPr>
      </w:pPr>
      <w:hyperlink r:id="rId1133" w:history="1">
        <w:r w:rsidR="0014236D" w:rsidRPr="00AE01FC">
          <w:rPr>
            <w:rStyle w:val="Hyperlink"/>
            <w:rFonts w:ascii="Book Antiqua" w:hAnsi="Book Antiqua"/>
            <w:i/>
            <w:szCs w:val="16"/>
          </w:rPr>
          <w:t>http://upload.wikimedia.org/wikipedia/commons/f/f6/Allosaurus_size_comparison.svg</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4: Cenozoic fauna and megafauna. </w:t>
      </w:r>
      <w:hyperlink r:id="rId1134" w:history="1">
        <w:r w:rsidRPr="00923ECC">
          <w:rPr>
            <w:rStyle w:val="Hyperlink"/>
            <w:rFonts w:ascii="Book Antiqua" w:hAnsi="Book Antiqua"/>
            <w:i/>
            <w:szCs w:val="16"/>
          </w:rPr>
          <w:t>http://pantherasonya.deviantart.com/art/Megafauna-Sizes-270438594</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5: Typical nerve cell or neuron. </w:t>
      </w:r>
      <w:hyperlink r:id="rId1135" w:history="1">
        <w:r w:rsidRPr="00923ECC">
          <w:rPr>
            <w:rStyle w:val="Hyperlink"/>
            <w:rFonts w:ascii="Book Antiqua" w:hAnsi="Book Antiqua"/>
            <w:i/>
            <w:szCs w:val="16"/>
          </w:rPr>
          <w:t>http://www.web-books.com/eLibrary/Medicine/Physiology/Nervous/Nervous.htm</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6: Wave amplitude differences. </w:t>
      </w:r>
      <w:hyperlink r:id="rId1136" w:history="1">
        <w:r w:rsidRPr="00923ECC">
          <w:rPr>
            <w:rStyle w:val="Hyperlink"/>
            <w:rFonts w:ascii="Book Antiqua" w:hAnsi="Book Antiqua"/>
            <w:i/>
            <w:szCs w:val="16"/>
          </w:rPr>
          <w:t>http://www.nasa.gov/missions/science/f_interference.html</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7: Structure of a chloroplast. </w:t>
      </w:r>
      <w:hyperlink r:id="rId1137" w:history="1">
        <w:r w:rsidRPr="00923ECC">
          <w:rPr>
            <w:rStyle w:val="Hyperlink"/>
            <w:rFonts w:ascii="Book Antiqua" w:hAnsi="Book Antiqua"/>
            <w:i/>
            <w:szCs w:val="16"/>
          </w:rPr>
          <w:t>http://www.setterfield.org/zpe_giantism.html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8: Thylakoid membrane antenna system and reaction center. </w:t>
      </w:r>
      <w:hyperlink r:id="rId1138" w:history="1">
        <w:r w:rsidRPr="00923ECC">
          <w:rPr>
            <w:rStyle w:val="Hyperlink"/>
            <w:rFonts w:ascii="Book Antiqua" w:hAnsi="Book Antiqua"/>
            <w:i/>
            <w:szCs w:val="16"/>
          </w:rPr>
          <w:t>http://www.setterfield.org/zpe_giantism.html</w:t>
        </w:r>
      </w:hyperlink>
      <w:r w:rsidRPr="00923ECC">
        <w:rPr>
          <w:rFonts w:ascii="Book Antiqua" w:hAnsi="Book Antiqua"/>
          <w:i/>
          <w:sz w:val="16"/>
          <w:szCs w:val="16"/>
        </w:rPr>
        <w:br/>
      </w:r>
      <w:r w:rsidRPr="00923ECC">
        <w:rPr>
          <w:rFonts w:ascii="Book Antiqua" w:hAnsi="Book Antiqua"/>
          <w:sz w:val="16"/>
          <w:szCs w:val="16"/>
        </w:rPr>
        <w:t>Figure 9: Living stromatolites, Western Australia. Top - When the tide is in at Hamelin Pool, Shark Bay:</w:t>
      </w:r>
    </w:p>
    <w:p w:rsidR="0014236D" w:rsidRPr="00923ECC" w:rsidRDefault="00241D2F" w:rsidP="0014236D">
      <w:pPr>
        <w:pStyle w:val="NoSpacing"/>
        <w:rPr>
          <w:rFonts w:ascii="Book Antiqua" w:hAnsi="Book Antiqua"/>
          <w:i/>
          <w:sz w:val="16"/>
          <w:szCs w:val="16"/>
        </w:rPr>
      </w:pPr>
      <w:hyperlink r:id="rId1139" w:history="1">
        <w:r w:rsidR="0014236D" w:rsidRPr="00923ECC">
          <w:rPr>
            <w:rStyle w:val="Hyperlink"/>
            <w:rFonts w:ascii="Book Antiqua" w:hAnsi="Book Antiqua"/>
            <w:i/>
            <w:szCs w:val="16"/>
          </w:rPr>
          <w:t>http://www.westaust.net/photos/index.php/component/virtuemart/?page=shop.browse&amp;category_id=29</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Bottom - When the tide is out at Shark Bay: </w:t>
      </w:r>
      <w:hyperlink r:id="rId1140" w:history="1">
        <w:r w:rsidRPr="00923ECC">
          <w:rPr>
            <w:rStyle w:val="Hyperlink"/>
            <w:rFonts w:ascii="Book Antiqua" w:hAnsi="Book Antiqua"/>
            <w:i/>
            <w:szCs w:val="16"/>
          </w:rPr>
          <w:t>http://www.outbacktours.info/adventure.htm</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10: Fossil stromatolite colony by the Ottawa River, Canada. </w:t>
      </w:r>
      <w:hyperlink r:id="rId1141" w:history="1">
        <w:r w:rsidRPr="00923ECC">
          <w:rPr>
            <w:rStyle w:val="Hyperlink"/>
            <w:rFonts w:ascii="Book Antiqua" w:hAnsi="Book Antiqua"/>
            <w:i/>
            <w:szCs w:val="16"/>
          </w:rPr>
          <w:t>http://flickrhivemind.net/Tags/greenalgae/Interesting</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11: White cliffs of Dover, England. </w:t>
      </w:r>
      <w:hyperlink r:id="rId1142" w:history="1">
        <w:r w:rsidRPr="00923ECC">
          <w:rPr>
            <w:rStyle w:val="Hyperlink"/>
            <w:rFonts w:ascii="Book Antiqua" w:hAnsi="Book Antiqua"/>
            <w:i/>
            <w:szCs w:val="16"/>
          </w:rPr>
          <w:t>http://www.fdm-travel.dk/england/kent-rundrejse.html</w:t>
        </w:r>
      </w:hyperlink>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Figures 12 &amp; 13: Fossil coral reef in Indiana, USA.</w:t>
      </w:r>
      <w:proofErr w:type="gramEnd"/>
      <w:r w:rsidRPr="00923ECC">
        <w:rPr>
          <w:rFonts w:ascii="Book Antiqua" w:hAnsi="Book Antiqua"/>
          <w:sz w:val="16"/>
          <w:szCs w:val="16"/>
        </w:rPr>
        <w:t xml:space="preserve"> </w:t>
      </w:r>
      <w:proofErr w:type="gramStart"/>
      <w:r w:rsidRPr="00923ECC">
        <w:rPr>
          <w:rFonts w:ascii="Book Antiqua" w:hAnsi="Book Antiqua"/>
          <w:sz w:val="16"/>
          <w:szCs w:val="16"/>
        </w:rPr>
        <w:t>Photos by Joel Duff.</w:t>
      </w:r>
      <w:proofErr w:type="gramEnd"/>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43" w:history="1">
        <w:r w:rsidRPr="00923ECC">
          <w:rPr>
            <w:rStyle w:val="Hyperlink"/>
            <w:rFonts w:ascii="Book Antiqua" w:hAnsi="Book Antiqua"/>
            <w:i/>
            <w:szCs w:val="16"/>
          </w:rPr>
          <w:t>http://thenaturalhistorian.com/2012/06/23/fossil-reef-falls-ohio-road-cut-kentucky/</w:t>
        </w:r>
      </w:hyperlink>
      <w:r w:rsidRPr="00923ECC">
        <w:rPr>
          <w:rFonts w:ascii="Book Antiqua" w:hAnsi="Book Antiqua"/>
          <w:sz w:val="16"/>
          <w:szCs w:val="16"/>
        </w:rPr>
        <w:t>. Fig</w:t>
      </w:r>
      <w:r>
        <w:rPr>
          <w:rFonts w:ascii="Book Antiqua" w:hAnsi="Book Antiqua"/>
          <w:sz w:val="16"/>
          <w:szCs w:val="16"/>
        </w:rPr>
        <w:t>ure</w:t>
      </w:r>
      <w:r w:rsidRPr="00923ECC">
        <w:rPr>
          <w:rFonts w:ascii="Book Antiqua" w:hAnsi="Book Antiqua"/>
          <w:sz w:val="16"/>
          <w:szCs w:val="16"/>
        </w:rPr>
        <w:t xml:space="preserve"> 13 (Right</w:t>
      </w:r>
      <w:proofErr w:type="gramStart"/>
      <w:r w:rsidRPr="00923ECC">
        <w:rPr>
          <w:rFonts w:ascii="Book Antiqua" w:hAnsi="Book Antiqua"/>
          <w:sz w:val="16"/>
          <w:szCs w:val="16"/>
        </w:rPr>
        <w:t xml:space="preserve">)  </w:t>
      </w:r>
      <w:proofErr w:type="gramEnd"/>
      <w:r w:rsidR="00241D2F">
        <w:fldChar w:fldCharType="begin"/>
      </w:r>
      <w:r>
        <w:instrText>HYPERLINK "http://www.seasky.org/wallpaper/sea-wallpaper-coral-polyps-1024.html"</w:instrText>
      </w:r>
      <w:r w:rsidR="00241D2F">
        <w:fldChar w:fldCharType="separate"/>
      </w:r>
      <w:r w:rsidRPr="00923ECC">
        <w:rPr>
          <w:rStyle w:val="Hyperlink"/>
          <w:rFonts w:ascii="Book Antiqua" w:hAnsi="Book Antiqua"/>
          <w:i/>
          <w:szCs w:val="16"/>
        </w:rPr>
        <w:t>www.seasky.org</w:t>
      </w:r>
      <w:r w:rsidR="00241D2F">
        <w:fldChar w:fldCharType="end"/>
      </w:r>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Figure 14</w:t>
      </w:r>
      <w:proofErr w:type="gramStart"/>
      <w:r w:rsidRPr="00923ECC">
        <w:rPr>
          <w:rFonts w:ascii="Book Antiqua" w:hAnsi="Book Antiqua"/>
          <w:sz w:val="16"/>
          <w:szCs w:val="16"/>
        </w:rPr>
        <w:t>:One</w:t>
      </w:r>
      <w:proofErr w:type="gramEnd"/>
      <w:r w:rsidRPr="00923ECC">
        <w:rPr>
          <w:rFonts w:ascii="Book Antiqua" w:hAnsi="Book Antiqua"/>
          <w:sz w:val="16"/>
          <w:szCs w:val="16"/>
        </w:rPr>
        <w:t xml:space="preserve"> method of banded iron formation.</w:t>
      </w:r>
      <w:r w:rsidR="004A6000">
        <w:rPr>
          <w:rFonts w:ascii="Book Antiqua" w:hAnsi="Book Antiqua"/>
          <w:sz w:val="16"/>
          <w:szCs w:val="16"/>
        </w:rPr>
        <w:t xml:space="preserve"> </w:t>
      </w:r>
      <w:hyperlink r:id="rId1144" w:history="1">
        <w:r w:rsidRPr="00923ECC">
          <w:rPr>
            <w:rStyle w:val="Hyperlink"/>
            <w:rFonts w:ascii="Book Antiqua" w:hAnsi="Book Antiqua"/>
            <w:i/>
            <w:szCs w:val="16"/>
          </w:rPr>
          <w:t>http://pumicecastle.blogspot.com/2011/02/learning-from-gentry-banded-iron.html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15: Examples of banded iron formation in Western </w:t>
      </w:r>
      <w:proofErr w:type="gramStart"/>
      <w:r w:rsidRPr="00923ECC">
        <w:rPr>
          <w:rFonts w:ascii="Book Antiqua" w:hAnsi="Book Antiqua"/>
          <w:sz w:val="16"/>
          <w:szCs w:val="16"/>
        </w:rPr>
        <w:t xml:space="preserve">Australia  </w:t>
      </w:r>
      <w:proofErr w:type="gramEnd"/>
      <w:r w:rsidR="00241D2F">
        <w:fldChar w:fldCharType="begin"/>
      </w:r>
      <w:r>
        <w:instrText>HYPERLINK "http://www.nordcee.dk/index.php?page=photos"</w:instrText>
      </w:r>
      <w:r w:rsidR="00241D2F">
        <w:fldChar w:fldCharType="separate"/>
      </w:r>
      <w:r w:rsidRPr="00923ECC">
        <w:rPr>
          <w:rStyle w:val="Hyperlink"/>
          <w:rFonts w:ascii="Book Antiqua" w:hAnsi="Book Antiqua"/>
          <w:i/>
          <w:szCs w:val="16"/>
        </w:rPr>
        <w:t>http://www.nordcee.dk/index.php?page=photos</w:t>
      </w:r>
      <w:r w:rsidR="00241D2F">
        <w:fldChar w:fldCharType="end"/>
      </w:r>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i/>
          <w:sz w:val="16"/>
          <w:szCs w:val="16"/>
        </w:rPr>
      </w:pPr>
    </w:p>
    <w:p w:rsidR="0014236D" w:rsidRDefault="0014236D" w:rsidP="0014236D">
      <w:pPr>
        <w:pStyle w:val="NoSpacing"/>
        <w:jc w:val="center"/>
        <w:rPr>
          <w:rFonts w:ascii="Book Antiqua" w:hAnsi="Book Antiqua"/>
          <w:b/>
          <w:sz w:val="28"/>
          <w:szCs w:val="28"/>
        </w:rPr>
      </w:pPr>
      <w:r w:rsidRPr="00AC2896">
        <w:rPr>
          <w:rFonts w:ascii="Book Antiqua" w:hAnsi="Book Antiqua"/>
          <w:b/>
          <w:sz w:val="28"/>
          <w:szCs w:val="28"/>
        </w:rPr>
        <w:t>*  *  *  *  *  *  *</w:t>
      </w:r>
    </w:p>
    <w:p w:rsidR="007B56F5" w:rsidRDefault="007B56F5">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416D75" w:rsidRPr="00125962" w:rsidRDefault="00416D75" w:rsidP="00416D75">
      <w:pPr>
        <w:spacing w:before="120" w:after="120" w:line="240" w:lineRule="atLeast"/>
        <w:jc w:val="center"/>
        <w:outlineLvl w:val="0"/>
        <w:rPr>
          <w:rFonts w:ascii="Book Antiqua" w:hAnsi="Book Antiqua"/>
          <w:b/>
          <w:i/>
          <w:sz w:val="24"/>
          <w:szCs w:val="24"/>
        </w:rPr>
      </w:pPr>
      <w:r w:rsidRPr="00125962">
        <w:rPr>
          <w:rFonts w:ascii="Book Antiqua" w:hAnsi="Book Antiqua"/>
          <w:b/>
          <w:sz w:val="24"/>
          <w:szCs w:val="24"/>
        </w:rPr>
        <w:lastRenderedPageBreak/>
        <w:t xml:space="preserve">Chapter 11: </w:t>
      </w:r>
      <w:r w:rsidRPr="00125962">
        <w:rPr>
          <w:rFonts w:ascii="Book Antiqua" w:hAnsi="Book Antiqua"/>
          <w:b/>
          <w:i/>
          <w:sz w:val="24"/>
          <w:szCs w:val="24"/>
        </w:rPr>
        <w:t>Extended Technical Summary.</w:t>
      </w:r>
    </w:p>
    <w:p w:rsidR="00416D75" w:rsidRPr="00125962" w:rsidRDefault="00416D75" w:rsidP="00416D75">
      <w:pPr>
        <w:spacing w:before="120" w:after="120" w:line="240" w:lineRule="atLeast"/>
        <w:outlineLvl w:val="0"/>
        <w:rPr>
          <w:rFonts w:ascii="Book Antiqua" w:hAnsi="Book Antiqua"/>
          <w:b/>
        </w:rPr>
      </w:pPr>
      <w:r w:rsidRPr="00125962">
        <w:rPr>
          <w:rFonts w:ascii="Book Antiqua" w:hAnsi="Book Antiqua"/>
          <w:b/>
        </w:rPr>
        <w:t>1</w:t>
      </w:r>
      <w:r w:rsidRPr="00125962">
        <w:rPr>
          <w:rFonts w:ascii="Book Antiqua" w:hAnsi="Book Antiqua"/>
          <w:b/>
          <w:i/>
        </w:rPr>
        <w:t>.</w:t>
      </w:r>
      <w:r w:rsidRPr="00125962">
        <w:rPr>
          <w:rFonts w:ascii="Book Antiqua" w:hAnsi="Book Antiqua"/>
          <w:b/>
        </w:rPr>
        <w:t xml:space="preserve"> Exploring the Vacuum</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Concepts of the Vacuum</w:t>
      </w:r>
    </w:p>
    <w:p w:rsidR="00416D75" w:rsidRPr="00125962" w:rsidRDefault="00416D75" w:rsidP="00416D75">
      <w:pPr>
        <w:pStyle w:val="NormPara"/>
        <w:ind w:firstLine="720"/>
        <w:rPr>
          <w:sz w:val="20"/>
        </w:rPr>
      </w:pPr>
      <w:r w:rsidRPr="00125962">
        <w:rPr>
          <w:sz w:val="20"/>
        </w:rPr>
        <w:t>During the 20th century, our knowledge regarding space and the properties of the vacuum took a considerable leap forward. The vacuum of space is popularly considered to be a void, an emptiness, or just ‘nothingness.’ This is the definition of a so-called bare vacuum. However, as science has learned more about the properties of space, a new and contrasting description has arisen, which physicists call the physical vacuum.</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To understand the difference between these two definitions, imagine you have a perfectly sealed container. First remove all solids, liquids, and gases from it so no atoms or molecules remain. There is now a vacuum in the container. This gave rise to the 17th century definition of a vacuum as a totally empty volume of space. Late in the 19th century, it was realized that the vacuum could still contain heat or thermal radiation. If we insulate our container with the vacuum so no heat can get in or out, and if it is cooled to absolute zero, or about -273 degrees C, all thermal radiation has been removed. It might be expected that a complete vacuum now exists within the container. However, both theory and experiment show this vacuum still contains measurable energy. This energy is called the Zero-Point Energy (ZPE) as it exists even at absolute zero.</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The existence of the ZPE was not suspected until the work of Max Planck in 1911, backed up by investigations by Einstein and Stern in 1913, and Nernst in 1916 [1, 2, 3].  The ZPE was discovered to be a universal phenomenon, uniform, all-pervasive, and penetrating every atomic structure throughout the cosmos. It is composed of electromagnetic waves of all wavelengths down to about 10</w:t>
      </w:r>
      <w:r w:rsidRPr="00125962">
        <w:rPr>
          <w:sz w:val="20"/>
          <w:vertAlign w:val="superscript"/>
        </w:rPr>
        <w:t>-35</w:t>
      </w:r>
      <w:r w:rsidRPr="00125962">
        <w:rPr>
          <w:sz w:val="20"/>
        </w:rPr>
        <w:t xml:space="preserve"> meters, at which length the waves are simply absorbed into the structure of the vacuum. We are unaware of its presence for the same reason that we are unaware of the atmospheric pressure of 14 pounds per square inch that is imposed upon our bodies. There is a perfect balance within us and without. Similarly, the radiation pressures of the ZPE are everywhere balanced in our bodies and measuring devices.</w:t>
      </w:r>
    </w:p>
    <w:p w:rsidR="00416D75" w:rsidRPr="00125962" w:rsidRDefault="00416D75" w:rsidP="00416D75">
      <w:pPr>
        <w:pStyle w:val="NormPara"/>
        <w:ind w:firstLine="720"/>
        <w:rPr>
          <w:i/>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Evidence for the Existence of the ZPE</w:t>
      </w:r>
    </w:p>
    <w:p w:rsidR="00416D75" w:rsidRPr="00125962" w:rsidRDefault="00416D75" w:rsidP="00416D75">
      <w:pPr>
        <w:pStyle w:val="NormPara"/>
        <w:ind w:firstLine="720"/>
        <w:rPr>
          <w:sz w:val="20"/>
        </w:rPr>
      </w:pPr>
      <w:r w:rsidRPr="00125962">
        <w:rPr>
          <w:sz w:val="20"/>
        </w:rPr>
        <w:t>Because the ZPE is composed of many more waves of short wavelengths than long (it has a frequency cubed spectrum), the fluctuations of the ZPE waves do not become significant enough to be observed until the atomic level is attained. This explains why cooling alone will never freeze liquid helium. Unless pressure is applied, ZPE fluctuations prevent helium’s atoms from getting close enough to permit solidification.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electronic circuits, such as microwave receivers, another problem arises because ZPE fluctuations cause a random ‘noise’ that places limits on the level to which signals can be amplified. This ‘noise’ can never be removed no matter how perfect the technology.</w:t>
      </w:r>
    </w:p>
    <w:p w:rsidR="00416D75" w:rsidRPr="00125962"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Further evidence comes from what is called the Lamb shift of spectral lines. The ZPE waves slightly perturb an electron in an atom so that, when electrons make a transition from one state to another, the atom emits light whose wavelength is shifted slightly from the position that line would have had if the ZPE did not exist.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Casimir effect also indicates the existence of the ZPE in the form of electromagnetic waves.  This effect can be demonstrated by bringing two large metal plates very close together in a vacuum. When they are close, but not touching, there is a small but measurable force that pushes them together. The explanation of this effect comes straight from classical physics. As the metal plates are brought closer, they exclude all wavelengths of the ZPE except those which fit exactly between the plates. In other words, all the long wavelengths of the ZPE have been excluded and </w:t>
      </w:r>
      <w:proofErr w:type="gramStart"/>
      <w:r w:rsidRPr="00125962">
        <w:rPr>
          <w:sz w:val="20"/>
        </w:rPr>
        <w:t>are</w:t>
      </w:r>
      <w:proofErr w:type="gramEnd"/>
      <w:r w:rsidRPr="00125962">
        <w:rPr>
          <w:sz w:val="20"/>
        </w:rPr>
        <w:t xml:space="preserve"> now acting on the plates from the outside with no long waves acting from within to balance the pressure. The combined radiation pressure of these external waves then forces the plates together. In November 1998, Mohideen and Roy reported verification of the effect to within 1% [4].</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lastRenderedPageBreak/>
        <w:t>ZPE Waves and Particle Pairs</w:t>
      </w:r>
    </w:p>
    <w:p w:rsidR="00416D75" w:rsidRPr="00125962" w:rsidRDefault="00416D75" w:rsidP="00416D75">
      <w:pPr>
        <w:rPr>
          <w:rFonts w:ascii="Book Antiqua" w:hAnsi="Book Antiqua"/>
        </w:rPr>
      </w:pPr>
    </w:p>
    <w:p w:rsidR="00416D75" w:rsidRPr="00125962" w:rsidRDefault="00416D75" w:rsidP="00416D75">
      <w:pPr>
        <w:pStyle w:val="NormPara"/>
        <w:ind w:firstLine="720"/>
        <w:rPr>
          <w:sz w:val="20"/>
        </w:rPr>
      </w:pPr>
      <w:r w:rsidRPr="00125962">
        <w:rPr>
          <w:sz w:val="20"/>
        </w:rPr>
        <w:t>Since ZPE waves go in all directions, they impact each other in somewhat the same way as waves in the ocean. Where ocean waves meet, due to a boat passing or strong cross-currents, they crest and form whitecaps which then</w:t>
      </w:r>
      <w:r w:rsidRPr="00125962">
        <w:rPr>
          <w:color w:val="FF0000"/>
          <w:sz w:val="20"/>
        </w:rPr>
        <w:t xml:space="preserve"> </w:t>
      </w:r>
      <w:r w:rsidRPr="00125962">
        <w:rPr>
          <w:sz w:val="20"/>
        </w:rPr>
        <w:t xml:space="preserve">die down quickly.  When ZPE waves meet, something similar happens: they create a concentration of energy that results in the formation of a positive and negative pair of particles, like a positive and negative electron, or a positive and negative proton, or a positive and negative pion. These particle pairs flash into existence momentarily, then re-combine and annihilate. For this reason they are referred to as virtual particles. It can be estimated that today, in any given second, there are about </w:t>
      </w:r>
      <m:oMath>
        <m:sSup>
          <m:sSupPr>
            <m:ctrlPr>
              <w:rPr>
                <w:rFonts w:ascii="Cambria Math" w:hAnsi="Cambria Math"/>
                <w:i/>
                <w:sz w:val="20"/>
              </w:rPr>
            </m:ctrlPr>
          </m:sSupPr>
          <m:e>
            <m:r>
              <w:rPr>
                <w:rFonts w:ascii="Cambria Math"/>
                <w:sz w:val="20"/>
              </w:rPr>
              <m:t>10</m:t>
            </m:r>
          </m:e>
          <m:sup>
            <m:r>
              <w:rPr>
                <w:rFonts w:ascii="Cambria Math"/>
                <w:sz w:val="20"/>
              </w:rPr>
              <m:t>63</m:t>
            </m:r>
          </m:sup>
        </m:sSup>
        <m:r>
          <w:rPr>
            <w:rFonts w:ascii="Cambria Math"/>
            <w:sz w:val="20"/>
          </w:rPr>
          <m:t xml:space="preserve"> </m:t>
        </m:r>
      </m:oMath>
      <w:r w:rsidRPr="00125962">
        <w:rPr>
          <w:sz w:val="20"/>
        </w:rPr>
        <w:t>virtual particles flashing into and out of existence in the volume of any cubic meter. SED physics, the branch of physics which accepts the ZPE as a real entity and not just a mathematical abstraction, predicts that there is a veritable zoo of all kinds of virtual particle pairs inhabiting the vacuum.</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current is shown to be flowing through the ceramic disk, between the two plates.  But when the voltage has stabilized at any particular chosen point, the current is no longer measured as flowing through the ceramic disk.  But since a current is not expected to flow through a ceramic disk at all, why was a current in evidence when the voltage was being ramped up?</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the voltage difference built up between the plates, the electric field between them affected the molecules in the ceramic disk.  Each molecule in the disk has both a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rubber bands. When the voltage between the plates stopped increasing, the continuing stretching ceased, and so the current stopped flowing.  Once the voltage difference is stable between the plates, the molecules have stretched to their maximum under that voltage and that is why the current is no longer flowing through the disk. The ceramic disk is then said to be polarized, because all the positive charges are aligned one way and the negative charges are aligned another.</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current in the ceramic disk, caused by the motion of these molecular charges over a short distance, is called a </w:t>
      </w:r>
      <w:r w:rsidRPr="00125962">
        <w:rPr>
          <w:i/>
          <w:sz w:val="20"/>
        </w:rPr>
        <w:t>“displacement current.”</w:t>
      </w:r>
      <w:r w:rsidRPr="00125962">
        <w:rPr>
          <w:sz w:val="20"/>
        </w:rPr>
        <w:t xml:space="preserve"> The charges are simply displaced a short distance from their original positions. If the experiment is then repeated without the ceramic disk, but in a vacuum in which all possible air is removed, it has been found that, again, a displacement current flows between the two plates. Although the displacement current is not as strong as it was using the ceramic disk, a displacement current does flow. This indicates the vacuum has electric charges which can be polarized just as the molecules in the ceramic disk were.</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Polarization can only occur if there are charged particles capable of being moved or re-oriented in an electric field. The conclusion is that the vacuum must contain charged particles, capable of moving, which are not associated with the air.  This would seem to indicate the presence of virtual particle pairs. Their presence means we have a </w:t>
      </w:r>
      <w:r w:rsidRPr="00125962">
        <w:rPr>
          <w:i/>
          <w:sz w:val="20"/>
        </w:rPr>
        <w:t>“polarizable vacuum.”</w:t>
      </w:r>
      <w:r w:rsidRPr="00125962">
        <w:rPr>
          <w:b/>
          <w:i/>
          <w:sz w:val="20"/>
        </w:rPr>
        <w:t xml:space="preserve"> </w:t>
      </w:r>
      <w:r w:rsidRPr="00125962">
        <w:rPr>
          <w:sz w:val="20"/>
        </w:rPr>
        <w:t xml:space="preserve"> The extent to which the vacuum “permits” itself to be polarized in an electric field is called the electric permittivity of free space. This permittivity is designated by the Greek </w:t>
      </w:r>
      <w:proofErr w:type="gramStart"/>
      <w:r w:rsidRPr="00125962">
        <w:rPr>
          <w:sz w:val="20"/>
        </w:rPr>
        <w:t xml:space="preserve">letter </w:t>
      </w:r>
      <w:proofErr w:type="gramEnd"/>
      <w:r w:rsidRPr="00125962">
        <w:rPr>
          <w:position w:val="-6"/>
          <w:sz w:val="20"/>
        </w:rPr>
        <w:object w:dxaOrig="180" w:dyaOrig="200">
          <v:shape id="_x0000_i1320" type="#_x0000_t75" style="width:9.7pt;height:10.3pt" o:ole="">
            <v:imagedata r:id="rId1145" o:title=""/>
          </v:shape>
          <o:OLEObject Type="Embed" ProgID="Equation.DSMT4" ShapeID="_x0000_i1320" DrawAspect="Content" ObjectID="_1438189132" r:id="rId1146"/>
        </w:objec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It is important to understand that any electric charge in motion will produce a circling magnetic field – every electric current has a circling magnetic field.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 thus producing a magnetic field. The degree to which a magnetic field can permeate a substance is called its magnetic permeability. The presence of virtual particles causes the vacuum of space itself to have </w:t>
      </w:r>
      <w:proofErr w:type="gramStart"/>
      <w:r w:rsidRPr="00125962">
        <w:rPr>
          <w:sz w:val="20"/>
        </w:rPr>
        <w:t>a permeability</w:t>
      </w:r>
      <w:proofErr w:type="gramEnd"/>
      <w:r w:rsidRPr="00125962">
        <w:rPr>
          <w:sz w:val="20"/>
        </w:rPr>
        <w:t xml:space="preserve"> as well as a permittivity. The magnetic permeability of space is designated by the Greek </w:t>
      </w:r>
      <w:proofErr w:type="gramStart"/>
      <w:r w:rsidRPr="00125962">
        <w:rPr>
          <w:sz w:val="20"/>
        </w:rPr>
        <w:t xml:space="preserve">letter </w:t>
      </w:r>
      <w:proofErr w:type="gramEnd"/>
      <w:r w:rsidRPr="00125962">
        <w:rPr>
          <w:position w:val="-8"/>
          <w:sz w:val="20"/>
        </w:rPr>
        <w:object w:dxaOrig="200" w:dyaOrig="220">
          <v:shape id="_x0000_i1321" type="#_x0000_t75" style="width:10.3pt;height:12.1pt" o:ole="">
            <v:imagedata r:id="rId1147" o:title=""/>
          </v:shape>
          <o:OLEObject Type="Embed" ProgID="Equation.DSMT4" ShapeID="_x0000_i1321" DrawAspect="Content" ObjectID="_1438189133" r:id="rId1148"/>
        </w:objec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the strength of the ZPE. We can write this as follows:</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8"/>
          <w:sz w:val="20"/>
        </w:rPr>
        <w:object w:dxaOrig="800" w:dyaOrig="260">
          <v:shape id="_x0000_i1322" type="#_x0000_t75" style="width:39.95pt;height:12.7pt" o:ole="">
            <v:imagedata r:id="rId1149" o:title=""/>
          </v:shape>
          <o:OLEObject Type="Embed" ProgID="Equation.DSMT4" ShapeID="_x0000_i1322" DrawAspect="Content" ObjectID="_1438189134" r:id="rId1150"/>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r w:rsidRPr="00125962">
        <w:rPr>
          <w:sz w:val="20"/>
        </w:rPr>
        <w:t xml:space="preserve">In Eq. (1) the ZPE strength is designated by the letter </w:t>
      </w:r>
      <w:r w:rsidRPr="00125962">
        <w:rPr>
          <w:i/>
          <w:sz w:val="20"/>
        </w:rPr>
        <w:t>U</w:t>
      </w:r>
      <w:r w:rsidRPr="00125962">
        <w:rPr>
          <w:sz w:val="20"/>
        </w:rPr>
        <w:t>, and the symbol ~ means “</w:t>
      </w:r>
      <w:r w:rsidRPr="00125962">
        <w:rPr>
          <w:i/>
          <w:sz w:val="20"/>
        </w:rPr>
        <w:t>is proportional to</w:t>
      </w:r>
      <w:r w:rsidRPr="00125962">
        <w:rPr>
          <w:sz w:val="20"/>
        </w:rPr>
        <w:t xml:space="preserve">” throughout this volume. </w:t>
      </w:r>
    </w:p>
    <w:p w:rsidR="00416D75" w:rsidRPr="00125962" w:rsidRDefault="00416D75" w:rsidP="00416D75">
      <w:pPr>
        <w:pStyle w:val="NormPara"/>
        <w:ind w:firstLine="270"/>
        <w:rPr>
          <w:i/>
          <w:sz w:val="20"/>
        </w:rPr>
      </w:pPr>
    </w:p>
    <w:p w:rsidR="00416D75"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Introducing the Speed of Light</w:t>
      </w:r>
    </w:p>
    <w:p w:rsidR="00416D75" w:rsidRPr="000448B1" w:rsidRDefault="00416D75" w:rsidP="00416D75">
      <w:pPr>
        <w:pStyle w:val="NoSpacing"/>
        <w:rPr>
          <w:lang w:val="en-GB"/>
        </w:rPr>
      </w:pPr>
    </w:p>
    <w:p w:rsidR="00416D75" w:rsidRPr="00125962" w:rsidRDefault="00416D75" w:rsidP="00416D75">
      <w:pPr>
        <w:pStyle w:val="NormPara"/>
        <w:ind w:firstLine="720"/>
        <w:rPr>
          <w:sz w:val="20"/>
        </w:rPr>
      </w:pPr>
      <w:r w:rsidRPr="00125962">
        <w:rPr>
          <w:sz w:val="20"/>
        </w:rPr>
        <w:t>Every photon of light must navigate the virtual particles it comes in contact with.  As a</w:t>
      </w:r>
      <w:r w:rsidRPr="00125962">
        <w:rPr>
          <w:color w:val="FF0000"/>
          <w:sz w:val="20"/>
        </w:rPr>
        <w:t xml:space="preserve"> </w:t>
      </w:r>
      <w:r w:rsidRPr="00125962">
        <w:rPr>
          <w:sz w:val="20"/>
        </w:rPr>
        <w:t>photon moves through the vacuum, it will be absorbed by virtual particles. But virtual particle pairs will recombine and annihilate extremely rapidly, releasing the photon to continue on its way. The more virtual particles a photon of light must navigate, the longer it takes to reach its final destination. Because of the extreme numbers of virtual particles, there will be huge numbers of photon/particle interactions even over very short distances.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a result, if the strength of the ZPE changes over time, there will be a corresponding and directly proportional change in the numbers of virtual particles in a given volume of space. If the ZPE strength increases,</w:t>
      </w:r>
      <w:r w:rsidRPr="00125962">
        <w:rPr>
          <w:color w:val="FF0000"/>
          <w:sz w:val="20"/>
        </w:rPr>
        <w:t xml:space="preserve"> </w:t>
      </w:r>
      <w:r w:rsidRPr="00125962">
        <w:rPr>
          <w:sz w:val="20"/>
        </w:rPr>
        <w:t>the vacuum will</w:t>
      </w:r>
      <w:r w:rsidRPr="00125962">
        <w:rPr>
          <w:color w:val="FF0000"/>
          <w:sz w:val="20"/>
        </w:rPr>
        <w:t xml:space="preserve"> </w:t>
      </w:r>
      <w:r w:rsidRPr="00125962">
        <w:rPr>
          <w:sz w:val="20"/>
        </w:rPr>
        <w:t xml:space="preserve">become “thicker” with virtual particles. The speed of light, </w:t>
      </w:r>
      <w:proofErr w:type="gramStart"/>
      <w:r w:rsidRPr="00125962">
        <w:rPr>
          <w:i/>
          <w:sz w:val="20"/>
        </w:rPr>
        <w:t>c</w:t>
      </w:r>
      <w:r w:rsidRPr="00125962">
        <w:rPr>
          <w:sz w:val="20"/>
        </w:rPr>
        <w:t>,</w:t>
      </w:r>
      <w:proofErr w:type="gramEnd"/>
      <w:r w:rsidRPr="00125962">
        <w:rPr>
          <w:sz w:val="20"/>
        </w:rPr>
        <w:t xml:space="preserve"> will therefore drop in inverse proportion. This is verified by the standard equation</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2"/>
          <w:sz w:val="20"/>
        </w:rPr>
        <w:object w:dxaOrig="640" w:dyaOrig="520">
          <v:shape id="_x0000_i1323" type="#_x0000_t75" style="width:33.9pt;height:25.4pt" o:ole="">
            <v:imagedata r:id="rId1151" o:title=""/>
          </v:shape>
          <o:OLEObject Type="Embed" ProgID="Equation.DSMT4" ShapeID="_x0000_i1323" DrawAspect="Content" ObjectID="_1438189135" r:id="rId1152"/>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(2)</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When the results from Eq. (1) are combined with Eq. (2) then it can be seen that</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22"/>
          <w:sz w:val="20"/>
        </w:rPr>
        <w:object w:dxaOrig="1180" w:dyaOrig="520">
          <v:shape id="_x0000_i1324" type="#_x0000_t75" style="width:59.3pt;height:25.4pt" o:ole="">
            <v:imagedata r:id="rId1153" o:title=""/>
          </v:shape>
          <o:OLEObject Type="Embed" ProgID="Equation.DSMT4" ShapeID="_x0000_i1324" DrawAspect="Content" ObjectID="_1438189136" r:id="rId1154"/>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(3)</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Pr>
          <w:sz w:val="20"/>
        </w:rPr>
        <w:t>This means that</w:t>
      </w:r>
      <w:r w:rsidRPr="00125962">
        <w:rPr>
          <w:sz w:val="20"/>
        </w:rPr>
        <w:t xml:space="preserve"> any change in the energy density (strength) of the ZPE will produce proportional changes in the permittivity, ε, and permeability, µ, of free space and an inversely proportional change in the speed of light, </w:t>
      </w:r>
      <w:r w:rsidRPr="00125962">
        <w:rPr>
          <w:i/>
          <w:sz w:val="20"/>
        </w:rPr>
        <w:t>c</w:t>
      </w:r>
      <w:r w:rsidRPr="00125962">
        <w:rPr>
          <w:sz w:val="20"/>
        </w:rPr>
        <w:t xml:space="preserve">. In addition, since Planck’s equations in his 1911 paper revealed that the constant, </w:t>
      </w:r>
      <w:r w:rsidRPr="00125962">
        <w:rPr>
          <w:i/>
          <w:sz w:val="20"/>
        </w:rPr>
        <w:t>h</w:t>
      </w:r>
      <w:r w:rsidRPr="00125962">
        <w:rPr>
          <w:sz w:val="20"/>
        </w:rPr>
        <w:t>, which is now known as Planck’s constant, was a measure of the strength of the ZPE, its value will also change in direct proportion to the changes in ZPE strength.</w:t>
      </w:r>
    </w:p>
    <w:p w:rsidR="00416D75"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Behavior of the Z</w:t>
      </w:r>
      <w:r>
        <w:rPr>
          <w:rFonts w:ascii="Book Antiqua" w:hAnsi="Book Antiqua"/>
          <w:b/>
          <w:sz w:val="20"/>
        </w:rPr>
        <w:t xml:space="preserve">ero </w:t>
      </w:r>
      <w:r w:rsidRPr="00125962">
        <w:rPr>
          <w:rFonts w:ascii="Book Antiqua" w:hAnsi="Book Antiqua"/>
          <w:b/>
          <w:sz w:val="20"/>
        </w:rPr>
        <w:t>P</w:t>
      </w:r>
      <w:r>
        <w:rPr>
          <w:rFonts w:ascii="Book Antiqua" w:hAnsi="Book Antiqua"/>
          <w:b/>
          <w:sz w:val="20"/>
        </w:rPr>
        <w:t xml:space="preserve">oint </w:t>
      </w:r>
      <w:r w:rsidRPr="00125962">
        <w:rPr>
          <w:rFonts w:ascii="Book Antiqua" w:hAnsi="Book Antiqua"/>
          <w:b/>
          <w:sz w:val="20"/>
        </w:rPr>
        <w:t>E</w:t>
      </w:r>
      <w:r>
        <w:rPr>
          <w:rFonts w:ascii="Book Antiqua" w:hAnsi="Book Antiqua"/>
          <w:b/>
          <w:sz w:val="20"/>
        </w:rPr>
        <w:t>nergy</w:t>
      </w:r>
    </w:p>
    <w:p w:rsidR="00624941" w:rsidRPr="00125962" w:rsidRDefault="00624941" w:rsidP="00624941">
      <w:pPr>
        <w:pStyle w:val="ListParagraph"/>
        <w:spacing w:before="120" w:after="120" w:line="240" w:lineRule="atLeast"/>
        <w:ind w:left="274"/>
        <w:jc w:val="both"/>
        <w:outlineLvl w:val="0"/>
        <w:rPr>
          <w:rFonts w:ascii="Book Antiqua" w:hAnsi="Book Antiqua"/>
          <w:b/>
          <w:sz w:val="20"/>
        </w:rPr>
      </w:pPr>
    </w:p>
    <w:p w:rsidR="00416D75" w:rsidRPr="003442EA"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3442EA">
        <w:rPr>
          <w:rFonts w:ascii="Book Antiqua" w:hAnsi="Book Antiqua" w:cs="Times New Roman"/>
          <w:b w:val="0"/>
          <w:sz w:val="20"/>
          <w:szCs w:val="20"/>
        </w:rPr>
        <w:t>Dynamics of the Universe</w:t>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p>
    <w:p w:rsidR="00416D75" w:rsidRPr="00125962" w:rsidRDefault="00416D75" w:rsidP="00416D75">
      <w:pPr>
        <w:pStyle w:val="NormPara"/>
        <w:ind w:firstLine="270"/>
        <w:rPr>
          <w:sz w:val="20"/>
        </w:rPr>
      </w:pPr>
    </w:p>
    <w:p w:rsidR="00416D75" w:rsidRDefault="00416D75" w:rsidP="00416D75">
      <w:pPr>
        <w:pStyle w:val="NormPara"/>
        <w:ind w:firstLine="187"/>
        <w:rPr>
          <w:sz w:val="20"/>
        </w:rPr>
      </w:pPr>
      <w:r w:rsidRPr="00125962">
        <w:rPr>
          <w:sz w:val="20"/>
        </w:rPr>
        <w:t xml:space="preserve">Although it is currently thought the universe is rapidly expanding, hydrogen cloud data indicate that the universe underwent initial expansion and then became static. As light passes through the hydrogen clouds, selective wavelengths are absorbed and this produces a dark line on the spectrum. The dark line of importance here is called the Lyman Alpha line. As the light goes through an increasing number of hydrogen clouds on its journey, an increasing number of Lyman Alpha lines are built up in the spectrum. Since the clouds further away from our galaxy have greater redshifts, the </w:t>
      </w:r>
      <w:r w:rsidRPr="00125962">
        <w:rPr>
          <w:sz w:val="20"/>
        </w:rPr>
        <w:lastRenderedPageBreak/>
        <w:t>position of the Lyman Alpha line on the color spectrum from an individual cloud will be dependent on distance and hence registered by its redshift. As a result of traveling great astronomical distances, light passing through these clouds will arrive at earth with a whole suite of lines. This is referred to as the 'Lyman Alpha forest.'</w:t>
      </w:r>
    </w:p>
    <w:p w:rsidR="00416D75" w:rsidRPr="00125962" w:rsidRDefault="00416D75" w:rsidP="00416D75">
      <w:pPr>
        <w:pStyle w:val="NormPara"/>
        <w:ind w:firstLine="720"/>
        <w:rPr>
          <w:sz w:val="20"/>
        </w:rPr>
      </w:pPr>
    </w:p>
    <w:p w:rsidR="00416D75" w:rsidRPr="00125962" w:rsidRDefault="00416D75" w:rsidP="00416D75">
      <w:pPr>
        <w:pStyle w:val="NormPara"/>
        <w:ind w:firstLine="187"/>
        <w:rPr>
          <w:sz w:val="20"/>
        </w:rPr>
      </w:pPr>
      <w:r w:rsidRPr="00125962">
        <w:rPr>
          <w:sz w:val="20"/>
        </w:rPr>
        <w:t>Analysis indicates that, if the universe is expanding, the average distance between the hydrogen clouds should be increasing as we come forward in time, and so nearer to our own galaxy. This means that as we look back into the past, and hence to greater redshifts, the clouds should get closer together. If the universe is static, the average distance apart of the clouds should remain fixed. A detailed study of this matter has been performed by Lyndon Ashmore. [5] The Abstract to one of his papers contains these conclusions:</w:t>
      </w:r>
    </w:p>
    <w:p w:rsidR="00416D75" w:rsidRPr="00125962" w:rsidRDefault="00416D75" w:rsidP="00416D75">
      <w:pPr>
        <w:pStyle w:val="NormPara"/>
        <w:spacing w:before="80" w:after="80"/>
        <w:ind w:firstLine="187"/>
        <w:rPr>
          <w:sz w:val="20"/>
        </w:rPr>
      </w:pPr>
      <w:r w:rsidRPr="00125962">
        <w:rPr>
          <w:i/>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25962">
        <w:rPr>
          <w:sz w:val="20"/>
        </w:rPr>
        <w:t>[6].</w:t>
      </w:r>
    </w:p>
    <w:p w:rsidR="00416D75" w:rsidRPr="00125962" w:rsidRDefault="00416D75" w:rsidP="00416D75">
      <w:pPr>
        <w:pStyle w:val="NormPara"/>
        <w:spacing w:before="80" w:after="80"/>
        <w:ind w:left="274" w:firstLine="187"/>
        <w:rPr>
          <w:sz w:val="20"/>
        </w:rPr>
      </w:pPr>
    </w:p>
    <w:p w:rsidR="00416D75" w:rsidRPr="00125962" w:rsidRDefault="00416D75" w:rsidP="00416D75">
      <w:pPr>
        <w:pStyle w:val="NormPara"/>
        <w:ind w:firstLine="720"/>
        <w:rPr>
          <w:sz w:val="20"/>
        </w:rPr>
      </w:pPr>
      <w:r w:rsidRPr="00125962">
        <w:rPr>
          <w:sz w:val="20"/>
        </w:rPr>
        <w:t>So when did the universe stop expanding?  The data reveal that expansion occurred from the origin of the cosmos up until a time corresponding to a redshift of z = 2.6. From then down to a time corresponding to z = 1.6 the expansion ceased and the cosmos has been static from z = 1.6 down to the present. Narlikar and Arp established in 1993 that a static cosmos would be stable against collapse if it had matter in it and was undergoing slight oscillations. The model adopted here agrees with these data and concepts.</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Cosmic Expansion and Planck Scale Effects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It is generally accepted that the Planck length of 10</w:t>
      </w:r>
      <w:r w:rsidRPr="00125962">
        <w:rPr>
          <w:sz w:val="20"/>
          <w:vertAlign w:val="superscript"/>
        </w:rPr>
        <w:t>-35</w:t>
      </w:r>
      <w:r w:rsidRPr="00125962">
        <w:rPr>
          <w:sz w:val="20"/>
        </w:rPr>
        <w:t xml:space="preserve"> meters is the length at which the 'fabric' of the vacuum breaks down and space assumes a granular structure. The initial expansion or stretching of the fabric of space would have resulted in a tension or stress or force manifesting at the Planck scale. In other words, energy was being invested into the fabric at its most basic level. Evidence also indicates that extremely high initial temperatures were involved as expansion began.</w:t>
      </w:r>
    </w:p>
    <w:p w:rsidR="00416D75" w:rsidRPr="00125962" w:rsidRDefault="00416D75" w:rsidP="00416D75">
      <w:pPr>
        <w:pStyle w:val="NormPara"/>
        <w:ind w:firstLine="720"/>
        <w:rPr>
          <w:sz w:val="20"/>
        </w:rPr>
      </w:pPr>
    </w:p>
    <w:p w:rsidR="00416D75" w:rsidRPr="00125962" w:rsidRDefault="00416D75" w:rsidP="00416D75">
      <w:pPr>
        <w:pStyle w:val="NormPara"/>
        <w:ind w:firstLine="270"/>
        <w:rPr>
          <w:sz w:val="20"/>
        </w:rPr>
      </w:pPr>
      <w:r w:rsidRPr="00125962">
        <w:rPr>
          <w:sz w:val="20"/>
        </w:rPr>
        <w:t xml:space="preserve"> </w:t>
      </w:r>
      <w:r w:rsidRPr="00125962">
        <w:rPr>
          <w:sz w:val="20"/>
        </w:rPr>
        <w:tab/>
        <w:t xml:space="preserve">Parallel conditions in high energy physics laboratories result in the production particle-antiparticle pairs. The process involves conversion of inherent energy into mass on the basis of </w:t>
      </w:r>
      <w:r w:rsidRPr="000448B1">
        <w:rPr>
          <w:i/>
          <w:sz w:val="20"/>
        </w:rPr>
        <w:t>E = mc</w:t>
      </w:r>
      <w:r w:rsidRPr="000448B1">
        <w:rPr>
          <w:i/>
          <w:sz w:val="20"/>
          <w:vertAlign w:val="superscript"/>
        </w:rPr>
        <w:t>2</w:t>
      </w:r>
      <w:r w:rsidRPr="00125962">
        <w:rPr>
          <w:sz w:val="20"/>
        </w:rPr>
        <w:t>. Thus the enormous tensional energy in the fabric of space that was being generated by the expansion, coupled with the extremely high temperature, would similarly have resulted in the formation of particle-antiparticle pairs. These positively and negatively charged particle pairs manifesting at the Planck scale would maintain the electrical neutrality of the vacuum.</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 C.H. Gibson [7] as well as Hoyle, Burbidge and Narlikar [8], have shown that processes initially operating at Planck scales would result in the formation of cascades of pairs of Planck particles. These particles have the unique property that their diameter is the same as both the Planck length and their own Compton wavelength. They are thus specifically a Planck scale phenomenon. As a result, the enormous tensional energy and extreme temperatures at the Planck scale would be expected to produce cascades of Planck particle pairs (PPP).</w:t>
      </w:r>
    </w:p>
    <w:p w:rsidR="00416D75" w:rsidRPr="00125962" w:rsidRDefault="00416D75" w:rsidP="00416D75">
      <w:pPr>
        <w:pStyle w:val="NormPara"/>
        <w:ind w:firstLine="720"/>
        <w:rPr>
          <w:sz w:val="20"/>
        </w:rPr>
      </w:pPr>
    </w:p>
    <w:p w:rsidR="00416D75" w:rsidRDefault="00416D75" w:rsidP="00416D75">
      <w:pPr>
        <w:pStyle w:val="NormPara"/>
        <w:ind w:firstLine="270"/>
        <w:rPr>
          <w:sz w:val="20"/>
        </w:rPr>
      </w:pPr>
      <w:r w:rsidRPr="00125962">
        <w:rPr>
          <w:sz w:val="20"/>
        </w:rPr>
        <w:t xml:space="preserve"> </w:t>
      </w:r>
      <w:r w:rsidRPr="00125962">
        <w:rPr>
          <w:sz w:val="20"/>
        </w:rPr>
        <w:tab/>
        <w:t xml:space="preserve">Gibson notes that if a Planck Particle Pair becomes misaligned as they collapse, they form a Planck-Kerr particle (P-KP). Gibson states that </w:t>
      </w:r>
      <w:r w:rsidRPr="00125962">
        <w:rPr>
          <w:i/>
          <w:sz w:val="20"/>
        </w:rPr>
        <w:t>"a truly explosive result can occur [when] a Planck-Kerr particle forms, since one of these can trigger a big bang turbulence cascade [of Planck particle pairs]."</w:t>
      </w:r>
      <w:r w:rsidRPr="00125962">
        <w:rPr>
          <w:sz w:val="20"/>
        </w:rPr>
        <w:t xml:space="preserve"> [7] Hoyle, Burbidge and Narlikar have a different proposal which, however, has essentially the same result [8]. The same outcome is that the extreme temperatures and the enormous expansion energy provided an environment at the Planck scale in which energy was irreversibly converted to matter as a turbulent cascade of PPP and/or P-KP.</w:t>
      </w:r>
    </w:p>
    <w:p w:rsidR="00624941" w:rsidRPr="00125962" w:rsidRDefault="00624941" w:rsidP="00416D75">
      <w:pPr>
        <w:pStyle w:val="NormPara"/>
        <w:ind w:firstLine="270"/>
        <w:rPr>
          <w:sz w:val="20"/>
        </w:rPr>
      </w:pPr>
    </w:p>
    <w:p w:rsidR="00416D75" w:rsidRPr="00125962" w:rsidRDefault="00416D75" w:rsidP="00416D75">
      <w:pPr>
        <w:pStyle w:val="NormPara"/>
        <w:ind w:firstLine="27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lastRenderedPageBreak/>
        <w:t>The Origin of the Zero Point Energy</w:t>
      </w:r>
    </w:p>
    <w:p w:rsidR="00416D75" w:rsidRPr="000448B1"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Gibson, Hoyle and others have shown that, as a result of these processes, there would have been extreme turbulent vortices and separation among the PPP and P-KP. Gibson's analysis revealed that PPP and P-KP numbers would continue to increase until all turbulence had died away. He showed that such systems are characteristically inelastic, while Bizon established that inelastic systems have stronger vortices and longer persistence times [9].</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Given this system, the separation of electric charges among the particle pairs would produce electric fields, while their turbulent movement would produce magnetic fields. In addition, P-KP </w:t>
      </w:r>
      <w:proofErr w:type="gramStart"/>
      <w:r w:rsidRPr="00125962">
        <w:rPr>
          <w:sz w:val="20"/>
        </w:rPr>
        <w:t>radiate</w:t>
      </w:r>
      <w:proofErr w:type="gramEnd"/>
      <w:r w:rsidRPr="00125962">
        <w:rPr>
          <w:sz w:val="20"/>
        </w:rPr>
        <w:t xml:space="preserve"> electromagnetic energy into their turbulent environment. This is the origin of the initial electro-magnetic fields of the ZPE.</w:t>
      </w:r>
    </w:p>
    <w:p w:rsidR="00416D75" w:rsidRPr="00125962" w:rsidRDefault="00416D75" w:rsidP="00416D75">
      <w:pPr>
        <w:pStyle w:val="NormPara"/>
        <w:ind w:firstLine="720"/>
        <w:rPr>
          <w:sz w:val="20"/>
        </w:rPr>
      </w:pPr>
      <w:r w:rsidRPr="00125962">
        <w:rPr>
          <w:sz w:val="20"/>
        </w:rPr>
        <w:tab/>
      </w:r>
    </w:p>
    <w:p w:rsidR="00416D75" w:rsidRPr="00125962" w:rsidRDefault="00416D75" w:rsidP="00416D75">
      <w:pPr>
        <w:pStyle w:val="NormPara"/>
        <w:ind w:firstLine="720"/>
        <w:rPr>
          <w:sz w:val="20"/>
        </w:rPr>
      </w:pPr>
      <w:r w:rsidRPr="00125962">
        <w:rPr>
          <w:sz w:val="20"/>
        </w:rPr>
        <w:t xml:space="preserve">After the universal expansion ceased, vortices and turbulence would persist until all the turbulent energy had been converted to PPP, as explained in detail by Gibson [7]. Because of the inelasticity and size of the system, the persistence and decay phases of turbulence may be expected to have lasted a long time. During this time the ZPE strength would continue to build because the Planck Particle Pair numbers </w:t>
      </w:r>
      <w:r w:rsidRPr="00575422">
        <w:rPr>
          <w:sz w:val="20"/>
        </w:rPr>
        <w:t xml:space="preserve">would </w:t>
      </w:r>
      <w:r>
        <w:rPr>
          <w:sz w:val="20"/>
        </w:rPr>
        <w:t xml:space="preserve">also </w:t>
      </w:r>
      <w:r w:rsidRPr="00575422">
        <w:rPr>
          <w:sz w:val="20"/>
        </w:rPr>
        <w:t>continue building</w: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Because PPP are both positively and negatively charged, they would continue recombining after expansion and all turbulence had ceased.  Their recombination </w:t>
      </w:r>
      <w:r w:rsidRPr="00575422">
        <w:rPr>
          <w:sz w:val="20"/>
        </w:rPr>
        <w:t>result</w:t>
      </w:r>
      <w:r>
        <w:rPr>
          <w:sz w:val="20"/>
        </w:rPr>
        <w:t>ed</w:t>
      </w:r>
      <w:r w:rsidRPr="00125962">
        <w:rPr>
          <w:sz w:val="20"/>
        </w:rPr>
        <w:t xml:space="preserve"> in their annihilation, releasing their combined energy as electromagnetic radiation.</w:t>
      </w:r>
      <w:r>
        <w:rPr>
          <w:sz w:val="20"/>
        </w:rPr>
        <w:t xml:space="preserve"> (</w:t>
      </w:r>
      <w:r w:rsidRPr="00575422">
        <w:rPr>
          <w:sz w:val="20"/>
        </w:rPr>
        <w:t>A similar process occurs when electron/positron pairs annihilate.</w:t>
      </w:r>
      <w:r>
        <w:rPr>
          <w:sz w:val="20"/>
        </w:rPr>
        <w:t>)</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575422">
        <w:rPr>
          <w:sz w:val="20"/>
        </w:rPr>
        <w:t>Thus</w:t>
      </w:r>
      <w:r w:rsidRPr="00125962">
        <w:rPr>
          <w:sz w:val="20"/>
        </w:rPr>
        <w:t xml:space="preserve"> the electromagnetic fields and waves of the ZPE would continue to build up after the decay in turbulence until all PPP had recombined. Puthoff and other authors have shown that the ZPE strength is then maintained by a feedback cycle [10]. Nevertheless, an ongoing oscillation will occur in the strength of the ZPE because of the oscillation in the size of a static universe, as outlined by Narlikar and Arp in [11].</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Quantum Physics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1962 Louis de Broglie published a book, </w:t>
      </w:r>
      <w:r w:rsidRPr="000448B1">
        <w:rPr>
          <w:i/>
          <w:sz w:val="20"/>
        </w:rPr>
        <w:t>New Perspectives in Physics</w:t>
      </w:r>
      <w:r w:rsidRPr="00125962">
        <w:rPr>
          <w:sz w:val="20"/>
        </w:rPr>
        <w:t xml:space="preserve"> [12]. In this book he pointed out that serious consideration of Planck’s second theory (1911) had been widespread until around 1930. Planck’s 1911 approach had embraced classical theory plus a </w:t>
      </w:r>
      <w:r w:rsidRPr="00575422">
        <w:rPr>
          <w:sz w:val="20"/>
        </w:rPr>
        <w:t>real</w:t>
      </w:r>
      <w:r>
        <w:rPr>
          <w:color w:val="FF0000"/>
          <w:sz w:val="20"/>
        </w:rPr>
        <w:t xml:space="preserve"> </w:t>
      </w:r>
      <w:r w:rsidRPr="00125962">
        <w:rPr>
          <w:sz w:val="20"/>
        </w:rPr>
        <w:t>intrinsic cosmological ZPE. De Broglie’s book initiated a re-examination of this approach since it showed that quantum processes actually had viable explanations in terms of classical physics, as long as the real Zero Point Energy was included.</w:t>
      </w:r>
    </w:p>
    <w:p w:rsidR="00416D75" w:rsidRPr="00125962" w:rsidRDefault="00416D75" w:rsidP="00416D75">
      <w:pPr>
        <w:pStyle w:val="NormPara"/>
        <w:ind w:firstLine="720"/>
        <w:rPr>
          <w:sz w:val="20"/>
        </w:rPr>
      </w:pPr>
    </w:p>
    <w:p w:rsidR="00416D75" w:rsidRPr="00125962" w:rsidRDefault="00416D75" w:rsidP="00416D75">
      <w:pPr>
        <w:pStyle w:val="NormPara"/>
        <w:ind w:firstLine="461"/>
        <w:rPr>
          <w:sz w:val="20"/>
        </w:rPr>
      </w:pPr>
      <w:r w:rsidRPr="00125962">
        <w:rPr>
          <w:sz w:val="20"/>
        </w:rPr>
        <w:t xml:space="preserve">As a result, Edward Nelson published a landmark paper in 1966. The abstract states in part: </w:t>
      </w:r>
      <w:r w:rsidRPr="00125962">
        <w:rPr>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25962">
        <w:rPr>
          <w:sz w:val="20"/>
        </w:rPr>
        <w:t xml:space="preserve"> [13].</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 xml:space="preserve">With this impetus, Boyer, in 1975, used classical physics plus the ZPE to demonstrate that the fluctuations caused by the Zero-Point Fields (ZPF) on the positions of particles are in exact agreement with quantum theory and Heisenberg’s Uncertainty Principle (HUP) [14]. In this approach, the HUP is not merely the result of theoretical quantum laws. Instead, it is due to the continual battering of sub-atomic particles, as well as the atoms themselves, by the impacting waves of the ZPE. This continual ‘jiggling’ at speeds close to the speed of light means it is virtually impossible to pinpoint both the position and momentum of a subatomic particle at any given instant in time.  Instead of merely being a theoretical concept, the ZPE provides a physical reason for this indeterminate position and momentum. In this way, classical physics </w:t>
      </w:r>
      <w:r w:rsidRPr="00125962">
        <w:rPr>
          <w:sz w:val="20"/>
        </w:rPr>
        <w:lastRenderedPageBreak/>
        <w:t>using the ZPE, offers explanations rooted in reality which quantum mechanics can only attempt to deal with in terms of theoretical laws.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De Broglie’s 1924 proposal that matter could behave in a wave-like manner was also examined.  These wave-like characteristics of electrons were shown to exist in 1927 by Clinton Davisson and Lester Germer [15]. In looking at this, de Broglie himself had felt that the Compton frequency of an electron or parton was an intrinsic oscillation of the charge.  If he had then identified the ZPE as the source of the oscillation, he would have been on his way to a solution.</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Haisch and Rueda point out that the electron really does oscillate at the Compton frequency, when in its own rest frame, due to the ZPE. They note </w:t>
      </w:r>
      <w:r w:rsidRPr="00125962">
        <w:rPr>
          <w:i/>
          <w:iCs/>
          <w:sz w:val="20"/>
        </w:rPr>
        <w:t xml:space="preserve">“… when you view the electron from a moving frame there is a beat frequency superimposed on this oscillation due to the Doppler shift. It turns out that this beat frequency proves to be exactly the de Broglie wavelength of a moving electron. … </w:t>
      </w:r>
      <w:proofErr w:type="gramStart"/>
      <w:r w:rsidRPr="00125962">
        <w:rPr>
          <w:i/>
          <w:iCs/>
          <w:sz w:val="20"/>
        </w:rPr>
        <w:t>the</w:t>
      </w:r>
      <w:proofErr w:type="gramEnd"/>
      <w:r w:rsidRPr="00125962">
        <w:rPr>
          <w:i/>
          <w:iCs/>
          <w:sz w:val="20"/>
        </w:rPr>
        <w:t xml:space="preserve"> ZPF drives the electron to undergo some kind of oscillation at the Compton frequency… and this is where and how the de Broglie wavelength originates due to Doppler shifts.” </w:t>
      </w:r>
      <w:r w:rsidRPr="00125962">
        <w:rPr>
          <w:sz w:val="20"/>
        </w:rPr>
        <w:t>[16] Thus the Compton frequency is due to the ZPE-imposed oscillation of the particle at rest. The de Broglie wavelength results from both the motion of the particle and the oscillation, appearing as a "beat" phenomenon.</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 xml:space="preserve">This approach, using classical physics plus a real ZPE, is now called Stochastic Electro-Dynamics (SED). This contrasts to the more commonly used Quantum Electro-Dynamics (QED). SED physics has been able to derive and explain the black-body spectrum, Heisenberg’s Principle, the Schrödinger equation, and the wave-nature of sub-atomic matter. These were the exact factors that, interpreted without the ZPE, gave rise to QED physics. </w:t>
      </w:r>
      <w:r w:rsidRPr="00575422">
        <w:rPr>
          <w:sz w:val="20"/>
        </w:rPr>
        <w:t>So it is possible that</w:t>
      </w:r>
      <w:r>
        <w:rPr>
          <w:sz w:val="20"/>
        </w:rPr>
        <w:t xml:space="preserve"> de Broglie was correct, and</w:t>
      </w:r>
      <w:r w:rsidRPr="00125962">
        <w:rPr>
          <w:sz w:val="20"/>
        </w:rPr>
        <w:t xml:space="preserve"> physics took a wrong turn in the </w:t>
      </w:r>
      <w:proofErr w:type="gramStart"/>
      <w:r w:rsidRPr="00125962">
        <w:rPr>
          <w:sz w:val="20"/>
        </w:rPr>
        <w:t>mid-1920’s</w:t>
      </w:r>
      <w:proofErr w:type="gramEnd"/>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Planck’s Constant, and Light Speed</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ZPE and </w:t>
      </w:r>
      <w:proofErr w:type="gramStart"/>
      <w:r w:rsidRPr="00125962">
        <w:rPr>
          <w:rFonts w:ascii="Book Antiqua" w:hAnsi="Book Antiqua" w:cs="Times New Roman"/>
          <w:b w:val="0"/>
          <w:sz w:val="20"/>
          <w:szCs w:val="20"/>
        </w:rPr>
        <w:t>Planck’s Constant</w:t>
      </w:r>
      <w:proofErr w:type="gramEnd"/>
      <w:r w:rsidRPr="00125962">
        <w:rPr>
          <w:rFonts w:ascii="Book Antiqua" w:hAnsi="Book Antiqua" w:cs="Times New Roman"/>
          <w:b w:val="0"/>
          <w:sz w:val="20"/>
          <w:szCs w:val="20"/>
        </w:rPr>
        <w:t>, h</w:t>
      </w:r>
    </w:p>
    <w:p w:rsidR="00416D75" w:rsidRPr="00747889"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In his 1911 paper, Planck had demonstrated the existence of the ZPE [1].  His equation for the radiant energy density, </w:t>
      </w:r>
      <w:r w:rsidRPr="00125962">
        <w:rPr>
          <w:i/>
          <w:iCs/>
          <w:sz w:val="20"/>
        </w:rPr>
        <w:t>ρ</w:t>
      </w:r>
      <w:r w:rsidRPr="00125962">
        <w:rPr>
          <w:sz w:val="20"/>
        </w:rPr>
        <w:t xml:space="preserve">, of a black body had a temperature-dependent term, just as he had derived in his 1901 paper. However, it had an additional </w:t>
      </w:r>
      <w:r w:rsidRPr="00125962">
        <w:rPr>
          <w:position w:val="-10"/>
          <w:sz w:val="20"/>
        </w:rPr>
        <w:object w:dxaOrig="440" w:dyaOrig="280">
          <v:shape id="_x0000_i1325" type="#_x0000_t75" style="width:21.8pt;height:14.5pt" o:ole="">
            <v:imagedata r:id="rId1155" o:title=""/>
          </v:shape>
          <o:OLEObject Type="Embed" ProgID="Equation.DSMT4" ShapeID="_x0000_i1325" DrawAspect="Content" ObjectID="_1438189137" r:id="rId1156"/>
        </w:object>
      </w:r>
      <w:r w:rsidRPr="00125962">
        <w:rPr>
          <w:i/>
          <w:iCs/>
          <w:sz w:val="20"/>
        </w:rPr>
        <w:t xml:space="preserve"> </w:t>
      </w:r>
      <w:r w:rsidRPr="00125962">
        <w:rPr>
          <w:sz w:val="20"/>
        </w:rPr>
        <w:t>term that was independent of temperature as in Eq. (4). This indicated a uniform, isotropic background radiation existed.</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iCs/>
          <w:sz w:val="20"/>
        </w:rPr>
        <w:tab/>
      </w:r>
      <w:r w:rsidRPr="00125962">
        <w:rPr>
          <w:iCs/>
          <w:position w:val="-24"/>
          <w:sz w:val="20"/>
        </w:rPr>
        <w:object w:dxaOrig="3000" w:dyaOrig="600">
          <v:shape id="_x0000_i1326" type="#_x0000_t75" style="width:149.45pt;height:30.25pt" o:ole="">
            <v:imagedata r:id="rId47" o:title=""/>
          </v:shape>
          <o:OLEObject Type="Embed" ProgID="Equation.DSMT4" ShapeID="_x0000_i1326" DrawAspect="Content" ObjectID="_1438189138" r:id="rId1157"/>
        </w:objec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(4)</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r w:rsidRPr="00125962">
        <w:rPr>
          <w:sz w:val="20"/>
        </w:rPr>
        <w:t xml:space="preserve">Here, </w:t>
      </w:r>
      <m:oMath>
        <m:r>
          <w:rPr>
            <w:rFonts w:ascii="Cambria Math" w:hAnsi="Cambria Math"/>
            <w:sz w:val="20"/>
          </w:rPr>
          <m:t>f</m:t>
        </m:r>
      </m:oMath>
      <w:r w:rsidRPr="00125962">
        <w:rPr>
          <w:sz w:val="20"/>
        </w:rPr>
        <w:t xml:space="preserve"> is radiation frequency, </w:t>
      </w:r>
      <m:oMath>
        <m:r>
          <w:rPr>
            <w:rFonts w:ascii="Cambria Math" w:hAnsi="Cambria Math"/>
            <w:sz w:val="20"/>
          </w:rPr>
          <m:t>c</m:t>
        </m:r>
      </m:oMath>
      <w:r w:rsidRPr="00125962">
        <w:rPr>
          <w:i/>
          <w:iCs/>
          <w:sz w:val="20"/>
        </w:rPr>
        <w:t xml:space="preserve"> </w:t>
      </w:r>
      <w:r w:rsidRPr="00125962">
        <w:rPr>
          <w:sz w:val="20"/>
        </w:rPr>
        <w:t xml:space="preserve">is light-speed, and </w:t>
      </w:r>
      <m:oMath>
        <m:r>
          <w:rPr>
            <w:rFonts w:ascii="Cambria Math" w:hAnsi="Cambria Math"/>
            <w:sz w:val="20"/>
          </w:rPr>
          <m:t>k</m:t>
        </m:r>
      </m:oMath>
      <w:r w:rsidRPr="00125962">
        <w:rPr>
          <w:i/>
          <w:iCs/>
          <w:sz w:val="20"/>
        </w:rPr>
        <w:t xml:space="preserve"> </w:t>
      </w:r>
      <w:r w:rsidRPr="00125962">
        <w:rPr>
          <w:sz w:val="20"/>
        </w:rPr>
        <w:t xml:space="preserve">is Boltzmann’s constant. If the temperature, </w:t>
      </w:r>
      <w:r w:rsidRPr="00125962">
        <w:rPr>
          <w:i/>
          <w:iCs/>
          <w:sz w:val="20"/>
        </w:rPr>
        <w:t>T</w:t>
      </w:r>
      <w:r w:rsidRPr="00125962">
        <w:rPr>
          <w:sz w:val="20"/>
        </w:rPr>
        <w:t>, in (4) drops to zero, we are still left with the Zero Point term</w:t>
      </w:r>
      <w:proofErr w:type="gramStart"/>
      <w:r w:rsidRPr="00125962">
        <w:rPr>
          <w:sz w:val="20"/>
        </w:rPr>
        <w:t xml:space="preserve">, </w:t>
      </w:r>
      <w:proofErr w:type="gramEnd"/>
      <w:r w:rsidRPr="00125962">
        <w:rPr>
          <w:position w:val="-10"/>
          <w:sz w:val="20"/>
        </w:rPr>
        <w:object w:dxaOrig="440" w:dyaOrig="280">
          <v:shape id="_x0000_i1327" type="#_x0000_t75" style="width:21.8pt;height:14.5pt" o:ole="">
            <v:imagedata r:id="rId1155" o:title=""/>
          </v:shape>
          <o:OLEObject Type="Embed" ProgID="Equation.DSMT4" ShapeID="_x0000_i1327" DrawAspect="Content" ObjectID="_1438189139" r:id="rId1158"/>
        </w:object>
      </w:r>
      <w:r w:rsidRPr="00125962">
        <w:rPr>
          <w:sz w:val="20"/>
        </w:rPr>
        <w:t xml:space="preserve">, in the final set of square brackets.  Since </w:t>
      </w:r>
      <m:oMath>
        <m:r>
          <w:rPr>
            <w:rFonts w:ascii="Cambria Math" w:hAnsi="Cambria Math"/>
            <w:sz w:val="20"/>
          </w:rPr>
          <m:t>T</m:t>
        </m:r>
      </m:oMath>
      <w:r w:rsidRPr="00125962">
        <w:rPr>
          <w:sz w:val="20"/>
        </w:rPr>
        <w:t xml:space="preserve"> does not occur in that final set of terms, that means they are temperature independent.  Planck’s constant</w:t>
      </w:r>
      <w:proofErr w:type="gramStart"/>
      <w:r w:rsidRPr="00125962">
        <w:rPr>
          <w:sz w:val="20"/>
        </w:rPr>
        <w:t xml:space="preserve">, </w:t>
      </w:r>
      <m:oMath>
        <w:proofErr w:type="gramEnd"/>
        <m:r>
          <w:rPr>
            <w:rFonts w:ascii="Cambria Math" w:hAnsi="Cambria Math"/>
            <w:sz w:val="20"/>
          </w:rPr>
          <m:t>h</m:t>
        </m:r>
      </m:oMath>
      <w:r w:rsidRPr="00125962">
        <w:rPr>
          <w:sz w:val="20"/>
        </w:rPr>
        <w:t xml:space="preserve">, only appears in the Zero Point term as a scale factor to align theory with experiment; no quantum interpretation is needed. Being a scale factor means that if the ZPE strength was greater, then the value of </w:t>
      </w:r>
      <m:oMath>
        <m:r>
          <w:rPr>
            <w:rFonts w:hAnsi="Cambria Math"/>
            <w:sz w:val="20"/>
          </w:rPr>
          <m:t>h</m:t>
        </m:r>
      </m:oMath>
      <w:r w:rsidRPr="00125962">
        <w:rPr>
          <w:sz w:val="20"/>
        </w:rPr>
        <w:t xml:space="preserve"> would be correspondingly larger. This means </w:t>
      </w:r>
      <m:oMath>
        <m:r>
          <w:rPr>
            <w:rFonts w:hAnsi="Cambria Math"/>
            <w:sz w:val="20"/>
          </w:rPr>
          <m:t>h</m:t>
        </m:r>
      </m:oMath>
      <w:r w:rsidRPr="00125962">
        <w:rPr>
          <w:i/>
          <w:iCs/>
          <w:sz w:val="20"/>
        </w:rPr>
        <w:t xml:space="preserve"> </w:t>
      </w:r>
      <w:r w:rsidRPr="00125962">
        <w:rPr>
          <w:sz w:val="20"/>
        </w:rPr>
        <w:t>turns out to be a measure of the strength of the ZPE. From (4), the energy density</w:t>
      </w:r>
      <w:proofErr w:type="gramStart"/>
      <w:r w:rsidRPr="00125962">
        <w:rPr>
          <w:sz w:val="20"/>
        </w:rPr>
        <w:t xml:space="preserve">, </w:t>
      </w:r>
      <m:oMath>
        <w:proofErr w:type="gramEnd"/>
        <m:r>
          <w:rPr>
            <w:rFonts w:ascii="Cambria Math" w:hAnsi="Cambria Math"/>
            <w:sz w:val="20"/>
          </w:rPr>
          <m:t>U</m:t>
        </m:r>
      </m:oMath>
      <w:r w:rsidRPr="00125962">
        <w:rPr>
          <w:sz w:val="20"/>
        </w:rPr>
        <w:t xml:space="preserve">, of the ZPE is then given by multiplying </w:t>
      </w:r>
      <m:oMath>
        <m:r>
          <w:rPr>
            <w:rFonts w:hAnsi="Cambria Math"/>
            <w:sz w:val="20"/>
          </w:rPr>
          <m:t>h</m:t>
        </m:r>
        <m:r>
          <w:rPr>
            <w:rFonts w:ascii="Cambria Math" w:hAnsi="Cambria Math"/>
            <w:sz w:val="20"/>
          </w:rPr>
          <m:t>f</m:t>
        </m:r>
        <m:r>
          <w:rPr>
            <w:rFonts w:ascii="Cambria Math"/>
            <w:sz w:val="20"/>
          </w:rPr>
          <m:t>/2</m:t>
        </m:r>
      </m:oMath>
      <w:r w:rsidRPr="00125962">
        <w:rPr>
          <w:sz w:val="20"/>
        </w:rPr>
        <w:t xml:space="preserve"> by the expression in the first set of square brackets, so that</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2"/>
          <w:sz w:val="20"/>
        </w:rPr>
        <w:object w:dxaOrig="1579" w:dyaOrig="580">
          <v:shape id="_x0000_i1328" type="#_x0000_t75" style="width:78.65pt;height:29.65pt" o:ole="">
            <v:imagedata r:id="rId49" o:title=""/>
          </v:shape>
          <o:OLEObject Type="Embed" ProgID="Equation.DSMT4" ShapeID="_x0000_i1328" DrawAspect="Content" ObjectID="_1438189140" r:id="rId115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(5)</w:t>
      </w:r>
    </w:p>
    <w:p w:rsidR="00416D75" w:rsidRPr="00125962" w:rsidRDefault="00416D75" w:rsidP="00416D75">
      <w:pPr>
        <w:pStyle w:val="NoSpacing"/>
        <w:spacing w:line="240" w:lineRule="atLeast"/>
        <w:jc w:val="both"/>
        <w:rPr>
          <w:rFonts w:ascii="Book Antiqua" w:hAnsi="Book Antiqua"/>
          <w:sz w:val="20"/>
        </w:rPr>
      </w:pPr>
    </w:p>
    <w:p w:rsidR="00416D75" w:rsidRPr="00125962" w:rsidRDefault="00416D75" w:rsidP="00416D75">
      <w:pPr>
        <w:pStyle w:val="NoSpacing"/>
        <w:spacing w:line="240" w:lineRule="atLeast"/>
        <w:jc w:val="both"/>
        <w:rPr>
          <w:rFonts w:ascii="Book Antiqua" w:hAnsi="Book Antiqua"/>
          <w:sz w:val="20"/>
        </w:rPr>
      </w:pPr>
      <w:r w:rsidRPr="00125962">
        <w:rPr>
          <w:rFonts w:ascii="Book Antiqua" w:hAnsi="Book Antiqua"/>
          <w:sz w:val="20"/>
        </w:rPr>
        <w:t>Therefore, if the ZPE strength</w:t>
      </w:r>
      <w:proofErr w:type="gramStart"/>
      <w:r w:rsidRPr="00125962">
        <w:rPr>
          <w:rFonts w:ascii="Book Antiqua" w:hAnsi="Book Antiqua"/>
          <w:sz w:val="20"/>
        </w:rPr>
        <w:t xml:space="preserve">, </w:t>
      </w:r>
      <m:oMath>
        <w:proofErr w:type="gramEnd"/>
        <m:r>
          <w:rPr>
            <w:rFonts w:ascii="Cambria Math" w:hAnsi="Cambria Math"/>
            <w:sz w:val="20"/>
          </w:rPr>
          <m:t>U</m:t>
        </m:r>
      </m:oMath>
      <w:r w:rsidRPr="00125962">
        <w:rPr>
          <w:rFonts w:ascii="Book Antiqua" w:hAnsi="Book Antiqua"/>
          <w:sz w:val="20"/>
        </w:rPr>
        <w:t>, increases,</w:t>
      </w:r>
      <w:r w:rsidRPr="00125962">
        <w:rPr>
          <w:rFonts w:ascii="Book Antiqua" w:hAnsi="Book Antiqua"/>
          <w:i/>
          <w:sz w:val="20"/>
        </w:rPr>
        <w:t xml:space="preserve"> </w:t>
      </w:r>
      <m:oMath>
        <m:r>
          <w:rPr>
            <w:rFonts w:ascii="Cambria Math" w:hAnsi="Cambria Math"/>
            <w:sz w:val="20"/>
          </w:rPr>
          <m:t>h</m:t>
        </m:r>
      </m:oMath>
      <w:r w:rsidRPr="00125962">
        <w:rPr>
          <w:rFonts w:ascii="Book Antiqua" w:hAnsi="Book Antiqua"/>
          <w:i/>
          <w:sz w:val="20"/>
        </w:rPr>
        <w:t xml:space="preserve"> </w:t>
      </w:r>
      <w:r w:rsidRPr="00125962">
        <w:rPr>
          <w:rFonts w:ascii="Book Antiqua" w:hAnsi="Book Antiqua"/>
          <w:sz w:val="20"/>
        </w:rPr>
        <w:t>must also increase proportionally. Thus we can write:</w:t>
      </w:r>
    </w:p>
    <w:p w:rsidR="00416D75" w:rsidRPr="00125962" w:rsidRDefault="00416D75" w:rsidP="00416D75">
      <w:pPr>
        <w:pStyle w:val="equation"/>
        <w:spacing w:before="80" w:after="80"/>
        <w:jc w:val="right"/>
        <w:rPr>
          <w:sz w:val="20"/>
        </w:rPr>
      </w:pPr>
      <w:r w:rsidRPr="00125962">
        <w:rPr>
          <w:sz w:val="20"/>
        </w:rPr>
        <w:tab/>
      </w:r>
      <w:r w:rsidRPr="00125962">
        <w:rPr>
          <w:position w:val="-6"/>
          <w:sz w:val="20"/>
        </w:rPr>
        <w:object w:dxaOrig="500" w:dyaOrig="240">
          <v:shape id="_x0000_i1329" type="#_x0000_t75" style="width:24.8pt;height:12.1pt" o:ole="">
            <v:imagedata r:id="rId1160" o:title=""/>
          </v:shape>
          <o:OLEObject Type="Embed" ProgID="Equation.DSMT4" ShapeID="_x0000_i1329" DrawAspect="Content" ObjectID="_1438189141" r:id="rId116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(6)</w:t>
      </w:r>
    </w:p>
    <w:p w:rsidR="00416D75" w:rsidRPr="00125962" w:rsidRDefault="00416D75" w:rsidP="00416D75">
      <w:pPr>
        <w:pStyle w:val="NormPara"/>
        <w:ind w:firstLine="0"/>
        <w:rPr>
          <w:sz w:val="20"/>
        </w:rPr>
      </w:pPr>
    </w:p>
    <w:p w:rsidR="00416D75" w:rsidRDefault="00416D75" w:rsidP="00416D75">
      <w:pPr>
        <w:pStyle w:val="NormPara"/>
        <w:ind w:firstLine="0"/>
        <w:rPr>
          <w:sz w:val="20"/>
        </w:rPr>
      </w:pPr>
      <w:proofErr w:type="gramStart"/>
      <w:r w:rsidRPr="00125962">
        <w:rPr>
          <w:sz w:val="20"/>
        </w:rPr>
        <w:t>where</w:t>
      </w:r>
      <w:proofErr w:type="gramEnd"/>
      <w:r w:rsidRPr="00125962">
        <w:rPr>
          <w:sz w:val="20"/>
        </w:rPr>
        <w:t xml:space="preserve"> </w:t>
      </w:r>
      <w:r w:rsidRPr="00125962">
        <w:rPr>
          <w:i/>
          <w:sz w:val="20"/>
        </w:rPr>
        <w:t>U</w:t>
      </w:r>
      <w:r w:rsidRPr="00125962">
        <w:rPr>
          <w:sz w:val="20"/>
        </w:rPr>
        <w:t xml:space="preserve"> is the energy density of the ZPE. Experimental evidence for variations in </w:t>
      </w:r>
      <m:oMath>
        <m:r>
          <w:rPr>
            <w:rFonts w:hAnsi="Cambria Math"/>
            <w:sz w:val="20"/>
          </w:rPr>
          <m:t>h</m:t>
        </m:r>
      </m:oMath>
      <w:r w:rsidRPr="00125962">
        <w:rPr>
          <w:sz w:val="20"/>
        </w:rPr>
        <w:t xml:space="preserve"> and </w:t>
      </w:r>
      <m:oMath>
        <m:r>
          <w:rPr>
            <w:rFonts w:hAnsi="Cambria Math"/>
            <w:sz w:val="20"/>
          </w:rPr>
          <m:t>h</m:t>
        </m:r>
        <m:r>
          <w:rPr>
            <w:rFonts w:ascii="Cambria Math"/>
            <w:sz w:val="20"/>
          </w:rPr>
          <m:t>/</m:t>
        </m:r>
        <m:r>
          <w:rPr>
            <w:rFonts w:ascii="Cambria Math" w:hAnsi="Cambria Math"/>
            <w:sz w:val="20"/>
          </w:rPr>
          <m:t>e</m:t>
        </m:r>
      </m:oMath>
      <w:r w:rsidRPr="00125962">
        <w:rPr>
          <w:sz w:val="20"/>
        </w:rPr>
        <w:t xml:space="preserve"> have been obtained as graphed in Figs. 1 and 2. It should be noted that the value of </w:t>
      </w:r>
      <m:oMath>
        <m:r>
          <w:rPr>
            <w:rFonts w:ascii="Cambria Math" w:hAnsi="Cambria Math"/>
            <w:sz w:val="20"/>
          </w:rPr>
          <m:t>h</m:t>
        </m:r>
      </m:oMath>
      <w:r w:rsidRPr="00125962">
        <w:rPr>
          <w:sz w:val="20"/>
        </w:rPr>
        <w:t xml:space="preserve"> increased systematically up to about 1970. Afterwards, the data show a flat point or a small decline.</w:t>
      </w:r>
    </w:p>
    <w:p w:rsidR="00416D75" w:rsidRDefault="00416D75" w:rsidP="00416D75">
      <w:pPr>
        <w:pStyle w:val="NormPara"/>
        <w:ind w:firstLine="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3871457" cy="4514850"/>
            <wp:effectExtent l="19050" t="0" r="0" b="0"/>
            <wp:docPr id="26" name="Picture 4" descr="PlancksConstant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ancksConstantGraph"/>
                    <pic:cNvPicPr>
                      <a:picLocks noChangeAspect="1" noChangeArrowheads="1"/>
                    </pic:cNvPicPr>
                  </pic:nvPicPr>
                  <pic:blipFill>
                    <a:blip r:embed="rId70" cstate="print">
                      <a:lum contrast="20000"/>
                    </a:blip>
                    <a:srcRect l="1558" t="1231" r="1202" b="766"/>
                    <a:stretch>
                      <a:fillRect/>
                    </a:stretch>
                  </pic:blipFill>
                  <pic:spPr bwMode="auto">
                    <a:xfrm>
                      <a:off x="0" y="0"/>
                      <a:ext cx="3875287" cy="4519317"/>
                    </a:xfrm>
                    <a:prstGeom prst="rect">
                      <a:avLst/>
                    </a:prstGeom>
                    <a:noFill/>
                    <a:ln w="9525">
                      <a:noFill/>
                      <a:miter lim="800000"/>
                      <a:headEnd/>
                      <a:tailEnd/>
                    </a:ln>
                  </pic:spPr>
                </pic:pic>
              </a:graphicData>
            </a:graphic>
          </wp:inline>
        </w:drawing>
      </w:r>
    </w:p>
    <w:p w:rsidR="00416D75" w:rsidRDefault="00416D75" w:rsidP="00416D75">
      <w:pPr>
        <w:pStyle w:val="NormPara"/>
        <w:spacing w:before="80" w:after="80"/>
        <w:ind w:left="274" w:right="274" w:firstLine="0"/>
        <w:jc w:val="left"/>
        <w:rPr>
          <w:i/>
          <w:szCs w:val="18"/>
        </w:rPr>
      </w:pPr>
    </w:p>
    <w:p w:rsidR="00416D75" w:rsidRPr="00F02364" w:rsidRDefault="00416D75" w:rsidP="00416D75">
      <w:pPr>
        <w:pStyle w:val="NormPara"/>
        <w:spacing w:before="80" w:after="80"/>
        <w:ind w:left="274" w:right="274" w:firstLine="0"/>
        <w:jc w:val="center"/>
        <w:rPr>
          <w:i/>
          <w:color w:val="FF0000"/>
          <w:szCs w:val="18"/>
        </w:rPr>
      </w:pPr>
      <w:r w:rsidRPr="00F02364">
        <w:rPr>
          <w:b/>
          <w:i/>
          <w:szCs w:val="18"/>
        </w:rPr>
        <w:t>Figure 1:</w:t>
      </w:r>
      <w:r w:rsidRPr="00F02364">
        <w:rPr>
          <w:i/>
          <w:szCs w:val="18"/>
        </w:rPr>
        <w:t xml:space="preserve">  Graph of recommended values of Planck's constant, </w:t>
      </w:r>
      <m:oMath>
        <m:r>
          <w:rPr>
            <w:rFonts w:ascii="Cambria Math" w:hAnsi="Cambria Math" w:cs="Cambria Math"/>
            <w:szCs w:val="18"/>
          </w:rPr>
          <m:t>h</m:t>
        </m:r>
      </m:oMath>
      <w:r w:rsidRPr="00F02364">
        <w:rPr>
          <w:i/>
          <w:szCs w:val="18"/>
        </w:rPr>
        <w:t xml:space="preserve"> [17-29].</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 xml:space="preserve">In 1965, Sanders pointed out that the then increasing values for </w:t>
      </w:r>
      <m:oMath>
        <m:r>
          <w:rPr>
            <w:rFonts w:ascii="Cambria Math" w:hAnsi="Cambria Math"/>
            <w:sz w:val="20"/>
          </w:rPr>
          <m:t>h</m:t>
        </m:r>
      </m:oMath>
      <w:r w:rsidRPr="00125962">
        <w:rPr>
          <w:sz w:val="20"/>
        </w:rPr>
        <w:t xml:space="preserve"> could only partly be accounted for by the improvements in instrumental resolution [30]. One reviewer, preferring the changes in </w:t>
      </w:r>
      <m:oMath>
        <m:r>
          <w:rPr>
            <w:rFonts w:ascii="Cambria Math" w:hAnsi="Cambria Math"/>
            <w:sz w:val="20"/>
          </w:rPr>
          <m:t>h</m:t>
        </m:r>
      </m:oMath>
      <w:r w:rsidRPr="00125962">
        <w:rPr>
          <w:sz w:val="20"/>
        </w:rPr>
        <w:t xml:space="preserve"> to be a matter of instrumental improvements, nevertheless remarked that this </w:t>
      </w:r>
      <w:r w:rsidRPr="00125962">
        <w:rPr>
          <w:i/>
          <w:sz w:val="20"/>
        </w:rPr>
        <w:t>"may in part explain the trend in the figures, but I admit that such an explanation does not appear to be quantitatively adequate."</w:t>
      </w:r>
      <w:r w:rsidRPr="00125962">
        <w:rPr>
          <w:sz w:val="20"/>
        </w:rPr>
        <w:t xml:space="preserve">[31] That problem was compounded since other quantities such as </w:t>
      </w:r>
      <m:oMath>
        <m:r>
          <w:rPr>
            <w:rFonts w:ascii="Cambria Math" w:hAnsi="Cambria Math"/>
            <w:sz w:val="20"/>
          </w:rPr>
          <m:t>e</m:t>
        </m:r>
        <m:r>
          <w:rPr>
            <w:rFonts w:ascii="Cambria Math"/>
            <w:sz w:val="20"/>
          </w:rPr>
          <m:t>/</m:t>
        </m:r>
        <m:r>
          <w:rPr>
            <w:rFonts w:hAnsi="Cambria Math"/>
            <w:sz w:val="20"/>
          </w:rPr>
          <m:t>h</m:t>
        </m:r>
      </m:oMath>
      <w:r w:rsidRPr="00125962">
        <w:rPr>
          <w:sz w:val="20"/>
        </w:rPr>
        <w:t xml:space="preserve"> (where </w:t>
      </w:r>
      <m:oMath>
        <m:r>
          <w:rPr>
            <w:rFonts w:ascii="Cambria Math" w:hAnsi="Cambria Math"/>
            <w:sz w:val="20"/>
          </w:rPr>
          <m:t>e</m:t>
        </m:r>
      </m:oMath>
      <w:r w:rsidRPr="00125962">
        <w:rPr>
          <w:sz w:val="20"/>
        </w:rPr>
        <w:t xml:space="preserve"> is the electronic charge), </w:t>
      </w:r>
      <m:oMath>
        <m:r>
          <w:rPr>
            <w:rFonts w:hAnsi="Cambria Math"/>
            <w:sz w:val="20"/>
          </w:rPr>
          <m:t>h</m:t>
        </m:r>
        <m:r>
          <w:rPr>
            <w:rFonts w:ascii="Cambria Math"/>
            <w:sz w:val="20"/>
          </w:rPr>
          <m:t>/2</m:t>
        </m:r>
        <m:r>
          <w:rPr>
            <w:rFonts w:ascii="Cambria Math" w:hAnsi="Cambria Math"/>
            <w:sz w:val="20"/>
          </w:rPr>
          <m:t>e</m:t>
        </m:r>
      </m:oMath>
      <w:r w:rsidRPr="00125962">
        <w:rPr>
          <w:sz w:val="20"/>
        </w:rPr>
        <w:t xml:space="preserve"> (the magnetic flux quantum), and </w:t>
      </w:r>
      <m:oMath>
        <m:r>
          <w:rPr>
            <w:rFonts w:ascii="Cambria Math"/>
            <w:sz w:val="20"/>
          </w:rPr>
          <m:t>2</m:t>
        </m:r>
        <m:r>
          <w:rPr>
            <w:rFonts w:ascii="Cambria Math" w:hAnsi="Cambria Math"/>
            <w:sz w:val="20"/>
          </w:rPr>
          <m:t>e</m:t>
        </m:r>
        <m:r>
          <w:rPr>
            <w:rFonts w:ascii="Cambria Math"/>
            <w:sz w:val="20"/>
          </w:rPr>
          <m:t>/</m:t>
        </m:r>
        <m:r>
          <w:rPr>
            <w:rFonts w:ascii="Cambria Math" w:hAnsi="Cambria Math"/>
            <w:sz w:val="20"/>
          </w:rPr>
          <m:t>h</m:t>
        </m:r>
      </m:oMath>
      <w:r w:rsidRPr="00125962">
        <w:rPr>
          <w:sz w:val="20"/>
        </w:rPr>
        <w:t xml:space="preserve"> (the Josephson constant), all show synchronous trends centered around 1970, although measured by different methods than those used to </w:t>
      </w:r>
      <w:proofErr w:type="gramStart"/>
      <w:r w:rsidRPr="00125962">
        <w:rPr>
          <w:sz w:val="20"/>
        </w:rPr>
        <w:t xml:space="preserve">measure </w:t>
      </w:r>
      <m:oMath>
        <w:proofErr w:type="gramEnd"/>
        <m:r>
          <w:rPr>
            <w:rFonts w:hAnsi="Cambria Math"/>
            <w:sz w:val="20"/>
          </w:rPr>
          <m:t>h</m:t>
        </m:r>
      </m:oMath>
      <w:r w:rsidRPr="00125962">
        <w:rPr>
          <w:sz w:val="20"/>
        </w:rPr>
        <w:t>.</w:t>
      </w:r>
    </w:p>
    <w:p w:rsidR="00416D75" w:rsidRDefault="00416D75" w:rsidP="00416D75">
      <w:pPr>
        <w:pStyle w:val="NormPara"/>
        <w:ind w:firstLine="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Invariance of </w:t>
      </w:r>
      <m:oMath>
        <m:r>
          <m:rPr>
            <m:sty m:val="bi"/>
          </m:rPr>
          <w:rPr>
            <w:rFonts w:ascii="Cambria Math" w:hAnsi="Cambria Math" w:cs="Times New Roman"/>
            <w:sz w:val="20"/>
            <w:szCs w:val="20"/>
          </w:rPr>
          <m:t>hc</m:t>
        </m:r>
      </m:oMath>
    </w:p>
    <w:p w:rsidR="00416D75" w:rsidRDefault="00416D75" w:rsidP="00416D75">
      <w:pPr>
        <w:rPr>
          <w:rFonts w:ascii="Book Antiqua" w:hAnsi="Book Antiqua"/>
        </w:rPr>
      </w:pPr>
    </w:p>
    <w:p w:rsidR="00FF698F" w:rsidRDefault="00FF698F" w:rsidP="00FF698F">
      <w:pPr>
        <w:pStyle w:val="NormPara"/>
        <w:ind w:firstLine="720"/>
        <w:rPr>
          <w:sz w:val="20"/>
        </w:rPr>
      </w:pPr>
      <w:r w:rsidRPr="00125962">
        <w:rPr>
          <w:sz w:val="20"/>
        </w:rPr>
        <w:t>A variety of data accumulated from astronomical observations out to the frontiers of the cosmos indicate that</w:t>
      </w:r>
    </w:p>
    <w:p w:rsidR="00FF698F" w:rsidRPr="00125962" w:rsidRDefault="00FF698F" w:rsidP="00FF698F">
      <w:pPr>
        <w:pStyle w:val="NormPara"/>
        <w:ind w:firstLine="270"/>
        <w:rPr>
          <w:sz w:val="20"/>
        </w:rPr>
      </w:pPr>
    </w:p>
    <w:p w:rsidR="00FF698F" w:rsidRPr="00125962" w:rsidRDefault="00FF698F" w:rsidP="00416D75">
      <w:pPr>
        <w:rPr>
          <w:rFonts w:ascii="Book Antiqua" w:hAnsi="Book Antiqua"/>
        </w:rPr>
      </w:pPr>
    </w:p>
    <w:p w:rsidR="00416D75" w:rsidRPr="00125962" w:rsidRDefault="00416D75" w:rsidP="00416D75">
      <w:pPr>
        <w:pStyle w:val="NormPara"/>
        <w:spacing w:before="120"/>
        <w:ind w:firstLine="0"/>
        <w:jc w:val="center"/>
        <w:rPr>
          <w:noProof/>
          <w:sz w:val="20"/>
        </w:rPr>
      </w:pPr>
      <w:r w:rsidRPr="00125962">
        <w:rPr>
          <w:noProof/>
          <w:sz w:val="20"/>
        </w:rPr>
        <w:lastRenderedPageBreak/>
        <w:drawing>
          <wp:inline distT="0" distB="0" distL="0" distR="0">
            <wp:extent cx="3343275" cy="3733800"/>
            <wp:effectExtent l="19050" t="0" r="9525" b="0"/>
            <wp:docPr id="771" name="Picture 5" descr="ValuesOfHO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luesOfHOverE"/>
                    <pic:cNvPicPr>
                      <a:picLocks noChangeAspect="1" noChangeArrowheads="1"/>
                    </pic:cNvPicPr>
                  </pic:nvPicPr>
                  <pic:blipFill>
                    <a:blip r:embed="rId71" cstate="print">
                      <a:lum contrast="20000"/>
                    </a:blip>
                    <a:srcRect/>
                    <a:stretch>
                      <a:fillRect/>
                    </a:stretch>
                  </pic:blipFill>
                  <pic:spPr bwMode="auto">
                    <a:xfrm>
                      <a:off x="0" y="0"/>
                      <a:ext cx="3348878" cy="3740057"/>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left"/>
        <w:rPr>
          <w:szCs w:val="18"/>
        </w:rPr>
      </w:pPr>
    </w:p>
    <w:p w:rsidR="00416D75" w:rsidRPr="00F02364" w:rsidRDefault="00416D75" w:rsidP="00416D75">
      <w:pPr>
        <w:pStyle w:val="NormPara"/>
        <w:spacing w:before="80" w:after="80"/>
        <w:ind w:left="274" w:right="274" w:firstLine="0"/>
        <w:jc w:val="center"/>
        <w:rPr>
          <w:i/>
          <w:color w:val="FF0000"/>
          <w:szCs w:val="18"/>
        </w:rPr>
      </w:pPr>
      <w:r w:rsidRPr="00F02364">
        <w:rPr>
          <w:b/>
          <w:i/>
          <w:szCs w:val="18"/>
        </w:rPr>
        <w:t>Figure 2:</w:t>
      </w:r>
      <w:r w:rsidRPr="00F02364">
        <w:rPr>
          <w:i/>
          <w:szCs w:val="18"/>
        </w:rPr>
        <w:t xml:space="preserve">  Graph of recommended values of </w:t>
      </w:r>
      <m:oMath>
        <m:r>
          <w:rPr>
            <w:rFonts w:ascii="Cambria Math" w:hAnsi="Cambria Math" w:cs="Cambria Math"/>
            <w:szCs w:val="18"/>
          </w:rPr>
          <m:t>h</m:t>
        </m:r>
        <m:r>
          <w:rPr>
            <w:rFonts w:ascii="Cambria Math"/>
            <w:szCs w:val="18"/>
          </w:rPr>
          <m:t>/e</m:t>
        </m:r>
      </m:oMath>
      <w:r w:rsidRPr="00F02364">
        <w:rPr>
          <w:i/>
          <w:szCs w:val="18"/>
        </w:rPr>
        <w:t xml:space="preserve"> [17-29]</w:t>
      </w:r>
    </w:p>
    <w:p w:rsidR="00416D75" w:rsidRDefault="00416D75" w:rsidP="00416D75">
      <w:pPr>
        <w:pStyle w:val="NormPara"/>
        <w:ind w:firstLine="270"/>
        <w:rPr>
          <w:sz w:val="20"/>
        </w:rPr>
      </w:pPr>
    </w:p>
    <w:p w:rsidR="00416D75" w:rsidRPr="00125962" w:rsidRDefault="00416D75" w:rsidP="00416D75">
      <w:pPr>
        <w:pStyle w:val="equation"/>
        <w:spacing w:before="80" w:after="80"/>
        <w:jc w:val="right"/>
        <w:rPr>
          <w:sz w:val="20"/>
        </w:rPr>
      </w:pPr>
      <w:r w:rsidRPr="00125962">
        <w:rPr>
          <w:iCs/>
          <w:sz w:val="20"/>
        </w:rPr>
        <w:tab/>
      </w:r>
      <w:r w:rsidRPr="00125962">
        <w:rPr>
          <w:iCs/>
          <w:position w:val="-6"/>
          <w:sz w:val="20"/>
        </w:rPr>
        <w:object w:dxaOrig="1160" w:dyaOrig="240">
          <v:shape id="_x0000_i1330" type="#_x0000_t75" style="width:57.5pt;height:12.1pt" o:ole="">
            <v:imagedata r:id="rId1162" o:title=""/>
          </v:shape>
          <o:OLEObject Type="Embed" ProgID="Equation.DSMT4" ShapeID="_x0000_i1330" DrawAspect="Content" ObjectID="_1438189142" r:id="rId1163"/>
        </w:object>
      </w:r>
      <w:r w:rsidRPr="00125962">
        <w:rPr>
          <w:sz w:val="20"/>
        </w:rPr>
        <w:t>,</w:t>
      </w:r>
      <w:r w:rsidRPr="00125962">
        <w:rPr>
          <w:i/>
          <w:iCs/>
          <w:sz w:val="20"/>
        </w:rPr>
        <w:t xml:space="preserve"> </w:t>
      </w:r>
      <w:r w:rsidRPr="00125962">
        <w:rPr>
          <w:sz w:val="20"/>
        </w:rPr>
        <w:t xml:space="preserve">so </w:t>
      </w:r>
      <w:proofErr w:type="gramStart"/>
      <w:r w:rsidRPr="00125962">
        <w:rPr>
          <w:sz w:val="20"/>
        </w:rPr>
        <w:t xml:space="preserve">that </w:t>
      </w:r>
      <w:r w:rsidRPr="00125962">
        <w:rPr>
          <w:position w:val="-20"/>
          <w:sz w:val="20"/>
        </w:rPr>
        <w:object w:dxaOrig="480" w:dyaOrig="500">
          <v:shape id="_x0000_i1331" type="#_x0000_t75" style="width:24.2pt;height:24.8pt" o:ole="">
            <v:imagedata r:id="rId1164" o:title=""/>
          </v:shape>
          <o:OLEObject Type="Embed" ProgID="Equation.DSMT4" ShapeID="_x0000_i1331" DrawAspect="Content" ObjectID="_1438189143" r:id="rId1165"/>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(7)</w:t>
      </w:r>
    </w:p>
    <w:p w:rsidR="00416D75" w:rsidRPr="00125962" w:rsidRDefault="00416D75" w:rsidP="00416D75">
      <w:pPr>
        <w:pStyle w:val="NormPara"/>
        <w:ind w:firstLine="720"/>
        <w:rPr>
          <w:sz w:val="20"/>
        </w:rPr>
      </w:pPr>
      <w:r w:rsidRPr="00125962">
        <w:rPr>
          <w:sz w:val="20"/>
        </w:rPr>
        <w:t xml:space="preserve">This conclusion is supported to an accuracy of parts per million. Some of the early experiments were performed by Bahcall and Salpeter [32], Baum and Florentin-Nielsen [33], and Solheim et al [34].  Noerdlinger [35] also obtained the early result that the </w:t>
      </w:r>
      <w:proofErr w:type="gramStart"/>
      <w:r w:rsidRPr="00125962">
        <w:rPr>
          <w:sz w:val="20"/>
        </w:rPr>
        <w:t xml:space="preserve">quantity </w:t>
      </w:r>
      <w:proofErr w:type="gramEnd"/>
      <w:r w:rsidRPr="00125962">
        <w:rPr>
          <w:position w:val="-14"/>
          <w:sz w:val="20"/>
        </w:rPr>
        <w:object w:dxaOrig="1980" w:dyaOrig="380">
          <v:shape id="_x0000_i1332" type="#_x0000_t75" style="width:99.85pt;height:18.15pt" o:ole="">
            <v:imagedata r:id="rId1166" o:title=""/>
          </v:shape>
          <o:OLEObject Type="Embed" ProgID="Equation.DSMT4" ShapeID="_x0000_i1332" DrawAspect="Content" ObjectID="_1438189144" r:id="rId1167"/>
        </w:object>
      </w:r>
      <w:r w:rsidRPr="00125962">
        <w:rPr>
          <w:sz w:val="20"/>
        </w:rPr>
        <w:t xml:space="preserve">, where </w:t>
      </w:r>
      <m:oMath>
        <m:r>
          <w:rPr>
            <w:rFonts w:ascii="Cambria Math" w:hAnsi="Cambria Math"/>
            <w:sz w:val="20"/>
          </w:rPr>
          <m:t>z</m:t>
        </m:r>
      </m:oMath>
      <w:r w:rsidRPr="00125962">
        <w:rPr>
          <w:sz w:val="20"/>
        </w:rPr>
        <w:t xml:space="preserve"> is the redshift of light from distant galaxies. More recently, studies have focused on the fine structure constant, </w:t>
      </w:r>
      <w:r w:rsidRPr="00125962">
        <w:rPr>
          <w:position w:val="-6"/>
          <w:sz w:val="20"/>
        </w:rPr>
        <w:object w:dxaOrig="200" w:dyaOrig="200">
          <v:shape id="_x0000_i1333" type="#_x0000_t75" style="width:10.3pt;height:10.3pt" o:ole="">
            <v:imagedata r:id="rId1168" o:title=""/>
          </v:shape>
          <o:OLEObject Type="Embed" ProgID="Equation.DSMT4" ShapeID="_x0000_i1333" DrawAspect="Content" ObjectID="_1438189145" r:id="rId1169"/>
        </w:object>
      </w:r>
      <w:r w:rsidRPr="00125962">
        <w:rPr>
          <w:i/>
          <w:iCs/>
          <w:sz w:val="20"/>
        </w:rPr>
        <w:t xml:space="preserve"> </w:t>
      </w:r>
      <w:r w:rsidRPr="00125962">
        <w:rPr>
          <w:sz w:val="20"/>
        </w:rPr>
        <w:t xml:space="preserve">[36]. This constant is a combination of four quantities such that </w:t>
      </w:r>
      <w:r w:rsidRPr="00125962">
        <w:rPr>
          <w:position w:val="-16"/>
          <w:sz w:val="20"/>
        </w:rPr>
        <w:object w:dxaOrig="1879" w:dyaOrig="420">
          <v:shape id="_x0000_i1334" type="#_x0000_t75" style="width:93.8pt;height:20.55pt" o:ole="">
            <v:imagedata r:id="rId1170" o:title=""/>
          </v:shape>
          <o:OLEObject Type="Embed" ProgID="Equation.DSMT4" ShapeID="_x0000_i1334" DrawAspect="Content" ObjectID="_1438189146" r:id="rId1171"/>
        </w:object>
      </w:r>
      <w:r w:rsidRPr="00125962">
        <w:rPr>
          <w:sz w:val="20"/>
        </w:rPr>
        <w:t xml:space="preserve"> where </w:t>
      </w:r>
      <m:oMath>
        <m:r>
          <w:rPr>
            <w:rFonts w:ascii="Cambria Math" w:hAnsi="Cambria Math"/>
            <w:sz w:val="20"/>
          </w:rPr>
          <m:t>e</m:t>
        </m:r>
      </m:oMath>
      <w:r w:rsidRPr="00125962">
        <w:rPr>
          <w:i/>
          <w:iCs/>
          <w:sz w:val="20"/>
        </w:rPr>
        <w:t xml:space="preserve"> </w:t>
      </w:r>
      <w:r w:rsidRPr="00125962">
        <w:rPr>
          <w:sz w:val="20"/>
        </w:rPr>
        <w:t xml:space="preserve">is the electronic charge, and </w:t>
      </w:r>
      <w:r w:rsidRPr="00125962">
        <w:rPr>
          <w:position w:val="-6"/>
          <w:sz w:val="20"/>
        </w:rPr>
        <w:object w:dxaOrig="180" w:dyaOrig="200">
          <v:shape id="_x0000_i1335" type="#_x0000_t75" style="width:9.7pt;height:10.3pt" o:ole="">
            <v:imagedata r:id="rId1172" o:title=""/>
          </v:shape>
          <o:OLEObject Type="Embed" ProgID="Equation.DSMT4" ShapeID="_x0000_i1335" DrawAspect="Content" ObjectID="_1438189147" r:id="rId1173"/>
        </w:object>
      </w:r>
      <w:r w:rsidRPr="00125962">
        <w:rPr>
          <w:sz w:val="20"/>
        </w:rPr>
        <w:t xml:space="preserve"> the vacuum permittivity. Early observations have unequivocally shown </w:t>
      </w:r>
      <m:oMath>
        <m:r>
          <w:rPr>
            <w:rFonts w:hAnsi="Cambria Math"/>
            <w:sz w:val="20"/>
          </w:rPr>
          <m:t>h</m:t>
        </m:r>
        <m:r>
          <w:rPr>
            <w:rFonts w:ascii="Cambria Math" w:hAnsi="Cambria Math"/>
            <w:sz w:val="20"/>
          </w:rPr>
          <m:t>c</m:t>
        </m:r>
      </m:oMath>
      <w:r w:rsidRPr="00125962">
        <w:rPr>
          <w:i/>
          <w:iCs/>
          <w:sz w:val="20"/>
        </w:rPr>
        <w:t xml:space="preserve"> </w:t>
      </w:r>
      <w:r w:rsidRPr="00125962">
        <w:rPr>
          <w:sz w:val="20"/>
        </w:rPr>
        <w:t xml:space="preserve">is cosmologically invariant as in (7). However, observational evidence has shown that </w:t>
      </w:r>
      <m:oMath>
        <m:r>
          <w:rPr>
            <w:rFonts w:ascii="Cambria Math" w:hAnsi="Cambria Math"/>
            <w:sz w:val="20"/>
          </w:rPr>
          <m:t>α</m:t>
        </m:r>
      </m:oMath>
      <w:r w:rsidRPr="00125962">
        <w:rPr>
          <w:i/>
          <w:iCs/>
          <w:sz w:val="20"/>
        </w:rPr>
        <w:t xml:space="preserve"> </w:t>
      </w:r>
      <w:r w:rsidRPr="00125962">
        <w:rPr>
          <w:iCs/>
          <w:sz w:val="20"/>
        </w:rPr>
        <w:t xml:space="preserve">is also stable to one part in a million [37].  Given the data that leads to (7), these results </w:t>
      </w:r>
      <w:r w:rsidRPr="00125962">
        <w:rPr>
          <w:sz w:val="20"/>
        </w:rPr>
        <w:t>also require that throughout the cosmos</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iCs/>
          <w:position w:val="-20"/>
          <w:sz w:val="20"/>
        </w:rPr>
        <w:object w:dxaOrig="900" w:dyaOrig="560">
          <v:shape id="_x0000_i1336" type="#_x0000_t75" style="width:44.15pt;height:27.85pt" o:ole="">
            <v:imagedata r:id="rId1174" o:title=""/>
          </v:shape>
          <o:OLEObject Type="Embed" ProgID="Equation.DSMT4" ShapeID="_x0000_i1336" DrawAspect="Content" ObjectID="_1438189148" r:id="rId1175"/>
        </w:object>
      </w:r>
      <w:r w:rsidRPr="00125962">
        <w:rPr>
          <w:iCs/>
          <w:sz w:val="20"/>
        </w:rPr>
        <w:t xml:space="preserve"> .</w: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(8)</w:t>
      </w:r>
    </w:p>
    <w:p w:rsidR="00416D75" w:rsidRPr="00125962" w:rsidRDefault="00416D75" w:rsidP="00416D75">
      <w:pPr>
        <w:pStyle w:val="NormPara"/>
        <w:ind w:firstLine="0"/>
        <w:rPr>
          <w:sz w:val="20"/>
        </w:rPr>
      </w:pPr>
      <w:r w:rsidRPr="00125962">
        <w:rPr>
          <w:sz w:val="20"/>
        </w:rPr>
        <w:t>The basic constancy of (8) over astronomical time was established early on by Dyson [38], Peres [39], Bahcall and Schmidt [40] and Wesson [41].</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These data, which uphold the constancy </w:t>
      </w:r>
      <w:proofErr w:type="gramStart"/>
      <w:r w:rsidRPr="00125962">
        <w:rPr>
          <w:sz w:val="20"/>
        </w:rPr>
        <w:t xml:space="preserve">of </w:t>
      </w:r>
      <w:proofErr w:type="gramEnd"/>
      <w:r w:rsidRPr="00125962">
        <w:rPr>
          <w:position w:val="-6"/>
          <w:sz w:val="20"/>
        </w:rPr>
        <w:object w:dxaOrig="200" w:dyaOrig="200">
          <v:shape id="_x0000_i1337" type="#_x0000_t75" style="width:10.3pt;height:10.3pt" o:ole="">
            <v:imagedata r:id="rId1176" o:title=""/>
          </v:shape>
          <o:OLEObject Type="Embed" ProgID="Equation.DSMT4" ShapeID="_x0000_i1337" DrawAspect="Content" ObjectID="_1438189149" r:id="rId1177"/>
        </w:object>
      </w:r>
      <w:r w:rsidRPr="00125962">
        <w:rPr>
          <w:i/>
          <w:iCs/>
          <w:sz w:val="20"/>
        </w:rPr>
        <w:t xml:space="preserve">, </w:t>
      </w:r>
      <w:r w:rsidRPr="00125962">
        <w:rPr>
          <w:sz w:val="20"/>
        </w:rPr>
        <w:t>are often taken as applying tight restrictions on any variability of the speed of light on a cosmological time scale. This has been the subject of John Webb’s research for a number of years [42]. There have only been very small suspected changes in the value of the fine structure constant</w:t>
      </w:r>
      <w:proofErr w:type="gramStart"/>
      <w:r w:rsidRPr="00125962">
        <w:rPr>
          <w:sz w:val="20"/>
        </w:rPr>
        <w:t xml:space="preserve">, </w:t>
      </w:r>
      <w:proofErr w:type="gramEnd"/>
      <w:r w:rsidRPr="00125962">
        <w:rPr>
          <w:position w:val="-6"/>
          <w:sz w:val="20"/>
        </w:rPr>
        <w:object w:dxaOrig="200" w:dyaOrig="200">
          <v:shape id="_x0000_i1338" type="#_x0000_t75" style="width:10.3pt;height:10.3pt" o:ole="">
            <v:imagedata r:id="rId1178" o:title=""/>
          </v:shape>
          <o:OLEObject Type="Embed" ProgID="Equation.DSMT4" ShapeID="_x0000_i1338" DrawAspect="Content" ObjectID="_1438189150" r:id="rId1179"/>
        </w:object>
      </w:r>
      <w:r w:rsidRPr="00125962">
        <w:rPr>
          <w:sz w:val="20"/>
        </w:rPr>
        <w:t xml:space="preserve">.  For this reason, those holding to a minimalist position regarding the variation of atomic constants have stated that </w:t>
      </w:r>
      <w:r w:rsidRPr="00125962">
        <w:rPr>
          <w:i/>
          <w:sz w:val="20"/>
        </w:rPr>
        <w:t>c</w:t>
      </w:r>
      <w:r w:rsidRPr="00125962">
        <w:rPr>
          <w:sz w:val="20"/>
        </w:rPr>
        <w:t xml:space="preserve"> cannot vary by any more than 1 part in about a million throughout astronomical time.  However, if the ZPE approach is adopted, it is to be </w:t>
      </w:r>
      <w:r w:rsidRPr="00125962">
        <w:rPr>
          <w:sz w:val="20"/>
        </w:rPr>
        <w:lastRenderedPageBreak/>
        <w:t xml:space="preserve">expected that </w:t>
      </w:r>
      <m:oMath>
        <m:r>
          <w:rPr>
            <w:rFonts w:hAnsi="Cambria Math"/>
            <w:sz w:val="20"/>
          </w:rPr>
          <m:t>h</m:t>
        </m:r>
        <m:r>
          <w:rPr>
            <w:rFonts w:ascii="Cambria Math" w:hAnsi="Cambria Math"/>
            <w:sz w:val="20"/>
          </w:rPr>
          <m:t>c</m:t>
        </m:r>
        <m:r>
          <w:rPr>
            <w:rFonts w:ascii="Cambria Math"/>
            <w:sz w:val="20"/>
          </w:rPr>
          <m:t xml:space="preserve"> </m:t>
        </m:r>
      </m:oMath>
      <w:r w:rsidRPr="00125962">
        <w:rPr>
          <w:sz w:val="20"/>
        </w:rPr>
        <w:t xml:space="preserve">will remain fixed, but that the extent of any individual variation in </w:t>
      </w:r>
      <m:oMath>
        <m:r>
          <w:rPr>
            <w:rFonts w:hAnsi="Cambria Math"/>
            <w:sz w:val="20"/>
          </w:rPr>
          <m:t>h</m:t>
        </m:r>
        <m:r>
          <w:rPr>
            <w:rFonts w:ascii="Cambria Math"/>
            <w:sz w:val="20"/>
          </w:rPr>
          <m:t xml:space="preserve"> </m:t>
        </m:r>
      </m:oMath>
      <w:r w:rsidRPr="00125962">
        <w:rPr>
          <w:sz w:val="20"/>
        </w:rPr>
        <w:t xml:space="preserve">and </w:t>
      </w:r>
      <m:oMath>
        <m:r>
          <w:rPr>
            <w:rFonts w:ascii="Cambria Math" w:hAnsi="Cambria Math"/>
            <w:sz w:val="20"/>
          </w:rPr>
          <m:t>c</m:t>
        </m:r>
        <m:r>
          <w:rPr>
            <w:rFonts w:ascii="Cambria Math"/>
            <w:sz w:val="20"/>
          </w:rPr>
          <m:t xml:space="preserve"> </m:t>
        </m:r>
      </m:oMath>
      <w:r w:rsidRPr="00125962">
        <w:rPr>
          <w:sz w:val="20"/>
        </w:rPr>
        <w:t>separately cannot be deduced from these data alone.</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This means that quantities </w:t>
      </w:r>
      <w:proofErr w:type="gramStart"/>
      <w:r w:rsidRPr="00125962">
        <w:rPr>
          <w:sz w:val="20"/>
        </w:rPr>
        <w:t xml:space="preserve">like </w:t>
      </w:r>
      <m:oMath>
        <w:proofErr w:type="gramEnd"/>
        <m:r>
          <w:rPr>
            <w:rFonts w:hAnsi="Cambria Math"/>
            <w:sz w:val="20"/>
          </w:rPr>
          <m:t>h</m:t>
        </m:r>
        <m:r>
          <w:rPr>
            <w:rFonts w:ascii="Cambria Math" w:hAnsi="Cambria Math"/>
            <w:sz w:val="20"/>
          </w:rPr>
          <m:t>c</m:t>
        </m:r>
      </m:oMath>
      <w:r w:rsidRPr="00125962">
        <w:rPr>
          <w:i/>
          <w:sz w:val="20"/>
        </w:rPr>
        <w:t>,</w:t>
      </w:r>
      <w:r w:rsidRPr="00125962">
        <w:rPr>
          <w:sz w:val="20"/>
        </w:rPr>
        <w:t xml:space="preserve"> or the fine structure constant, </w:t>
      </w:r>
      <w:r w:rsidRPr="00125962">
        <w:rPr>
          <w:position w:val="-6"/>
          <w:sz w:val="20"/>
        </w:rPr>
        <w:object w:dxaOrig="200" w:dyaOrig="200">
          <v:shape id="_x0000_i1339" type="#_x0000_t75" style="width:10.3pt;height:10.3pt" o:ole="">
            <v:imagedata r:id="rId1180" o:title=""/>
          </v:shape>
          <o:OLEObject Type="Embed" ProgID="Equation.DSMT4" ShapeID="_x0000_i1339" DrawAspect="Content" ObjectID="_1438189151" r:id="rId1181"/>
        </w:object>
      </w:r>
      <w:r w:rsidRPr="00125962">
        <w:rPr>
          <w:i/>
          <w:sz w:val="20"/>
        </w:rPr>
        <w:t>,</w:t>
      </w:r>
      <w:r w:rsidRPr="00125962">
        <w:rPr>
          <w:sz w:val="20"/>
        </w:rPr>
        <w:t xml:space="preserve"> can themselves be invariant while their component parts may vary synchronously. Wesson was aware of just such a possibility. He wrote: </w:t>
      </w:r>
      <w:r w:rsidRPr="00125962">
        <w:rPr>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125962">
        <w:rPr>
          <w:sz w:val="20"/>
        </w:rPr>
        <w:t xml:space="preserve"> [43, 44]</w:t>
      </w:r>
    </w:p>
    <w:p w:rsidR="00416D75" w:rsidRPr="00125962" w:rsidRDefault="00416D75" w:rsidP="00416D75">
      <w:pPr>
        <w:pStyle w:val="NormPara"/>
        <w:ind w:firstLine="461"/>
        <w:rPr>
          <w:sz w:val="20"/>
        </w:rPr>
      </w:pPr>
    </w:p>
    <w:p w:rsidR="00416D75" w:rsidRPr="00125962" w:rsidRDefault="00416D75" w:rsidP="00416D75">
      <w:pPr>
        <w:pStyle w:val="NormPara"/>
        <w:ind w:firstLine="360"/>
        <w:rPr>
          <w:sz w:val="20"/>
        </w:rPr>
      </w:pPr>
      <w:r w:rsidRPr="00125962">
        <w:rPr>
          <w:sz w:val="20"/>
        </w:rPr>
        <w:t xml:space="preserve">A simple example can be shown with the number “12.”  The total of 12 will remain constant whether we get there by multiplying 1 x 12, 2 x 6, or 3 x 4.  In the same way, </w:t>
      </w:r>
      <w:r w:rsidRPr="00125962">
        <w:rPr>
          <w:i/>
          <w:sz w:val="20"/>
        </w:rPr>
        <w:t>hc</w:t>
      </w:r>
      <w:r w:rsidRPr="00125962">
        <w:rPr>
          <w:sz w:val="20"/>
        </w:rPr>
        <w:t xml:space="preserve"> can remain constant if </w:t>
      </w:r>
      <w:r w:rsidRPr="00125962">
        <w:rPr>
          <w:i/>
          <w:sz w:val="20"/>
        </w:rPr>
        <w:t>h</w:t>
      </w:r>
      <w:r w:rsidRPr="00125962">
        <w:rPr>
          <w:sz w:val="20"/>
        </w:rPr>
        <w:t xml:space="preserve"> increases at the same time </w:t>
      </w:r>
      <w:r w:rsidRPr="00125962">
        <w:rPr>
          <w:i/>
          <w:sz w:val="20"/>
        </w:rPr>
        <w:t>c</w:t>
      </w:r>
      <w:r w:rsidRPr="00125962">
        <w:rPr>
          <w:sz w:val="20"/>
        </w:rPr>
        <w:t xml:space="preserve"> decreases, or vice versa.</w:t>
      </w:r>
    </w:p>
    <w:p w:rsidR="00416D75" w:rsidRPr="00125962" w:rsidRDefault="00416D75" w:rsidP="00416D75">
      <w:pPr>
        <w:pStyle w:val="NormPara"/>
        <w:ind w:firstLine="36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Measured Variation in the Speed of Light, c</w:t>
      </w:r>
    </w:p>
    <w:p w:rsidR="00416D75" w:rsidRPr="00747889" w:rsidRDefault="00416D75" w:rsidP="00416D75">
      <w:pPr>
        <w:pStyle w:val="NoSpacing"/>
        <w:rPr>
          <w:rFonts w:ascii="Book Antiqua" w:hAnsi="Book Antiqua"/>
        </w:rPr>
      </w:pPr>
    </w:p>
    <w:p w:rsidR="00416D75" w:rsidRDefault="00416D75" w:rsidP="00416D75">
      <w:pPr>
        <w:pStyle w:val="NormPara"/>
        <w:ind w:firstLine="270"/>
        <w:rPr>
          <w:sz w:val="20"/>
        </w:rPr>
      </w:pPr>
      <w:r w:rsidRPr="00125962">
        <w:rPr>
          <w:sz w:val="20"/>
        </w:rPr>
        <w:t xml:space="preserve">From the mid 1800’s until the 1940’s, there was ongoing, and sometimes passionate, discussion in scientific journals regarding the fact that the speed of light had been measured as progressively changing. The data which indicated this were the result of </w:t>
      </w:r>
      <w:r w:rsidRPr="00575422">
        <w:rPr>
          <w:sz w:val="20"/>
        </w:rPr>
        <w:t>many</w:t>
      </w:r>
      <w:r>
        <w:rPr>
          <w:color w:val="FF0000"/>
          <w:sz w:val="20"/>
        </w:rPr>
        <w:t xml:space="preserve"> </w:t>
      </w:r>
      <w:r w:rsidRPr="00125962">
        <w:rPr>
          <w:sz w:val="20"/>
        </w:rPr>
        <w:t>hundreds of experiments by a number of methods over many years. Even physicists who had a strong preference for the constancy of atomic quantities</w:t>
      </w:r>
      <w:r>
        <w:rPr>
          <w:sz w:val="20"/>
        </w:rPr>
        <w:t>, like R. T. Birge,</w:t>
      </w:r>
      <w:r w:rsidRPr="00125962">
        <w:rPr>
          <w:sz w:val="20"/>
        </w:rPr>
        <w:t xml:space="preserve"> were forced to agree with Dorsey's admission: “</w:t>
      </w:r>
      <w:r w:rsidRPr="00125962">
        <w:rPr>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125962">
        <w:rPr>
          <w:sz w:val="20"/>
        </w:rPr>
        <w:t>[45]</w:t>
      </w:r>
    </w:p>
    <w:p w:rsidR="003442EA" w:rsidRDefault="003442EA" w:rsidP="00416D75">
      <w:pPr>
        <w:pStyle w:val="NormPara"/>
        <w:ind w:firstLine="270"/>
        <w:rPr>
          <w:sz w:val="20"/>
        </w:rPr>
      </w:pPr>
    </w:p>
    <w:p w:rsidR="00416D75" w:rsidRDefault="00416D75" w:rsidP="00416D75">
      <w:pPr>
        <w:pStyle w:val="NormPara"/>
        <w:ind w:firstLine="270"/>
        <w:rPr>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80"/>
        <w:gridCol w:w="4007"/>
      </w:tblGrid>
      <w:tr w:rsidR="00416D75" w:rsidRPr="00125962" w:rsidTr="003442EA">
        <w:trPr>
          <w:trHeight w:val="2872"/>
          <w:jc w:val="center"/>
        </w:trPr>
        <w:tc>
          <w:tcPr>
            <w:tcW w:w="3040" w:type="dxa"/>
          </w:tcPr>
          <w:p w:rsidR="00416D75" w:rsidRPr="00125962" w:rsidRDefault="00416D75" w:rsidP="003442EA">
            <w:pPr>
              <w:pStyle w:val="NormPara"/>
              <w:ind w:firstLine="0"/>
              <w:jc w:val="left"/>
              <w:rPr>
                <w:sz w:val="20"/>
              </w:rPr>
            </w:pPr>
            <w:r w:rsidRPr="00125962">
              <w:rPr>
                <w:noProof/>
                <w:sz w:val="20"/>
              </w:rPr>
              <w:drawing>
                <wp:inline distT="0" distB="0" distL="0" distR="0">
                  <wp:extent cx="2370684" cy="2609343"/>
                  <wp:effectExtent l="19050" t="0" r="0" b="0"/>
                  <wp:docPr id="42" name="il_fi" descr="http://www.nist.gov/pml/general/curie/images/dorse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ist.gov/pml/general/curie/images/dorsey_1.jpg"/>
                          <pic:cNvPicPr>
                            <a:picLocks noChangeAspect="1" noChangeArrowheads="1"/>
                          </pic:cNvPicPr>
                        </pic:nvPicPr>
                        <pic:blipFill>
                          <a:blip r:embed="rId1182" cstate="print"/>
                          <a:srcRect b="23743"/>
                          <a:stretch>
                            <a:fillRect/>
                          </a:stretch>
                        </pic:blipFill>
                        <pic:spPr bwMode="auto">
                          <a:xfrm>
                            <a:off x="0" y="0"/>
                            <a:ext cx="2376701" cy="2615965"/>
                          </a:xfrm>
                          <a:prstGeom prst="rect">
                            <a:avLst/>
                          </a:prstGeom>
                          <a:noFill/>
                          <a:ln w="9525">
                            <a:noFill/>
                            <a:miter lim="800000"/>
                            <a:headEnd/>
                            <a:tailEnd/>
                          </a:ln>
                        </pic:spPr>
                      </pic:pic>
                    </a:graphicData>
                  </a:graphic>
                </wp:inline>
              </w:drawing>
            </w:r>
          </w:p>
        </w:tc>
        <w:tc>
          <w:tcPr>
            <w:tcW w:w="3066" w:type="dxa"/>
          </w:tcPr>
          <w:p w:rsidR="00416D75" w:rsidRPr="00125962" w:rsidRDefault="00416D75" w:rsidP="003442EA">
            <w:pPr>
              <w:pStyle w:val="NormPara"/>
              <w:ind w:firstLine="0"/>
              <w:jc w:val="left"/>
              <w:rPr>
                <w:sz w:val="20"/>
              </w:rPr>
            </w:pPr>
            <w:r w:rsidRPr="00125962">
              <w:rPr>
                <w:noProof/>
                <w:sz w:val="20"/>
              </w:rPr>
              <w:drawing>
                <wp:inline distT="0" distB="0" distL="0" distR="0">
                  <wp:extent cx="2388179" cy="2612571"/>
                  <wp:effectExtent l="19050" t="0" r="0" b="0"/>
                  <wp:docPr id="43" name="il_fi" descr="http://academictree.org/photo/cache.05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cademictree.org/photo/cache.051961.jpg"/>
                          <pic:cNvPicPr>
                            <a:picLocks noChangeAspect="1" noChangeArrowheads="1"/>
                          </pic:cNvPicPr>
                        </pic:nvPicPr>
                        <pic:blipFill>
                          <a:blip r:embed="rId1183" cstate="print"/>
                          <a:srcRect t="1083" r="29546" b="41203"/>
                          <a:stretch>
                            <a:fillRect/>
                          </a:stretch>
                        </pic:blipFill>
                        <pic:spPr bwMode="auto">
                          <a:xfrm>
                            <a:off x="0" y="0"/>
                            <a:ext cx="2392009" cy="2616761"/>
                          </a:xfrm>
                          <a:prstGeom prst="rect">
                            <a:avLst/>
                          </a:prstGeom>
                          <a:noFill/>
                          <a:ln w="9525">
                            <a:noFill/>
                            <a:miter lim="800000"/>
                            <a:headEnd/>
                            <a:tailEnd/>
                          </a:ln>
                        </pic:spPr>
                      </pic:pic>
                    </a:graphicData>
                  </a:graphic>
                </wp:inline>
              </w:drawing>
            </w:r>
          </w:p>
        </w:tc>
      </w:tr>
      <w:tr w:rsidR="00416D75" w:rsidRPr="00125962" w:rsidTr="003442EA">
        <w:trPr>
          <w:trHeight w:val="578"/>
          <w:jc w:val="center"/>
        </w:trPr>
        <w:tc>
          <w:tcPr>
            <w:tcW w:w="3040" w:type="dxa"/>
          </w:tcPr>
          <w:p w:rsidR="003442EA" w:rsidRDefault="003442EA" w:rsidP="003442EA">
            <w:pPr>
              <w:pStyle w:val="NormPara"/>
              <w:ind w:firstLine="0"/>
              <w:jc w:val="center"/>
              <w:rPr>
                <w:i/>
                <w:sz w:val="20"/>
              </w:rPr>
            </w:pPr>
          </w:p>
          <w:p w:rsidR="00416D75" w:rsidRPr="00125962" w:rsidRDefault="00416D75" w:rsidP="003442EA">
            <w:pPr>
              <w:pStyle w:val="NormPara"/>
              <w:ind w:firstLine="0"/>
              <w:jc w:val="center"/>
              <w:rPr>
                <w:i/>
                <w:sz w:val="20"/>
              </w:rPr>
            </w:pPr>
            <w:r w:rsidRPr="00125962">
              <w:rPr>
                <w:i/>
                <w:sz w:val="20"/>
              </w:rPr>
              <w:t>Noah Ernest Dorsey (1873-1959)</w:t>
            </w:r>
          </w:p>
        </w:tc>
        <w:tc>
          <w:tcPr>
            <w:tcW w:w="3066" w:type="dxa"/>
          </w:tcPr>
          <w:p w:rsidR="003442EA" w:rsidRDefault="003442EA" w:rsidP="003442EA">
            <w:pPr>
              <w:pStyle w:val="NormPara"/>
              <w:ind w:firstLine="0"/>
              <w:jc w:val="center"/>
              <w:rPr>
                <w:i/>
                <w:sz w:val="20"/>
              </w:rPr>
            </w:pPr>
          </w:p>
          <w:p w:rsidR="00416D75" w:rsidRPr="00125962" w:rsidRDefault="00416D75" w:rsidP="003442EA">
            <w:pPr>
              <w:pStyle w:val="NormPara"/>
              <w:ind w:firstLine="0"/>
              <w:jc w:val="center"/>
              <w:rPr>
                <w:i/>
                <w:sz w:val="20"/>
              </w:rPr>
            </w:pPr>
            <w:r w:rsidRPr="00125962">
              <w:rPr>
                <w:i/>
                <w:sz w:val="20"/>
              </w:rPr>
              <w:t>Raymond Thayer Birge (1887-1980)</w:t>
            </w:r>
          </w:p>
        </w:tc>
      </w:tr>
    </w:tbl>
    <w:p w:rsidR="00416D75" w:rsidRPr="00125962" w:rsidRDefault="00416D75" w:rsidP="00416D75">
      <w:pPr>
        <w:pStyle w:val="NormPara"/>
        <w:ind w:firstLine="270"/>
        <w:rPr>
          <w:sz w:val="20"/>
        </w:rPr>
      </w:pPr>
    </w:p>
    <w:p w:rsidR="00416D75"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Dorsey's re-working of the data was not able to avoid that conclusion. Dorsey hoped that by re-working the data and extending its error limits, he would be able to show that the speed of light was actually constant in time. He was not really successful in that exercise. Furthermore the whole rationale of the exercise was proven to be invalid by the Pulkovo data collected using the same instruments with the same errors by seasoned observers over a period of about a century. The Pulkovo aberration results are graphed in Figure 3, and the trend is immediately apparent.</w:t>
      </w:r>
    </w:p>
    <w:p w:rsidR="003442EA" w:rsidRPr="00125962" w:rsidRDefault="003442EA" w:rsidP="00416D75">
      <w:pPr>
        <w:pStyle w:val="NormPara"/>
        <w:ind w:firstLine="720"/>
        <w:rPr>
          <w:sz w:val="20"/>
        </w:rPr>
      </w:pPr>
    </w:p>
    <w:p w:rsidR="00416D75" w:rsidRPr="00125962" w:rsidRDefault="00416D75" w:rsidP="00416D75">
      <w:pPr>
        <w:pStyle w:val="NormPara"/>
        <w:ind w:firstLine="0"/>
        <w:rPr>
          <w:sz w:val="20"/>
        </w:rPr>
      </w:pPr>
    </w:p>
    <w:p w:rsidR="00416D75" w:rsidRPr="00125962" w:rsidRDefault="00416D75" w:rsidP="00416D75">
      <w:pPr>
        <w:pStyle w:val="NoSpacing"/>
        <w:jc w:val="center"/>
        <w:rPr>
          <w:rFonts w:ascii="Book Antiqua" w:hAnsi="Book Antiqua"/>
          <w:bCs/>
          <w:i/>
          <w:iCs/>
          <w:sz w:val="20"/>
        </w:rPr>
      </w:pPr>
      <w:r w:rsidRPr="00125962">
        <w:rPr>
          <w:rFonts w:ascii="Book Antiqua" w:hAnsi="Book Antiqua"/>
          <w:bCs/>
          <w:i/>
          <w:iCs/>
          <w:noProof/>
          <w:sz w:val="20"/>
        </w:rPr>
        <w:drawing>
          <wp:inline distT="0" distB="0" distL="0" distR="0">
            <wp:extent cx="6486215" cy="5647764"/>
            <wp:effectExtent l="19050" t="0" r="9835" b="0"/>
            <wp:docPr id="4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4"/>
              </a:graphicData>
            </a:graphic>
          </wp:inline>
        </w:drawing>
      </w:r>
    </w:p>
    <w:p w:rsidR="00416D75" w:rsidRPr="00125962" w:rsidRDefault="00416D75" w:rsidP="00416D75">
      <w:pPr>
        <w:pStyle w:val="NoSpacing"/>
        <w:jc w:val="both"/>
        <w:rPr>
          <w:rFonts w:ascii="Book Antiqua" w:hAnsi="Book Antiqua"/>
          <w:bCs/>
          <w:i/>
          <w:iCs/>
          <w:sz w:val="20"/>
        </w:rPr>
      </w:pPr>
    </w:p>
    <w:p w:rsidR="00416D75" w:rsidRPr="00125962" w:rsidRDefault="00416D75" w:rsidP="00416D75">
      <w:pPr>
        <w:pStyle w:val="NoSpacing"/>
        <w:rPr>
          <w:rFonts w:ascii="Book Antiqua" w:hAnsi="Book Antiqua"/>
          <w:bCs/>
          <w:iCs/>
          <w:sz w:val="18"/>
          <w:szCs w:val="18"/>
        </w:rPr>
      </w:pPr>
    </w:p>
    <w:p w:rsidR="00416D75" w:rsidRPr="0025044F" w:rsidRDefault="00416D75" w:rsidP="00416D75">
      <w:pPr>
        <w:pStyle w:val="NoSpacing"/>
        <w:rPr>
          <w:rFonts w:ascii="Book Antiqua" w:hAnsi="Book Antiqua"/>
          <w:bCs/>
          <w:i/>
          <w:iCs/>
          <w:sz w:val="18"/>
          <w:szCs w:val="18"/>
        </w:rPr>
      </w:pPr>
      <w:r w:rsidRPr="0025044F">
        <w:rPr>
          <w:rFonts w:ascii="Book Antiqua" w:hAnsi="Book Antiqua"/>
          <w:b/>
          <w:bCs/>
          <w:i/>
          <w:iCs/>
          <w:sz w:val="18"/>
          <w:szCs w:val="18"/>
        </w:rPr>
        <w:t>Figure 3:</w:t>
      </w:r>
      <w:r w:rsidRPr="0025044F">
        <w:rPr>
          <w:rFonts w:ascii="Book Antiqua" w:hAnsi="Book Antiqua"/>
          <w:bCs/>
          <w:i/>
          <w:iCs/>
          <w:sz w:val="18"/>
          <w:szCs w:val="18"/>
        </w:rPr>
        <w:t xml:space="preserve"> Speed of light data from Pulkovo Observatory compared with their 1935 datum line. The first two values come from Bradley and Lindenau using the same method but prior to the opening of Pulkovo. They indicate a consistent trend for higher c values back in time. The least squares linear fit to the data gives a decline in the speed of light, c, of 6.15 km/s per year.</w:t>
      </w:r>
    </w:p>
    <w:p w:rsidR="00416D75" w:rsidRDefault="00416D75" w:rsidP="00416D75">
      <w:pPr>
        <w:pStyle w:val="NormPara"/>
        <w:ind w:firstLine="720"/>
        <w:rPr>
          <w:sz w:val="20"/>
        </w:rPr>
      </w:pPr>
    </w:p>
    <w:p w:rsidR="00416D75" w:rsidRPr="00125962" w:rsidRDefault="00416D75" w:rsidP="00416D75">
      <w:pPr>
        <w:pStyle w:val="NormPara"/>
        <w:ind w:firstLine="0"/>
        <w:rPr>
          <w:sz w:val="20"/>
        </w:rPr>
      </w:pPr>
    </w:p>
    <w:p w:rsidR="00416D75" w:rsidRPr="00125962" w:rsidRDefault="00416D75" w:rsidP="00416D75">
      <w:pPr>
        <w:pStyle w:val="NormPara"/>
        <w:ind w:firstLine="720"/>
        <w:rPr>
          <w:sz w:val="20"/>
        </w:rPr>
      </w:pPr>
      <w:r w:rsidRPr="00125962">
        <w:rPr>
          <w:sz w:val="20"/>
        </w:rPr>
        <w:t xml:space="preserve">In 1927, M.E.J. Gheury de Bray made an initial analysis of the </w:t>
      </w:r>
      <w:r w:rsidRPr="00125962">
        <w:rPr>
          <w:iCs/>
          <w:sz w:val="20"/>
        </w:rPr>
        <w:t>speed of light</w:t>
      </w:r>
      <w:r w:rsidRPr="00125962">
        <w:rPr>
          <w:i/>
          <w:iCs/>
          <w:sz w:val="20"/>
        </w:rPr>
        <w:t xml:space="preserve"> </w:t>
      </w:r>
      <w:r w:rsidRPr="00125962">
        <w:rPr>
          <w:sz w:val="20"/>
        </w:rPr>
        <w:t>data [46].  By April of 1931, after four new determinations, he stated: “</w:t>
      </w:r>
      <w:r w:rsidRPr="00125962">
        <w:rPr>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125962">
        <w:rPr>
          <w:sz w:val="20"/>
        </w:rPr>
        <w:t>[46]. Later that year he said, “</w:t>
      </w:r>
      <w:r w:rsidRPr="00125962">
        <w:rPr>
          <w:i/>
          <w:iCs/>
          <w:sz w:val="20"/>
        </w:rPr>
        <w:t xml:space="preserve">I believe that in any other field of inquiry such a discrepancy between observation and theory would be felt intolerable” </w:t>
      </w:r>
      <w:r w:rsidRPr="00125962">
        <w:rPr>
          <w:sz w:val="20"/>
        </w:rPr>
        <w:t xml:space="preserve">[46]. The </w:t>
      </w:r>
      <w:r w:rsidRPr="00125962">
        <w:rPr>
          <w:i/>
          <w:iCs/>
          <w:sz w:val="20"/>
        </w:rPr>
        <w:t xml:space="preserve">c </w:t>
      </w:r>
      <w:r w:rsidRPr="00125962">
        <w:rPr>
          <w:sz w:val="20"/>
        </w:rPr>
        <w:t>values that Birge, the “keeper of the constants” at UC Berkeley, recommended be accepted in 1941 [47] are in Fig. 4.</w:t>
      </w:r>
    </w:p>
    <w:p w:rsidR="00416D75" w:rsidRPr="00125962" w:rsidRDefault="00416D75" w:rsidP="00416D75">
      <w:pPr>
        <w:pStyle w:val="NormPara"/>
        <w:ind w:firstLine="0"/>
        <w:rPr>
          <w:sz w:val="20"/>
        </w:rPr>
      </w:pPr>
    </w:p>
    <w:p w:rsidR="00416D75" w:rsidRPr="00125962" w:rsidRDefault="00416D75" w:rsidP="00416D75">
      <w:pPr>
        <w:pStyle w:val="NormPara"/>
        <w:ind w:firstLine="270"/>
        <w:jc w:val="center"/>
        <w:rPr>
          <w:noProof/>
          <w:sz w:val="20"/>
        </w:rPr>
      </w:pPr>
      <w:r w:rsidRPr="00125962">
        <w:rPr>
          <w:noProof/>
          <w:sz w:val="20"/>
        </w:rPr>
        <w:lastRenderedPageBreak/>
        <w:drawing>
          <wp:inline distT="0" distB="0" distL="0" distR="0">
            <wp:extent cx="5517737" cy="6057900"/>
            <wp:effectExtent l="19050" t="0" r="6763" b="0"/>
            <wp:docPr id="45"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3" cstate="print">
                      <a:lum contrast="20000"/>
                    </a:blip>
                    <a:srcRect/>
                    <a:stretch>
                      <a:fillRect/>
                    </a:stretch>
                  </pic:blipFill>
                  <pic:spPr bwMode="auto">
                    <a:xfrm>
                      <a:off x="0" y="0"/>
                      <a:ext cx="5518483" cy="6058719"/>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rPr>
          <w:szCs w:val="18"/>
        </w:rPr>
      </w:pPr>
    </w:p>
    <w:p w:rsidR="00416D75" w:rsidRPr="0025044F" w:rsidRDefault="00416D75" w:rsidP="00416D75">
      <w:pPr>
        <w:pStyle w:val="NormPara"/>
        <w:spacing w:before="80" w:after="80"/>
        <w:ind w:right="274" w:firstLine="0"/>
        <w:jc w:val="center"/>
        <w:rPr>
          <w:i/>
          <w:szCs w:val="18"/>
        </w:rPr>
      </w:pPr>
      <w:r w:rsidRPr="0025044F">
        <w:rPr>
          <w:b/>
          <w:i/>
          <w:szCs w:val="18"/>
        </w:rPr>
        <w:t>Figure 4:</w:t>
      </w:r>
      <w:r w:rsidRPr="0025044F">
        <w:rPr>
          <w:i/>
          <w:szCs w:val="18"/>
        </w:rPr>
        <w:t xml:space="preserve">  Experimental c values accepted by Birge</w:t>
      </w:r>
    </w:p>
    <w:p w:rsidR="00416D75" w:rsidRDefault="00416D75" w:rsidP="00416D75">
      <w:pPr>
        <w:pStyle w:val="NormPara"/>
        <w:ind w:firstLine="720"/>
        <w:rPr>
          <w:sz w:val="20"/>
        </w:rPr>
      </w:pPr>
    </w:p>
    <w:p w:rsidR="00416D75" w:rsidRPr="00125962" w:rsidRDefault="00416D75" w:rsidP="00416D75">
      <w:pPr>
        <w:pStyle w:val="NormPara"/>
        <w:ind w:firstLine="720"/>
        <w:rPr>
          <w:noProof/>
          <w:sz w:val="20"/>
        </w:rPr>
      </w:pPr>
      <w:r w:rsidRPr="00125962">
        <w:rPr>
          <w:sz w:val="20"/>
        </w:rPr>
        <w:t xml:space="preserve">In all, thousands of individual experiments, using 17 methods over 330 years resulted in the 163 determinations of </w:t>
      </w:r>
      <w:r w:rsidRPr="00125962">
        <w:rPr>
          <w:i/>
          <w:iCs/>
          <w:sz w:val="20"/>
        </w:rPr>
        <w:t xml:space="preserve">c </w:t>
      </w:r>
      <w:r w:rsidRPr="00125962">
        <w:rPr>
          <w:iCs/>
          <w:sz w:val="20"/>
        </w:rPr>
        <w:t>as published in science journals</w:t>
      </w:r>
      <w:r w:rsidRPr="00125962">
        <w:rPr>
          <w:i/>
          <w:iCs/>
          <w:sz w:val="20"/>
        </w:rPr>
        <w:t xml:space="preserve">.  </w:t>
      </w:r>
      <w:r w:rsidRPr="00125962">
        <w:rPr>
          <w:sz w:val="20"/>
        </w:rPr>
        <w:t xml:space="preserve">These data were documented along with the synchronously changing atomic constants in our initial Report in 1987 [31].  </w:t>
      </w:r>
      <w:r w:rsidRPr="00125962">
        <w:rPr>
          <w:noProof/>
          <w:sz w:val="20"/>
        </w:rPr>
        <w:t>Analysis there showed that the results from each individual method statistically supported a decline in the measured value of the speed of light.  Additionally, all data taken together also revealed that decline. In 1993, Alan Montgomery and Lambert Dolphin did an independent data analysis and came to the same conclusion in an article “Is the Speed of Light Constant in Time?” [48] A graph of their speed of light</w:t>
      </w:r>
      <w:r w:rsidRPr="00125962">
        <w:rPr>
          <w:i/>
          <w:noProof/>
          <w:sz w:val="20"/>
        </w:rPr>
        <w:t xml:space="preserve"> </w:t>
      </w:r>
      <w:r w:rsidRPr="00125962">
        <w:rPr>
          <w:noProof/>
          <w:sz w:val="20"/>
        </w:rPr>
        <w:t xml:space="preserve">values which </w:t>
      </w:r>
    </w:p>
    <w:p w:rsidR="00416D75" w:rsidRPr="00125962" w:rsidRDefault="00416D75" w:rsidP="00416D75">
      <w:pPr>
        <w:pStyle w:val="NormPara"/>
        <w:spacing w:before="120"/>
        <w:ind w:firstLine="0"/>
        <w:jc w:val="center"/>
        <w:rPr>
          <w:noProof/>
          <w:sz w:val="20"/>
        </w:rPr>
      </w:pPr>
      <w:r w:rsidRPr="00125962">
        <w:rPr>
          <w:noProof/>
          <w:sz w:val="20"/>
        </w:rPr>
        <w:lastRenderedPageBreak/>
        <w:drawing>
          <wp:inline distT="0" distB="0" distL="0" distR="0">
            <wp:extent cx="5267325" cy="3329647"/>
            <wp:effectExtent l="19050" t="0" r="9525" b="0"/>
            <wp:docPr id="46" name="Picture 3" descr="SpeedOfLight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edOfLight144"/>
                    <pic:cNvPicPr>
                      <a:picLocks noChangeAspect="1" noChangeArrowheads="1"/>
                    </pic:cNvPicPr>
                  </pic:nvPicPr>
                  <pic:blipFill>
                    <a:blip r:embed="rId75" cstate="print">
                      <a:lum contrast="20000"/>
                    </a:blip>
                    <a:srcRect t="9846" r="1509" b="7529"/>
                    <a:stretch>
                      <a:fillRect/>
                    </a:stretch>
                  </pic:blipFill>
                  <pic:spPr bwMode="auto">
                    <a:xfrm>
                      <a:off x="0" y="0"/>
                      <a:ext cx="5270612" cy="3331725"/>
                    </a:xfrm>
                    <a:prstGeom prst="rect">
                      <a:avLst/>
                    </a:prstGeom>
                    <a:noFill/>
                    <a:ln w="9525">
                      <a:noFill/>
                      <a:miter lim="800000"/>
                      <a:headEnd/>
                      <a:tailEnd/>
                    </a:ln>
                  </pic:spPr>
                </pic:pic>
              </a:graphicData>
            </a:graphic>
          </wp:inline>
        </w:drawing>
      </w:r>
    </w:p>
    <w:p w:rsidR="00416D75" w:rsidRPr="0025044F" w:rsidRDefault="00416D75" w:rsidP="00416D75">
      <w:pPr>
        <w:pStyle w:val="NormPara"/>
        <w:spacing w:before="80" w:after="80"/>
        <w:ind w:right="274" w:firstLine="0"/>
        <w:jc w:val="center"/>
        <w:rPr>
          <w:i/>
          <w:szCs w:val="18"/>
        </w:rPr>
      </w:pPr>
      <w:r w:rsidRPr="0025044F">
        <w:rPr>
          <w:b/>
          <w:i/>
          <w:szCs w:val="18"/>
        </w:rPr>
        <w:t>Figure 5:</w:t>
      </w:r>
      <w:r w:rsidRPr="0025044F">
        <w:rPr>
          <w:i/>
          <w:szCs w:val="18"/>
        </w:rPr>
        <w:t xml:space="preserve"> Graph of Montgomery/Dolphin </w:t>
      </w:r>
      <m:oMath>
        <m:r>
          <w:rPr>
            <w:rFonts w:ascii="Cambria Math"/>
            <w:szCs w:val="18"/>
          </w:rPr>
          <m:t xml:space="preserve">c </m:t>
        </m:r>
      </m:oMath>
      <w:r w:rsidRPr="0025044F">
        <w:rPr>
          <w:i/>
          <w:szCs w:val="18"/>
        </w:rPr>
        <w:t>data with errors below 0.1%. (</w:t>
      </w:r>
      <w:proofErr w:type="gramStart"/>
      <w:r w:rsidRPr="0025044F">
        <w:rPr>
          <w:i/>
          <w:szCs w:val="18"/>
        </w:rPr>
        <w:t>aberration</w:t>
      </w:r>
      <w:proofErr w:type="gramEnd"/>
      <w:r w:rsidRPr="0025044F">
        <w:rPr>
          <w:i/>
          <w:szCs w:val="18"/>
        </w:rPr>
        <w:t xml:space="preserve"> uncorrected)</w:t>
      </w:r>
    </w:p>
    <w:p w:rsidR="00416D75" w:rsidRPr="00125962" w:rsidRDefault="00416D75" w:rsidP="00416D75">
      <w:pPr>
        <w:pStyle w:val="NormPara"/>
        <w:spacing w:before="80" w:after="80"/>
        <w:ind w:right="274" w:firstLine="0"/>
        <w:rPr>
          <w:b/>
          <w:bCs/>
          <w:i/>
          <w:iCs/>
          <w:sz w:val="20"/>
        </w:rPr>
      </w:pPr>
    </w:p>
    <w:p w:rsidR="00416D75" w:rsidRPr="00125962" w:rsidRDefault="00416D75" w:rsidP="00416D75">
      <w:pPr>
        <w:pStyle w:val="NormPara"/>
        <w:ind w:firstLine="0"/>
        <w:jc w:val="center"/>
        <w:rPr>
          <w:sz w:val="20"/>
        </w:rPr>
      </w:pPr>
      <w:r w:rsidRPr="00125962">
        <w:rPr>
          <w:noProof/>
          <w:sz w:val="20"/>
        </w:rPr>
        <w:drawing>
          <wp:inline distT="0" distB="0" distL="0" distR="0">
            <wp:extent cx="5267325" cy="3571875"/>
            <wp:effectExtent l="19050" t="0" r="9525" b="0"/>
            <wp:docPr id="4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5"/>
              </a:graphicData>
            </a:graphic>
          </wp:inline>
        </w:drawing>
      </w:r>
    </w:p>
    <w:p w:rsidR="00416D75" w:rsidRPr="0025044F" w:rsidRDefault="00416D75" w:rsidP="00416D75">
      <w:pPr>
        <w:pStyle w:val="NormalWeb"/>
        <w:jc w:val="center"/>
        <w:rPr>
          <w:rFonts w:ascii="Book Antiqua" w:hAnsi="Book Antiqua"/>
          <w:i/>
          <w:sz w:val="18"/>
          <w:szCs w:val="18"/>
        </w:rPr>
      </w:pPr>
      <w:r w:rsidRPr="0025044F">
        <w:rPr>
          <w:rFonts w:ascii="Book Antiqua" w:hAnsi="Book Antiqua"/>
          <w:b/>
          <w:i/>
          <w:sz w:val="18"/>
          <w:szCs w:val="18"/>
        </w:rPr>
        <w:t>Figure 6:</w:t>
      </w:r>
      <w:r w:rsidRPr="0025044F">
        <w:rPr>
          <w:rFonts w:ascii="Book Antiqua" w:hAnsi="Book Antiqua"/>
          <w:i/>
          <w:sz w:val="18"/>
          <w:szCs w:val="18"/>
        </w:rPr>
        <w:t xml:space="preserve"> Plot of all light-speed data from Ch. 3, Table 17 (aberration corrected).</w:t>
      </w:r>
    </w:p>
    <w:p w:rsidR="00416D75" w:rsidRPr="00125962" w:rsidRDefault="00416D75" w:rsidP="00416D75">
      <w:pPr>
        <w:pStyle w:val="NormPara"/>
        <w:ind w:firstLine="0"/>
        <w:rPr>
          <w:noProof/>
          <w:sz w:val="20"/>
        </w:rPr>
      </w:pPr>
      <w:r w:rsidRPr="00125962">
        <w:rPr>
          <w:noProof/>
          <w:sz w:val="20"/>
        </w:rPr>
        <w:t>had errors that were less than 0.1%  appears in Figure 5. The analysis performed in Chapter 3 here gave the data in Table 17 of that chapter which are graphed in Figure 6.</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What we see in Figs. 1 and 2 for Planck’s constant</w:t>
      </w:r>
      <w:proofErr w:type="gramStart"/>
      <w:r w:rsidRPr="00125962">
        <w:rPr>
          <w:sz w:val="20"/>
        </w:rPr>
        <w:t xml:space="preserve">, </w:t>
      </w:r>
      <m:oMath>
        <w:proofErr w:type="gramEnd"/>
        <m:r>
          <w:rPr>
            <w:rFonts w:hAnsi="Cambria Math"/>
            <w:sz w:val="20"/>
          </w:rPr>
          <m:t>h</m:t>
        </m:r>
      </m:oMath>
      <w:r w:rsidRPr="00125962">
        <w:rPr>
          <w:sz w:val="20"/>
        </w:rPr>
        <w:t>, and in Figs. 3 to 6 for lightspeed,</w:t>
      </w:r>
      <m:oMath>
        <m:r>
          <w:rPr>
            <w:rFonts w:ascii="Cambria Math"/>
            <w:sz w:val="20"/>
          </w:rPr>
          <m:t xml:space="preserve"> </m:t>
        </m:r>
        <m:r>
          <w:rPr>
            <w:rFonts w:ascii="Cambria Math" w:hAnsi="Cambria Math"/>
            <w:sz w:val="20"/>
          </w:rPr>
          <m:t>c</m:t>
        </m:r>
      </m:oMath>
      <w:r w:rsidRPr="00125962">
        <w:rPr>
          <w:sz w:val="20"/>
        </w:rPr>
        <w:t>, is not what would be seen if the only cause for change was due to apparatus whose precision and accuracy were increasing. If increasing accuracy had been the cause, we should see a scatter of data points around the true value, not the one-sided approach seen in these four figures.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Again, a flat point is noted in the data around 1970. It is possible that this consistent feature of the data is associated with the oscillation modes of the cosmos as suggested by Narlikar and Arp. Once the ZPE had built to its maximum, a contracting phase in the universal oscillation would mean the same amount of ZPE would be held in a smaller volume and so its strength would appear greater. The converse is also true. All ZPE-dependent quantities would be affected. In Fig. 7 two modes of oscillation of a system are shown, represented by the red and dark blue lines. However, since oscillation modes are additive, the combined overall oscillation, shown by the light blue line, reveals resultant flat regions. The modes of oscillation of the cosmos are most likely more complex than this illustration. More data and time are needed to determine the precise form of this oscillation.</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6419850" cy="2524125"/>
            <wp:effectExtent l="19050" t="0" r="0" b="0"/>
            <wp:docPr id="48"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9" cstate="print"/>
                    <a:srcRect/>
                    <a:stretch>
                      <a:fillRect/>
                    </a:stretch>
                  </pic:blipFill>
                  <pic:spPr bwMode="auto">
                    <a:xfrm>
                      <a:off x="0" y="0"/>
                      <a:ext cx="6427198" cy="2527014"/>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120"/>
        <w:ind w:firstLine="0"/>
        <w:jc w:val="center"/>
        <w:rPr>
          <w:sz w:val="20"/>
        </w:rPr>
      </w:pPr>
    </w:p>
    <w:p w:rsidR="00416D75" w:rsidRPr="0025044F" w:rsidRDefault="00416D75" w:rsidP="00416D75">
      <w:pPr>
        <w:pStyle w:val="NormPara"/>
        <w:spacing w:before="80" w:after="80"/>
        <w:ind w:right="274" w:firstLine="0"/>
        <w:jc w:val="center"/>
        <w:rPr>
          <w:i/>
          <w:szCs w:val="18"/>
        </w:rPr>
      </w:pPr>
      <w:r w:rsidRPr="0025044F">
        <w:rPr>
          <w:b/>
          <w:i/>
          <w:szCs w:val="18"/>
        </w:rPr>
        <w:t>Figure 7:</w:t>
      </w:r>
      <w:r w:rsidRPr="0025044F">
        <w:rPr>
          <w:i/>
          <w:szCs w:val="18"/>
        </w:rPr>
        <w:t xml:space="preserve">  Two oscillation modes (</w:t>
      </w:r>
      <w:r w:rsidR="00010952">
        <w:rPr>
          <w:i/>
          <w:szCs w:val="18"/>
        </w:rPr>
        <w:t>wave 1 and wave 2</w:t>
      </w:r>
      <w:r w:rsidRPr="0025044F">
        <w:rPr>
          <w:i/>
          <w:szCs w:val="18"/>
        </w:rPr>
        <w:t>) combine to give a flat point</w:t>
      </w:r>
      <w:r w:rsidR="00010952">
        <w:rPr>
          <w:i/>
          <w:szCs w:val="18"/>
        </w:rPr>
        <w:t xml:space="preserve"> in the resultant oscillation (broad line)</w:t>
      </w:r>
      <w:r w:rsidRPr="0025044F">
        <w:rPr>
          <w:i/>
          <w:szCs w:val="18"/>
        </w:rPr>
        <w:t>.</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A change in light speed, however,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is slowing simultaneously. This means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 Therefore, in the wave </w:t>
      </w:r>
      <w:proofErr w:type="gramStart"/>
      <w:r w:rsidRPr="00125962">
        <w:rPr>
          <w:sz w:val="20"/>
        </w:rPr>
        <w:t xml:space="preserve">equation </w:t>
      </w:r>
      <w:proofErr w:type="gramEnd"/>
      <w:r w:rsidRPr="00125962">
        <w:rPr>
          <w:position w:val="-10"/>
          <w:sz w:val="20"/>
        </w:rPr>
        <w:object w:dxaOrig="660" w:dyaOrig="280">
          <v:shape id="_x0000_i1340" type="#_x0000_t75" style="width:33.3pt;height:14.5pt" o:ole="">
            <v:imagedata r:id="rId1186" o:title=""/>
          </v:shape>
          <o:OLEObject Type="Embed" ProgID="Equation.DSMT4" ShapeID="_x0000_i1340" DrawAspect="Content" ObjectID="_1438189152" r:id="rId1187"/>
        </w:object>
      </w:r>
      <w:r w:rsidRPr="00125962">
        <w:rPr>
          <w:sz w:val="20"/>
        </w:rPr>
        <w:t xml:space="preserve">, where </w:t>
      </w:r>
      <m:oMath>
        <m:r>
          <w:rPr>
            <w:rFonts w:ascii="Cambria Math" w:hAnsi="Cambria Math"/>
            <w:sz w:val="20"/>
          </w:rPr>
          <m:t>c</m:t>
        </m:r>
        <m:r>
          <w:rPr>
            <w:rFonts w:ascii="Cambria Math"/>
            <w:sz w:val="20"/>
          </w:rPr>
          <m:t xml:space="preserve"> </m:t>
        </m:r>
      </m:oMath>
      <w:r w:rsidRPr="00125962">
        <w:rPr>
          <w:sz w:val="20"/>
        </w:rPr>
        <w:t>is light-speed,</w:t>
      </w:r>
      <m:oMath>
        <m:r>
          <w:rPr>
            <w:rFonts w:ascii="Cambria Math"/>
            <w:sz w:val="20"/>
          </w:rPr>
          <m:t xml:space="preserve"> </m:t>
        </m:r>
        <m:r>
          <w:rPr>
            <w:rFonts w:ascii="Cambria Math" w:hAnsi="Cambria Math"/>
            <w:sz w:val="20"/>
          </w:rPr>
          <m:t>f</m:t>
        </m:r>
        <m:r>
          <w:rPr>
            <w:rFonts w:ascii="Cambria Math"/>
            <w:sz w:val="20"/>
          </w:rPr>
          <m:t xml:space="preserve"> </m:t>
        </m:r>
      </m:oMath>
      <w:r w:rsidRPr="00125962">
        <w:rPr>
          <w:sz w:val="20"/>
        </w:rPr>
        <w:t xml:space="preserve">is frequency and </w:t>
      </w:r>
      <m:oMath>
        <m:r>
          <w:rPr>
            <w:rFonts w:ascii="Cambria Math" w:hAnsi="Cambria Math"/>
            <w:sz w:val="20"/>
          </w:rPr>
          <m:t>W</m:t>
        </m:r>
      </m:oMath>
      <w:r w:rsidRPr="00125962">
        <w:rPr>
          <w:sz w:val="20"/>
        </w:rPr>
        <w:t xml:space="preserve"> is wavelength, a constant. This means that</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10"/>
          <w:sz w:val="20"/>
        </w:rPr>
        <w:object w:dxaOrig="460" w:dyaOrig="280">
          <v:shape id="_x0000_i1341" type="#_x0000_t75" style="width:22.4pt;height:14.5pt" o:ole="">
            <v:imagedata r:id="rId1188" o:title=""/>
          </v:shape>
          <o:OLEObject Type="Embed" ProgID="Equation.DSMT4" ShapeID="_x0000_i1341" DrawAspect="Content" ObjectID="_1438189153" r:id="rId118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(9)</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Martin and Connor point out that there is no refraction or “bending” of the light beam if the wavelengths remain constant or are not “bunched up” in the new medium [49]. This means that there will be no refraction of light with any universal ZPE changes, since all wavelengths remain constant.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lastRenderedPageBreak/>
        <w:t>The ZPE, Atomic Masses and Atomic Time</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Origin for Atomic Mass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order to understand how the ZPE affects atomic time, atomic mass has to be defined.  There are a number of problems associated with standard models for atomic masses. Many modern theories envisage the sub-atomic particles (which Feynman referred to as ‘partons’)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The problem was basically overcome after 1962, with the development of Stochastic Electrodynamics (SED physics). Contrary to Quantum Electrodynamics (QED physics), SED physics accepts a real physical Zero Point Energy.  It is seen as pervading the whole cosmos, instead of it being a mere mathematical abstraction.</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SED considers the ZPE itself as the agency that imparts mass to all subatomic particles. SED physicists note that the electromagnetic waves of the ZPE impinge upon all charged, massless particles. This causes them to jitter in a random manner similar to what we see in the Brownian motion of a dust particle bombarded by molecules of air. Schrödinger referred to this “jitter motion” by its German equivalent word, </w:t>
      </w:r>
      <w:r w:rsidRPr="00125962">
        <w:rPr>
          <w:i/>
          <w:iCs/>
          <w:sz w:val="20"/>
        </w:rPr>
        <w:t>Zitterbewegung</w:t>
      </w:r>
      <w:r w:rsidRPr="00125962">
        <w:rPr>
          <w:sz w:val="20"/>
        </w:rPr>
        <w:t xml:space="preserve">.  Dirac pointed out that the </w:t>
      </w:r>
      <w:r w:rsidRPr="00125962">
        <w:rPr>
          <w:i/>
          <w:iCs/>
          <w:sz w:val="20"/>
        </w:rPr>
        <w:t>Zitterbewegung</w:t>
      </w:r>
      <w:r w:rsidRPr="00125962">
        <w:rPr>
          <w:iCs/>
          <w:sz w:val="20"/>
        </w:rPr>
        <w:t xml:space="preserve"> jitter </w:t>
      </w:r>
      <w:r w:rsidRPr="00125962">
        <w:rPr>
          <w:sz w:val="20"/>
        </w:rPr>
        <w:t xml:space="preserve">occurs either at, or very close to, the speed of light. This conclusion has been sustained by recent studies and the term "ultra-relativistic" has been used to describe it [50, 51].  The physical reality of the </w:t>
      </w:r>
      <w:r w:rsidRPr="00125962">
        <w:rPr>
          <w:i/>
          <w:sz w:val="20"/>
        </w:rPr>
        <w:t>Zitterbewegung</w:t>
      </w:r>
      <w:r w:rsidRPr="00125962">
        <w:rPr>
          <w:sz w:val="20"/>
        </w:rPr>
        <w:t xml:space="preserve"> was demonstrated experimentally in 2010 with calcium ions by Roos and colleagues; Gerritsma was the lead author of the report [52].</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Hal Puthoff explains what happens according to SED physics</w:t>
      </w:r>
      <w:proofErr w:type="gramStart"/>
      <w:r w:rsidRPr="00125962">
        <w:rPr>
          <w:sz w:val="20"/>
        </w:rPr>
        <w:t>:</w:t>
      </w:r>
      <w:r w:rsidRPr="00125962">
        <w:rPr>
          <w:i/>
          <w:iCs/>
          <w:sz w:val="20"/>
        </w:rPr>
        <w:t>“</w:t>
      </w:r>
      <w:proofErr w:type="gramEnd"/>
      <w:r w:rsidRPr="00125962">
        <w:rPr>
          <w:i/>
          <w:iCs/>
          <w:sz w:val="20"/>
        </w:rPr>
        <w:t xml:space="preserve">In this view the particle mass </w:t>
      </w:r>
      <w:r w:rsidRPr="00125962">
        <w:rPr>
          <w:b/>
          <w:i/>
          <w:sz w:val="20"/>
        </w:rPr>
        <w:t>m</w:t>
      </w:r>
      <w:r w:rsidRPr="00125962">
        <w:rPr>
          <w:sz w:val="20"/>
        </w:rPr>
        <w:t xml:space="preserve"> </w:t>
      </w:r>
      <w:r w:rsidRPr="00125962">
        <w:rPr>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125962">
        <w:rPr>
          <w:sz w:val="20"/>
        </w:rPr>
        <w:t xml:space="preserve">[53] As a result, it has been stated that, even if it is found to exist, </w:t>
      </w:r>
      <w:r w:rsidRPr="00125962">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125962">
        <w:rPr>
          <w:sz w:val="20"/>
        </w:rPr>
        <w:t xml:space="preserve"> [54] The calculations of SED physicists quantitatively support this view.</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The formulations of Haisch, Rueda and Puthoff show the parton’s rest mass</w:t>
      </w:r>
      <w:proofErr w:type="gramStart"/>
      <w:r w:rsidRPr="00125962">
        <w:rPr>
          <w:sz w:val="20"/>
        </w:rPr>
        <w:t xml:space="preserve">, </w:t>
      </w:r>
      <m:oMath>
        <w:proofErr w:type="gramEnd"/>
        <m:r>
          <w:rPr>
            <w:rFonts w:ascii="Cambria Math" w:hAnsi="Cambria Math"/>
            <w:sz w:val="20"/>
          </w:rPr>
          <m:t>m</m:t>
        </m:r>
      </m:oMath>
      <w:r w:rsidRPr="00125962">
        <w:rPr>
          <w:sz w:val="20"/>
        </w:rPr>
        <w:t>, of ZPE origin is given by [55, 56].</w:t>
      </w:r>
    </w:p>
    <w:p w:rsidR="00416D75" w:rsidRPr="00125962" w:rsidRDefault="00416D75" w:rsidP="00416D75">
      <w:pPr>
        <w:pStyle w:val="equation"/>
        <w:spacing w:before="80" w:after="80"/>
        <w:jc w:val="right"/>
        <w:rPr>
          <w:sz w:val="20"/>
        </w:rPr>
      </w:pPr>
      <w:r w:rsidRPr="00125962">
        <w:rPr>
          <w:sz w:val="20"/>
        </w:rPr>
        <w:tab/>
      </w:r>
      <w:r w:rsidRPr="00125962">
        <w:rPr>
          <w:position w:val="-22"/>
          <w:sz w:val="20"/>
        </w:rPr>
        <w:object w:dxaOrig="2100" w:dyaOrig="580">
          <v:shape id="_x0000_i1342" type="#_x0000_t75" style="width:105.9pt;height:29.65pt" o:ole="">
            <v:imagedata r:id="rId1190" o:title=""/>
          </v:shape>
          <o:OLEObject Type="Embed" ProgID="Equation.DSMT4" ShapeID="_x0000_i1342" DrawAspect="Content" ObjectID="_1438189154" r:id="rId1191"/>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(10)</w:t>
      </w:r>
    </w:p>
    <w:p w:rsidR="00416D75" w:rsidRPr="00125962" w:rsidRDefault="00416D75" w:rsidP="00416D75">
      <w:pPr>
        <w:pStyle w:val="NormPara"/>
        <w:ind w:firstLine="720"/>
        <w:rPr>
          <w:sz w:val="20"/>
        </w:rPr>
      </w:pPr>
      <w:r w:rsidRPr="00125962">
        <w:rPr>
          <w:sz w:val="20"/>
        </w:rPr>
        <w:t xml:space="preserve">In Eq. (10), </w:t>
      </w:r>
      <w:r w:rsidRPr="00125962">
        <w:rPr>
          <w:position w:val="-6"/>
          <w:sz w:val="20"/>
        </w:rPr>
        <w:object w:dxaOrig="200" w:dyaOrig="200">
          <v:shape id="_x0000_i1343" type="#_x0000_t75" style="width:10.3pt;height:10.3pt" o:ole="">
            <v:imagedata r:id="rId1192" o:title=""/>
          </v:shape>
          <o:OLEObject Type="Embed" ProgID="Equation.DSMT4" ShapeID="_x0000_i1343" DrawAspect="Content" ObjectID="_1438189155" r:id="rId1193"/>
        </w:object>
      </w:r>
      <w:r w:rsidRPr="00125962">
        <w:rPr>
          <w:sz w:val="20"/>
        </w:rPr>
        <w:t xml:space="preserve"> is the </w:t>
      </w:r>
      <w:r w:rsidRPr="00125962">
        <w:rPr>
          <w:rStyle w:val="Emphasis"/>
          <w:sz w:val="20"/>
        </w:rPr>
        <w:t xml:space="preserve">Zitterbewegung </w:t>
      </w:r>
      <w:r w:rsidRPr="00125962">
        <w:rPr>
          <w:sz w:val="20"/>
        </w:rPr>
        <w:t xml:space="preserve">oscillation frequency of the particle, while </w:t>
      </w:r>
      <w:r w:rsidRPr="00125962">
        <w:rPr>
          <w:position w:val="-4"/>
          <w:sz w:val="20"/>
        </w:rPr>
        <w:object w:dxaOrig="180" w:dyaOrig="200">
          <v:shape id="_x0000_i1344" type="#_x0000_t75" style="width:9.7pt;height:10.3pt" o:ole="">
            <v:imagedata r:id="rId1194" o:title=""/>
          </v:shape>
          <o:OLEObject Type="Embed" ProgID="Equation.DSMT4" ShapeID="_x0000_i1344" DrawAspect="Content" ObjectID="_1438189157" r:id="rId1195"/>
        </w:object>
      </w:r>
      <w:r w:rsidRPr="00125962">
        <w:rPr>
          <w:sz w:val="20"/>
        </w:rPr>
        <w:t>is the Abraham-Lorentz damping constant of the parton. The proportionalities in (10) hold because the terms [</w:t>
      </w:r>
      <w:r w:rsidRPr="00125962">
        <w:rPr>
          <w:position w:val="-6"/>
          <w:sz w:val="20"/>
        </w:rPr>
        <w:object w:dxaOrig="480" w:dyaOrig="300">
          <v:shape id="_x0000_i1345" type="#_x0000_t75" style="width:24.2pt;height:15.15pt" o:ole="">
            <v:imagedata r:id="rId1196" o:title=""/>
          </v:shape>
          <o:OLEObject Type="Embed" ProgID="Equation.DSMT4" ShapeID="_x0000_i1345" DrawAspect="Content" ObjectID="_1438189158" r:id="rId1197"/>
        </w:object>
      </w:r>
      <w:r w:rsidRPr="00125962">
        <w:rPr>
          <w:sz w:val="20"/>
        </w:rPr>
        <w:t xml:space="preserve">] which make up the numerator of (10) can be shown to remain constant in a changing ZPE scenario [57].  From (10) it can be seen that energy, </w:t>
      </w:r>
      <w:r w:rsidRPr="00125962">
        <w:rPr>
          <w:i/>
          <w:sz w:val="20"/>
        </w:rPr>
        <w:t>E</w:t>
      </w:r>
      <w:r w:rsidRPr="00125962">
        <w:rPr>
          <w:sz w:val="20"/>
        </w:rPr>
        <w:t xml:space="preserve">, will be conserved with any change in ZPE strength since atomic masses are changing as the inverse square of the speed of light. Thus, energy </w:t>
      </w:r>
      <w:r w:rsidRPr="00125962">
        <w:rPr>
          <w:position w:val="-6"/>
          <w:sz w:val="20"/>
        </w:rPr>
        <w:object w:dxaOrig="660" w:dyaOrig="300">
          <v:shape id="_x0000_i1346" type="#_x0000_t75" style="width:33.3pt;height:15.15pt" o:ole="">
            <v:imagedata r:id="rId1198" o:title=""/>
          </v:shape>
          <o:OLEObject Type="Embed" ProgID="Equation.DSMT4" ShapeID="_x0000_i1346" DrawAspect="Content" ObjectID="_1438189159" r:id="rId1199"/>
        </w:object>
      </w:r>
      <w:r w:rsidRPr="00125962">
        <w:rPr>
          <w:sz w:val="20"/>
        </w:rPr>
        <w:t xml:space="preserve"> will remain constant.</w:t>
      </w:r>
    </w:p>
    <w:p w:rsidR="00416D75" w:rsidRPr="00125962"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Experimentally, the recommended values of the electron rest-mass</w:t>
      </w:r>
      <w:proofErr w:type="gramStart"/>
      <w:r w:rsidRPr="00125962">
        <w:rPr>
          <w:sz w:val="20"/>
        </w:rPr>
        <w:t xml:space="preserve">, </w:t>
      </w:r>
      <m:oMath>
        <w:proofErr w:type="gramEnd"/>
        <m:r>
          <w:rPr>
            <w:rFonts w:ascii="Cambria Math" w:hAnsi="Cambria Math"/>
            <w:sz w:val="20"/>
          </w:rPr>
          <m:t>m</m:t>
        </m:r>
      </m:oMath>
      <w:r w:rsidRPr="00125962">
        <w:rPr>
          <w:sz w:val="20"/>
        </w:rPr>
        <w:t xml:space="preserve">, support the contention that the ZPE strength was increasing up to about 1970. The graph of these recommended values is given in Fig. 8. </w:t>
      </w:r>
    </w:p>
    <w:p w:rsidR="00416D75"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A similar graph could be drawn of recommended rest-mass values</w:t>
      </w:r>
      <w:proofErr w:type="gramStart"/>
      <w:r w:rsidRPr="00125962">
        <w:rPr>
          <w:sz w:val="20"/>
        </w:rPr>
        <w:t xml:space="preserve">, </w:t>
      </w:r>
      <m:oMath>
        <w:proofErr w:type="gramEnd"/>
        <m:r>
          <w:rPr>
            <w:rFonts w:ascii="Cambria Math" w:hAnsi="Cambria Math"/>
            <w:sz w:val="20"/>
          </w:rPr>
          <m:t>m</m:t>
        </m:r>
      </m:oMath>
      <w:r w:rsidRPr="00125962">
        <w:rPr>
          <w:sz w:val="20"/>
        </w:rPr>
        <w:t>, for the proton. A “flat point” occurs around 1970 supporting the Narlikar-Arp oscillation idea.</w:t>
      </w:r>
    </w:p>
    <w:p w:rsidR="00416D75" w:rsidRDefault="00416D75" w:rsidP="00416D75">
      <w:pPr>
        <w:pStyle w:val="NormPara"/>
        <w:ind w:firstLine="720"/>
        <w:rPr>
          <w:sz w:val="20"/>
        </w:rPr>
      </w:pPr>
    </w:p>
    <w:p w:rsidR="00416D75" w:rsidRDefault="00416D75" w:rsidP="00416D75">
      <w:pPr>
        <w:pStyle w:val="NormPara"/>
        <w:ind w:firstLine="720"/>
        <w:rPr>
          <w:sz w:val="20"/>
        </w:rPr>
      </w:pPr>
    </w:p>
    <w:p w:rsidR="00416D75" w:rsidRDefault="00416D75" w:rsidP="00416D75">
      <w:pPr>
        <w:pStyle w:val="NormPara"/>
        <w:ind w:firstLine="720"/>
        <w:rPr>
          <w:sz w:val="20"/>
        </w:rPr>
      </w:pPr>
    </w:p>
    <w:p w:rsidR="00416D75" w:rsidRPr="00125962" w:rsidRDefault="00416D75" w:rsidP="00416D75">
      <w:pPr>
        <w:pStyle w:val="NormPara"/>
        <w:ind w:firstLine="0"/>
        <w:jc w:val="center"/>
        <w:rPr>
          <w:sz w:val="20"/>
        </w:rPr>
      </w:pPr>
      <w:r w:rsidRPr="00125962">
        <w:rPr>
          <w:noProof/>
          <w:sz w:val="20"/>
        </w:rPr>
        <w:lastRenderedPageBreak/>
        <w:drawing>
          <wp:inline distT="0" distB="0" distL="0" distR="0">
            <wp:extent cx="4629791" cy="5517136"/>
            <wp:effectExtent l="19050" t="0" r="0" b="0"/>
            <wp:docPr id="49" name="Picture 148" descr="E:\ElectronRestMass.jpg"/>
            <wp:cNvGraphicFramePr/>
            <a:graphic xmlns:a="http://schemas.openxmlformats.org/drawingml/2006/main">
              <a:graphicData uri="http://schemas.openxmlformats.org/drawingml/2006/picture">
                <pic:pic xmlns:pic="http://schemas.openxmlformats.org/drawingml/2006/picture">
                  <pic:nvPicPr>
                    <pic:cNvPr id="4" name="Picture 3" descr="E:\ElectronRestMass.jpg"/>
                    <pic:cNvPicPr/>
                  </pic:nvPicPr>
                  <pic:blipFill>
                    <a:blip r:embed="rId160" cstate="print">
                      <a:lum contrast="20000"/>
                    </a:blip>
                    <a:srcRect/>
                    <a:stretch>
                      <a:fillRect/>
                    </a:stretch>
                  </pic:blipFill>
                  <pic:spPr bwMode="auto">
                    <a:xfrm>
                      <a:off x="0" y="0"/>
                      <a:ext cx="4635935" cy="5524457"/>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jc w:val="left"/>
        <w:rPr>
          <w:szCs w:val="18"/>
        </w:rPr>
      </w:pPr>
    </w:p>
    <w:p w:rsidR="00416D75" w:rsidRPr="0025044F" w:rsidRDefault="00416D75" w:rsidP="00416D75">
      <w:pPr>
        <w:pStyle w:val="NormPara"/>
        <w:spacing w:before="80" w:after="80"/>
        <w:ind w:right="274" w:firstLine="0"/>
        <w:jc w:val="center"/>
        <w:rPr>
          <w:i/>
          <w:color w:val="FF0000"/>
          <w:szCs w:val="18"/>
        </w:rPr>
      </w:pPr>
      <w:r w:rsidRPr="0025044F">
        <w:rPr>
          <w:b/>
          <w:i/>
          <w:szCs w:val="18"/>
        </w:rPr>
        <w:t>Figure 8:</w:t>
      </w:r>
      <w:r w:rsidRPr="0025044F">
        <w:rPr>
          <w:i/>
          <w:szCs w:val="18"/>
        </w:rPr>
        <w:t xml:space="preserve">  Recommended values of electron rest mass, m [17-29]</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Atomic Frequencies and Atomic Clocks</w:t>
      </w:r>
    </w:p>
    <w:p w:rsidR="00416D75" w:rsidRPr="00747889" w:rsidRDefault="00416D75" w:rsidP="00416D75">
      <w:pPr>
        <w:pStyle w:val="NoSpacing"/>
        <w:rPr>
          <w:rFonts w:ascii="Book Antiqua" w:hAnsi="Book Antiqua"/>
        </w:rPr>
      </w:pPr>
    </w:p>
    <w:p w:rsidR="00416D75" w:rsidRPr="00125962" w:rsidRDefault="00416D75" w:rsidP="00416D75">
      <w:pPr>
        <w:pStyle w:val="NormPara"/>
        <w:ind w:firstLine="270"/>
        <w:rPr>
          <w:sz w:val="20"/>
        </w:rPr>
      </w:pPr>
      <w:r w:rsidRPr="00125962">
        <w:rPr>
          <w:sz w:val="20"/>
        </w:rPr>
        <w:t xml:space="preserve">From 1750 to 1960 light-speed was measured as varying. Since the use of interferometers in the 1800’s there have been no observed changes in the standard wavelengths of light. Neither have there been fringe-shifts recorded by them. Birge admitted that this allowed only one conclusion. He said: </w:t>
      </w:r>
      <w:r w:rsidRPr="00125962">
        <w:rPr>
          <w:i/>
          <w:iCs/>
          <w:sz w:val="20"/>
        </w:rPr>
        <w:t xml:space="preserve">“if the value of </w:t>
      </w:r>
      <m:oMath>
        <m:r>
          <w:rPr>
            <w:rFonts w:ascii="Cambria Math" w:hAnsi="Cambria Math"/>
            <w:sz w:val="20"/>
          </w:rPr>
          <m:t>c</m:t>
        </m:r>
      </m:oMath>
      <w:r w:rsidRPr="00125962">
        <w:rPr>
          <w:i/>
          <w:iCs/>
          <w:sz w:val="20"/>
        </w:rPr>
        <w:t xml:space="preserve"> … is actually changing with time, but the value of</w:t>
      </w:r>
      <m:oMath>
        <m:r>
          <w:rPr>
            <w:rFonts w:ascii="Cambria Math"/>
            <w:sz w:val="20"/>
          </w:rPr>
          <m:t xml:space="preserve"> </m:t>
        </m:r>
        <m:r>
          <w:rPr>
            <w:rFonts w:ascii="Cambria Math" w:hAnsi="Cambria Math"/>
            <w:sz w:val="20"/>
          </w:rPr>
          <m:t>λ</m:t>
        </m:r>
      </m:oMath>
      <w:r w:rsidRPr="00125962">
        <w:rPr>
          <w:sz w:val="20"/>
        </w:rPr>
        <w:t xml:space="preserve"> </w:t>
      </w:r>
      <w:r w:rsidRPr="00125962">
        <w:rPr>
          <w:i/>
          <w:iCs/>
          <w:sz w:val="20"/>
        </w:rPr>
        <w:t xml:space="preserve">in terms of the standard metre shows no corresponding change, then it necessarily follows that the value of every atomic frequency ... must be changing.” </w:t>
      </w:r>
      <w:r w:rsidRPr="00125962">
        <w:rPr>
          <w:sz w:val="20"/>
        </w:rPr>
        <w:t xml:space="preserve">[58] This is in accord with Eq. (9). In order to see why Birge’s comment is correct, let us apply (10) to electrons in orbits and nucleons in orbitals. The kinetic energy of these particles is given by </w:t>
      </w:r>
      <m:oMath>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xml:space="preserve"> where </w:t>
      </w:r>
      <m:oMath>
        <m:r>
          <w:rPr>
            <w:rFonts w:ascii="Cambria Math" w:hAnsi="Cambria Math"/>
            <w:sz w:val="20"/>
          </w:rPr>
          <m:t>v</m:t>
        </m:r>
      </m:oMath>
      <w:r w:rsidRPr="00125962">
        <w:rPr>
          <w:sz w:val="20"/>
        </w:rPr>
        <w:t xml:space="preserve"> is the tangential velocity. If </w:t>
      </w:r>
      <m:oMath>
        <m:r>
          <w:rPr>
            <w:rFonts w:ascii="Cambria Math" w:hAnsi="Cambria Math"/>
            <w:sz w:val="20"/>
          </w:rPr>
          <m:t>m</m:t>
        </m:r>
      </m:oMath>
      <w:r w:rsidRPr="00125962">
        <w:rPr>
          <w:sz w:val="20"/>
        </w:rPr>
        <w:t xml:space="preserve"> varies as </w:t>
      </w:r>
      <m:oMath>
        <m:r>
          <w:rPr>
            <w:rFonts w:ascii="Cambria Math"/>
            <w:sz w:val="20"/>
          </w:rPr>
          <m:t>1/</m:t>
        </m:r>
        <m:sSup>
          <m:sSupPr>
            <m:ctrlPr>
              <w:rPr>
                <w:rFonts w:ascii="Cambria Math" w:hAnsi="Cambria Math"/>
                <w:i/>
                <w:sz w:val="20"/>
              </w:rPr>
            </m:ctrlPr>
          </m:sSupPr>
          <m:e>
            <m:r>
              <w:rPr>
                <w:rFonts w:ascii="Cambria Math" w:hAnsi="Cambria Math"/>
                <w:sz w:val="20"/>
              </w:rPr>
              <m:t>c</m:t>
            </m:r>
          </m:e>
          <m:sup>
            <m:r>
              <w:rPr>
                <w:rFonts w:ascii="Cambria Math"/>
                <w:sz w:val="20"/>
              </w:rPr>
              <m:t>2</m:t>
            </m:r>
          </m:sup>
        </m:sSup>
      </m:oMath>
      <w:r w:rsidRPr="00125962">
        <w:rPr>
          <w:sz w:val="20"/>
        </w:rPr>
        <w:t xml:space="preserve"> it follows that </w:t>
      </w:r>
      <m:oMath>
        <m:r>
          <w:rPr>
            <w:rFonts w:ascii="Cambria Math" w:hAnsi="Cambria Math"/>
            <w:sz w:val="20"/>
          </w:rPr>
          <m:t>v</m:t>
        </m:r>
      </m:oMath>
      <w:r w:rsidRPr="00125962">
        <w:rPr>
          <w:sz w:val="20"/>
        </w:rPr>
        <w:t xml:space="preserve"> must vary </w:t>
      </w:r>
      <w:proofErr w:type="gramStart"/>
      <w:r w:rsidRPr="00125962">
        <w:rPr>
          <w:sz w:val="20"/>
        </w:rPr>
        <w:t xml:space="preserve">as </w:t>
      </w:r>
      <m:oMath>
        <w:proofErr w:type="gramEnd"/>
        <m:r>
          <w:rPr>
            <w:rFonts w:ascii="Cambria Math" w:hAnsi="Cambria Math"/>
            <w:sz w:val="20"/>
          </w:rPr>
          <m:t>c</m:t>
        </m:r>
      </m:oMath>
      <w:r w:rsidRPr="00125962">
        <w:rPr>
          <w:i/>
          <w:sz w:val="20"/>
        </w:rPr>
        <w:t>,</w:t>
      </w:r>
      <w:r w:rsidRPr="00125962">
        <w:rPr>
          <w:sz w:val="20"/>
        </w:rPr>
        <w:t xml:space="preserve"> since kinetic energy is conserved in an atomic environment.  Birge’s statement about atomic frequencies, </w:t>
      </w:r>
      <m:oMath>
        <m:r>
          <w:rPr>
            <w:rFonts w:ascii="Cambria Math" w:hAnsi="Cambria Math"/>
            <w:sz w:val="20"/>
          </w:rPr>
          <m:t>f</m:t>
        </m:r>
        <m:r>
          <w:rPr>
            <w:rFonts w:ascii="Cambria Math"/>
            <w:sz w:val="20"/>
          </w:rPr>
          <m:t>,</m:t>
        </m:r>
      </m:oMath>
      <w:r w:rsidRPr="00125962">
        <w:rPr>
          <w:sz w:val="20"/>
        </w:rPr>
        <w:t xml:space="preserve"> or, inversely, atomic time intervals, </w:t>
      </w:r>
      <m:oMath>
        <m:r>
          <w:rPr>
            <w:rFonts w:ascii="Cambria Math" w:hAnsi="Cambria Math"/>
            <w:sz w:val="20"/>
          </w:rPr>
          <m:t>t</m:t>
        </m:r>
        <m:r>
          <w:rPr>
            <w:rFonts w:ascii="Cambria Math"/>
            <w:sz w:val="20"/>
          </w:rPr>
          <m:t>,</m:t>
        </m:r>
      </m:oMath>
      <w:r w:rsidRPr="00125962">
        <w:rPr>
          <w:sz w:val="20"/>
        </w:rPr>
        <w:t xml:space="preserve"> follows logically from this, since orbit velocities show the following proportionalities:</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position w:val="-10"/>
          <w:sz w:val="20"/>
        </w:rPr>
        <w:object w:dxaOrig="740" w:dyaOrig="280">
          <v:shape id="_x0000_i1347" type="#_x0000_t75" style="width:36.9pt;height:14.5pt" o:ole="">
            <v:imagedata r:id="rId1200" o:title=""/>
          </v:shape>
          <o:OLEObject Type="Embed" ProgID="Equation.DSMT4" ShapeID="_x0000_i1347" DrawAspect="Content" ObjectID="_1438189160" r:id="rId120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(11)</w:t>
      </w:r>
    </w:p>
    <w:p w:rsidR="00416D75"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The formulation for electron velocity in the first Bohr orbit verifies this. Allen’s Astrophysical Quantities [59], gives the orbit velocity</w:t>
      </w:r>
      <w:proofErr w:type="gramStart"/>
      <w:r w:rsidRPr="00125962">
        <w:rPr>
          <w:sz w:val="20"/>
        </w:rPr>
        <w:t xml:space="preserve">, </w:t>
      </w:r>
      <m:oMath>
        <w:proofErr w:type="gramEnd"/>
        <m:r>
          <w:rPr>
            <w:rFonts w:ascii="Cambria Math" w:hAnsi="Cambria Math"/>
            <w:sz w:val="20"/>
          </w:rPr>
          <m:t>v</m:t>
        </m:r>
      </m:oMath>
      <w:r w:rsidRPr="00125962">
        <w:rPr>
          <w:sz w:val="20"/>
        </w:rPr>
        <w:t>, as</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0"/>
          <w:sz w:val="20"/>
        </w:rPr>
        <w:object w:dxaOrig="1399" w:dyaOrig="560">
          <v:shape id="_x0000_i1348" type="#_x0000_t75" style="width:69.6pt;height:27.85pt" o:ole="">
            <v:imagedata r:id="rId1202" o:title=""/>
          </v:shape>
          <o:OLEObject Type="Embed" ProgID="Equation.3" ShapeID="_x0000_i1348" DrawAspect="Content" ObjectID="_1438189161" r:id="rId120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(12)</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 xml:space="preserve">In (12), the proportionalities affirm French’s comment that the frequency of light emitted by an electron’s transition to the ground state orbit </w:t>
      </w:r>
      <w:r w:rsidRPr="00125962">
        <w:rPr>
          <w:i/>
          <w:sz w:val="20"/>
        </w:rPr>
        <w:t>“is identical with the frequency of revolution in the [ground state] orbit”</w:t>
      </w:r>
      <w:r w:rsidRPr="00125962">
        <w:rPr>
          <w:sz w:val="20"/>
        </w:rPr>
        <w:t xml:space="preserve"> [60]. Therefore we see that atomic frequencies generally obey Eq. (11) in the same way that photon frequencies do in (9). This means that when </w:t>
      </w:r>
      <w:r w:rsidRPr="00125962">
        <w:rPr>
          <w:i/>
          <w:sz w:val="20"/>
        </w:rPr>
        <w:t>c</w:t>
      </w:r>
      <w:r w:rsidRPr="00125962">
        <w:rPr>
          <w:sz w:val="20"/>
        </w:rPr>
        <w:t xml:space="preserve"> is higher, atomic frequencies are also higher. </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proofErr w:type="gramStart"/>
      <w:r w:rsidRPr="00125962">
        <w:rPr>
          <w:sz w:val="20"/>
        </w:rPr>
        <w:t xml:space="preserve">Therefore, Birge's comment that </w:t>
      </w:r>
      <w:r w:rsidRPr="00125962">
        <w:rPr>
          <w:i/>
          <w:sz w:val="20"/>
        </w:rPr>
        <w:t>"every atomic frequency must be changing"</w:t>
      </w:r>
      <w:r w:rsidRPr="00125962">
        <w:rPr>
          <w:sz w:val="20"/>
        </w:rPr>
        <w:t xml:space="preserve"> synchronously with the speed of light is shown to be correct, even though he casually dismissed the idea without further examination [58].</w:t>
      </w:r>
      <w:proofErr w:type="gramEnd"/>
      <w:r w:rsidRPr="00125962">
        <w:rPr>
          <w:sz w:val="20"/>
        </w:rPr>
        <w:t xml:space="preserve">  When everything is considered, it can be shown that atomic clocks will tick at a rate proportional to </w:t>
      </w:r>
      <m:oMath>
        <m:r>
          <w:rPr>
            <w:rFonts w:ascii="Cambria Math" w:hAnsi="Cambria Math"/>
            <w:sz w:val="20"/>
          </w:rPr>
          <m:t>c</m:t>
        </m:r>
      </m:oMath>
      <w:r w:rsidRPr="00125962">
        <w:rPr>
          <w:sz w:val="20"/>
        </w:rPr>
        <w:t xml:space="preserve"> or, alternatively, </w:t>
      </w:r>
      <w:proofErr w:type="gramStart"/>
      <w:r w:rsidRPr="00125962">
        <w:rPr>
          <w:sz w:val="20"/>
        </w:rPr>
        <w:t xml:space="preserve">to </w:t>
      </w:r>
      <w:proofErr w:type="gramEnd"/>
      <w:r w:rsidRPr="00125962">
        <w:rPr>
          <w:position w:val="-10"/>
          <w:sz w:val="20"/>
        </w:rPr>
        <w:object w:dxaOrig="380" w:dyaOrig="280">
          <v:shape id="_x0000_i1349" type="#_x0000_t75" style="width:18.15pt;height:14.5pt" o:ole="">
            <v:imagedata r:id="rId1204" o:title=""/>
          </v:shape>
          <o:OLEObject Type="Embed" ProgID="Equation.3" ShapeID="_x0000_i1349" DrawAspect="Content" ObjectID="_1438189162" r:id="rId1205"/>
        </w:object>
      </w:r>
      <w:r w:rsidRPr="00125962">
        <w:rPr>
          <w:sz w:val="20"/>
        </w:rPr>
        <w:t>.</w:t>
      </w:r>
    </w:p>
    <w:p w:rsidR="00416D75" w:rsidRPr="00125962" w:rsidRDefault="00416D75" w:rsidP="00416D75">
      <w:pPr>
        <w:pStyle w:val="NormPara"/>
        <w:ind w:firstLine="720"/>
        <w:rPr>
          <w:sz w:val="20"/>
        </w:rPr>
      </w:pPr>
    </w:p>
    <w:p w:rsidR="00416D75" w:rsidRDefault="00416D75" w:rsidP="00416D75">
      <w:pPr>
        <w:pStyle w:val="NormPara"/>
        <w:ind w:firstLine="461"/>
        <w:rPr>
          <w:sz w:val="20"/>
        </w:rPr>
      </w:pPr>
      <w:r w:rsidRPr="00C718B2">
        <w:rPr>
          <w:sz w:val="20"/>
        </w:rPr>
        <w:t>Extensive investigation</w:t>
      </w:r>
      <w:r w:rsidRPr="00125962">
        <w:rPr>
          <w:sz w:val="20"/>
        </w:rPr>
        <w:t xml:space="preserve"> reveals that gravitational clocks will keep constant time with a changing ZPE strength [89].  However, since atomic frequencies vary in a manner proportional </w:t>
      </w:r>
      <w:proofErr w:type="gramStart"/>
      <w:r w:rsidRPr="00125962">
        <w:rPr>
          <w:sz w:val="20"/>
        </w:rPr>
        <w:t xml:space="preserve">to </w:t>
      </w:r>
      <m:oMath>
        <w:proofErr w:type="gramEnd"/>
        <m:r>
          <w:rPr>
            <w:rFonts w:ascii="Cambria Math" w:hAnsi="Cambria Math"/>
            <w:sz w:val="20"/>
          </w:rPr>
          <m:t>c</m:t>
        </m:r>
      </m:oMath>
      <w:r w:rsidRPr="00125962">
        <w:rPr>
          <w:sz w:val="20"/>
        </w:rPr>
        <w:t>, then atomic clock rates can be shown to vary against the gravitational standard.</w:t>
      </w:r>
    </w:p>
    <w:p w:rsidR="00416D75" w:rsidRDefault="00416D75" w:rsidP="00416D75">
      <w:pPr>
        <w:pStyle w:val="NormPara"/>
        <w:ind w:firstLine="461"/>
        <w:rPr>
          <w:sz w:val="20"/>
        </w:rPr>
      </w:pPr>
    </w:p>
    <w:p w:rsidR="00416D75" w:rsidRPr="00125962" w:rsidRDefault="00416D75" w:rsidP="00416D75">
      <w:pPr>
        <w:pStyle w:val="NormPara"/>
        <w:ind w:firstLine="461"/>
        <w:rPr>
          <w:sz w:val="20"/>
        </w:rPr>
      </w:pPr>
      <w:r w:rsidRPr="00125962">
        <w:rPr>
          <w:sz w:val="20"/>
        </w:rPr>
        <w:t xml:space="preserve"> Indeed, after investigation in 1965, Kovalevsky noted that if gravitational and atomic clock rates were different, </w:t>
      </w:r>
      <w:r w:rsidRPr="00125962">
        <w:rPr>
          <w:i/>
          <w:sz w:val="20"/>
        </w:rPr>
        <w:t>“then Planck’s constant as well as atomic frequencies would drift”</w:t>
      </w:r>
      <w:r w:rsidRPr="00125962">
        <w:rPr>
          <w:sz w:val="20"/>
        </w:rPr>
        <w:t xml:space="preserve"> [61]. These two effects have already been noted here, and the data confirm the proposition.  Observatories have noted the different clock rates. One analysis stated [62]:</w:t>
      </w:r>
    </w:p>
    <w:p w:rsidR="00416D75" w:rsidRPr="00125962" w:rsidRDefault="00416D75" w:rsidP="00416D75">
      <w:pPr>
        <w:pStyle w:val="NormPara"/>
        <w:ind w:firstLine="461"/>
        <w:rPr>
          <w:sz w:val="20"/>
        </w:rPr>
      </w:pPr>
    </w:p>
    <w:p w:rsidR="00416D75" w:rsidRDefault="00416D75" w:rsidP="00416D75">
      <w:pPr>
        <w:pStyle w:val="NormPara"/>
        <w:spacing w:before="80" w:after="80"/>
        <w:ind w:firstLine="187"/>
        <w:rPr>
          <w:i/>
          <w:sz w:val="20"/>
        </w:rPr>
      </w:pPr>
      <w:r w:rsidRPr="00125962">
        <w:rPr>
          <w:i/>
          <w:sz w:val="20"/>
        </w:rPr>
        <w:t>“Recently, several independent investigators have reported discrepancies between the optical observations and the planetary ephemerides. The discussions by Yao and Smith (1988, 1991, 1993)</w:t>
      </w:r>
      <w:r w:rsidRPr="00125962">
        <w:rPr>
          <w:sz w:val="20"/>
        </w:rPr>
        <w:t>[63 - 65]</w:t>
      </w:r>
      <w:r w:rsidRPr="00125962">
        <w:rPr>
          <w:i/>
          <w:sz w:val="20"/>
        </w:rPr>
        <w:t xml:space="preserve">, Krasinsky et al. (1993) </w:t>
      </w:r>
      <w:r w:rsidRPr="00125962">
        <w:rPr>
          <w:sz w:val="20"/>
        </w:rPr>
        <w:t>[66]</w:t>
      </w:r>
      <w:r w:rsidRPr="00125962">
        <w:rPr>
          <w:i/>
          <w:sz w:val="20"/>
        </w:rPr>
        <w:t xml:space="preserve">, Standish &amp; Williams (1990) </w:t>
      </w:r>
      <w:r w:rsidRPr="00125962">
        <w:rPr>
          <w:sz w:val="20"/>
        </w:rPr>
        <w:t>[67]</w:t>
      </w:r>
      <w:r w:rsidRPr="00125962">
        <w:rPr>
          <w:i/>
          <w:sz w:val="20"/>
        </w:rPr>
        <w:t xml:space="preserve">, Seidelman et al. (1985, 1986) </w:t>
      </w:r>
      <w:r w:rsidRPr="00125962">
        <w:rPr>
          <w:sz w:val="20"/>
        </w:rPr>
        <w:t>[68 - 69]</w:t>
      </w:r>
      <w:r w:rsidRPr="00125962">
        <w:rPr>
          <w:i/>
          <w:sz w:val="20"/>
        </w:rPr>
        <w:t xml:space="preserve">, Seidelman (1992) </w:t>
      </w:r>
      <w:r w:rsidRPr="00125962">
        <w:rPr>
          <w:sz w:val="20"/>
        </w:rPr>
        <w:t>[70]</w:t>
      </w:r>
      <w:r w:rsidRPr="00125962">
        <w:rPr>
          <w:i/>
          <w:sz w:val="20"/>
        </w:rPr>
        <w:t xml:space="preserve">, Kolesnik (1995, 1996) </w:t>
      </w:r>
      <w:r w:rsidRPr="00125962">
        <w:rPr>
          <w:sz w:val="20"/>
        </w:rPr>
        <w:t>[71 - 72]</w:t>
      </w:r>
      <w:r w:rsidRPr="00125962">
        <w:rPr>
          <w:i/>
          <w:sz w:val="20"/>
        </w:rPr>
        <w:t xml:space="preserve">, and Poppe et al. (1999) </w:t>
      </w:r>
      <w:r w:rsidRPr="00125962">
        <w:rPr>
          <w:sz w:val="20"/>
        </w:rPr>
        <w:t>[73]</w:t>
      </w:r>
      <w:r w:rsidRPr="00125962">
        <w:rPr>
          <w:i/>
          <w:sz w:val="20"/>
        </w:rPr>
        <w:t xml:space="preserve"> indicate that [atomic clocks had] a negative linear drift [slowing] before 1960, and an equivalent positive drift [speeding up] after that date. </w:t>
      </w:r>
    </w:p>
    <w:p w:rsidR="00416D75" w:rsidRPr="00125962" w:rsidRDefault="00416D75" w:rsidP="00416D75">
      <w:pPr>
        <w:pStyle w:val="NormPara"/>
        <w:spacing w:before="80" w:after="80"/>
        <w:ind w:firstLine="187"/>
        <w:rPr>
          <w:i/>
          <w:sz w:val="20"/>
        </w:rPr>
      </w:pPr>
    </w:p>
    <w:p w:rsidR="00416D75" w:rsidRDefault="00416D75" w:rsidP="00416D75">
      <w:pPr>
        <w:pStyle w:val="NormPara"/>
        <w:spacing w:before="80" w:after="80"/>
        <w:ind w:firstLine="187"/>
        <w:rPr>
          <w:i/>
          <w:sz w:val="20"/>
        </w:rPr>
      </w:pPr>
      <w:r w:rsidRPr="00125962">
        <w:rPr>
          <w:i/>
          <w:sz w:val="20"/>
        </w:rPr>
        <w:t>“A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w:t>
      </w:r>
    </w:p>
    <w:p w:rsidR="00416D75" w:rsidRPr="00125962" w:rsidRDefault="00416D75" w:rsidP="00416D75">
      <w:pPr>
        <w:pStyle w:val="NormPara"/>
        <w:spacing w:before="80" w:after="80"/>
        <w:ind w:firstLine="187"/>
        <w:rPr>
          <w:i/>
          <w:sz w:val="20"/>
        </w:rPr>
      </w:pPr>
      <w:r w:rsidRPr="00125962">
        <w:rPr>
          <w:i/>
          <w:sz w:val="20"/>
        </w:rPr>
        <w:t xml:space="preserve"> </w:t>
      </w:r>
    </w:p>
    <w:p w:rsidR="00416D75" w:rsidRPr="00125962" w:rsidRDefault="00416D75" w:rsidP="00416D75">
      <w:pPr>
        <w:pStyle w:val="NormPara"/>
        <w:spacing w:before="80" w:after="80"/>
        <w:ind w:left="187" w:firstLine="187"/>
        <w:rPr>
          <w:sz w:val="20"/>
        </w:rPr>
      </w:pPr>
      <w:r w:rsidRPr="00125962">
        <w:rPr>
          <w:i/>
          <w:sz w:val="20"/>
        </w:rPr>
        <w:t>“[T]he planetary drifts Kolesnik and several other investigators have detected are based on accurate modern optical observations and they use atomic time. Therefore, these drifts are unquestionably real.”</w:t>
      </w:r>
      <w:r w:rsidRPr="00125962">
        <w:rPr>
          <w:sz w:val="20"/>
        </w:rPr>
        <w:t xml:space="preserve"> [62]</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 xml:space="preserve">Some typical data are plotted in Figs. 9 and 10.  There the vertical axis is effectively the atomic clock rate while the horizontal axis is our orbital dates.  The data turn-around which occurred around 1970 is again apparent in these figures. Figs. 9 and 10 are to approximately the same scale [62].  </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This turnaround, which is now apparent in all the ZPE-dependent data, can be attributed to the change in the Narlikar-Arp oscillation mode of the cosmos.</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lastRenderedPageBreak/>
        <w:drawing>
          <wp:inline distT="0" distB="0" distL="0" distR="0">
            <wp:extent cx="3594866" cy="2409825"/>
            <wp:effectExtent l="19050" t="0" r="5584" b="0"/>
            <wp:docPr id="50" name="Picture 7" descr="AtomicClock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omicClockRates"/>
                    <pic:cNvPicPr>
                      <a:picLocks noChangeAspect="1" noChangeArrowheads="1"/>
                    </pic:cNvPicPr>
                  </pic:nvPicPr>
                  <pic:blipFill>
                    <a:blip r:embed="rId1206" cstate="print">
                      <a:lum contrast="20000"/>
                    </a:blip>
                    <a:srcRect/>
                    <a:stretch>
                      <a:fillRect/>
                    </a:stretch>
                  </pic:blipFill>
                  <pic:spPr bwMode="auto">
                    <a:xfrm>
                      <a:off x="0" y="0"/>
                      <a:ext cx="3594866" cy="2409825"/>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jc w:val="left"/>
        <w:rPr>
          <w:szCs w:val="18"/>
        </w:rPr>
      </w:pPr>
    </w:p>
    <w:p w:rsidR="00416D75" w:rsidRPr="0025044F" w:rsidRDefault="00416D75" w:rsidP="00416D75">
      <w:pPr>
        <w:pStyle w:val="NormPara"/>
        <w:spacing w:before="80" w:after="80"/>
        <w:ind w:right="274" w:firstLine="0"/>
        <w:jc w:val="center"/>
        <w:rPr>
          <w:i/>
          <w:szCs w:val="18"/>
        </w:rPr>
      </w:pPr>
      <w:r w:rsidRPr="0025044F">
        <w:rPr>
          <w:b/>
          <w:i/>
          <w:szCs w:val="18"/>
        </w:rPr>
        <w:t>Figure 9:</w:t>
      </w:r>
      <w:r w:rsidRPr="0025044F">
        <w:rPr>
          <w:i/>
          <w:szCs w:val="18"/>
        </w:rPr>
        <w:t xml:space="preserve">  Atomic clock rates on the y-axis compared to orbital rates. Graph re-plotted from data for Mercury from 1910 to 1995 in [62].</w:t>
      </w:r>
    </w:p>
    <w:p w:rsidR="00416D75" w:rsidRPr="00125962" w:rsidRDefault="00416D75" w:rsidP="00416D75">
      <w:pPr>
        <w:pStyle w:val="NormPara"/>
        <w:spacing w:before="80" w:after="80"/>
        <w:ind w:left="274" w:right="274" w:firstLine="0"/>
        <w:jc w:val="center"/>
        <w:rPr>
          <w:sz w:val="20"/>
        </w:rPr>
      </w:pPr>
    </w:p>
    <w:p w:rsidR="00416D75" w:rsidRPr="00125962" w:rsidRDefault="00416D75" w:rsidP="00416D75">
      <w:pPr>
        <w:pStyle w:val="NormPara"/>
        <w:spacing w:before="80" w:after="80"/>
        <w:ind w:left="274" w:right="274" w:firstLine="0"/>
        <w:jc w:val="center"/>
        <w:rPr>
          <w:b/>
          <w:sz w:val="20"/>
        </w:rPr>
      </w:pPr>
      <w:r w:rsidRPr="00125962">
        <w:rPr>
          <w:b/>
          <w:noProof/>
          <w:sz w:val="20"/>
        </w:rPr>
        <w:drawing>
          <wp:inline distT="0" distB="0" distL="0" distR="0">
            <wp:extent cx="3471545" cy="2190750"/>
            <wp:effectExtent l="19050" t="0" r="14605" b="0"/>
            <wp:docPr id="52"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7"/>
              </a:graphicData>
            </a:graphic>
          </wp:inline>
        </w:drawing>
      </w:r>
    </w:p>
    <w:p w:rsidR="00416D75" w:rsidRPr="00125962" w:rsidRDefault="00416D75" w:rsidP="00416D75">
      <w:pPr>
        <w:pStyle w:val="NormPara"/>
        <w:spacing w:before="80" w:after="80"/>
        <w:ind w:left="274" w:right="274" w:firstLine="0"/>
        <w:jc w:val="center"/>
        <w:rPr>
          <w:b/>
          <w:sz w:val="20"/>
        </w:rPr>
      </w:pPr>
    </w:p>
    <w:p w:rsidR="00416D75" w:rsidRPr="0025044F" w:rsidRDefault="00416D75" w:rsidP="00416D75">
      <w:pPr>
        <w:pStyle w:val="NormPara"/>
        <w:spacing w:before="80" w:after="80"/>
        <w:ind w:right="274" w:firstLine="0"/>
        <w:jc w:val="center"/>
        <w:rPr>
          <w:i/>
          <w:szCs w:val="18"/>
        </w:rPr>
      </w:pPr>
      <w:r w:rsidRPr="0025044F">
        <w:rPr>
          <w:b/>
          <w:i/>
          <w:szCs w:val="18"/>
        </w:rPr>
        <w:t>Figure 10:</w:t>
      </w:r>
      <w:r w:rsidRPr="0025044F">
        <w:rPr>
          <w:i/>
          <w:szCs w:val="18"/>
        </w:rPr>
        <w:t xml:space="preserve">  Atomic clock rates (y-axis) compared to orbital rates using solar data 1910 to 1999. Graph re-plotted from data in [62].</w:t>
      </w:r>
    </w:p>
    <w:p w:rsidR="00416D75" w:rsidRPr="00125962" w:rsidRDefault="00416D75" w:rsidP="00416D75">
      <w:pPr>
        <w:pStyle w:val="NormPara"/>
        <w:spacing w:before="80" w:after="80"/>
        <w:ind w:right="274" w:firstLine="0"/>
        <w:jc w:val="left"/>
        <w:rPr>
          <w:szCs w:val="18"/>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 xml:space="preserve">The ZPE and the Redshift </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and Atomic Orbits</w:t>
      </w:r>
    </w:p>
    <w:p w:rsidR="00416D75" w:rsidRPr="00C718B2"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The Zero Point Energy is not only responsible for the slowing of both light and atomic clocks, it also provides the answer to a problem found in classical physics. Classical physics requires an electron orbiting a nucleus to be radiating energy.  Losing energy, it would then seem to have to spiral into the nucleus. This does not happen. Interestingly, the all-pervasive ZPE ‘sea’ has been shown to maintain the stability of atomic orbits across the cosmos.  According to SED physics, the electron’s loss of energy must be coupled with the energy that it absorbs from the ZPE. A stable orbit then results when the energy radiated by the electron exactly matches the energy absorbed from the ZPE.</w:t>
      </w:r>
    </w:p>
    <w:p w:rsidR="00416D75" w:rsidRPr="00125962" w:rsidRDefault="00416D75" w:rsidP="00416D75">
      <w:pPr>
        <w:pStyle w:val="NormPara"/>
        <w:ind w:firstLine="720"/>
        <w:rPr>
          <w:sz w:val="20"/>
        </w:rPr>
      </w:pPr>
    </w:p>
    <w:p w:rsidR="00416D75" w:rsidRPr="00125962" w:rsidRDefault="00416D75" w:rsidP="00416D75">
      <w:pPr>
        <w:pStyle w:val="NormPara"/>
        <w:ind w:firstLine="720"/>
        <w:rPr>
          <w:iCs/>
          <w:sz w:val="20"/>
        </w:rPr>
      </w:pPr>
      <w:r w:rsidRPr="00125962">
        <w:rPr>
          <w:sz w:val="20"/>
        </w:rPr>
        <w:t>Quantitative analyses of this effect were done, and the results summarized by stating that “</w:t>
      </w:r>
      <w:r w:rsidRPr="00125962">
        <w:rPr>
          <w:i/>
          <w:iCs/>
          <w:sz w:val="20"/>
        </w:rPr>
        <w:t xml:space="preserve">Boyer </w:t>
      </w:r>
      <w:r w:rsidRPr="00125962">
        <w:rPr>
          <w:iCs/>
          <w:sz w:val="20"/>
        </w:rPr>
        <w:t>[74]</w:t>
      </w:r>
      <w:r w:rsidRPr="00125962">
        <w:rPr>
          <w:i/>
          <w:iCs/>
          <w:sz w:val="20"/>
        </w:rPr>
        <w:t xml:space="preserve"> and Claverie &amp; Diner </w:t>
      </w:r>
      <w:r w:rsidRPr="00125962">
        <w:rPr>
          <w:iCs/>
          <w:sz w:val="20"/>
        </w:rPr>
        <w:t>[75]</w:t>
      </w:r>
      <w:r w:rsidRPr="00125962">
        <w:rPr>
          <w:i/>
          <w:iCs/>
          <w:sz w:val="20"/>
        </w:rPr>
        <w:t xml:space="preserve"> have shown that if one considers circular orbits only, then one obtains an equilibrium [orbit] radius of the expected size </w:t>
      </w:r>
      <w:r w:rsidRPr="00125962">
        <w:rPr>
          <w:i/>
          <w:iCs/>
          <w:sz w:val="20"/>
        </w:rPr>
        <w:lastRenderedPageBreak/>
        <w:t>[the Bohr radius]: for smaller distances, the electron absorbs too much energy from the [ZPE] field…and tends to escape, whereas for larger distances it radiates too much and tends to fall towards the nucleus.”</w:t>
      </w:r>
      <w:r w:rsidRPr="00125962">
        <w:rPr>
          <w:iCs/>
          <w:sz w:val="20"/>
        </w:rPr>
        <w:t xml:space="preserve"> [76]</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In </w:t>
      </w:r>
      <w:proofErr w:type="gramStart"/>
      <w:r w:rsidRPr="00125962">
        <w:rPr>
          <w:sz w:val="20"/>
        </w:rPr>
        <w:t>2006 ,</w:t>
      </w:r>
      <w:proofErr w:type="gramEnd"/>
      <w:r w:rsidRPr="00125962">
        <w:rPr>
          <w:sz w:val="20"/>
        </w:rPr>
        <w:t xml:space="preserve"> Spicka et al. noted that </w:t>
      </w:r>
      <w:r w:rsidRPr="00125962">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w:t>
      </w:r>
      <w:r w:rsidRPr="00125962">
        <w:rPr>
          <w:sz w:val="20"/>
        </w:rPr>
        <w:t xml:space="preserve"> [77]</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Spicka et al. then go on to illustrate that an electron moving in an orbit around a proton is under the influence of its electrostatic attraction. As it orbits, the electron undergoes a series of elastic collisions with the impacting waves of the ZPE which perturb the orbit. These impacting waves force the electron to change direction. The whole 'orbit' then becomes composed of a series of essentially straight line segments whose direction is continually being changed by the impact of these ZPE waves.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Every time the electron is impacted by the ZPE, it emits recoil radiation, just as classical physics requires. Calculations based on the Compton frequency reveal that the electron may receive over 18,700 hits from the ZPE waves for every orbit around the nucleus. It is these hits which cause the uncertainty in both the position of the electron and its actual orbit around the proton. This is the physical cause of the uncertainty that Heisenberg hypothesized.</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For a stable orbit, the power absorbed by the electron from the ZPE wave collision must be equal to the power emitted by the electron's recoil radiation. When the ZPE is stronger, there are more ZPE waves per unit volume and so there are more hits per second on the electron as it travels in its orbit. This means that the electron is now emitting more recoil radiation, and so has a tendency to move towards the nucleus as pointed out in the above quote from reference [77].  The means that the orbit radius</w:t>
      </w:r>
      <w:proofErr w:type="gramStart"/>
      <w:r w:rsidRPr="00125962">
        <w:rPr>
          <w:sz w:val="20"/>
        </w:rPr>
        <w:t xml:space="preserve">, </w:t>
      </w:r>
      <m:oMath>
        <w:proofErr w:type="gramEnd"/>
        <m:r>
          <w:rPr>
            <w:rFonts w:ascii="Cambria Math" w:hAnsi="Cambria Math"/>
            <w:sz w:val="20"/>
          </w:rPr>
          <m:t>r</m:t>
        </m:r>
      </m:oMath>
      <w:r w:rsidRPr="00125962">
        <w:rPr>
          <w:sz w:val="20"/>
        </w:rPr>
        <w:t xml:space="preserve">, will tend to decrease. But the wavelengths of emitted light, W, depend on orbit radius </w:t>
      </w:r>
      <m:oMath>
        <m:r>
          <w:rPr>
            <w:rFonts w:ascii="Cambria Math" w:hAnsi="Cambria Math"/>
            <w:sz w:val="20"/>
          </w:rPr>
          <m:t>r</m:t>
        </m:r>
      </m:oMath>
      <w:r w:rsidRPr="00125962">
        <w:rPr>
          <w:sz w:val="20"/>
        </w:rPr>
        <w:t xml:space="preserve"> since the standard equation has [59, 60]</w:t>
      </w:r>
    </w:p>
    <w:p w:rsidR="00416D75" w:rsidRPr="00125962" w:rsidRDefault="00416D75" w:rsidP="00416D75">
      <w:pPr>
        <w:pStyle w:val="equation"/>
        <w:spacing w:before="80" w:after="80"/>
        <w:jc w:val="right"/>
        <w:rPr>
          <w:sz w:val="20"/>
        </w:rPr>
      </w:pPr>
      <w:r w:rsidRPr="00125962">
        <w:rPr>
          <w:sz w:val="20"/>
        </w:rPr>
        <w:tab/>
      </w:r>
      <w:r w:rsidRPr="00125962">
        <w:rPr>
          <w:position w:val="-24"/>
          <w:sz w:val="20"/>
        </w:rPr>
        <w:object w:dxaOrig="1859" w:dyaOrig="560">
          <v:shape id="_x0000_i1350" type="#_x0000_t75" style="width:92.55pt;height:27.85pt" o:ole="">
            <v:imagedata r:id="rId1208" o:title=""/>
          </v:shape>
          <o:OLEObject Type="Embed" ProgID="Equation.DSMT4" ShapeID="_x0000_i1350" DrawAspect="Content" ObjectID="_1438189163" r:id="rId120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t>(13)</w:t>
      </w:r>
    </w:p>
    <w:p w:rsidR="00416D75" w:rsidRPr="00125962" w:rsidRDefault="00416D75" w:rsidP="00416D75">
      <w:pPr>
        <w:pStyle w:val="NormPara"/>
        <w:ind w:firstLine="0"/>
        <w:rPr>
          <w:sz w:val="20"/>
        </w:rPr>
      </w:pPr>
      <w:r w:rsidRPr="00125962">
        <w:rPr>
          <w:sz w:val="20"/>
        </w:rPr>
        <w:t>We have seen that both (</w:t>
      </w:r>
      <m:oMath>
        <m:r>
          <w:rPr>
            <w:rFonts w:ascii="Cambria Math" w:hAnsi="Cambria Math"/>
            <w:sz w:val="20"/>
          </w:rPr>
          <m:t>ε</m:t>
        </m:r>
        <m:r>
          <w:rPr>
            <w:rFonts w:ascii="Cambria Math"/>
            <w:sz w:val="20"/>
          </w:rPr>
          <m:t>/</m:t>
        </m:r>
        <m:sSup>
          <m:sSupPr>
            <m:ctrlPr>
              <w:rPr>
                <w:rFonts w:ascii="Cambria Math" w:hAnsi="Cambria Math"/>
                <w:i/>
                <w:sz w:val="20"/>
              </w:rPr>
            </m:ctrlPr>
          </m:sSupPr>
          <m:e>
            <m:r>
              <w:rPr>
                <w:rFonts w:ascii="Cambria Math" w:hAnsi="Cambria Math"/>
                <w:sz w:val="20"/>
              </w:rPr>
              <m:t>e</m:t>
            </m:r>
          </m:e>
          <m:sup>
            <m:r>
              <w:rPr>
                <w:rFonts w:ascii="Cambria Math"/>
                <w:sz w:val="20"/>
              </w:rPr>
              <m:t>2</m:t>
            </m:r>
          </m:sup>
        </m:sSup>
      </m:oMath>
      <w:r w:rsidRPr="00125962">
        <w:rPr>
          <w:sz w:val="20"/>
        </w:rPr>
        <w:t>) and (</w:t>
      </w:r>
      <m:oMath>
        <m:r>
          <w:rPr>
            <w:rFonts w:hAnsi="Cambria Math"/>
            <w:sz w:val="20"/>
          </w:rPr>
          <m:t>h</m:t>
        </m:r>
        <m:r>
          <w:rPr>
            <w:rFonts w:ascii="Cambria Math" w:hAnsi="Cambria Math"/>
            <w:sz w:val="20"/>
          </w:rPr>
          <m:t>c</m:t>
        </m:r>
        <m:r>
          <w:rPr>
            <w:rFonts w:ascii="Cambria Math"/>
            <w:sz w:val="20"/>
          </w:rPr>
          <m:t>)</m:t>
        </m:r>
      </m:oMath>
      <w:r w:rsidRPr="00125962">
        <w:rPr>
          <w:sz w:val="20"/>
        </w:rPr>
        <w:t xml:space="preserve"> are invariant with increasing ZPE strength</w:t>
      </w:r>
      <w:proofErr w:type="gramStart"/>
      <w:r w:rsidRPr="00125962">
        <w:rPr>
          <w:sz w:val="20"/>
        </w:rPr>
        <w:t xml:space="preserve">, </w:t>
      </w:r>
      <m:oMath>
        <w:proofErr w:type="gramEnd"/>
        <m:r>
          <w:rPr>
            <w:rFonts w:ascii="Cambria Math" w:hAnsi="Cambria Math"/>
            <w:sz w:val="20"/>
          </w:rPr>
          <m:t>U</m:t>
        </m:r>
      </m:oMath>
      <w:r w:rsidRPr="00125962">
        <w:rPr>
          <w:sz w:val="20"/>
        </w:rPr>
        <w:t>.  From (13) it is then seen that the emitted wavelengths,</w:t>
      </w:r>
      <m:oMath>
        <m:r>
          <w:rPr>
            <w:rFonts w:ascii="Cambria Math"/>
            <w:sz w:val="20"/>
          </w:rPr>
          <m:t xml:space="preserve"> </m:t>
        </m:r>
        <m:r>
          <w:rPr>
            <w:rFonts w:ascii="Cambria Math" w:hAnsi="Cambria Math"/>
            <w:sz w:val="20"/>
          </w:rPr>
          <m:t>W</m:t>
        </m:r>
      </m:oMath>
      <w:proofErr w:type="gramStart"/>
      <w:r w:rsidRPr="00125962">
        <w:rPr>
          <w:sz w:val="20"/>
        </w:rPr>
        <w:t>,</w:t>
      </w:r>
      <w:proofErr w:type="gramEnd"/>
      <w:r w:rsidRPr="00125962">
        <w:rPr>
          <w:sz w:val="20"/>
        </w:rPr>
        <w:t xml:space="preserve"> are directly proportional to the orbit radius, </w:t>
      </w:r>
      <m:oMath>
        <m:r>
          <w:rPr>
            <w:rFonts w:ascii="Cambria Math" w:hAnsi="Cambria Math"/>
            <w:sz w:val="20"/>
          </w:rPr>
          <m:t>r</m:t>
        </m:r>
      </m:oMath>
      <w:r w:rsidRPr="00125962">
        <w:rPr>
          <w:sz w:val="20"/>
        </w:rPr>
        <w:t>, so we can write</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6"/>
          <w:sz w:val="20"/>
        </w:rPr>
        <w:object w:dxaOrig="540" w:dyaOrig="240">
          <v:shape id="_x0000_i1351" type="#_x0000_t75" style="width:27.85pt;height:12.1pt" o:ole="">
            <v:imagedata r:id="rId1210" o:title=""/>
          </v:shape>
          <o:OLEObject Type="Embed" ProgID="PowerPoint.Slide.12" ShapeID="_x0000_i1351" DrawAspect="Content" ObjectID="_1438189164" r:id="rId121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(14)</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Consequently, an increasing ZPE strength will result in both atomic orbits and the wavelengths of emitted light decreasing. Shorter wavelengths mean bluer light. This means that as the ZPE increased, atoms emitted light which was intrinsically bluer. This is why, as we look farther out into space (and thus further back in time), we would expect to see light progressively shifted toward the red end of the spectrum.  This is, in fact, what we do see. This redshift is a feature of astronomical observations.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usual explanation for the redshift is that it is an effect produced by an expanding universe.  If this were the case, all spectral lines of emitted light should be significantly broadened in the same way that wavelengths are lengthened; they are not. Also, we should see the redshift measurements increasing smoothly with distance. That is not seen either. What is seen are narrow spectral lines, and redshift measurements that come in groups, or quantities, with no intervening </w:t>
      </w:r>
      <w:proofErr w:type="gramStart"/>
      <w:r w:rsidRPr="00125962">
        <w:rPr>
          <w:sz w:val="20"/>
        </w:rPr>
        <w:t>measurements.</w:t>
      </w:r>
      <w:proofErr w:type="gramEnd"/>
      <w:r w:rsidRPr="00125962">
        <w:rPr>
          <w:sz w:val="20"/>
        </w:rPr>
        <w:t xml:space="preserve">  This is referred to as the quantized redshift. Because every atomic orbit must exactly accommodate the de Broglie wavelength of the orbiting electron, it can be shown that a quantized redshift results from the orbit changes caused by an increasing ZPE. When followed through, the values of the quantization observed by Tifft [78], Arp [79], Guthrie &amp; Napier [80-82], and others can be accurately reproduced. A graph of some of Guthrie and Napier’s results is in Fig. 11.</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lastRenderedPageBreak/>
        <w:drawing>
          <wp:inline distT="0" distB="0" distL="0" distR="0">
            <wp:extent cx="3819525" cy="2524125"/>
            <wp:effectExtent l="19050" t="0" r="9525" b="0"/>
            <wp:docPr id="53"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3" cstate="print"/>
                    <a:srcRect/>
                    <a:stretch>
                      <a:fillRect/>
                    </a:stretch>
                  </pic:blipFill>
                  <pic:spPr bwMode="auto">
                    <a:xfrm>
                      <a:off x="0" y="0"/>
                      <a:ext cx="3823655" cy="2526854"/>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120"/>
        <w:ind w:firstLine="0"/>
        <w:jc w:val="center"/>
        <w:rPr>
          <w:sz w:val="20"/>
        </w:rPr>
      </w:pPr>
    </w:p>
    <w:p w:rsidR="00416D75" w:rsidRPr="0025044F" w:rsidRDefault="00416D75" w:rsidP="00416D75">
      <w:pPr>
        <w:pStyle w:val="NormPara"/>
        <w:spacing w:before="80" w:after="80"/>
        <w:ind w:right="274" w:firstLine="0"/>
        <w:jc w:val="left"/>
        <w:rPr>
          <w:i/>
          <w:szCs w:val="18"/>
        </w:rPr>
      </w:pPr>
      <w:r w:rsidRPr="0025044F">
        <w:rPr>
          <w:b/>
          <w:i/>
          <w:szCs w:val="18"/>
        </w:rPr>
        <w:t>Figure 11:</w:t>
      </w:r>
      <w:r w:rsidRPr="0025044F">
        <w:rPr>
          <w:i/>
          <w:szCs w:val="18"/>
        </w:rPr>
        <w:t xml:space="preserve">  Guthrie and Napier's redshift quantization results for 1996 expressed as speeds of recession (</w:t>
      </w:r>
      <w:proofErr w:type="gramStart"/>
      <w:r w:rsidRPr="0025044F">
        <w:rPr>
          <w:i/>
          <w:szCs w:val="18"/>
        </w:rPr>
        <w:t>cz</w:t>
      </w:r>
      <w:proofErr w:type="gramEnd"/>
      <w:r w:rsidRPr="0025044F">
        <w:rPr>
          <w:i/>
          <w:szCs w:val="18"/>
        </w:rPr>
        <w:t>) in km/sec. The peaks in the graph show where quantum steps occur in multiples of 37.5 km/sec. These galaxies are in the direction of the Virgo cluster.</w:t>
      </w:r>
    </w:p>
    <w:p w:rsidR="00416D75" w:rsidRPr="00125962" w:rsidRDefault="00416D75" w:rsidP="00416D75">
      <w:pPr>
        <w:pStyle w:val="NormPara"/>
        <w:spacing w:before="80" w:after="80"/>
        <w:ind w:left="274" w:right="274" w:firstLine="0"/>
        <w:jc w:val="left"/>
        <w:rPr>
          <w:szCs w:val="18"/>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Behavior of the ZPE </w:t>
      </w:r>
      <w:proofErr w:type="gramStart"/>
      <w:r w:rsidRPr="00125962">
        <w:rPr>
          <w:rFonts w:ascii="Book Antiqua" w:hAnsi="Book Antiqua" w:cs="Times New Roman"/>
          <w:b w:val="0"/>
          <w:sz w:val="20"/>
          <w:szCs w:val="20"/>
        </w:rPr>
        <w:t>Through</w:t>
      </w:r>
      <w:proofErr w:type="gramEnd"/>
      <w:r w:rsidRPr="00125962">
        <w:rPr>
          <w:rFonts w:ascii="Book Antiqua" w:hAnsi="Book Antiqua" w:cs="Times New Roman"/>
          <w:b w:val="0"/>
          <w:sz w:val="20"/>
          <w:szCs w:val="20"/>
        </w:rPr>
        <w:t xml:space="preserve"> Time.</w:t>
      </w:r>
    </w:p>
    <w:p w:rsidR="00416D75" w:rsidRPr="00125962" w:rsidRDefault="00416D75" w:rsidP="00416D75">
      <w:pPr>
        <w:rPr>
          <w:rFonts w:ascii="Book Antiqua" w:hAnsi="Book Antiqua"/>
        </w:rPr>
      </w:pPr>
    </w:p>
    <w:p w:rsidR="00416D75" w:rsidRPr="00125962" w:rsidRDefault="00416D75" w:rsidP="00416D75">
      <w:pPr>
        <w:pStyle w:val="NormPara"/>
        <w:ind w:firstLine="270"/>
        <w:rPr>
          <w:sz w:val="20"/>
        </w:rPr>
      </w:pPr>
      <w:r w:rsidRPr="00125962">
        <w:rPr>
          <w:sz w:val="20"/>
        </w:rPr>
        <w:t xml:space="preserve">The idea of universal expansion is </w:t>
      </w:r>
      <w:r w:rsidRPr="00C718B2">
        <w:rPr>
          <w:sz w:val="20"/>
        </w:rPr>
        <w:t>thus</w:t>
      </w:r>
      <w:r w:rsidRPr="00125962">
        <w:rPr>
          <w:sz w:val="20"/>
        </w:rPr>
        <w:t xml:space="preserve"> negated by the hydrogen cloud data, the un-broadened spectral lines, and quantized redshift data.  Since the redshift is the result of an increase in ZPE strength, it can then give us information as to how the ZPE strength built up over the lifetime of the cosmos. When this analysis is complete, the ZPE strength</w:t>
      </w:r>
      <w:proofErr w:type="gramStart"/>
      <w:r w:rsidRPr="00125962">
        <w:rPr>
          <w:sz w:val="20"/>
        </w:rPr>
        <w:t xml:space="preserve">, </w:t>
      </w:r>
      <m:oMath>
        <w:proofErr w:type="gramEnd"/>
        <m:r>
          <w:rPr>
            <w:rFonts w:ascii="Cambria Math" w:hAnsi="Cambria Math"/>
            <w:sz w:val="20"/>
          </w:rPr>
          <m:t>U</m:t>
        </m:r>
      </m:oMath>
      <w:r w:rsidRPr="00125962">
        <w:rPr>
          <w:sz w:val="20"/>
        </w:rPr>
        <w:t xml:space="preserve">, and redshift, </w:t>
      </w:r>
      <m:oMath>
        <m:r>
          <w:rPr>
            <w:rFonts w:ascii="Cambria Math" w:hAnsi="Cambria Math"/>
            <w:sz w:val="20"/>
          </w:rPr>
          <m:t>z</m:t>
        </m:r>
      </m:oMath>
      <w:r w:rsidRPr="00125962">
        <w:rPr>
          <w:sz w:val="20"/>
        </w:rPr>
        <w:t>, are related in the following way:</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30"/>
          <w:sz w:val="20"/>
        </w:rPr>
        <w:object w:dxaOrig="2920" w:dyaOrig="680">
          <v:shape id="_x0000_i1352" type="#_x0000_t75" style="width:146.4pt;height:33.3pt" o:ole="">
            <v:imagedata r:id="rId1212" o:title=""/>
          </v:shape>
          <o:OLEObject Type="Embed" ProgID="PowerPoint.Slide.12" ShapeID="_x0000_i1352" DrawAspect="Content" ObjectID="_1438189165" r:id="rId121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(15)</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(15) the constant of proportionality, K, is related to the square-root of the Compton frequency and another factor discussed in Chapter 5.  In (15), the distance </w:t>
      </w:r>
      <m:oMath>
        <m:r>
          <w:rPr>
            <w:rFonts w:ascii="Cambria Math" w:hAnsi="Cambria Math"/>
            <w:sz w:val="20"/>
          </w:rPr>
          <m:t>x</m:t>
        </m:r>
      </m:oMath>
      <w:r w:rsidRPr="00125962">
        <w:rPr>
          <w:sz w:val="20"/>
        </w:rPr>
        <w:t xml:space="preserve"> is a fraction so that </w:t>
      </w:r>
      <m:oMath>
        <m:r>
          <w:rPr>
            <w:rFonts w:ascii="Cambria Math" w:hAnsi="Cambria Math"/>
            <w:sz w:val="20"/>
          </w:rPr>
          <m:t>x</m:t>
        </m:r>
        <m:r>
          <w:rPr>
            <w:rFonts w:ascii="Cambria Math"/>
            <w:sz w:val="20"/>
          </w:rPr>
          <m:t xml:space="preserve"> = 0</m:t>
        </m:r>
      </m:oMath>
      <w:r w:rsidRPr="00125962">
        <w:rPr>
          <w:sz w:val="20"/>
        </w:rPr>
        <w:t xml:space="preserve"> where the redshift function ends close to, or in, our galaxy, and </w:t>
      </w:r>
      <m:oMath>
        <m:r>
          <w:rPr>
            <w:rFonts w:ascii="Cambria Math" w:hAnsi="Cambria Math"/>
            <w:sz w:val="20"/>
          </w:rPr>
          <m:t>x</m:t>
        </m:r>
        <m:r>
          <w:rPr>
            <w:rFonts w:ascii="Cambria Math"/>
            <w:sz w:val="20"/>
          </w:rPr>
          <m:t xml:space="preserve"> = 1</m:t>
        </m:r>
      </m:oMath>
      <w:r w:rsidRPr="00125962">
        <w:rPr>
          <w:sz w:val="20"/>
        </w:rPr>
        <w:t xml:space="preserve"> at the distance that corresponds with the inception of the cosmos. Looking out into space at progressively more distant galaxies is equivalent to looking further back in actual orbital time</w:t>
      </w:r>
      <w:proofErr w:type="gramStart"/>
      <w:r w:rsidRPr="00125962">
        <w:rPr>
          <w:sz w:val="20"/>
        </w:rPr>
        <w:t xml:space="preserve">, </w:t>
      </w:r>
      <m:oMath>
        <w:proofErr w:type="gramEnd"/>
        <m:r>
          <w:rPr>
            <w:rFonts w:ascii="Cambria Math" w:hAnsi="Cambria Math"/>
            <w:sz w:val="20"/>
          </w:rPr>
          <m:t>T</m:t>
        </m:r>
      </m:oMath>
      <w:r w:rsidRPr="00125962">
        <w:rPr>
          <w:sz w:val="20"/>
        </w:rPr>
        <w:t>. Since we take orbital time as passing in a linear fashion, and since distance is also linear, we can substitute orbital time</w:t>
      </w:r>
      <w:proofErr w:type="gramStart"/>
      <w:r w:rsidRPr="00125962">
        <w:rPr>
          <w:sz w:val="20"/>
        </w:rPr>
        <w:t xml:space="preserve">, </w:t>
      </w:r>
      <m:oMath>
        <w:proofErr w:type="gramEnd"/>
        <m:r>
          <w:rPr>
            <w:rFonts w:ascii="Cambria Math" w:hAnsi="Cambria Math"/>
            <w:sz w:val="20"/>
          </w:rPr>
          <m:t>T</m:t>
        </m:r>
      </m:oMath>
      <w:r w:rsidRPr="00125962">
        <w:rPr>
          <w:i/>
          <w:sz w:val="20"/>
        </w:rPr>
        <w:t>,</w:t>
      </w:r>
      <w:r w:rsidRPr="00125962">
        <w:rPr>
          <w:sz w:val="20"/>
        </w:rPr>
        <w:t xml:space="preserve"> for distance, </w:t>
      </w:r>
      <m:oMath>
        <m:r>
          <w:rPr>
            <w:rFonts w:ascii="Cambria Math" w:hAnsi="Cambria Math"/>
            <w:sz w:val="20"/>
          </w:rPr>
          <m:t>x</m:t>
        </m:r>
      </m:oMath>
      <w:r w:rsidRPr="00125962">
        <w:rPr>
          <w:i/>
          <w:sz w:val="20"/>
        </w:rPr>
        <w:t>,</w:t>
      </w:r>
      <w:r w:rsidRPr="00125962">
        <w:rPr>
          <w:sz w:val="20"/>
        </w:rPr>
        <w:t xml:space="preserve"> giving the result that</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28"/>
          <w:sz w:val="20"/>
        </w:rPr>
        <w:object w:dxaOrig="1240" w:dyaOrig="580">
          <v:shape id="_x0000_i1353" type="#_x0000_t75" style="width:61.7pt;height:29.65pt" o:ole="">
            <v:imagedata r:id="rId1214" o:title=""/>
          </v:shape>
          <o:OLEObject Type="Embed" ProgID="Equation.DSMT4" ShapeID="_x0000_i1353" DrawAspect="Content" ObjectID="_1438189166" r:id="rId1215"/>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(16)</w:t>
      </w:r>
    </w:p>
    <w:p w:rsidR="00416D75" w:rsidRPr="00125962" w:rsidRDefault="00416D75" w:rsidP="00416D75">
      <w:pPr>
        <w:pStyle w:val="equation"/>
        <w:spacing w:before="80" w:after="80"/>
        <w:rPr>
          <w:sz w:val="20"/>
        </w:rPr>
      </w:pPr>
    </w:p>
    <w:p w:rsidR="00416D75" w:rsidRPr="00125962" w:rsidRDefault="00416D75" w:rsidP="00416D75">
      <w:pPr>
        <w:pStyle w:val="NormPara"/>
        <w:ind w:firstLine="720"/>
        <w:rPr>
          <w:sz w:val="20"/>
        </w:rPr>
      </w:pPr>
      <w:r w:rsidRPr="00125962">
        <w:rPr>
          <w:sz w:val="20"/>
        </w:rPr>
        <w:t xml:space="preserve">In Eq. (16), </w:t>
      </w:r>
      <m:oMath>
        <m:r>
          <w:rPr>
            <w:rFonts w:ascii="Cambria Math" w:hAnsi="Cambria Math"/>
            <w:sz w:val="20"/>
          </w:rPr>
          <m:t>T</m:t>
        </m:r>
      </m:oMath>
      <w:r w:rsidRPr="00125962">
        <w:rPr>
          <w:sz w:val="20"/>
        </w:rPr>
        <w:t xml:space="preserve"> is in orbital time such that </w:t>
      </w:r>
      <m:oMath>
        <m:r>
          <w:rPr>
            <w:rFonts w:ascii="Cambria Math" w:hAnsi="Cambria Math"/>
            <w:sz w:val="20"/>
          </w:rPr>
          <m:t>T</m:t>
        </m:r>
        <m:r>
          <w:rPr>
            <w:rFonts w:ascii="Cambria Math"/>
            <w:sz w:val="20"/>
          </w:rPr>
          <m:t xml:space="preserve"> = 1</m:t>
        </m:r>
      </m:oMath>
      <w:r w:rsidRPr="00125962">
        <w:rPr>
          <w:sz w:val="20"/>
        </w:rPr>
        <w:t xml:space="preserve"> at the origin of the cosmos while we have </w:t>
      </w:r>
      <m:oMath>
        <m:r>
          <w:rPr>
            <w:rFonts w:ascii="Cambria Math" w:hAnsi="Cambria Math"/>
            <w:sz w:val="20"/>
          </w:rPr>
          <m:t>T</m:t>
        </m:r>
        <m:r>
          <w:rPr>
            <w:rFonts w:ascii="Cambria Math"/>
            <w:sz w:val="20"/>
          </w:rPr>
          <m:t xml:space="preserve"> = 0</m:t>
        </m:r>
      </m:oMath>
      <w:r w:rsidRPr="00125962">
        <w:rPr>
          <w:sz w:val="20"/>
        </w:rPr>
        <w:t xml:space="preserve"> when the redshift function ceases at a position in space in, or near, our galaxy. This is exactly in line with the treatment </w:t>
      </w:r>
      <w:proofErr w:type="gramStart"/>
      <w:r w:rsidRPr="00125962">
        <w:rPr>
          <w:sz w:val="20"/>
        </w:rPr>
        <w:t xml:space="preserve">for </w:t>
      </w:r>
      <m:oMath>
        <w:proofErr w:type="gramEnd"/>
        <m:r>
          <w:rPr>
            <w:rFonts w:ascii="Cambria Math" w:hAnsi="Cambria Math"/>
            <w:sz w:val="20"/>
          </w:rPr>
          <m:t>x</m:t>
        </m:r>
      </m:oMath>
      <w:r w:rsidRPr="00125962">
        <w:rPr>
          <w:sz w:val="20"/>
        </w:rPr>
        <w:t xml:space="preserve">. </w:t>
      </w:r>
      <w:proofErr w:type="gramStart"/>
      <w:r w:rsidRPr="00125962">
        <w:rPr>
          <w:sz w:val="20"/>
        </w:rPr>
        <w:t>Therefore the behavior of ZPE-dependent quantities over time follows the relationship in Eq. (17) below which is graphed in Fig. 12.</w:t>
      </w:r>
      <w:proofErr w:type="gramEnd"/>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30"/>
          <w:sz w:val="20"/>
        </w:rPr>
        <w:object w:dxaOrig="3960" w:dyaOrig="680">
          <v:shape id="_x0000_i1354" type="#_x0000_t75" style="width:197.85pt;height:33.3pt" o:ole="">
            <v:imagedata r:id="rId1216" o:title=""/>
          </v:shape>
          <o:OLEObject Type="Embed" ProgID="Equation.DSMT4" ShapeID="_x0000_i1354" DrawAspect="Content" ObjectID="_1438189167" r:id="rId1217"/>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(17)</w:t>
      </w:r>
    </w:p>
    <w:p w:rsidR="00416D75" w:rsidRPr="00125962" w:rsidRDefault="00416D75" w:rsidP="00416D75">
      <w:pPr>
        <w:pStyle w:val="equation"/>
        <w:spacing w:before="80" w:after="8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4981575" cy="4752975"/>
            <wp:effectExtent l="19050" t="0" r="9525" b="0"/>
            <wp:docPr id="56" name="Picture 42" descr="Set_Figur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t_Figure_10"/>
                    <pic:cNvPicPr>
                      <a:picLocks noChangeAspect="1" noChangeArrowheads="1"/>
                    </pic:cNvPicPr>
                  </pic:nvPicPr>
                  <pic:blipFill>
                    <a:blip r:embed="rId1218" cstate="print"/>
                    <a:srcRect l="1038" t="2760" r="1807" b="2563"/>
                    <a:stretch>
                      <a:fillRect/>
                    </a:stretch>
                  </pic:blipFill>
                  <pic:spPr bwMode="auto">
                    <a:xfrm>
                      <a:off x="0" y="0"/>
                      <a:ext cx="4987098" cy="4758245"/>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left"/>
        <w:rPr>
          <w:szCs w:val="18"/>
        </w:rPr>
      </w:pPr>
    </w:p>
    <w:p w:rsidR="00416D75" w:rsidRPr="0092452E" w:rsidRDefault="00416D75" w:rsidP="00416D75">
      <w:pPr>
        <w:pStyle w:val="NormPara"/>
        <w:spacing w:before="80" w:after="80"/>
        <w:ind w:right="274" w:firstLine="0"/>
        <w:jc w:val="left"/>
        <w:rPr>
          <w:i/>
          <w:szCs w:val="18"/>
        </w:rPr>
      </w:pPr>
      <w:r w:rsidRPr="0092452E">
        <w:rPr>
          <w:b/>
          <w:i/>
          <w:szCs w:val="18"/>
        </w:rPr>
        <w:t>Figure 12:</w:t>
      </w:r>
      <w:r w:rsidRPr="0092452E">
        <w:rPr>
          <w:i/>
          <w:szCs w:val="18"/>
        </w:rPr>
        <w:t xml:space="preserve">  Graph of behavior of lightspeed c, atomic clock rates and frequencies, f, and redshift z with orbital time </w:t>
      </w:r>
      <w:proofErr w:type="gramStart"/>
      <w:r w:rsidRPr="0092452E">
        <w:rPr>
          <w:i/>
          <w:szCs w:val="18"/>
        </w:rPr>
        <w:t>T  horizontally</w:t>
      </w:r>
      <w:proofErr w:type="gramEnd"/>
      <w:r w:rsidRPr="0092452E">
        <w:rPr>
          <w:i/>
          <w:szCs w:val="18"/>
        </w:rPr>
        <w:t xml:space="preserve">. The scale of the vertical axis follows redshift which must be multiplied by </w:t>
      </w:r>
      <w:r>
        <w:rPr>
          <w:i/>
          <w:szCs w:val="18"/>
        </w:rPr>
        <w:t xml:space="preserve">a proportionality </w:t>
      </w:r>
      <w:r w:rsidRPr="0092452E">
        <w:rPr>
          <w:i/>
          <w:szCs w:val="18"/>
        </w:rPr>
        <w:t xml:space="preserve">constant K </w:t>
      </w:r>
      <w:r>
        <w:rPr>
          <w:i/>
          <w:szCs w:val="18"/>
        </w:rPr>
        <w:t xml:space="preserve">or K* </w:t>
      </w:r>
      <w:r w:rsidRPr="0092452E">
        <w:rPr>
          <w:i/>
          <w:szCs w:val="18"/>
        </w:rPr>
        <w:t>for the other quantities.</w:t>
      </w:r>
    </w:p>
    <w:p w:rsidR="00416D75" w:rsidRPr="00125962" w:rsidRDefault="00416D75" w:rsidP="00416D75">
      <w:pPr>
        <w:pStyle w:val="equation"/>
        <w:spacing w:before="80" w:after="8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Implications in Other Disciplines</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Plasma Physics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Around 1990, plasma physics opened up new vistas in astronomy based on interacting electric and magnetic fields in plasma filaments in contrast to gravitational interactions [83, 84].  Experimentation with plasma filaments in laboratories have shown that the electric and magnetic interactions in these filaments form, in miniature, all the various shapes of galaxies that astronomy is familiar with. </w:t>
      </w:r>
    </w:p>
    <w:p w:rsidR="00416D75" w:rsidRPr="00125962" w:rsidRDefault="00416D75" w:rsidP="00416D75">
      <w:pPr>
        <w:pStyle w:val="NormPara"/>
        <w:ind w:firstLine="270"/>
        <w:rPr>
          <w:sz w:val="20"/>
        </w:rPr>
      </w:pPr>
      <w:r w:rsidRPr="00125962">
        <w:rPr>
          <w:sz w:val="20"/>
        </w:rPr>
        <w:t>One set of experiments, using the interaction of two plasma filaments, produced the miniature galaxies shown in Fig. 11 at the bottom. These laboratory results can be compared with the galaxies we see out in the cosmos. Bennett pinches on plasma filaments forms stars like beads on a string. This is shown in miniature in the last three frames of Fig. 13 at the bottom, and in reality in the galaxy M81 at the top. Similar processes form planets.</w:t>
      </w:r>
    </w:p>
    <w:p w:rsidR="00416D75" w:rsidRPr="00125962" w:rsidRDefault="00416D75" w:rsidP="00416D75">
      <w:pPr>
        <w:pStyle w:val="equation"/>
        <w:spacing w:before="80" w:after="80"/>
        <w:rPr>
          <w:sz w:val="20"/>
        </w:rPr>
      </w:pPr>
    </w:p>
    <w:p w:rsidR="00416D75" w:rsidRPr="00125962" w:rsidRDefault="00416D75" w:rsidP="00416D75">
      <w:pPr>
        <w:pStyle w:val="NormPara"/>
        <w:spacing w:before="120"/>
        <w:ind w:firstLine="0"/>
        <w:jc w:val="center"/>
        <w:rPr>
          <w:sz w:val="20"/>
        </w:rPr>
      </w:pPr>
      <w:r w:rsidRPr="00125962">
        <w:rPr>
          <w:noProof/>
          <w:sz w:val="20"/>
        </w:rPr>
        <w:lastRenderedPageBreak/>
        <w:drawing>
          <wp:inline distT="0" distB="0" distL="0" distR="0">
            <wp:extent cx="5086350" cy="1987769"/>
            <wp:effectExtent l="19050" t="0" r="0" b="0"/>
            <wp:docPr id="57" name="il_fi" descr="http://setterfield.org/ZPE-Plasma_model_clip_image00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etterfield.org/ZPE-Plasma_model_clip_image002_0006.jpg"/>
                    <pic:cNvPicPr>
                      <a:picLocks noChangeAspect="1" noChangeArrowheads="1"/>
                    </pic:cNvPicPr>
                  </pic:nvPicPr>
                  <pic:blipFill>
                    <a:blip r:embed="rId1219" cstate="print"/>
                    <a:srcRect t="62740"/>
                    <a:stretch>
                      <a:fillRect/>
                    </a:stretch>
                  </pic:blipFill>
                  <pic:spPr bwMode="auto">
                    <a:xfrm>
                      <a:off x="0" y="0"/>
                      <a:ext cx="5093159" cy="1990430"/>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rPr>
          <w:szCs w:val="18"/>
        </w:rPr>
      </w:pPr>
    </w:p>
    <w:p w:rsidR="00416D75" w:rsidRPr="0092452E" w:rsidRDefault="00416D75" w:rsidP="00416D75">
      <w:pPr>
        <w:pStyle w:val="NormPara"/>
        <w:spacing w:before="80" w:after="80"/>
        <w:ind w:right="274" w:firstLine="0"/>
        <w:rPr>
          <w:i/>
          <w:szCs w:val="18"/>
        </w:rPr>
      </w:pPr>
      <w:r w:rsidRPr="0092452E">
        <w:rPr>
          <w:b/>
          <w:i/>
          <w:szCs w:val="18"/>
        </w:rPr>
        <w:t>Figure 13:</w:t>
      </w:r>
      <w:r w:rsidRPr="0092452E">
        <w:rPr>
          <w:i/>
          <w:szCs w:val="18"/>
        </w:rPr>
        <w:t xml:space="preserve">  Looking down the long axis of two interacting plasma filaments in the lab which produced miniature galaxies. Simulations used up to 12 interacting filaments, but all galaxy types can be produced with two or three filaments. Stars form along plasma filaments making up the spiral arms like beads on a string due to plasma pinch effects, like the 3 final frames at bottom.</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magnitude of the electric and magnetic interactions which form galaxies, stars and planets is dependent upon the strength of the Zero Point Energy (ZPE). With an increase in the ZPE strength over time, it can be shown that voltages were reduced, as were current strengths and the speed of plasma interactions. Resistances remained unaltered, while capacitances increased in proportion to </w:t>
      </w:r>
      <m:oMath>
        <m:r>
          <w:rPr>
            <w:rFonts w:ascii="Cambria Math" w:hAnsi="Cambria Math"/>
            <w:sz w:val="20"/>
          </w:rPr>
          <m:t>U</m:t>
        </m:r>
      </m:oMath>
      <w:r w:rsidRPr="00125962">
        <w:rPr>
          <w:sz w:val="20"/>
        </w:rPr>
        <w:t xml:space="preserve"> [85].  Analysis also indicates that a lower ZPE in earlier times resulted in filaments approaching each other and interacting more quickly than now.  This would have speeded up galaxy formation. The faster accumulation of material coupled with instabilities from pinches in the filaments also resulted in more rapid star and planet formation.  More efficient Marklund convection, which sorts elements in filaments in order of ionization potential, resulted in the layered structures of planets as well as the differences in their relative compositions out from the sun [85].</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Higher currents and voltages in the earlier days of our solar system may have caused the planetary plasma-spheres (magnetospheres) to go into glow mode and be very visible.  Planetary alignments may then have resulted in massive electrical discharges between the planets. There is a persistent theme in myths and legends regarding both planetary gods in the sky (visible plasma-spheres), as well as massively destructive ‘thunderbolts’ associated with them which inspired terror in the people.</w:t>
      </w:r>
    </w:p>
    <w:p w:rsidR="00416D75" w:rsidRPr="00125962" w:rsidRDefault="00416D75" w:rsidP="00416D75">
      <w:pPr>
        <w:pStyle w:val="NormPara"/>
        <w:ind w:firstLine="270"/>
        <w:rPr>
          <w:sz w:val="20"/>
        </w:rPr>
      </w:pPr>
    </w:p>
    <w:p w:rsidR="00416D75" w:rsidRPr="00125962" w:rsidRDefault="00416D75" w:rsidP="00416D75">
      <w:pPr>
        <w:pStyle w:val="NormPara"/>
        <w:ind w:firstLine="270"/>
        <w:rPr>
          <w:sz w:val="20"/>
        </w:rPr>
      </w:pPr>
      <w:r w:rsidRPr="00125962">
        <w:rPr>
          <w:sz w:val="20"/>
        </w:rPr>
        <w:t xml:space="preserve"> Higher currents and voltages in the past might also have been responsible for electromagnetic effects which studies show could have resulted in some structures on planetary surfaces [96].  In other words, a lower ZPE in the past, combined with plasma physics, may be offering an entirely different explanation for some puzzling astronomical and archaeological phenomena.</w:t>
      </w:r>
    </w:p>
    <w:p w:rsidR="00416D75" w:rsidRPr="00125962" w:rsidRDefault="00416D75" w:rsidP="00416D75">
      <w:pPr>
        <w:pStyle w:val="NormPara"/>
        <w:ind w:firstLine="27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Support from the Fossil Record</w:t>
      </w:r>
    </w:p>
    <w:p w:rsidR="00416D75" w:rsidRPr="00C718B2"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The Zero Point Energy has been shown to be responsible for a number of astronomical effects.  However there may also be something else it is at least partially responsible for.  We have been puzzled for many years by gigantism in the fossil record.  The giant dinosaurs were prominent in the Mesozoic Era. But earlier, in the Paleozoic, we see evidence of giant sea-scorpions and giant millipedes, both over 2 meters long. In the more recent Cenozoic Era, a giant wombat, the size of a rhinoceros, may have been</w:t>
      </w:r>
      <w:r w:rsidRPr="00125962">
        <w:rPr>
          <w:color w:val="FF0000"/>
          <w:sz w:val="20"/>
        </w:rPr>
        <w:t xml:space="preserve"> </w:t>
      </w:r>
      <w:r w:rsidRPr="00125962">
        <w:rPr>
          <w:sz w:val="20"/>
        </w:rPr>
        <w:t>the largest marsupial to ever inhabit Earth. Similarly, many early plant types grew to extraordinary sizes. In contrast, the plants and animals in our world now are often very much smaller.  How could the ZPE be implicated in this?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lastRenderedPageBreak/>
        <w:t>Nerves in all vertebrate animals, including humans, operate by conducting electrical impulses.  In the same way a wire must be insulated to keep the electrical current from dissipating, nerves in most vertebrate species are insulated by a fatty layer called myelin. This myelin coating allows the nerve impulses to travel at a high speed in one direction and not be dissipated in all directions.</w:t>
      </w:r>
      <w:r w:rsidRPr="00125962">
        <w:rPr>
          <w:color w:val="FF0000"/>
          <w:sz w:val="20"/>
        </w:rPr>
        <w:t xml:space="preserve"> </w:t>
      </w:r>
      <w:r w:rsidRPr="00125962">
        <w:rPr>
          <w:sz w:val="20"/>
        </w:rPr>
        <w:t>This speed rises from about 1 meter per second for a bare nerve fiber, about 10 microns in diameter, to over 50 meters per second for the same axon (nerve fiber) sheathed in myelin. (A micron is one millionth of a meter.)</w:t>
      </w:r>
    </w:p>
    <w:p w:rsidR="00416D75" w:rsidRPr="00125962" w:rsidRDefault="00416D75" w:rsidP="00416D75">
      <w:pPr>
        <w:pStyle w:val="NormPara"/>
        <w:spacing w:before="120"/>
        <w:ind w:firstLine="0"/>
        <w:jc w:val="center"/>
        <w:rPr>
          <w:noProof/>
          <w:sz w:val="20"/>
        </w:rPr>
      </w:pPr>
      <w:r w:rsidRPr="00125962">
        <w:rPr>
          <w:noProof/>
          <w:sz w:val="20"/>
        </w:rPr>
        <w:drawing>
          <wp:inline distT="0" distB="0" distL="0" distR="0">
            <wp:extent cx="3781425" cy="1714500"/>
            <wp:effectExtent l="19050" t="0" r="9525" b="0"/>
            <wp:docPr id="58" name="Picture 105"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euron"/>
                    <pic:cNvPicPr>
                      <a:picLocks noChangeAspect="1" noChangeArrowheads="1"/>
                    </pic:cNvPicPr>
                  </pic:nvPicPr>
                  <pic:blipFill>
                    <a:blip r:embed="rId1099" cstate="print"/>
                    <a:srcRect l="8040" t="10022" r="5371" b="10190"/>
                    <a:stretch>
                      <a:fillRect/>
                    </a:stretch>
                  </pic:blipFill>
                  <pic:spPr bwMode="auto">
                    <a:xfrm>
                      <a:off x="0" y="0"/>
                      <a:ext cx="3789158" cy="1718006"/>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center"/>
        <w:rPr>
          <w:b/>
          <w:sz w:val="20"/>
        </w:rPr>
      </w:pPr>
    </w:p>
    <w:p w:rsidR="00416D75" w:rsidRPr="0092452E" w:rsidRDefault="00416D75" w:rsidP="00416D75">
      <w:pPr>
        <w:pStyle w:val="NormPara"/>
        <w:spacing w:before="80" w:after="80"/>
        <w:ind w:right="274"/>
        <w:jc w:val="center"/>
        <w:rPr>
          <w:i/>
          <w:szCs w:val="18"/>
        </w:rPr>
      </w:pPr>
      <w:r w:rsidRPr="0092452E">
        <w:rPr>
          <w:b/>
          <w:i/>
          <w:szCs w:val="18"/>
        </w:rPr>
        <w:t>Figure 14:</w:t>
      </w:r>
      <w:r w:rsidRPr="0092452E">
        <w:rPr>
          <w:i/>
          <w:szCs w:val="18"/>
        </w:rPr>
        <w:t xml:space="preserve">  Typical nerve cell (neuron). Schwan's cells make myelin.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contrast, the invertebrates, like the giant sea scorpions, the monster millipedes and the immense dragonflies, all had non-myelinated nerves. The rate of nerve transmission today appears to limit the size of these organisms to about 30 centimeters. Yet to survive, animals</w:t>
      </w:r>
      <w:r w:rsidRPr="00125962">
        <w:rPr>
          <w:color w:val="FF0000"/>
          <w:sz w:val="20"/>
        </w:rPr>
        <w:t xml:space="preserve"> </w:t>
      </w:r>
      <w:r w:rsidRPr="00125962">
        <w:rPr>
          <w:sz w:val="20"/>
        </w:rPr>
        <w:t>must have an efficient nervous system which conducts nerve impulses sufficiently rapidly for them to have a viable reaction time. How was this achieved with the larger animals of the past?</w:t>
      </w:r>
    </w:p>
    <w:p w:rsidR="00416D75" w:rsidRPr="00125962" w:rsidRDefault="00416D75" w:rsidP="00416D75">
      <w:pPr>
        <w:pStyle w:val="NormPara"/>
        <w:ind w:firstLine="720"/>
        <w:rPr>
          <w:sz w:val="20"/>
        </w:rPr>
      </w:pPr>
    </w:p>
    <w:p w:rsidR="00416D75" w:rsidRPr="00125962" w:rsidRDefault="00416D75" w:rsidP="00416D75">
      <w:pPr>
        <w:pStyle w:val="NormPara"/>
        <w:ind w:firstLine="720"/>
        <w:rPr>
          <w:i/>
          <w:sz w:val="20"/>
        </w:rPr>
      </w:pPr>
      <w:r w:rsidRPr="00125962">
        <w:rPr>
          <w:sz w:val="20"/>
        </w:rPr>
        <w:t xml:space="preserve">This is where the importance of bio-electro-magnetism arises. J. Malmivuo and R. Plonsey have made some key comments which have a bearing on our problem. In [86], page 33, they state: </w:t>
      </w:r>
      <w:r w:rsidRPr="00125962">
        <w:rPr>
          <w:i/>
          <w:sz w:val="20"/>
        </w:rPr>
        <w:t xml:space="preserve">"All cells exhibit a voltage difference across the cell membrane. Nerve cells and muscle cells are excitable. Their cell membrane can produce electrochemical impulses and conduct them along the membrane. In muscle cells, this electric </w:t>
      </w:r>
      <w:proofErr w:type="gramStart"/>
      <w:r w:rsidRPr="00125962">
        <w:rPr>
          <w:i/>
          <w:sz w:val="20"/>
        </w:rPr>
        <w:t>phenomena</w:t>
      </w:r>
      <w:proofErr w:type="gramEnd"/>
      <w:r w:rsidRPr="00125962">
        <w:rPr>
          <w:i/>
          <w:sz w:val="20"/>
        </w:rPr>
        <w:t xml:space="preserve"> is also associated with the contraction of the cell [the working of the muscle]. In other cells, such as gland cells and ciliated cells, it is believed that the membrane voltage is important to the execution of cell function."</w:t>
      </w:r>
    </w:p>
    <w:p w:rsidR="00416D75" w:rsidRPr="00125962" w:rsidRDefault="00416D75" w:rsidP="00416D75">
      <w:pPr>
        <w:pStyle w:val="NormPara"/>
        <w:ind w:firstLine="461"/>
        <w:rPr>
          <w:i/>
          <w:sz w:val="20"/>
        </w:rPr>
      </w:pPr>
    </w:p>
    <w:p w:rsidR="00416D75" w:rsidRPr="00125962" w:rsidRDefault="00416D75" w:rsidP="00416D75">
      <w:pPr>
        <w:pStyle w:val="NormPara"/>
        <w:ind w:firstLine="720"/>
        <w:rPr>
          <w:sz w:val="20"/>
        </w:rPr>
      </w:pPr>
      <w:r w:rsidRPr="00125962">
        <w:rPr>
          <w:sz w:val="20"/>
        </w:rPr>
        <w:t>These authors [page 42, Eq. (2.1)] show that the axon’s nerve signal velocity is inversely proportional to its capacitance. Mathematically, all other terms which would be variable under changing ZPE conditions cancel out. This leaves axon capacitance as the sole player where nerve conduction velocities are concerned. When the ZPE strength was lower, and all voltages intrinsically higher, currents were stronger, and capacitances lower. Thus, when the ZPE strength was 1/10th of its current value, so also was the capacitance of the axons. This meant nerve signals were not only stronger, but traveled 10 times as fast down the axon.  So both nerve signal velocities and reaction times would have been much faster as in the past [87].  If the rate of nerve transmission is, indeed, one of the factors affecting the final size of an organism, a lower ZPE might have been one reason for the gigantism of the past. Alternately, the high ZPE strength of today necessitates small sizes for animals now.</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 parallel situation exists with fossil plants. Their great size and prolific numbers in the past suggest that some factor involving photosynthesis has changed. Photosynthesis depends on light and light is affected by the Zero Point Energy. Examination of this option reveals some pertinent facts [87].</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previously demonstrated [87], when the ZPE was lower, the production rate of light waves (or photons) by the sun and stars was higher in inverse proportion [85]. This holds whether nuclear or electric processes are involved [85]. Thus, when the ZPE strength was 1/10</w:t>
      </w:r>
      <w:r w:rsidRPr="00125962">
        <w:rPr>
          <w:sz w:val="20"/>
          <w:vertAlign w:val="superscript"/>
        </w:rPr>
        <w:t>th</w:t>
      </w:r>
      <w:r w:rsidRPr="00125962">
        <w:rPr>
          <w:sz w:val="20"/>
        </w:rPr>
        <w:t xml:space="preserve"> of what it is today, the speed of light was 10 times higher, meaning the earth received 10 times as many waves or photons per second as it does now. However this did not damage anything because </w:t>
      </w:r>
      <w:r w:rsidRPr="00125962">
        <w:rPr>
          <w:sz w:val="20"/>
        </w:rPr>
        <w:lastRenderedPageBreak/>
        <w:t>the high number was offset by the fact that the electric and magnetic properties of the vacuum would have had only 1/10</w:t>
      </w:r>
      <w:r w:rsidRPr="00125962">
        <w:rPr>
          <w:sz w:val="20"/>
          <w:vertAlign w:val="superscript"/>
        </w:rPr>
        <w:t>th</w:t>
      </w:r>
      <w:r w:rsidRPr="00125962">
        <w:rPr>
          <w:sz w:val="20"/>
        </w:rPr>
        <w:t xml:space="preserve"> of their current value. Since it is these properties that govern the intensity or brightness of the waves or photons, each only had 1/10</w:t>
      </w:r>
      <w:r w:rsidRPr="00125962">
        <w:rPr>
          <w:sz w:val="20"/>
          <w:vertAlign w:val="superscript"/>
        </w:rPr>
        <w:t>th</w:t>
      </w:r>
      <w:r w:rsidRPr="00125962">
        <w:rPr>
          <w:sz w:val="20"/>
        </w:rPr>
        <w:t xml:space="preserve"> of the intensity that it has today. Therefore, even though there were 10 times as many photons or waves, the total intensity or brightness of light would have been the same as today. Note that the energy of each photon or wave (that is, its color) would have been the same as today and therefore unchanged [85, 87].</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When the ZPE was low, plants received more photons of light of a given color (energy) per unit area per second than they do now. Under these conditions, analysis indicates that photosynthetic processes would have been more efficient when the ZPE was lower, so that plants would have grown more rapidly and to enhanced sizes.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we then examine the effects of a lower Zero Point Energy in the past, it becomes evident that these effects may not have been confined to “outer space.”  More efficient photosynthesis in plants and more efficient nerve transmissions in animals both would have been the result of a lower ZPE.  This may well have contributed to the gigantism we see in the fossil record.  Put another way, the gigantism we see among fossils may itself be testimony to a lower ZPE in the past.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and Relativity</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sz w:val="20"/>
          <w:szCs w:val="20"/>
        </w:rPr>
      </w:pPr>
      <w:r w:rsidRPr="00125962">
        <w:rPr>
          <w:rFonts w:ascii="Book Antiqua" w:hAnsi="Book Antiqua" w:cs="Times New Roman"/>
          <w:sz w:val="20"/>
          <w:szCs w:val="20"/>
        </w:rPr>
        <w:t>The Concept of the “Aether”</w:t>
      </w:r>
    </w:p>
    <w:p w:rsidR="00416D75" w:rsidRPr="00125962" w:rsidRDefault="00416D75" w:rsidP="00416D75">
      <w:pPr>
        <w:pStyle w:val="NoSpacing"/>
      </w:pPr>
    </w:p>
    <w:p w:rsidR="00416D75" w:rsidRPr="00125962" w:rsidRDefault="00416D75" w:rsidP="00416D75">
      <w:pPr>
        <w:pStyle w:val="NormPara"/>
        <w:ind w:firstLine="720"/>
        <w:rPr>
          <w:sz w:val="20"/>
        </w:rPr>
      </w:pPr>
      <w:r w:rsidRPr="00125962">
        <w:rPr>
          <w:sz w:val="20"/>
        </w:rPr>
        <w:t>At the beginning of the twentieth century, it was assumed that there had to be a medium filling the vacuum of space so that light waves could be transmitted. This ‘light 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Morley (M-M) performed this experiment in 1881 and the only drift recorded, about 8 km/s, was considered by most to be near the error limits of the equipment. As a consequence, the official position has been that no drift was recorded.</w:t>
      </w:r>
    </w:p>
    <w:p w:rsidR="00416D75" w:rsidRDefault="00416D75" w:rsidP="00416D75">
      <w:pPr>
        <w:pStyle w:val="NormPara"/>
        <w:ind w:firstLine="0"/>
        <w:rPr>
          <w:sz w:val="20"/>
        </w:rPr>
      </w:pPr>
    </w:p>
    <w:p w:rsidR="00416D75" w:rsidRDefault="00416D75" w:rsidP="00416D75">
      <w:pPr>
        <w:pStyle w:val="NormPara"/>
        <w:ind w:firstLine="0"/>
        <w:jc w:val="center"/>
        <w:rPr>
          <w:sz w:val="20"/>
        </w:rPr>
      </w:pPr>
      <w:r w:rsidRPr="00D25417">
        <w:rPr>
          <w:noProof/>
          <w:sz w:val="20"/>
        </w:rPr>
        <w:drawing>
          <wp:inline distT="0" distB="0" distL="0" distR="0">
            <wp:extent cx="3208244" cy="2101952"/>
            <wp:effectExtent l="19050" t="0" r="0" b="0"/>
            <wp:docPr id="59" name="il_fi" descr="http://www.mystica.gr/philex_3.files/MichelsonMor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ystica.gr/philex_3.files/MichelsonMorley.jpg"/>
                    <pic:cNvPicPr>
                      <a:picLocks noChangeAspect="1" noChangeArrowheads="1"/>
                    </pic:cNvPicPr>
                  </pic:nvPicPr>
                  <pic:blipFill>
                    <a:blip r:embed="rId1220" cstate="print"/>
                    <a:srcRect/>
                    <a:stretch>
                      <a:fillRect/>
                    </a:stretch>
                  </pic:blipFill>
                  <pic:spPr bwMode="auto">
                    <a:xfrm>
                      <a:off x="0" y="0"/>
                      <a:ext cx="3216175" cy="2107148"/>
                    </a:xfrm>
                    <a:prstGeom prst="rect">
                      <a:avLst/>
                    </a:prstGeom>
                    <a:noFill/>
                    <a:ln w="9525">
                      <a:noFill/>
                      <a:miter lim="800000"/>
                      <a:headEnd/>
                      <a:tailEnd/>
                    </a:ln>
                  </pic:spPr>
                </pic:pic>
              </a:graphicData>
            </a:graphic>
          </wp:inline>
        </w:drawing>
      </w:r>
    </w:p>
    <w:p w:rsidR="00416D75" w:rsidRPr="00125962" w:rsidRDefault="00416D75" w:rsidP="00416D75">
      <w:pPr>
        <w:pStyle w:val="NormPara"/>
        <w:ind w:firstLine="0"/>
        <w:rPr>
          <w:sz w:val="20"/>
        </w:rPr>
      </w:pPr>
    </w:p>
    <w:p w:rsidR="00416D75" w:rsidRPr="00125962" w:rsidRDefault="00416D75" w:rsidP="00416D75">
      <w:pPr>
        <w:pStyle w:val="NormPara"/>
        <w:ind w:firstLine="270"/>
        <w:rPr>
          <w:sz w:val="20"/>
        </w:rPr>
      </w:pPr>
      <w:r w:rsidRPr="00125962">
        <w:rPr>
          <w:sz w:val="20"/>
        </w:rPr>
        <w:t>In order to account for this lack of motion through the stationary ether, a number of proposals were made by a variety of physicists, including Fitzgerald, Lorentz and Einstein. Even as late as 1929, Einstein was stating in his lectures that, though the ether was still considered to exist, the theory of relativity explained why no "ether drift" was detected. He proposed that there were changes in space and time, and that there was no absolute frame of reference against which anything could be measured. That was the prime reason for his special theory of relativity (SR), which later opened up the way for the general theory of relativity (GR). Historically, Einstein's theory was accepted as the explanation.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rStyle w:val="Emphasis"/>
          <w:sz w:val="20"/>
        </w:rPr>
      </w:pPr>
      <w:r w:rsidRPr="00125962">
        <w:rPr>
          <w:sz w:val="20"/>
        </w:rPr>
        <w:lastRenderedPageBreak/>
        <w:t>The ZPE is the all-pervasive ‘light carrying medium’ or ‘ether’ that exists in reality. Its properties are vastly different from those imagined by physicists when the Michelson-Morley experiment was done. One key property of the ZPE was discussed by Timothy Boyer in his article, “The Classical Vacuum” as follows [88]: “</w:t>
      </w:r>
      <w:r w:rsidRPr="00125962">
        <w:rPr>
          <w:rStyle w:val="Emphasis"/>
          <w:sz w:val="20"/>
        </w:rPr>
        <w:t xml:space="preserve">It turns out that the zero-point spectrum can </w:t>
      </w:r>
      <w:r w:rsidRPr="00125962">
        <w:rPr>
          <w:iCs/>
          <w:sz w:val="20"/>
        </w:rPr>
        <w:t>only</w:t>
      </w:r>
      <w:r w:rsidRPr="00125962">
        <w:rPr>
          <w:rStyle w:val="Emphasis"/>
          <w:sz w:val="20"/>
        </w:rPr>
        <w:t xml:space="preserve"> have one possible shape…the intensity of the radiation at any frequency must be proportional to the cube of that frequency. A spectrum defined by such a cubic curve is the same for all unaccelerated observers, no matter what their velocity; moreover, it is the only spectrum that has this property.”</w:t>
      </w:r>
    </w:p>
    <w:p w:rsidR="00416D75" w:rsidRPr="00125962" w:rsidRDefault="00416D75" w:rsidP="00416D75">
      <w:pPr>
        <w:pStyle w:val="NormPara"/>
        <w:ind w:firstLine="720"/>
        <w:rPr>
          <w:rStyle w:val="Emphasis"/>
          <w:sz w:val="20"/>
        </w:rPr>
      </w:pPr>
    </w:p>
    <w:p w:rsidR="00416D75" w:rsidRPr="00125962" w:rsidRDefault="00416D75" w:rsidP="00416D75">
      <w:pPr>
        <w:pStyle w:val="NormPara"/>
        <w:ind w:firstLine="720"/>
        <w:rPr>
          <w:sz w:val="20"/>
        </w:rPr>
      </w:pPr>
      <w:r w:rsidRPr="00125962">
        <w:rPr>
          <w:rStyle w:val="Emphasis"/>
          <w:i w:val="0"/>
          <w:sz w:val="20"/>
        </w:rPr>
        <w:t>In other words, t</w:t>
      </w:r>
      <w:r w:rsidRPr="00125962">
        <w:rPr>
          <w:sz w:val="20"/>
        </w:rPr>
        <w:t>he ZPE is Lorentz invariant, meaning you cannot distinguish motion through it. Furthermore, since the ZPE is uniform through all space at any given time, the speed of light will also be uniform throughout all of space at any given time. It is only changes in the strength of the ZPE which will affect the speed of light, not its direction of travel. If this had been known, the results of the M-M experiment could have been readily explained.</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Increasing Masses and Slowing Clocks</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It is known that Einstein's relativity made predictions that proved correct. However these same predictions can be made using intuitive concepts from the ZPE approach and very much simpler mathematics in the process [89].</w:t>
      </w:r>
    </w:p>
    <w:p w:rsidR="00416D75" w:rsidRPr="00125962" w:rsidRDefault="00416D75" w:rsidP="00416D75">
      <w:pPr>
        <w:pStyle w:val="NormPara"/>
        <w:ind w:firstLine="360"/>
        <w:rPr>
          <w:sz w:val="20"/>
        </w:rPr>
      </w:pPr>
    </w:p>
    <w:p w:rsidR="00416D75" w:rsidRPr="00125962" w:rsidRDefault="00416D75" w:rsidP="00416D75">
      <w:pPr>
        <w:pStyle w:val="NormPara"/>
        <w:ind w:firstLine="720"/>
        <w:rPr>
          <w:sz w:val="20"/>
        </w:rPr>
      </w:pPr>
      <w:r w:rsidRPr="00125962">
        <w:rPr>
          <w:sz w:val="20"/>
        </w:rPr>
        <w:t>Special Relativity deals with how velocities affect moving objects. As velocities increase, atomic masses also increase and atomic clocks slow. We have observed that the acceleration of an electron through a linear accelerator results in an increase in mass of the electron. This has been hailed as proof that relativity is correct. However, the SED approach predicts exactly the same effect as a result of the existence of the ZPE. The SED approach has shown that the masses of sub-atomic particles are all results of the "jiggling" of these particles by the impacting waves of the ZPE. This "jiggling" imparts kinetic energy to these mass-less particles and this energy appears atomically as mass. An increased "jiggling" occurs when a particle is in motion, because more ZPE waves are impacting the particle than when it is at rest. An increase in particle mass is then the result. The higher the velocity, the more ZPE waves are being encountered per second and so more "jiggling" occurs and so there is a greater mass. This has been mathematically quantified by SED physicists.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In addition, as atomic masses, </w:t>
      </w:r>
      <w:r w:rsidRPr="00125962">
        <w:rPr>
          <w:i/>
          <w:sz w:val="20"/>
        </w:rPr>
        <w:t>m</w:t>
      </w:r>
      <w:r w:rsidRPr="00125962">
        <w:rPr>
          <w:sz w:val="20"/>
        </w:rPr>
        <w:t xml:space="preserve">, increase by this process, it can be shown that the rate of ticking of atomic clocks slows down. This occurs because kinetic </w:t>
      </w:r>
      <w:proofErr w:type="gramStart"/>
      <w:r w:rsidRPr="00125962">
        <w:rPr>
          <w:sz w:val="20"/>
        </w:rPr>
        <w:t xml:space="preserve">energy </w:t>
      </w:r>
      <m:oMath>
        <w:proofErr w:type="gramEnd"/>
        <m:r>
          <w:rPr>
            <w:rFonts w:ascii="Cambria Math"/>
            <w:sz w:val="20"/>
          </w:rPr>
          <m:t>(</m:t>
        </m:r>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is conserved in atomic processes. This energy conservation requires that atomic particles must move more slowly as they gain mass -- that is their velocities</w:t>
      </w:r>
      <w:proofErr w:type="gramStart"/>
      <w:r w:rsidRPr="00125962">
        <w:rPr>
          <w:sz w:val="20"/>
        </w:rPr>
        <w:t xml:space="preserve">, </w:t>
      </w:r>
      <m:oMath>
        <w:proofErr w:type="gramEnd"/>
        <m:r>
          <w:rPr>
            <w:rFonts w:ascii="Cambria Math" w:hAnsi="Cambria Math"/>
            <w:sz w:val="20"/>
          </w:rPr>
          <m:t>v</m:t>
        </m:r>
      </m:oMath>
      <w:r w:rsidRPr="00125962">
        <w:rPr>
          <w:sz w:val="20"/>
        </w:rPr>
        <w:t>, decrease. Slowing atomic processes, in turn, then mean that atomic time slows with increases in mass. The converse is also true; atomic processes will speed up with a decrease in atomic mass (which comes from a decrease in the ZPE). Changes in atomic masses result in changes in atomic clock rates.</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Bending Light in a Gravitational Field</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Pr>
          <w:sz w:val="20"/>
        </w:rPr>
        <w:t xml:space="preserve">In terms of gravity, </w:t>
      </w:r>
      <w:r w:rsidRPr="00337D7B">
        <w:rPr>
          <w:sz w:val="20"/>
        </w:rPr>
        <w:t>SED physics also presents the same predictions as General Relativity (GR).</w:t>
      </w:r>
      <w:r w:rsidRPr="00125962">
        <w:rPr>
          <w:sz w:val="20"/>
        </w:rPr>
        <w:t xml:space="preserve">  Using intuitive concepts and simple mathematics, even the awkward movements of Mercury, known as the advance of its perihelion, can be explained [89].  As early as 1920, working on an intuitive level and using simple mathematics, Sir Arthur Eddington wrote [90]:</w:t>
      </w:r>
    </w:p>
    <w:p w:rsidR="00416D75" w:rsidRPr="00125962" w:rsidRDefault="00416D75" w:rsidP="00416D75">
      <w:pPr>
        <w:pStyle w:val="NormPara"/>
        <w:ind w:firstLine="720"/>
        <w:rPr>
          <w:sz w:val="20"/>
        </w:rPr>
      </w:pPr>
    </w:p>
    <w:p w:rsidR="00416D75" w:rsidRPr="00125962" w:rsidRDefault="00416D75" w:rsidP="00416D75">
      <w:pPr>
        <w:pStyle w:val="NormPara"/>
        <w:spacing w:before="80" w:after="80"/>
        <w:ind w:firstLine="0"/>
        <w:rPr>
          <w:rStyle w:val="Emphasis"/>
          <w:sz w:val="20"/>
        </w:rPr>
      </w:pPr>
      <w:r w:rsidRPr="00125962">
        <w:rPr>
          <w:rStyle w:val="Emphasis"/>
          <w:sz w:val="20"/>
        </w:rPr>
        <w:t xml:space="preserve">“Light moves more slowly in a material medium than in a vacuum, the velocity being inversely proportional to the refractive index of the medium.... We can thus imitate the [GR] gravitational effect on light precisely, if we imagine the space round the sun filled with a refracting medium which gives the appropriate velocity of light. To give the </w:t>
      </w:r>
      <w:proofErr w:type="gramStart"/>
      <w:r w:rsidRPr="00125962">
        <w:rPr>
          <w:rStyle w:val="Emphasis"/>
          <w:sz w:val="20"/>
        </w:rPr>
        <w:t xml:space="preserve">velocity </w:t>
      </w:r>
      <w:proofErr w:type="gramEnd"/>
      <w:r w:rsidRPr="00125962">
        <w:rPr>
          <w:i/>
          <w:iCs/>
          <w:position w:val="-12"/>
          <w:sz w:val="20"/>
        </w:rPr>
        <w:object w:dxaOrig="940" w:dyaOrig="340">
          <v:shape id="_x0000_i1355" type="#_x0000_t75" style="width:47.2pt;height:17.55pt" o:ole="">
            <v:imagedata r:id="rId1221" o:title=""/>
          </v:shape>
          <o:OLEObject Type="Embed" ProgID="Equation.DSMT4" ShapeID="_x0000_i1355" DrawAspect="Content" ObjectID="_1438189168" r:id="rId1222"/>
        </w:object>
      </w:r>
      <w:r w:rsidRPr="00125962">
        <w:rPr>
          <w:rStyle w:val="Emphasis"/>
          <w:sz w:val="20"/>
        </w:rPr>
        <w:t xml:space="preserve">, the refractive index must be </w:t>
      </w:r>
      <w:r w:rsidRPr="00125962">
        <w:rPr>
          <w:i/>
          <w:iCs/>
          <w:position w:val="-12"/>
          <w:sz w:val="20"/>
        </w:rPr>
        <w:object w:dxaOrig="999" w:dyaOrig="340">
          <v:shape id="_x0000_i1356" type="#_x0000_t75" style="width:50.2pt;height:17.55pt" o:ole="">
            <v:imagedata r:id="rId1223" o:title=""/>
          </v:shape>
          <o:OLEObject Type="Embed" ProgID="Equation.DSMT4" ShapeID="_x0000_i1356" DrawAspect="Content" ObjectID="_1438189169" r:id="rId1224"/>
        </w:object>
      </w:r>
      <w:r w:rsidRPr="00125962">
        <w:rPr>
          <w:rStyle w:val="Emphasis"/>
          <w:sz w:val="20"/>
        </w:rPr>
        <w:t>. …Any problem on the paths of rays near the sun can now be solved by the methods of geometrical optics applied to the equivalent refracting medium.”</w:t>
      </w:r>
    </w:p>
    <w:p w:rsidR="00416D75" w:rsidRPr="00125962" w:rsidRDefault="00416D75" w:rsidP="00416D75">
      <w:pPr>
        <w:pStyle w:val="NormPara"/>
        <w:spacing w:before="80" w:after="80"/>
        <w:ind w:left="274" w:firstLine="0"/>
        <w:rPr>
          <w:sz w:val="20"/>
        </w:rPr>
      </w:pPr>
    </w:p>
    <w:p w:rsidR="00416D75" w:rsidRPr="00125962" w:rsidRDefault="00416D75" w:rsidP="00416D75">
      <w:pPr>
        <w:pStyle w:val="NormPara"/>
        <w:ind w:firstLine="720"/>
        <w:rPr>
          <w:sz w:val="20"/>
        </w:rPr>
      </w:pPr>
      <w:r w:rsidRPr="00125962">
        <w:rPr>
          <w:sz w:val="20"/>
        </w:rPr>
        <w:lastRenderedPageBreak/>
        <w:t xml:space="preserve">It can be demonstrated that the build-up of the ZPE strength around collections of particles provides just such an </w:t>
      </w:r>
      <w:r w:rsidRPr="00125962">
        <w:rPr>
          <w:i/>
          <w:sz w:val="20"/>
        </w:rPr>
        <w:t>“equivalent refracting medium”</w:t>
      </w:r>
      <w:r w:rsidRPr="00125962">
        <w:rPr>
          <w:sz w:val="20"/>
        </w:rPr>
        <w:t>. When subatomic particles are “jiggled” by the ZPE, they send out secondary radiation which boosts the ZPE strength locally. The larger the collection of particles, the greater the local boost to the ZPE becomes. Since a stronger ZPE means a slowing of light photons and waves in their travel, then the boosted ZPE acts as an ‘equivalent refractive medium’. Refraction occurs in this case because the ZPE strength changes locally, not in a uniform or simultaneously manner across the entire universe. It is this local change in the ZPE which bends the rays of light. Since this effect only occurs in the vicinity of a massive collection of jiggling particles, its cause is attributed to the “gravitational field.”</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Is There an Absolute Reference Frame?</w:t>
      </w:r>
    </w:p>
    <w:p w:rsidR="00416D75" w:rsidRPr="00125962" w:rsidRDefault="00416D75" w:rsidP="00416D75">
      <w:pPr>
        <w:rPr>
          <w:rFonts w:ascii="Book Antiqua" w:hAnsi="Book Antiqua"/>
        </w:rPr>
      </w:pPr>
    </w:p>
    <w:p w:rsidR="00416D75" w:rsidRPr="00125962" w:rsidRDefault="00416D75" w:rsidP="00416D75">
      <w:pPr>
        <w:pStyle w:val="NormPara"/>
        <w:ind w:firstLine="720"/>
        <w:rPr>
          <w:sz w:val="20"/>
        </w:rPr>
      </w:pPr>
      <w:r w:rsidRPr="00125962">
        <w:rPr>
          <w:sz w:val="20"/>
        </w:rPr>
        <w:t xml:space="preserve">Einstein’s basic postulate, from which the theory of relativity takes its name, is that there is no absolute frame of reference anywhere in the universe. However, in 1964 the Cosmic Microwave Background Radiation (CMBR) was discovered by Penzias and Wilson. The physical reality of the CMBR has provided an absolute rest frame against which the actual velocity of the solar system, our galaxy, and our Local Group of galaxies can be measured. </w:t>
      </w:r>
      <w:proofErr w:type="gramStart"/>
      <w:r w:rsidRPr="00125962">
        <w:rPr>
          <w:sz w:val="20"/>
        </w:rPr>
        <w:t>Cosmologist and astronomer, Martin Harwit.</w:t>
      </w:r>
      <w:proofErr w:type="gramEnd"/>
      <w:r w:rsidRPr="00125962">
        <w:rPr>
          <w:sz w:val="20"/>
        </w:rPr>
        <w:t xml:space="preserve"> </w:t>
      </w:r>
      <w:proofErr w:type="gramStart"/>
      <w:r w:rsidRPr="00125962">
        <w:rPr>
          <w:sz w:val="20"/>
        </w:rPr>
        <w:t>writes</w:t>
      </w:r>
      <w:proofErr w:type="gramEnd"/>
      <w:r w:rsidRPr="00125962">
        <w:rPr>
          <w:sz w:val="20"/>
        </w:rPr>
        <w:t xml:space="preserve"> [91]:</w:t>
      </w:r>
    </w:p>
    <w:p w:rsidR="00416D75" w:rsidRPr="00125962" w:rsidRDefault="00416D75" w:rsidP="00416D75">
      <w:pPr>
        <w:pStyle w:val="NormPara"/>
        <w:spacing w:before="80" w:after="80"/>
        <w:ind w:firstLine="360"/>
        <w:rPr>
          <w:rStyle w:val="Emphasis"/>
          <w:i w:val="0"/>
          <w:sz w:val="20"/>
        </w:rPr>
      </w:pPr>
      <w:r w:rsidRPr="00125962">
        <w:rPr>
          <w:rStyle w:val="Emphasis"/>
          <w:sz w:val="20"/>
        </w:rPr>
        <w:t>“</w:t>
      </w:r>
      <w:r w:rsidRPr="00125962">
        <w:rPr>
          <w:i/>
          <w:iCs/>
          <w:sz w:val="20"/>
        </w:rPr>
        <w:t>Current</w:t>
      </w:r>
      <w:r w:rsidRPr="00125962">
        <w:rPr>
          <w:rStyle w:val="Emphasis"/>
          <w:sz w:val="20"/>
        </w:rPr>
        <w:t xml:space="preserve"> observations indicate that the universe is bathed by an isotropic bath of microwave radiation. It is interesting that the presence of such a radiation field should allow us to determine an absolute rest frame on the basis of local measurement.”</w:t>
      </w:r>
      <w:r w:rsidRPr="00125962">
        <w:rPr>
          <w:sz w:val="20"/>
        </w:rPr>
        <w:t xml:space="preserve">Harwit then goes on to salvage what he can for relativity by saying  </w:t>
      </w:r>
      <w:r w:rsidRPr="00125962">
        <w:rPr>
          <w:rStyle w:val="Emphasis"/>
          <w:sz w:val="20"/>
        </w:rPr>
        <w:t>”...the establishment of an absolute rest frame would emphasize the fact that special relativity is really only able to deal with small-scale phenomena and that phenomena on larger scales allow us to determine a preferred frame of reference in which cosmic processes look isotropic.”</w:t>
      </w:r>
      <w:r w:rsidRPr="00125962">
        <w:rPr>
          <w:rStyle w:val="Emphasis"/>
          <w:i w:val="0"/>
          <w:sz w:val="20"/>
        </w:rPr>
        <w:t>[91]</w:t>
      </w:r>
    </w:p>
    <w:p w:rsidR="00416D75" w:rsidRPr="00125962" w:rsidRDefault="00416D75" w:rsidP="00416D75">
      <w:pPr>
        <w:pStyle w:val="NormPara"/>
        <w:ind w:firstLine="0"/>
        <w:rPr>
          <w:sz w:val="20"/>
        </w:rPr>
      </w:pPr>
    </w:p>
    <w:p w:rsidR="00416D75" w:rsidRPr="00125962" w:rsidRDefault="00416D75" w:rsidP="00416D75">
      <w:pPr>
        <w:pStyle w:val="NormPara"/>
        <w:ind w:firstLine="360"/>
        <w:rPr>
          <w:sz w:val="20"/>
        </w:rPr>
      </w:pPr>
      <w:r w:rsidRPr="00125962">
        <w:rPr>
          <w:sz w:val="20"/>
        </w:rPr>
        <w:t xml:space="preserve">In other words, special relativity applies at an atomic level but not a macroscopic one. Further discussion </w:t>
      </w:r>
      <w:r>
        <w:rPr>
          <w:sz w:val="20"/>
        </w:rPr>
        <w:t>can be found on this matter in</w:t>
      </w:r>
      <w:r w:rsidRPr="00125962">
        <w:rPr>
          <w:sz w:val="20"/>
        </w:rPr>
        <w:t xml:space="preserve"> Chapter 7.</w:t>
      </w:r>
    </w:p>
    <w:p w:rsidR="00416D75" w:rsidRPr="00125962" w:rsidRDefault="00416D75" w:rsidP="00416D75">
      <w:pPr>
        <w:pStyle w:val="NormPara"/>
        <w:ind w:firstLine="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Gravity, General Relativity and the ZPE</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Finally, there is the question of what gravity really is. While it may be correct to state that GR is a good mathematical </w:t>
      </w:r>
      <w:proofErr w:type="gramStart"/>
      <w:r w:rsidRPr="00125962">
        <w:rPr>
          <w:sz w:val="20"/>
        </w:rPr>
        <w:t>model, that</w:t>
      </w:r>
      <w:proofErr w:type="gramEnd"/>
      <w:r w:rsidRPr="00125962">
        <w:rPr>
          <w:sz w:val="20"/>
        </w:rPr>
        <w:t xml:space="preserve"> is not the same as explaining how gravitational forces originate. The GR model is often presented using the "rubber sheet" analogy. In this analogy, the picture is often given of a heavy ball-bearing, representing a massive body like the earth or sun, which deforms the surface of a rubber sheet (space-time) and causes it to curve. The problems with both the mathematics and the analogy were mentioned by Tom Van Flandern and others at a conference in 2002. It was described as follows [92]: </w:t>
      </w:r>
    </w:p>
    <w:p w:rsidR="00416D75" w:rsidRPr="00125962" w:rsidRDefault="00416D75" w:rsidP="00416D75">
      <w:pPr>
        <w:pStyle w:val="NormPara"/>
        <w:spacing w:before="80" w:after="80"/>
        <w:ind w:firstLine="720"/>
        <w:rPr>
          <w:rStyle w:val="Strong"/>
          <w:rFonts w:eastAsia="Calibri"/>
          <w:b w:val="0"/>
          <w:i/>
          <w:iCs/>
          <w:sz w:val="20"/>
        </w:rPr>
      </w:pPr>
      <w:r w:rsidRPr="00125962">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manifold would have no reason to end its rest unless a force acted on it. </w:t>
      </w:r>
      <w:proofErr w:type="gramStart"/>
      <w:r w:rsidRPr="00125962">
        <w:rPr>
          <w:rStyle w:val="Strong"/>
          <w:rFonts w:eastAsia="Calibri"/>
          <w:i/>
          <w:iCs/>
          <w:sz w:val="20"/>
        </w:rPr>
        <w:t>However successful this geometric interpretation may be as a mathematical model, it lacks physics and a causal mechanism."</w:t>
      </w:r>
      <w:proofErr w:type="gramEnd"/>
      <w:r w:rsidR="00C044EE">
        <w:rPr>
          <w:rStyle w:val="Strong"/>
          <w:rFonts w:eastAsia="Calibri"/>
          <w:i/>
          <w:iCs/>
          <w:sz w:val="20"/>
        </w:rPr>
        <w:t xml:space="preserve"> </w:t>
      </w:r>
      <w:r w:rsidR="00C044EE" w:rsidRPr="00C044EE">
        <w:rPr>
          <w:rStyle w:val="Strong"/>
          <w:rFonts w:eastAsia="Calibri"/>
          <w:b w:val="0"/>
          <w:iCs/>
          <w:sz w:val="20"/>
        </w:rPr>
        <w:t>(Emphasis added)</w:t>
      </w:r>
    </w:p>
    <w:p w:rsidR="00416D75" w:rsidRPr="00125962" w:rsidRDefault="00416D75" w:rsidP="00416D75">
      <w:pPr>
        <w:pStyle w:val="NormPara"/>
        <w:ind w:firstLine="720"/>
        <w:rPr>
          <w:i/>
          <w:sz w:val="20"/>
        </w:rPr>
      </w:pPr>
      <w:r w:rsidRPr="00125962">
        <w:rPr>
          <w:sz w:val="20"/>
        </w:rPr>
        <w:t xml:space="preserve">This problem was also noted by Haisch and his colleagues at the California Institute for Physics and Astrophysics (CIPA). They say [93]: </w:t>
      </w:r>
      <w:r w:rsidRPr="00125962">
        <w:rPr>
          <w:i/>
          <w:sz w:val="20"/>
        </w:rPr>
        <w:t xml:space="preserve">“The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a geodesic) that a freely moving object will follow. But if you constrain an object to follow some different path (or not to move at all) geometrodynamics does not tell you how or why a force arises. … Logically you wind up having to assume that a force arises because when you deviate from a geodesic you are accelerating, but that is exactly what you are trying to explain in the first place: Why does a force arise when you accelerate? … </w:t>
      </w:r>
      <w:proofErr w:type="gramStart"/>
      <w:r w:rsidRPr="00125962">
        <w:rPr>
          <w:i/>
          <w:sz w:val="20"/>
        </w:rPr>
        <w:t>this</w:t>
      </w:r>
      <w:proofErr w:type="gramEnd"/>
      <w:r w:rsidRPr="00125962">
        <w:rPr>
          <w:i/>
          <w:sz w:val="20"/>
        </w:rPr>
        <w:t xml:space="preserve"> merely takes us in a logical  full circle.”</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view of these shortcomings, alternative proposals need to be examined. One of these comes directly from SED physics as a result of the ZPE. It involves the positively and negatively charged virtual particles of the vacuum.  SED physicists have noted that all charged partons in the universe undergo the </w:t>
      </w:r>
      <w:r w:rsidRPr="00125962">
        <w:rPr>
          <w:i/>
          <w:sz w:val="20"/>
        </w:rPr>
        <w:t>Zitterbewegung</w:t>
      </w:r>
      <w:r w:rsidRPr="00125962">
        <w:rPr>
          <w:sz w:val="20"/>
        </w:rPr>
        <w:t xml:space="preserve"> jostling through interaction with the ZPF. These fluctuations are relativistic so that the charges move at velocities close to that of light. Haisch, Rueda and Puthoff then say [94]: </w:t>
      </w:r>
    </w:p>
    <w:p w:rsidR="00416D75" w:rsidRPr="00125962" w:rsidRDefault="00416D75" w:rsidP="00416D75">
      <w:pPr>
        <w:pStyle w:val="NormPara"/>
        <w:ind w:firstLine="0"/>
        <w:rPr>
          <w:sz w:val="20"/>
        </w:rPr>
      </w:pPr>
    </w:p>
    <w:p w:rsidR="00416D75" w:rsidRPr="00125962" w:rsidRDefault="00416D75" w:rsidP="00416D75">
      <w:pPr>
        <w:pStyle w:val="NormPara"/>
        <w:spacing w:before="80" w:after="80"/>
        <w:ind w:firstLine="720"/>
        <w:rPr>
          <w:i/>
          <w:sz w:val="20"/>
        </w:rPr>
      </w:pPr>
      <w:r w:rsidRPr="00125962">
        <w:rPr>
          <w:i/>
          <w:sz w:val="20"/>
        </w:rPr>
        <w:t>“Now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p>
    <w:p w:rsidR="00416D75" w:rsidRDefault="00416D75" w:rsidP="00416D75">
      <w:pPr>
        <w:pStyle w:val="NormPara"/>
        <w:spacing w:before="80" w:after="80"/>
        <w:ind w:firstLine="0"/>
        <w:rPr>
          <w:sz w:val="20"/>
        </w:rPr>
      </w:pPr>
    </w:p>
    <w:tbl>
      <w:tblPr>
        <w:tblW w:w="0" w:type="auto"/>
        <w:jc w:val="center"/>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58"/>
        <w:gridCol w:w="5054"/>
      </w:tblGrid>
      <w:tr w:rsidR="00416D75" w:rsidRPr="00125962" w:rsidTr="00C8716A">
        <w:trPr>
          <w:trHeight w:val="5237"/>
          <w:jc w:val="center"/>
        </w:trPr>
        <w:tc>
          <w:tcPr>
            <w:tcW w:w="4958" w:type="dxa"/>
          </w:tcPr>
          <w:p w:rsidR="00416D75" w:rsidRPr="00125962" w:rsidRDefault="00416D75" w:rsidP="003442EA">
            <w:pPr>
              <w:pStyle w:val="NoSpacing"/>
              <w:jc w:val="center"/>
              <w:rPr>
                <w:rFonts w:ascii="Book Antiqua" w:hAnsi="Book Antiqua"/>
                <w:sz w:val="20"/>
              </w:rPr>
            </w:pPr>
            <w:r w:rsidRPr="00125962">
              <w:rPr>
                <w:rFonts w:ascii="Book Antiqua" w:hAnsi="Book Antiqua"/>
                <w:noProof/>
                <w:sz w:val="20"/>
              </w:rPr>
              <w:drawing>
                <wp:inline distT="0" distB="0" distL="0" distR="0">
                  <wp:extent cx="2780060" cy="3234978"/>
                  <wp:effectExtent l="19050" t="0" r="1240" b="0"/>
                  <wp:docPr id="60" name="il_fi" descr="http://www.tantor.com/AuthorImage/Haisch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ntor.com/AuthorImage/Haisch_B.jpg"/>
                          <pic:cNvPicPr>
                            <a:picLocks noChangeAspect="1" noChangeArrowheads="1"/>
                          </pic:cNvPicPr>
                        </pic:nvPicPr>
                        <pic:blipFill>
                          <a:blip r:embed="rId1225" cstate="print"/>
                          <a:srcRect r="9885" b="21071"/>
                          <a:stretch>
                            <a:fillRect/>
                          </a:stretch>
                        </pic:blipFill>
                        <pic:spPr bwMode="auto">
                          <a:xfrm>
                            <a:off x="0" y="0"/>
                            <a:ext cx="2786268" cy="3242202"/>
                          </a:xfrm>
                          <a:prstGeom prst="rect">
                            <a:avLst/>
                          </a:prstGeom>
                          <a:noFill/>
                          <a:ln w="9525">
                            <a:noFill/>
                            <a:miter lim="800000"/>
                            <a:headEnd/>
                            <a:tailEnd/>
                          </a:ln>
                        </pic:spPr>
                      </pic:pic>
                    </a:graphicData>
                  </a:graphic>
                </wp:inline>
              </w:drawing>
            </w:r>
          </w:p>
        </w:tc>
        <w:tc>
          <w:tcPr>
            <w:tcW w:w="5054" w:type="dxa"/>
          </w:tcPr>
          <w:p w:rsidR="00416D75" w:rsidRPr="00125962" w:rsidRDefault="00416D75" w:rsidP="003442EA">
            <w:pPr>
              <w:pStyle w:val="NoSpacing"/>
              <w:jc w:val="center"/>
              <w:rPr>
                <w:rFonts w:ascii="Book Antiqua" w:hAnsi="Book Antiqua"/>
                <w:sz w:val="20"/>
              </w:rPr>
            </w:pPr>
            <w:r w:rsidRPr="00125962">
              <w:rPr>
                <w:rFonts w:ascii="Book Antiqua" w:hAnsi="Book Antiqua"/>
                <w:noProof/>
                <w:sz w:val="20"/>
              </w:rPr>
              <w:drawing>
                <wp:inline distT="0" distB="0" distL="0" distR="0">
                  <wp:extent cx="2775270" cy="3234978"/>
                  <wp:effectExtent l="19050" t="0" r="6030" b="0"/>
                  <wp:docPr id="63" name="il_fi" descr="http://thelivingmoon.com/41pegasus/04images/General/putho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livingmoon.com/41pegasus/04images/General/puthoff1.png"/>
                          <pic:cNvPicPr>
                            <a:picLocks noChangeAspect="1" noChangeArrowheads="1"/>
                          </pic:cNvPicPr>
                        </pic:nvPicPr>
                        <pic:blipFill>
                          <a:blip r:embed="rId1226" cstate="print"/>
                          <a:srcRect b="22182"/>
                          <a:stretch>
                            <a:fillRect/>
                          </a:stretch>
                        </pic:blipFill>
                        <pic:spPr bwMode="auto">
                          <a:xfrm>
                            <a:off x="0" y="0"/>
                            <a:ext cx="2773205" cy="3232571"/>
                          </a:xfrm>
                          <a:prstGeom prst="rect">
                            <a:avLst/>
                          </a:prstGeom>
                          <a:noFill/>
                          <a:ln w="9525">
                            <a:noFill/>
                            <a:miter lim="800000"/>
                            <a:headEnd/>
                            <a:tailEnd/>
                          </a:ln>
                        </pic:spPr>
                      </pic:pic>
                    </a:graphicData>
                  </a:graphic>
                </wp:inline>
              </w:drawing>
            </w:r>
          </w:p>
        </w:tc>
      </w:tr>
      <w:tr w:rsidR="00416D75" w:rsidRPr="00125962" w:rsidTr="00C8716A">
        <w:trPr>
          <w:trHeight w:val="245"/>
          <w:jc w:val="center"/>
        </w:trPr>
        <w:tc>
          <w:tcPr>
            <w:tcW w:w="4958" w:type="dxa"/>
          </w:tcPr>
          <w:p w:rsidR="00416D75" w:rsidRPr="00125962" w:rsidRDefault="00416D75" w:rsidP="003442EA">
            <w:pPr>
              <w:pStyle w:val="NoSpacing"/>
              <w:jc w:val="center"/>
              <w:rPr>
                <w:rFonts w:ascii="Book Antiqua" w:hAnsi="Book Antiqua"/>
                <w:i/>
                <w:sz w:val="20"/>
              </w:rPr>
            </w:pPr>
            <w:r w:rsidRPr="00125962">
              <w:rPr>
                <w:rFonts w:ascii="Book Antiqua" w:hAnsi="Book Antiqua"/>
                <w:i/>
                <w:sz w:val="20"/>
              </w:rPr>
              <w:t>Bernard Haisch</w:t>
            </w:r>
          </w:p>
        </w:tc>
        <w:tc>
          <w:tcPr>
            <w:tcW w:w="5054" w:type="dxa"/>
          </w:tcPr>
          <w:p w:rsidR="00416D75" w:rsidRPr="00125962" w:rsidRDefault="00416D75" w:rsidP="003442EA">
            <w:pPr>
              <w:pStyle w:val="NoSpacing"/>
              <w:jc w:val="center"/>
              <w:rPr>
                <w:rFonts w:ascii="Book Antiqua" w:hAnsi="Book Antiqua"/>
                <w:i/>
                <w:sz w:val="20"/>
              </w:rPr>
            </w:pPr>
            <w:r w:rsidRPr="00125962">
              <w:rPr>
                <w:rFonts w:ascii="Book Antiqua" w:hAnsi="Book Antiqua"/>
                <w:i/>
                <w:sz w:val="20"/>
              </w:rPr>
              <w:t>Harold E. Puthoff</w:t>
            </w:r>
          </w:p>
        </w:tc>
      </w:tr>
    </w:tbl>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This may be explained as follows. First, there is the bare charge which is intrinsic to the electron or parton. The mere existence of this charge polarizes the vacuum. For a negative electron, the layer of virtual particles next to the electron will tend to be positive charges, then a layer of negative charges next to that, and so on. This vacuum polarization acts to attract other partons and/or electrons which may be nearby. The sign of the charge does not matter; it only affects the phase of the interactions.</w:t>
      </w:r>
    </w:p>
    <w:p w:rsidR="00416D75" w:rsidRPr="00125962" w:rsidRDefault="00416D75" w:rsidP="00416D75">
      <w:pPr>
        <w:pStyle w:val="NormPara"/>
        <w:ind w:firstLine="0"/>
        <w:rPr>
          <w:sz w:val="20"/>
        </w:rPr>
      </w:pPr>
    </w:p>
    <w:p w:rsidR="00416D75" w:rsidRPr="00125962" w:rsidRDefault="00416D75" w:rsidP="00416D75">
      <w:pPr>
        <w:pStyle w:val="NormPara"/>
        <w:ind w:firstLine="720"/>
        <w:rPr>
          <w:sz w:val="20"/>
        </w:rPr>
      </w:pPr>
      <w:r w:rsidRPr="00125962">
        <w:rPr>
          <w:sz w:val="20"/>
        </w:rPr>
        <w:t xml:space="preserve">However, that is only the first step. This same charge is also undergoing the </w:t>
      </w:r>
      <w:r w:rsidRPr="00125962">
        <w:rPr>
          <w:i/>
          <w:sz w:val="20"/>
        </w:rPr>
        <w:t>Zitterbewegung</w:t>
      </w:r>
      <w:r w:rsidRPr="00125962">
        <w:rPr>
          <w:sz w:val="20"/>
        </w:rPr>
        <w:t xml:space="preserve"> which gives it its atomic mass from the kinetic energy of the ‘jitter.’ In this case, there is the also polarization which arises from the jitter itself.  This arises because the random acceleration, imparted by the impacting ZPE waves to the jittering partons or electrons, causes them to emit secondary radiation. This secondary radiation locally boosts the strength of the ZPE, which in turn causes more virtual particle pairs to come into existence per unit volume proportional to ZPE strength</w:t>
      </w:r>
      <w:proofErr w:type="gramStart"/>
      <w:r w:rsidRPr="00125962">
        <w:rPr>
          <w:sz w:val="20"/>
        </w:rPr>
        <w:t>,</w:t>
      </w:r>
      <w:r w:rsidRPr="00125962">
        <w:rPr>
          <w:i/>
          <w:sz w:val="20"/>
        </w:rPr>
        <w:t xml:space="preserve"> </w:t>
      </w:r>
      <m:oMath>
        <w:proofErr w:type="gramEnd"/>
        <m:r>
          <w:rPr>
            <w:rFonts w:ascii="Cambria Math" w:hAnsi="Cambria Math"/>
            <w:sz w:val="20"/>
          </w:rPr>
          <m:t>U</m:t>
        </m:r>
      </m:oMath>
      <w:r w:rsidRPr="00125962">
        <w:rPr>
          <w:sz w:val="20"/>
        </w:rPr>
        <w:t xml:space="preserve">. This results in a stronger polarization than if the parton or electron was at rest with no secondary radiation. Therefore, around </w:t>
      </w:r>
      <w:r w:rsidRPr="00125962">
        <w:rPr>
          <w:sz w:val="20"/>
        </w:rPr>
        <w:lastRenderedPageBreak/>
        <w:t>this charge which is jittering, there is a double polarization effect. This net attractive force between the partons and electrons has been shown by SED physicists to be quantitatively identical to gravity.</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It follows</w:t>
      </w:r>
      <w:r>
        <w:rPr>
          <w:sz w:val="20"/>
        </w:rPr>
        <w:t xml:space="preserve"> </w:t>
      </w:r>
      <w:r w:rsidRPr="00125962">
        <w:rPr>
          <w:sz w:val="20"/>
        </w:rPr>
        <w:t xml:space="preserve">that where there are many particles, there are many intrinsic charges undergoing the jitter of the </w:t>
      </w:r>
      <w:r w:rsidRPr="00125962">
        <w:rPr>
          <w:i/>
          <w:sz w:val="20"/>
        </w:rPr>
        <w:t>Zitterbewegung</w:t>
      </w:r>
      <w:r w:rsidRPr="00125962">
        <w:rPr>
          <w:sz w:val="20"/>
        </w:rPr>
        <w:t xml:space="preserve">. </w:t>
      </w:r>
      <w:r>
        <w:rPr>
          <w:sz w:val="20"/>
        </w:rPr>
        <w:t>Therefore,</w:t>
      </w:r>
      <w:r w:rsidRPr="00125962">
        <w:rPr>
          <w:sz w:val="20"/>
        </w:rPr>
        <w:t xml:space="preserve"> the larger the collection of particles, the stronger is the resulting attraction we call gravity. Haisch concluded his explanation when he said, </w:t>
      </w:r>
      <w:r w:rsidRPr="00125962">
        <w:rPr>
          <w:i/>
          <w:sz w:val="20"/>
        </w:rPr>
        <w:t>“This might explain why gravity is so weak. One mass does not pull directly on another mass but only through the intermediary of the [charged virtual particles that make up the] vacuum.”</w:t>
      </w:r>
      <w:r w:rsidRPr="00125962">
        <w:rPr>
          <w:sz w:val="20"/>
        </w:rPr>
        <w:t xml:space="preserve"> [95] On this basis, then, gravitation and mass may be considered to be simply manifestations of electromagnetic effects linked with the ZPE.</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0" w:hanging="270"/>
        <w:jc w:val="both"/>
        <w:outlineLvl w:val="0"/>
        <w:rPr>
          <w:rFonts w:ascii="Book Antiqua" w:hAnsi="Book Antiqua"/>
          <w:b/>
          <w:sz w:val="20"/>
        </w:rPr>
      </w:pPr>
      <w:r w:rsidRPr="00125962">
        <w:rPr>
          <w:rFonts w:ascii="Book Antiqua" w:hAnsi="Book Antiqua"/>
          <w:b/>
          <w:sz w:val="20"/>
        </w:rPr>
        <w:t>Conclusion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While QED physics has treated the Zero Point Energy as a mathematical abstraction, SED physics has accepted it as a measureable reality. Its existence is considered by some to explain gravity itself as well as quantum phenomena. Evidence points to an increase in the ZPE through time, and it is this change which has affected light speed, atomic masses, and atomic clocks.   This change also affected the interactions of the plasma filaments in space, allowing galaxies, stars and planets to be formed much more quickly than gravity allows.  Additional evidence points to the influence the changing ZPE had on life on Earth in the past, producing the gigantism we see among flora and fauna in the fossil record.  In short, it can be seen that SED physics with a real Zero Point Energy, which has increased with time, holds potential answers to a number of problems that science currently faces in a multitude of disciplines.</w:t>
      </w:r>
    </w:p>
    <w:p w:rsidR="00416D75" w:rsidRPr="00125962" w:rsidRDefault="00416D75" w:rsidP="00416D75">
      <w:pPr>
        <w:pStyle w:val="NoSpacing"/>
        <w:rPr>
          <w:rFonts w:ascii="Book Antiqua" w:hAnsi="Book Antiqua" w:cs="BookAntiqua"/>
          <w:sz w:val="16"/>
          <w:szCs w:val="16"/>
        </w:rPr>
      </w:pPr>
    </w:p>
    <w:p w:rsidR="00416D75" w:rsidRPr="00125962" w:rsidRDefault="00416D75" w:rsidP="00416D75">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References </w:t>
      </w:r>
      <w:r w:rsidRPr="00125962">
        <w:rPr>
          <w:rFonts w:ascii="Book Antiqua" w:hAnsi="Book Antiqua" w:cs="Times New Roman"/>
          <w:i/>
          <w:sz w:val="20"/>
          <w:szCs w:val="20"/>
        </w:rPr>
        <w:t xml:space="preserve">– </w:t>
      </w:r>
      <w:r w:rsidRPr="00125962">
        <w:rPr>
          <w:rFonts w:ascii="Book Antiqua" w:hAnsi="Book Antiqua" w:cs="Times New Roman"/>
          <w:b w:val="0"/>
          <w:i/>
          <w:sz w:val="20"/>
          <w:szCs w:val="20"/>
        </w:rPr>
        <w:t>All URL’s retrieved 9/13/12</w:t>
      </w:r>
    </w:p>
    <w:p w:rsidR="00416D75" w:rsidRPr="00125962" w:rsidRDefault="00416D75" w:rsidP="00416D75">
      <w:pPr>
        <w:pStyle w:val="reference"/>
        <w:ind w:left="450" w:hanging="450"/>
        <w:jc w:val="left"/>
        <w:rPr>
          <w:szCs w:val="16"/>
        </w:rPr>
      </w:pPr>
      <w:proofErr w:type="gramStart"/>
      <w:r w:rsidRPr="00125962">
        <w:rPr>
          <w:szCs w:val="16"/>
        </w:rPr>
        <w:t>[1]</w:t>
      </w:r>
      <w:r w:rsidRPr="00125962">
        <w:rPr>
          <w:szCs w:val="16"/>
        </w:rPr>
        <w:tab/>
        <w:t xml:space="preserve">M. Planck, </w:t>
      </w:r>
      <w:r w:rsidRPr="00125962">
        <w:rPr>
          <w:i/>
          <w:szCs w:val="16"/>
        </w:rPr>
        <w:t>Verhandlungen der Deutschen Physikalischen Gesellschaft</w:t>
      </w:r>
      <w:r w:rsidRPr="00125962">
        <w:rPr>
          <w:szCs w:val="16"/>
        </w:rPr>
        <w:t xml:space="preserve"> </w:t>
      </w:r>
      <w:r w:rsidRPr="00125962">
        <w:rPr>
          <w:b/>
          <w:bCs/>
          <w:szCs w:val="16"/>
        </w:rPr>
        <w:t>13</w:t>
      </w:r>
      <w:r w:rsidRPr="00125962">
        <w:rPr>
          <w:szCs w:val="16"/>
        </w:rPr>
        <w:t>: 138 (1911).</w:t>
      </w:r>
      <w:proofErr w:type="gramEnd"/>
    </w:p>
    <w:p w:rsidR="00416D75" w:rsidRPr="00125962" w:rsidRDefault="00416D75" w:rsidP="00416D75">
      <w:pPr>
        <w:pStyle w:val="reference"/>
        <w:ind w:left="450" w:hanging="450"/>
        <w:jc w:val="left"/>
        <w:rPr>
          <w:szCs w:val="16"/>
        </w:rPr>
      </w:pPr>
      <w:r w:rsidRPr="00125962">
        <w:rPr>
          <w:szCs w:val="16"/>
        </w:rPr>
        <w:t>[2]</w:t>
      </w:r>
      <w:r w:rsidRPr="00125962">
        <w:rPr>
          <w:szCs w:val="16"/>
        </w:rPr>
        <w:tab/>
        <w:t xml:space="preserve">A.  Einstein, O. Stern, </w:t>
      </w:r>
      <w:r w:rsidRPr="00125962">
        <w:rPr>
          <w:i/>
          <w:szCs w:val="16"/>
        </w:rPr>
        <w:t>Ann. Physik</w:t>
      </w:r>
      <w:r w:rsidRPr="00125962">
        <w:rPr>
          <w:szCs w:val="16"/>
        </w:rPr>
        <w:t xml:space="preserve"> </w:t>
      </w:r>
      <w:r w:rsidRPr="00125962">
        <w:rPr>
          <w:b/>
          <w:bCs/>
          <w:szCs w:val="16"/>
        </w:rPr>
        <w:t>40</w:t>
      </w:r>
      <w:r w:rsidRPr="00125962">
        <w:rPr>
          <w:szCs w:val="16"/>
        </w:rPr>
        <w:t>: 551 (1913).</w:t>
      </w:r>
    </w:p>
    <w:p w:rsidR="00416D75" w:rsidRPr="00125962" w:rsidRDefault="00416D75" w:rsidP="00416D75">
      <w:pPr>
        <w:pStyle w:val="reference"/>
        <w:ind w:left="450" w:hanging="450"/>
        <w:jc w:val="left"/>
        <w:rPr>
          <w:szCs w:val="16"/>
        </w:rPr>
      </w:pPr>
      <w:r w:rsidRPr="00125962">
        <w:rPr>
          <w:color w:val="000000"/>
          <w:szCs w:val="16"/>
        </w:rPr>
        <w:t>[3]</w:t>
      </w:r>
      <w:r w:rsidRPr="00125962">
        <w:rPr>
          <w:color w:val="000000"/>
          <w:szCs w:val="16"/>
        </w:rPr>
        <w:tab/>
      </w:r>
      <w:r w:rsidRPr="00125962">
        <w:rPr>
          <w:szCs w:val="16"/>
        </w:rPr>
        <w:t xml:space="preserve">W. Nernst, </w:t>
      </w:r>
      <w:r w:rsidRPr="00125962">
        <w:rPr>
          <w:i/>
          <w:szCs w:val="16"/>
        </w:rPr>
        <w:t>Verhandlungen der Deutschen Physikalischen Gesellschaft</w:t>
      </w:r>
      <w:r w:rsidRPr="00125962">
        <w:rPr>
          <w:szCs w:val="16"/>
        </w:rPr>
        <w:t xml:space="preserve"> </w:t>
      </w:r>
      <w:r w:rsidRPr="00125962">
        <w:rPr>
          <w:b/>
          <w:bCs/>
          <w:szCs w:val="16"/>
        </w:rPr>
        <w:t>4</w:t>
      </w:r>
      <w:r w:rsidRPr="00125962">
        <w:rPr>
          <w:szCs w:val="16"/>
        </w:rPr>
        <w:t>: 83-116 (1916).</w:t>
      </w:r>
    </w:p>
    <w:p w:rsidR="00416D75" w:rsidRPr="00125962" w:rsidRDefault="00416D75" w:rsidP="00416D75">
      <w:pPr>
        <w:pStyle w:val="reference"/>
        <w:ind w:left="450" w:hanging="450"/>
        <w:jc w:val="left"/>
        <w:rPr>
          <w:szCs w:val="16"/>
        </w:rPr>
      </w:pPr>
      <w:r w:rsidRPr="00125962">
        <w:rPr>
          <w:color w:val="000000"/>
          <w:szCs w:val="16"/>
        </w:rPr>
        <w:t>[4]</w:t>
      </w:r>
      <w:r w:rsidRPr="00125962">
        <w:rPr>
          <w:color w:val="000000"/>
          <w:szCs w:val="16"/>
        </w:rPr>
        <w:tab/>
      </w:r>
      <w:r w:rsidRPr="00125962">
        <w:rPr>
          <w:szCs w:val="16"/>
        </w:rPr>
        <w:t xml:space="preserve">U. Mohideen, A. Roy, </w:t>
      </w:r>
      <w:r w:rsidRPr="00125962">
        <w:rPr>
          <w:i/>
          <w:szCs w:val="16"/>
        </w:rPr>
        <w:t>Phys. Rev. Lett</w:t>
      </w:r>
      <w:r w:rsidRPr="00125962">
        <w:rPr>
          <w:szCs w:val="16"/>
        </w:rPr>
        <w:t xml:space="preserve">. </w:t>
      </w:r>
      <w:proofErr w:type="gramStart"/>
      <w:r w:rsidRPr="00125962">
        <w:rPr>
          <w:b/>
          <w:bCs/>
          <w:szCs w:val="16"/>
        </w:rPr>
        <w:t>81</w:t>
      </w:r>
      <w:r w:rsidRPr="00125962">
        <w:rPr>
          <w:szCs w:val="16"/>
        </w:rPr>
        <w:t>: 4549 (1998).</w:t>
      </w:r>
      <w:proofErr w:type="gramEnd"/>
    </w:p>
    <w:p w:rsidR="00416D75" w:rsidRPr="00125962" w:rsidRDefault="00416D75" w:rsidP="00416D75">
      <w:pPr>
        <w:pStyle w:val="reference"/>
        <w:ind w:left="450" w:hanging="450"/>
        <w:jc w:val="left"/>
        <w:rPr>
          <w:szCs w:val="16"/>
        </w:rPr>
      </w:pPr>
      <w:r w:rsidRPr="00125962">
        <w:rPr>
          <w:szCs w:val="16"/>
        </w:rPr>
        <w:t>[5]</w:t>
      </w:r>
      <w:r w:rsidRPr="00125962">
        <w:rPr>
          <w:szCs w:val="16"/>
        </w:rPr>
        <w:tab/>
        <w:t xml:space="preserve">L. Ashmore, in F. Potter, Ed., </w:t>
      </w:r>
      <w:r w:rsidRPr="00125962">
        <w:rPr>
          <w:i/>
          <w:iCs/>
          <w:szCs w:val="16"/>
        </w:rPr>
        <w:t>2nd Crisis in Cosmology Conference, CCC-2, ASP Conference Series</w:t>
      </w:r>
      <w:r w:rsidRPr="00125962">
        <w:rPr>
          <w:szCs w:val="16"/>
        </w:rPr>
        <w:t xml:space="preserve"> </w:t>
      </w:r>
      <w:r w:rsidRPr="00125962">
        <w:rPr>
          <w:b/>
          <w:szCs w:val="16"/>
        </w:rPr>
        <w:t>413</w:t>
      </w:r>
      <w:r w:rsidRPr="00125962">
        <w:rPr>
          <w:szCs w:val="16"/>
        </w:rPr>
        <w:t>: 3 (Proceedings of the Conference held 7-11 September 2008, at Port Angeles, Washington, USA, Astronomical Society of the Pacific, San Francisco, 2009).</w:t>
      </w:r>
    </w:p>
    <w:p w:rsidR="00416D75" w:rsidRPr="00125962" w:rsidRDefault="00416D75" w:rsidP="00416D75">
      <w:pPr>
        <w:pStyle w:val="reference"/>
        <w:ind w:left="450" w:hanging="450"/>
        <w:jc w:val="left"/>
        <w:rPr>
          <w:szCs w:val="16"/>
        </w:rPr>
      </w:pPr>
      <w:proofErr w:type="gramStart"/>
      <w:r w:rsidRPr="00125962">
        <w:rPr>
          <w:szCs w:val="16"/>
        </w:rPr>
        <w:t>[6]</w:t>
      </w:r>
      <w:r w:rsidRPr="00125962">
        <w:rPr>
          <w:szCs w:val="16"/>
        </w:rPr>
        <w:tab/>
        <w:t xml:space="preserve">L. Ashmore, “An Explanation of Redshift in a Static Universe”, </w:t>
      </w:r>
      <w:r w:rsidRPr="00125962">
        <w:rPr>
          <w:i/>
          <w:iCs/>
          <w:szCs w:val="16"/>
        </w:rPr>
        <w:t xml:space="preserve">Proceedings of the NPA </w:t>
      </w:r>
      <w:r w:rsidRPr="00125962">
        <w:rPr>
          <w:b/>
          <w:bCs/>
          <w:szCs w:val="16"/>
        </w:rPr>
        <w:t>7</w:t>
      </w:r>
      <w:r w:rsidRPr="00125962">
        <w:rPr>
          <w:szCs w:val="16"/>
        </w:rPr>
        <w:t>: 17-22 (Long Beach, CA, 2010).</w:t>
      </w:r>
      <w:proofErr w:type="gramEnd"/>
    </w:p>
    <w:p w:rsidR="00416D75" w:rsidRPr="00125962" w:rsidRDefault="00416D75" w:rsidP="00416D75">
      <w:pPr>
        <w:pStyle w:val="reference"/>
        <w:ind w:left="450" w:hanging="450"/>
        <w:jc w:val="left"/>
        <w:rPr>
          <w:szCs w:val="16"/>
        </w:rPr>
      </w:pPr>
      <w:r w:rsidRPr="00125962">
        <w:rPr>
          <w:szCs w:val="16"/>
        </w:rPr>
        <w:t>[7]</w:t>
      </w:r>
      <w:r w:rsidRPr="00125962">
        <w:rPr>
          <w:szCs w:val="16"/>
        </w:rPr>
        <w:tab/>
        <w:t xml:space="preserve">C. H. Gibson, “Turbulence and Mixing in the Early Universe”, Keynote Paper, International Conference Mechanical Engineering, Dhaka, Bangladesh, Dec. 26 to 28, 2001, </w:t>
      </w:r>
      <w:hyperlink r:id="rId1227" w:history="1">
        <w:r w:rsidRPr="00125962">
          <w:rPr>
            <w:rStyle w:val="Hyperlink"/>
            <w:i/>
            <w:szCs w:val="16"/>
          </w:rPr>
          <w:t>http://arxiv.org/abs/ astro-ph/0110012</w:t>
        </w:r>
      </w:hyperlink>
      <w:r w:rsidRPr="00125962">
        <w:rPr>
          <w:szCs w:val="16"/>
        </w:rPr>
        <w:t>.</w:t>
      </w:r>
    </w:p>
    <w:p w:rsidR="00416D75" w:rsidRPr="00125962" w:rsidRDefault="00416D75" w:rsidP="00416D75">
      <w:pPr>
        <w:pStyle w:val="reference"/>
        <w:ind w:left="450" w:hanging="450"/>
        <w:jc w:val="left"/>
        <w:rPr>
          <w:szCs w:val="16"/>
        </w:rPr>
      </w:pPr>
      <w:r w:rsidRPr="00125962">
        <w:rPr>
          <w:szCs w:val="16"/>
        </w:rPr>
        <w:t>[8]</w:t>
      </w:r>
      <w:r w:rsidRPr="00125962">
        <w:rPr>
          <w:szCs w:val="16"/>
        </w:rPr>
        <w:tab/>
        <w:t xml:space="preserve">F. Hoyle, G. Burbidge, J. Narlikar, </w:t>
      </w:r>
      <w:r w:rsidRPr="00125962">
        <w:rPr>
          <w:bCs/>
          <w:i/>
          <w:szCs w:val="16"/>
        </w:rPr>
        <w:t>A Different Approach to Cosmology</w:t>
      </w:r>
      <w:r w:rsidRPr="00125962">
        <w:rPr>
          <w:szCs w:val="16"/>
        </w:rPr>
        <w:t>, p. 108 ff. (Cambridge University Press, Cambridge, 2005).</w:t>
      </w:r>
    </w:p>
    <w:p w:rsidR="00416D75" w:rsidRPr="00125962" w:rsidRDefault="00416D75" w:rsidP="00416D75">
      <w:pPr>
        <w:pStyle w:val="reference"/>
        <w:ind w:left="450" w:hanging="450"/>
        <w:jc w:val="left"/>
        <w:rPr>
          <w:color w:val="000000"/>
          <w:szCs w:val="16"/>
        </w:rPr>
      </w:pPr>
      <w:proofErr w:type="gramStart"/>
      <w:r w:rsidRPr="00125962">
        <w:rPr>
          <w:szCs w:val="16"/>
        </w:rPr>
        <w:t>[9]</w:t>
      </w:r>
      <w:r w:rsidRPr="00125962">
        <w:rPr>
          <w:szCs w:val="16"/>
        </w:rPr>
        <w:tab/>
        <w:t xml:space="preserve">C. Bizon et al, in J. Karkheck, Ed., </w:t>
      </w:r>
      <w:r w:rsidRPr="00125962">
        <w:rPr>
          <w:i/>
          <w:szCs w:val="16"/>
        </w:rPr>
        <w:t>Dynamics: Models and Kinetic Methods for Non-equilibrium Many Body Systems</w:t>
      </w:r>
      <w:r w:rsidRPr="00125962">
        <w:rPr>
          <w:szCs w:val="16"/>
        </w:rPr>
        <w:t xml:space="preserve"> (Kluwer, Dordrecht, 1999).</w:t>
      </w:r>
      <w:proofErr w:type="gramEnd"/>
    </w:p>
    <w:p w:rsidR="00416D75" w:rsidRPr="00125962" w:rsidRDefault="00416D75" w:rsidP="00416D75">
      <w:pPr>
        <w:pStyle w:val="reference"/>
        <w:ind w:left="450" w:hanging="450"/>
        <w:jc w:val="left"/>
        <w:rPr>
          <w:szCs w:val="16"/>
        </w:rPr>
      </w:pPr>
      <w:r w:rsidRPr="00125962">
        <w:rPr>
          <w:szCs w:val="16"/>
        </w:rPr>
        <w:t>[10]</w:t>
      </w:r>
      <w:r w:rsidRPr="00125962">
        <w:rPr>
          <w:szCs w:val="16"/>
        </w:rPr>
        <w:tab/>
        <w:t xml:space="preserve">H. E. Puthoff, </w:t>
      </w:r>
      <w:r w:rsidRPr="00125962">
        <w:rPr>
          <w:i/>
          <w:szCs w:val="16"/>
        </w:rPr>
        <w:t>Phys.</w:t>
      </w:r>
      <w:r w:rsidRPr="00125962">
        <w:rPr>
          <w:szCs w:val="16"/>
        </w:rPr>
        <w:t xml:space="preserve"> </w:t>
      </w:r>
      <w:r w:rsidRPr="00125962">
        <w:rPr>
          <w:i/>
          <w:szCs w:val="16"/>
        </w:rPr>
        <w:t xml:space="preserve">Rev. </w:t>
      </w:r>
      <w:proofErr w:type="gramStart"/>
      <w:r w:rsidRPr="00125962">
        <w:rPr>
          <w:i/>
          <w:szCs w:val="16"/>
        </w:rPr>
        <w:t>A</w:t>
      </w:r>
      <w:proofErr w:type="gramEnd"/>
      <w:r w:rsidRPr="00125962">
        <w:rPr>
          <w:szCs w:val="16"/>
        </w:rPr>
        <w:t xml:space="preserve"> </w:t>
      </w:r>
      <w:r w:rsidRPr="00125962">
        <w:rPr>
          <w:b/>
          <w:szCs w:val="16"/>
        </w:rPr>
        <w:t>40</w:t>
      </w:r>
      <w:r w:rsidRPr="00125962">
        <w:rPr>
          <w:szCs w:val="16"/>
        </w:rPr>
        <w:t xml:space="preserve"> (9): 4857 (1989); also Science Editor, </w:t>
      </w:r>
      <w:r w:rsidRPr="00125962">
        <w:rPr>
          <w:i/>
          <w:szCs w:val="16"/>
        </w:rPr>
        <w:t>New Scientist</w:t>
      </w:r>
      <w:r w:rsidRPr="00125962">
        <w:rPr>
          <w:szCs w:val="16"/>
        </w:rPr>
        <w:t>, p. 14 (2 Dec 1989).</w:t>
      </w:r>
    </w:p>
    <w:p w:rsidR="00416D75" w:rsidRPr="00125962" w:rsidRDefault="00416D75" w:rsidP="00416D75">
      <w:pPr>
        <w:pStyle w:val="reference"/>
        <w:ind w:left="450" w:hanging="450"/>
        <w:jc w:val="left"/>
        <w:rPr>
          <w:szCs w:val="16"/>
        </w:rPr>
      </w:pPr>
      <w:r w:rsidRPr="00125962">
        <w:rPr>
          <w:color w:val="000000"/>
          <w:szCs w:val="16"/>
        </w:rPr>
        <w:t>[11]</w:t>
      </w:r>
      <w:r w:rsidRPr="00125962">
        <w:rPr>
          <w:color w:val="000000"/>
          <w:szCs w:val="16"/>
        </w:rPr>
        <w:tab/>
      </w:r>
      <w:r w:rsidRPr="00125962">
        <w:rPr>
          <w:szCs w:val="16"/>
        </w:rPr>
        <w:t xml:space="preserve">J. Narlikar &amp; H. Arp, </w:t>
      </w:r>
      <w:r w:rsidRPr="00125962">
        <w:rPr>
          <w:i/>
          <w:iCs/>
          <w:szCs w:val="16"/>
        </w:rPr>
        <w:t xml:space="preserve">Astrophysical Journal </w:t>
      </w:r>
      <w:r w:rsidRPr="00125962">
        <w:rPr>
          <w:b/>
          <w:bCs/>
          <w:szCs w:val="16"/>
        </w:rPr>
        <w:t>405</w:t>
      </w:r>
      <w:r w:rsidRPr="00125962">
        <w:rPr>
          <w:szCs w:val="16"/>
        </w:rPr>
        <w:t>: 51 (1993).</w:t>
      </w:r>
    </w:p>
    <w:p w:rsidR="00416D75" w:rsidRPr="00125962" w:rsidRDefault="00416D75" w:rsidP="00416D75">
      <w:pPr>
        <w:pStyle w:val="reference"/>
        <w:ind w:left="450" w:hanging="450"/>
        <w:jc w:val="left"/>
        <w:rPr>
          <w:szCs w:val="16"/>
        </w:rPr>
      </w:pPr>
      <w:r w:rsidRPr="00125962">
        <w:rPr>
          <w:szCs w:val="16"/>
        </w:rPr>
        <w:t>[12]</w:t>
      </w:r>
      <w:r w:rsidRPr="00125962">
        <w:rPr>
          <w:szCs w:val="16"/>
        </w:rPr>
        <w:tab/>
        <w:t xml:space="preserve">L. de Broglie, </w:t>
      </w:r>
      <w:r w:rsidRPr="00125962">
        <w:rPr>
          <w:i/>
          <w:szCs w:val="16"/>
        </w:rPr>
        <w:t>New Perspectives in Physics</w:t>
      </w:r>
      <w:r w:rsidRPr="00125962">
        <w:rPr>
          <w:szCs w:val="16"/>
        </w:rPr>
        <w:t xml:space="preserve"> (Basic Books Publishing Co., New York, 1962).</w:t>
      </w:r>
    </w:p>
    <w:p w:rsidR="00416D75" w:rsidRPr="00125962" w:rsidRDefault="00416D75" w:rsidP="00416D75">
      <w:pPr>
        <w:pStyle w:val="reference"/>
        <w:ind w:left="450" w:hanging="450"/>
        <w:jc w:val="left"/>
        <w:rPr>
          <w:szCs w:val="16"/>
        </w:rPr>
      </w:pPr>
      <w:r w:rsidRPr="00125962">
        <w:rPr>
          <w:szCs w:val="16"/>
        </w:rPr>
        <w:t>[13]</w:t>
      </w:r>
      <w:r w:rsidRPr="00125962">
        <w:rPr>
          <w:szCs w:val="16"/>
        </w:rPr>
        <w:tab/>
        <w:t xml:space="preserve">E. Nelson, </w:t>
      </w:r>
      <w:r w:rsidRPr="00125962">
        <w:rPr>
          <w:i/>
          <w:szCs w:val="16"/>
        </w:rPr>
        <w:t>Phys. Rev.</w:t>
      </w:r>
      <w:r w:rsidRPr="00125962">
        <w:rPr>
          <w:szCs w:val="16"/>
        </w:rPr>
        <w:t xml:space="preserve"> </w:t>
      </w:r>
      <w:r w:rsidRPr="00125962">
        <w:rPr>
          <w:b/>
          <w:szCs w:val="16"/>
        </w:rPr>
        <w:t>150</w:t>
      </w:r>
      <w:r w:rsidRPr="00125962">
        <w:rPr>
          <w:szCs w:val="16"/>
        </w:rPr>
        <w:t xml:space="preserve">: 1079 (1966); Also, </w:t>
      </w:r>
      <w:r w:rsidRPr="00125962">
        <w:rPr>
          <w:i/>
          <w:szCs w:val="16"/>
        </w:rPr>
        <w:t>Dynamical Theories of Brownian Motion</w:t>
      </w:r>
      <w:r w:rsidRPr="00125962">
        <w:rPr>
          <w:szCs w:val="16"/>
        </w:rPr>
        <w:t xml:space="preserve"> (Princeton University Press, 1967).</w:t>
      </w:r>
    </w:p>
    <w:p w:rsidR="00416D75" w:rsidRPr="00125962" w:rsidRDefault="00416D75" w:rsidP="00416D75">
      <w:pPr>
        <w:pStyle w:val="reference"/>
        <w:ind w:left="450" w:hanging="450"/>
        <w:jc w:val="left"/>
        <w:rPr>
          <w:szCs w:val="16"/>
        </w:rPr>
      </w:pPr>
      <w:r w:rsidRPr="00125962">
        <w:rPr>
          <w:szCs w:val="16"/>
        </w:rPr>
        <w:t>[14]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416D75" w:rsidRPr="00125962" w:rsidRDefault="00416D75" w:rsidP="00416D75">
      <w:pPr>
        <w:pStyle w:val="reference"/>
        <w:ind w:left="450" w:hanging="450"/>
        <w:jc w:val="left"/>
        <w:rPr>
          <w:szCs w:val="16"/>
        </w:rPr>
      </w:pPr>
      <w:r w:rsidRPr="00125962">
        <w:rPr>
          <w:szCs w:val="16"/>
        </w:rPr>
        <w:t>[15]</w:t>
      </w:r>
      <w:r w:rsidRPr="00125962">
        <w:rPr>
          <w:szCs w:val="16"/>
        </w:rPr>
        <w:tab/>
        <w:t xml:space="preserve">M. R. Wehr, J. A. Richards, </w:t>
      </w:r>
      <w:r w:rsidRPr="00125962">
        <w:rPr>
          <w:i/>
          <w:szCs w:val="16"/>
        </w:rPr>
        <w:t>Physics of the Atom,</w:t>
      </w:r>
      <w:r w:rsidRPr="00125962">
        <w:rPr>
          <w:szCs w:val="16"/>
        </w:rPr>
        <w:t xml:space="preserve"> p. 37 (Addison Wesley, 1960).</w:t>
      </w:r>
    </w:p>
    <w:p w:rsidR="00416D75" w:rsidRPr="00125962" w:rsidRDefault="00416D75" w:rsidP="00416D75">
      <w:pPr>
        <w:pStyle w:val="reference"/>
        <w:ind w:left="450" w:hanging="450"/>
        <w:jc w:val="left"/>
        <w:rPr>
          <w:szCs w:val="16"/>
        </w:rPr>
      </w:pPr>
      <w:r w:rsidRPr="00125962">
        <w:rPr>
          <w:szCs w:val="16"/>
        </w:rPr>
        <w:t>[16]</w:t>
      </w:r>
      <w:r w:rsidRPr="00125962">
        <w:rPr>
          <w:szCs w:val="16"/>
        </w:rPr>
        <w:tab/>
        <w:t xml:space="preserve">B. Haisch, A. Rueda, </w:t>
      </w:r>
      <w:r w:rsidRPr="00125962">
        <w:rPr>
          <w:i/>
          <w:szCs w:val="16"/>
        </w:rPr>
        <w:t xml:space="preserve">Phys. Lett. </w:t>
      </w:r>
      <w:proofErr w:type="gramStart"/>
      <w:r w:rsidRPr="00125962">
        <w:rPr>
          <w:i/>
          <w:szCs w:val="16"/>
        </w:rPr>
        <w:t>A</w:t>
      </w:r>
      <w:r w:rsidRPr="00125962">
        <w:rPr>
          <w:szCs w:val="16"/>
        </w:rPr>
        <w:t xml:space="preserve"> </w:t>
      </w:r>
      <w:r w:rsidRPr="00125962">
        <w:rPr>
          <w:b/>
          <w:szCs w:val="16"/>
        </w:rPr>
        <w:t>268</w:t>
      </w:r>
      <w:r w:rsidRPr="00125962">
        <w:rPr>
          <w:szCs w:val="16"/>
        </w:rPr>
        <w:t>: 224 (2000).</w:t>
      </w:r>
      <w:proofErr w:type="gramEnd"/>
    </w:p>
    <w:p w:rsidR="00416D75" w:rsidRPr="00125962" w:rsidRDefault="00416D75" w:rsidP="00416D75">
      <w:pPr>
        <w:pStyle w:val="reference"/>
        <w:ind w:left="450" w:hanging="450"/>
        <w:jc w:val="left"/>
        <w:rPr>
          <w:color w:val="000000"/>
          <w:szCs w:val="16"/>
        </w:rPr>
      </w:pPr>
      <w:r w:rsidRPr="00125962">
        <w:rPr>
          <w:color w:val="000000"/>
          <w:szCs w:val="16"/>
        </w:rPr>
        <w:t>[17]</w:t>
      </w:r>
      <w:r w:rsidRPr="00125962">
        <w:rPr>
          <w:color w:val="000000"/>
          <w:szCs w:val="16"/>
        </w:rPr>
        <w:tab/>
        <w:t xml:space="preserve">F.G. </w:t>
      </w:r>
      <w:r w:rsidRPr="00125962">
        <w:rPr>
          <w:szCs w:val="16"/>
        </w:rPr>
        <w:t xml:space="preserve">Dunnington, “The Atomic Constants”, </w:t>
      </w:r>
      <w:r w:rsidRPr="00125962">
        <w:rPr>
          <w:i/>
          <w:iCs/>
          <w:szCs w:val="16"/>
        </w:rPr>
        <w:t>Reviews of Modern Physics</w:t>
      </w:r>
      <w:r w:rsidRPr="00125962">
        <w:rPr>
          <w:szCs w:val="16"/>
        </w:rPr>
        <w:t xml:space="preserve"> </w:t>
      </w:r>
      <w:r w:rsidRPr="00125962">
        <w:rPr>
          <w:b/>
          <w:bCs/>
          <w:szCs w:val="16"/>
        </w:rPr>
        <w:t>11</w:t>
      </w:r>
      <w:r w:rsidRPr="00125962">
        <w:rPr>
          <w:szCs w:val="16"/>
        </w:rPr>
        <w:t xml:space="preserve"> (2): 65-83 (Apr 1939</w:t>
      </w:r>
      <w:r w:rsidRPr="00125962">
        <w:rPr>
          <w:color w:val="000000"/>
          <w:szCs w:val="16"/>
        </w:rPr>
        <w:t>).</w:t>
      </w:r>
    </w:p>
    <w:p w:rsidR="00416D75" w:rsidRPr="00125962" w:rsidRDefault="00416D75" w:rsidP="00416D75">
      <w:pPr>
        <w:pStyle w:val="reference"/>
        <w:ind w:left="450" w:hanging="450"/>
        <w:jc w:val="left"/>
        <w:rPr>
          <w:szCs w:val="16"/>
        </w:rPr>
      </w:pPr>
      <w:r w:rsidRPr="00125962">
        <w:rPr>
          <w:szCs w:val="16"/>
        </w:rPr>
        <w:t>[18]</w:t>
      </w:r>
      <w:r w:rsidRPr="00125962">
        <w:rPr>
          <w:szCs w:val="16"/>
        </w:rPr>
        <w:tab/>
        <w:t xml:space="preserve">R. T. Birge, “A New Table of Values of the General Physical Constants”, </w:t>
      </w:r>
      <w:r w:rsidRPr="00125962">
        <w:rPr>
          <w:i/>
          <w:iCs/>
          <w:szCs w:val="16"/>
        </w:rPr>
        <w:t>Reviews of Modern Physics</w:t>
      </w:r>
      <w:r w:rsidRPr="00125962">
        <w:rPr>
          <w:szCs w:val="16"/>
        </w:rPr>
        <w:t xml:space="preserve"> </w:t>
      </w:r>
      <w:r w:rsidRPr="00125962">
        <w:rPr>
          <w:b/>
          <w:bCs/>
          <w:szCs w:val="16"/>
        </w:rPr>
        <w:t>13</w:t>
      </w:r>
      <w:r w:rsidRPr="00125962">
        <w:rPr>
          <w:szCs w:val="16"/>
        </w:rPr>
        <w:t xml:space="preserve"> (4): 233-239 (Oct 1941).</w:t>
      </w:r>
    </w:p>
    <w:p w:rsidR="00416D75" w:rsidRPr="00125962" w:rsidRDefault="00416D75" w:rsidP="00416D75">
      <w:pPr>
        <w:pStyle w:val="reference"/>
        <w:ind w:left="450" w:hanging="450"/>
        <w:jc w:val="left"/>
        <w:rPr>
          <w:szCs w:val="16"/>
        </w:rPr>
      </w:pPr>
      <w:r w:rsidRPr="00125962">
        <w:rPr>
          <w:szCs w:val="16"/>
        </w:rPr>
        <w:t>[19]</w:t>
      </w:r>
      <w:r w:rsidRPr="00125962">
        <w:rPr>
          <w:szCs w:val="16"/>
        </w:rPr>
        <w:tab/>
        <w:t xml:space="preserve">J. W. M. DuMond, E. R. Cohen, “Our Knowledge of the Atomic Constants F, N, m and h in 1947, and of Other Constants Derivable Therefrom”, </w:t>
      </w:r>
      <w:r w:rsidRPr="00125962">
        <w:rPr>
          <w:i/>
          <w:iCs/>
          <w:szCs w:val="16"/>
        </w:rPr>
        <w:t>Reviews of Modern Physics</w:t>
      </w:r>
      <w:r w:rsidRPr="00125962">
        <w:rPr>
          <w:szCs w:val="16"/>
        </w:rPr>
        <w:t xml:space="preserve"> </w:t>
      </w:r>
      <w:r w:rsidRPr="00125962">
        <w:rPr>
          <w:b/>
          <w:bCs/>
          <w:szCs w:val="16"/>
        </w:rPr>
        <w:t>20</w:t>
      </w:r>
      <w:r w:rsidRPr="00125962">
        <w:rPr>
          <w:szCs w:val="16"/>
        </w:rPr>
        <w:t xml:space="preserve"> (1): 82-108 (Jan 1948).</w:t>
      </w:r>
    </w:p>
    <w:p w:rsidR="00416D75" w:rsidRPr="00125962" w:rsidRDefault="00416D75" w:rsidP="00416D75">
      <w:pPr>
        <w:pStyle w:val="reference"/>
        <w:ind w:left="450" w:hanging="450"/>
        <w:jc w:val="left"/>
        <w:rPr>
          <w:szCs w:val="16"/>
        </w:rPr>
      </w:pPr>
      <w:r w:rsidRPr="00125962">
        <w:rPr>
          <w:szCs w:val="16"/>
        </w:rPr>
        <w:t>[20]</w:t>
      </w:r>
      <w:r w:rsidRPr="00125962">
        <w:rPr>
          <w:szCs w:val="16"/>
        </w:rPr>
        <w:tab/>
        <w:t xml:space="preserve">J. A. Bearden, H. M. Watts, “A Re-Evaluation of the Fundamental Atomic Constants”, </w:t>
      </w:r>
      <w:r w:rsidRPr="00125962">
        <w:rPr>
          <w:i/>
          <w:iCs/>
          <w:szCs w:val="16"/>
        </w:rPr>
        <w:t>Physical Review</w:t>
      </w:r>
      <w:r w:rsidRPr="00125962">
        <w:rPr>
          <w:szCs w:val="16"/>
        </w:rPr>
        <w:t xml:space="preserve"> </w:t>
      </w:r>
      <w:r w:rsidRPr="00125962">
        <w:rPr>
          <w:b/>
          <w:szCs w:val="16"/>
        </w:rPr>
        <w:t>81</w:t>
      </w:r>
      <w:r w:rsidRPr="00125962">
        <w:rPr>
          <w:szCs w:val="16"/>
        </w:rPr>
        <w:t>: 73-81 (Jan 1951).</w:t>
      </w:r>
    </w:p>
    <w:p w:rsidR="00416D75" w:rsidRPr="00125962" w:rsidRDefault="00416D75" w:rsidP="00416D75">
      <w:pPr>
        <w:pStyle w:val="reference"/>
        <w:ind w:left="450" w:hanging="450"/>
        <w:jc w:val="left"/>
        <w:rPr>
          <w:szCs w:val="16"/>
        </w:rPr>
      </w:pPr>
      <w:proofErr w:type="gramStart"/>
      <w:r w:rsidRPr="00125962">
        <w:rPr>
          <w:szCs w:val="16"/>
        </w:rPr>
        <w:t>[21]</w:t>
      </w:r>
      <w:r w:rsidRPr="00125962">
        <w:rPr>
          <w:szCs w:val="16"/>
        </w:rPr>
        <w:tab/>
        <w:t xml:space="preserve">J. W. M. DuMond, E. R. Cohen, “Least Squares Adjustment of the Atomic Constants, 1952”, </w:t>
      </w:r>
      <w:r w:rsidRPr="00125962">
        <w:rPr>
          <w:i/>
          <w:iCs/>
          <w:szCs w:val="16"/>
        </w:rPr>
        <w:t>Rev. Mod.</w:t>
      </w:r>
      <w:proofErr w:type="gramEnd"/>
      <w:r w:rsidRPr="00125962">
        <w:rPr>
          <w:i/>
          <w:iCs/>
          <w:szCs w:val="16"/>
        </w:rPr>
        <w:t xml:space="preserve"> Phys.</w:t>
      </w:r>
      <w:r w:rsidRPr="00125962">
        <w:rPr>
          <w:szCs w:val="16"/>
        </w:rPr>
        <w:t xml:space="preserve"> </w:t>
      </w:r>
      <w:r w:rsidRPr="00125962">
        <w:rPr>
          <w:b/>
          <w:bCs/>
          <w:szCs w:val="16"/>
        </w:rPr>
        <w:t>25</w:t>
      </w:r>
      <w:r w:rsidRPr="00125962">
        <w:rPr>
          <w:szCs w:val="16"/>
        </w:rPr>
        <w:t xml:space="preserve"> (3): 691-708 (Jul 1953).</w:t>
      </w:r>
    </w:p>
    <w:p w:rsidR="00416D75" w:rsidRPr="00125962" w:rsidRDefault="00416D75" w:rsidP="00416D75">
      <w:pPr>
        <w:pStyle w:val="reference"/>
        <w:ind w:left="450" w:hanging="450"/>
        <w:jc w:val="left"/>
        <w:rPr>
          <w:szCs w:val="16"/>
        </w:rPr>
      </w:pPr>
      <w:r w:rsidRPr="00125962">
        <w:rPr>
          <w:szCs w:val="16"/>
        </w:rPr>
        <w:t>[22]</w:t>
      </w:r>
      <w:r w:rsidRPr="00125962">
        <w:rPr>
          <w:szCs w:val="16"/>
        </w:rPr>
        <w:tab/>
        <w:t xml:space="preserve">E. R. Cohen et al, “Analysis of Variance of the 1952 Data on the Atomic Constants and a New Adjustment, 1955”, </w:t>
      </w:r>
      <w:r w:rsidRPr="00125962">
        <w:rPr>
          <w:i/>
          <w:iCs/>
          <w:szCs w:val="16"/>
        </w:rPr>
        <w:t>Reviews of Modern Physics</w:t>
      </w:r>
      <w:r w:rsidRPr="00125962">
        <w:rPr>
          <w:szCs w:val="16"/>
        </w:rPr>
        <w:t xml:space="preserve"> </w:t>
      </w:r>
      <w:r w:rsidRPr="00125962">
        <w:rPr>
          <w:b/>
          <w:bCs/>
          <w:szCs w:val="16"/>
        </w:rPr>
        <w:t>27</w:t>
      </w:r>
      <w:r w:rsidRPr="00125962">
        <w:rPr>
          <w:szCs w:val="16"/>
        </w:rPr>
        <w:t xml:space="preserve"> (4): 363-380 (Oct 1955).</w:t>
      </w:r>
    </w:p>
    <w:p w:rsidR="00416D75" w:rsidRPr="00125962" w:rsidRDefault="00416D75" w:rsidP="00416D75">
      <w:pPr>
        <w:pStyle w:val="reference"/>
        <w:ind w:left="450" w:hanging="450"/>
        <w:jc w:val="left"/>
        <w:rPr>
          <w:szCs w:val="16"/>
        </w:rPr>
      </w:pPr>
      <w:r w:rsidRPr="00125962">
        <w:rPr>
          <w:szCs w:val="16"/>
        </w:rPr>
        <w:t>[23]</w:t>
      </w:r>
      <w:r w:rsidRPr="00125962">
        <w:rPr>
          <w:szCs w:val="16"/>
        </w:rPr>
        <w:tab/>
        <w:t xml:space="preserve">E. R. Cohen, J.W. M. DuMond, “Present Status of our Knowledge of the Numerical Values of the Fundamental Constants”, in W. H. Johnson, Jr., Ed., </w:t>
      </w:r>
      <w:r w:rsidRPr="00125962">
        <w:rPr>
          <w:i/>
          <w:iCs/>
          <w:szCs w:val="16"/>
        </w:rPr>
        <w:t>Proceedings of the Second International Conference on Nuclidic Masses</w:t>
      </w:r>
      <w:r w:rsidRPr="00125962">
        <w:rPr>
          <w:szCs w:val="16"/>
        </w:rPr>
        <w:t>, pp. 152-186 (Vienna, Austria, July 15-19, 1963, Springer-Verlag, Wien, 1964).</w:t>
      </w:r>
    </w:p>
    <w:p w:rsidR="00416D75" w:rsidRPr="00125962" w:rsidRDefault="00416D75" w:rsidP="00416D75">
      <w:pPr>
        <w:pStyle w:val="reference"/>
        <w:ind w:left="450" w:hanging="450"/>
        <w:jc w:val="left"/>
        <w:rPr>
          <w:szCs w:val="16"/>
        </w:rPr>
      </w:pPr>
      <w:r w:rsidRPr="00125962">
        <w:rPr>
          <w:szCs w:val="16"/>
        </w:rPr>
        <w:lastRenderedPageBreak/>
        <w:t>[24]</w:t>
      </w:r>
      <w:r w:rsidRPr="00125962">
        <w:rPr>
          <w:szCs w:val="16"/>
        </w:rPr>
        <w:tab/>
        <w:t xml:space="preserve">E. R. Cohen, J. W. M. DuMond, “Our Knowledge of the Fundamental Constants of Physics and Chemistry in 1965”, </w:t>
      </w:r>
      <w:r w:rsidRPr="00125962">
        <w:rPr>
          <w:i/>
          <w:iCs/>
          <w:szCs w:val="16"/>
        </w:rPr>
        <w:t>Reviews of Modern Physics</w:t>
      </w:r>
      <w:r w:rsidRPr="00125962">
        <w:rPr>
          <w:szCs w:val="16"/>
        </w:rPr>
        <w:t xml:space="preserve"> </w:t>
      </w:r>
      <w:r w:rsidRPr="00125962">
        <w:rPr>
          <w:b/>
          <w:bCs/>
          <w:szCs w:val="16"/>
        </w:rPr>
        <w:t>37</w:t>
      </w:r>
      <w:r w:rsidRPr="00125962">
        <w:rPr>
          <w:szCs w:val="16"/>
        </w:rPr>
        <w:t xml:space="preserve"> (4): 537-594 (Oct 1965).</w:t>
      </w:r>
    </w:p>
    <w:p w:rsidR="00416D75" w:rsidRPr="00125962" w:rsidRDefault="00416D75" w:rsidP="00416D75">
      <w:pPr>
        <w:pStyle w:val="reference"/>
        <w:ind w:left="450" w:hanging="450"/>
        <w:jc w:val="left"/>
        <w:rPr>
          <w:szCs w:val="16"/>
        </w:rPr>
      </w:pPr>
      <w:r w:rsidRPr="00125962">
        <w:rPr>
          <w:szCs w:val="16"/>
        </w:rPr>
        <w:t>[25]</w:t>
      </w:r>
      <w:r w:rsidRPr="00125962">
        <w:rPr>
          <w:szCs w:val="16"/>
        </w:rPr>
        <w:tab/>
        <w:t xml:space="preserve">B. N. Taylor, W. H. Parker, D. N. Langenberg, “Determination of e/h Using Macroscopic Quantum Phase Coherence in Superconductors: Implications for Quantum Electrodynamics and the Fundamental Physical Constants”, </w:t>
      </w:r>
      <w:r w:rsidRPr="00125962">
        <w:rPr>
          <w:i/>
          <w:iCs/>
          <w:szCs w:val="16"/>
        </w:rPr>
        <w:t>Reviews of Modern Physics</w:t>
      </w:r>
      <w:r w:rsidRPr="00125962">
        <w:rPr>
          <w:szCs w:val="16"/>
        </w:rPr>
        <w:t xml:space="preserve"> </w:t>
      </w:r>
      <w:r w:rsidRPr="00125962">
        <w:rPr>
          <w:b/>
          <w:bCs/>
          <w:szCs w:val="16"/>
        </w:rPr>
        <w:t>41</w:t>
      </w:r>
      <w:r w:rsidRPr="00125962">
        <w:rPr>
          <w:szCs w:val="16"/>
        </w:rPr>
        <w:t xml:space="preserve"> (3): 375-496 (Jul 1969).</w:t>
      </w:r>
    </w:p>
    <w:p w:rsidR="00416D75" w:rsidRPr="00125962" w:rsidRDefault="00416D75" w:rsidP="00416D75">
      <w:pPr>
        <w:pStyle w:val="reference"/>
        <w:ind w:left="450" w:hanging="450"/>
        <w:jc w:val="left"/>
        <w:rPr>
          <w:szCs w:val="16"/>
        </w:rPr>
      </w:pPr>
      <w:r w:rsidRPr="00125962">
        <w:rPr>
          <w:szCs w:val="16"/>
        </w:rPr>
        <w:t>[26]</w:t>
      </w:r>
      <w:r w:rsidRPr="00125962">
        <w:rPr>
          <w:szCs w:val="16"/>
        </w:rPr>
        <w:tab/>
        <w:t xml:space="preserve">E. R. Cohen, B. N. Taylor, “The 1973 Least-Squares Adjustment of the Fundamental Constants”, </w:t>
      </w:r>
      <w:r w:rsidRPr="00125962">
        <w:rPr>
          <w:i/>
          <w:iCs/>
          <w:szCs w:val="16"/>
        </w:rPr>
        <w:t>Journal of Physical and Chemical Reference Data</w:t>
      </w:r>
      <w:r w:rsidRPr="00125962">
        <w:rPr>
          <w:szCs w:val="16"/>
        </w:rPr>
        <w:t xml:space="preserve"> </w:t>
      </w:r>
      <w:r w:rsidRPr="00125962">
        <w:rPr>
          <w:b/>
          <w:bCs/>
          <w:szCs w:val="16"/>
        </w:rPr>
        <w:t>2</w:t>
      </w:r>
      <w:r w:rsidRPr="00125962">
        <w:rPr>
          <w:szCs w:val="16"/>
        </w:rPr>
        <w:t xml:space="preserve"> (4): 663-718 (1973).</w:t>
      </w:r>
    </w:p>
    <w:p w:rsidR="00416D75" w:rsidRPr="00125962" w:rsidRDefault="00416D75" w:rsidP="00416D75">
      <w:pPr>
        <w:pStyle w:val="reference"/>
        <w:ind w:left="450" w:hanging="450"/>
        <w:jc w:val="left"/>
        <w:rPr>
          <w:szCs w:val="16"/>
        </w:rPr>
      </w:pPr>
      <w:r w:rsidRPr="00125962">
        <w:rPr>
          <w:szCs w:val="16"/>
        </w:rPr>
        <w:t>[27]</w:t>
      </w:r>
      <w:r w:rsidRPr="00125962">
        <w:rPr>
          <w:szCs w:val="16"/>
        </w:rPr>
        <w:tab/>
        <w:t xml:space="preserve">E. R. Cohen, B. M. Taylor, “The 1986 Adjustment of the Fundamental Physical Constants”, </w:t>
      </w:r>
      <w:r w:rsidRPr="00125962">
        <w:rPr>
          <w:i/>
          <w:szCs w:val="16"/>
        </w:rPr>
        <w:t xml:space="preserve">Codata Bulletin </w:t>
      </w:r>
      <w:r w:rsidRPr="00125962">
        <w:rPr>
          <w:b/>
          <w:szCs w:val="16"/>
        </w:rPr>
        <w:t>63</w:t>
      </w:r>
      <w:r w:rsidRPr="00125962">
        <w:rPr>
          <w:szCs w:val="16"/>
        </w:rPr>
        <w:t xml:space="preserve"> (Pergamum Press, Nov 1986).</w:t>
      </w:r>
    </w:p>
    <w:p w:rsidR="00416D75" w:rsidRPr="00125962" w:rsidRDefault="00416D75" w:rsidP="00416D75">
      <w:pPr>
        <w:pStyle w:val="reference"/>
        <w:ind w:left="450" w:hanging="450"/>
        <w:jc w:val="left"/>
        <w:rPr>
          <w:szCs w:val="16"/>
        </w:rPr>
      </w:pPr>
      <w:proofErr w:type="gramStart"/>
      <w:r w:rsidRPr="00125962">
        <w:rPr>
          <w:szCs w:val="16"/>
        </w:rPr>
        <w:t>[28]</w:t>
      </w:r>
      <w:r w:rsidRPr="00125962">
        <w:rPr>
          <w:szCs w:val="16"/>
        </w:rPr>
        <w:tab/>
        <w:t xml:space="preserve">P. J. Mohr, B.N. Taylor, “Codata Recommended Values of the Fundamental Physical Constants, 1998”, </w:t>
      </w:r>
      <w:r w:rsidRPr="00125962">
        <w:rPr>
          <w:i/>
          <w:iCs/>
          <w:szCs w:val="16"/>
        </w:rPr>
        <w:t>Rev. Mod.</w:t>
      </w:r>
      <w:proofErr w:type="gramEnd"/>
      <w:r w:rsidRPr="00125962">
        <w:rPr>
          <w:szCs w:val="16"/>
        </w:rPr>
        <w:t xml:space="preserve"> </w:t>
      </w:r>
      <w:proofErr w:type="gramStart"/>
      <w:r w:rsidRPr="00125962">
        <w:rPr>
          <w:i/>
          <w:iCs/>
          <w:szCs w:val="16"/>
        </w:rPr>
        <w:t>Physics</w:t>
      </w:r>
      <w:r w:rsidRPr="00125962">
        <w:rPr>
          <w:szCs w:val="16"/>
        </w:rPr>
        <w:t xml:space="preserve"> (Apr 2000).</w:t>
      </w:r>
      <w:proofErr w:type="gramEnd"/>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[29</w:t>
      </w:r>
      <w:proofErr w:type="gramStart"/>
      <w:r w:rsidRPr="00125962">
        <w:rPr>
          <w:rFonts w:ascii="Book Antiqua" w:hAnsi="Book Antiqua"/>
          <w:sz w:val="16"/>
          <w:szCs w:val="16"/>
        </w:rPr>
        <w:t xml:space="preserve">]  </w:t>
      </w:r>
      <w:proofErr w:type="gramEnd"/>
      <w:r w:rsidR="00241D2F">
        <w:fldChar w:fldCharType="begin"/>
      </w:r>
      <w:r>
        <w:instrText>HYPERLINK "http://physics.nist.gov/cuu/Constants/index.html"</w:instrText>
      </w:r>
      <w:r w:rsidR="00241D2F">
        <w:fldChar w:fldCharType="separate"/>
      </w:r>
      <w:r w:rsidRPr="00125962">
        <w:rPr>
          <w:rStyle w:val="Hyperlink"/>
          <w:rFonts w:ascii="Book Antiqua" w:hAnsi="Book Antiqua"/>
          <w:i/>
          <w:szCs w:val="16"/>
        </w:rPr>
        <w:t>http://physics.nist.gov/cuu/Constants/index.html</w:t>
      </w:r>
      <w:r w:rsidR="00241D2F">
        <w:fldChar w:fldCharType="end"/>
      </w:r>
    </w:p>
    <w:p w:rsidR="00416D75" w:rsidRPr="00125962" w:rsidRDefault="00416D75" w:rsidP="00416D75">
      <w:pPr>
        <w:pStyle w:val="reference"/>
        <w:ind w:left="450" w:hanging="450"/>
        <w:jc w:val="left"/>
        <w:rPr>
          <w:color w:val="000000"/>
          <w:szCs w:val="16"/>
        </w:rPr>
      </w:pPr>
      <w:r w:rsidRPr="00125962">
        <w:rPr>
          <w:color w:val="000000"/>
          <w:szCs w:val="16"/>
        </w:rPr>
        <w:t>[30]</w:t>
      </w:r>
      <w:r w:rsidRPr="00125962">
        <w:rPr>
          <w:color w:val="000000"/>
          <w:szCs w:val="16"/>
        </w:rPr>
        <w:tab/>
        <w:t xml:space="preserve">J. H. Sanders, </w:t>
      </w:r>
      <w:proofErr w:type="gramStart"/>
      <w:r w:rsidRPr="00125962">
        <w:rPr>
          <w:i/>
          <w:iCs/>
          <w:color w:val="000000"/>
          <w:szCs w:val="16"/>
        </w:rPr>
        <w:t>The</w:t>
      </w:r>
      <w:proofErr w:type="gramEnd"/>
      <w:r w:rsidRPr="00125962">
        <w:rPr>
          <w:i/>
          <w:iCs/>
          <w:color w:val="000000"/>
          <w:szCs w:val="16"/>
        </w:rPr>
        <w:t xml:space="preserve"> Fundamental Atomic Constants, </w:t>
      </w:r>
      <w:r w:rsidRPr="00125962">
        <w:rPr>
          <w:iCs/>
          <w:color w:val="000000"/>
          <w:szCs w:val="16"/>
        </w:rPr>
        <w:t>p. 13</w:t>
      </w:r>
      <w:r w:rsidRPr="00125962">
        <w:rPr>
          <w:i/>
          <w:iCs/>
          <w:color w:val="000000"/>
          <w:szCs w:val="16"/>
        </w:rPr>
        <w:t xml:space="preserve"> (</w:t>
      </w:r>
      <w:r w:rsidRPr="00125962">
        <w:rPr>
          <w:color w:val="000000"/>
          <w:szCs w:val="16"/>
        </w:rPr>
        <w:t>Oxford University Press, Oxford, 1965).</w:t>
      </w:r>
    </w:p>
    <w:p w:rsidR="00416D75" w:rsidRPr="00125962" w:rsidRDefault="00416D75" w:rsidP="00416D75">
      <w:pPr>
        <w:pStyle w:val="reference"/>
        <w:ind w:left="450" w:hanging="450"/>
        <w:jc w:val="left"/>
        <w:rPr>
          <w:color w:val="000000"/>
          <w:szCs w:val="16"/>
        </w:rPr>
      </w:pPr>
      <w:r w:rsidRPr="00125962">
        <w:rPr>
          <w:color w:val="000000"/>
          <w:szCs w:val="16"/>
        </w:rPr>
        <w:t>[31]</w:t>
      </w:r>
      <w:r w:rsidRPr="00125962">
        <w:rPr>
          <w:color w:val="000000"/>
          <w:szCs w:val="16"/>
        </w:rPr>
        <w:tab/>
        <w:t xml:space="preserve">T. Norman, B. Setterfield, </w:t>
      </w:r>
      <w:r w:rsidRPr="00125962">
        <w:rPr>
          <w:i/>
          <w:iCs/>
          <w:color w:val="000000"/>
          <w:szCs w:val="16"/>
        </w:rPr>
        <w:t>The Atomic Constants, Light, and Time</w:t>
      </w:r>
      <w:r w:rsidRPr="00125962">
        <w:rPr>
          <w:i/>
          <w:color w:val="000000"/>
          <w:szCs w:val="16"/>
        </w:rPr>
        <w:t>,</w:t>
      </w:r>
      <w:r w:rsidRPr="00125962">
        <w:rPr>
          <w:color w:val="000000"/>
          <w:szCs w:val="16"/>
        </w:rPr>
        <w:t xml:space="preserve"> Research Report, p. 35 (Stanford Research Institute (SRI) International &amp; Flinders University, South Australia, Aug 1987).</w:t>
      </w:r>
    </w:p>
    <w:p w:rsidR="00416D75" w:rsidRPr="00125962" w:rsidRDefault="00416D75" w:rsidP="00416D75">
      <w:pPr>
        <w:pStyle w:val="reference"/>
        <w:ind w:left="450" w:hanging="450"/>
        <w:jc w:val="left"/>
        <w:rPr>
          <w:szCs w:val="16"/>
        </w:rPr>
      </w:pPr>
      <w:r w:rsidRPr="00125962">
        <w:rPr>
          <w:szCs w:val="16"/>
        </w:rPr>
        <w:t>[32]</w:t>
      </w:r>
      <w:r w:rsidRPr="00125962">
        <w:rPr>
          <w:szCs w:val="16"/>
        </w:rPr>
        <w:tab/>
        <w:t xml:space="preserve"> J. N. Bahcall, E. E. Salpeter, </w:t>
      </w:r>
      <w:r w:rsidRPr="00125962">
        <w:rPr>
          <w:i/>
          <w:szCs w:val="16"/>
        </w:rPr>
        <w:t>Astrophys. J</w:t>
      </w:r>
      <w:r w:rsidRPr="00125962">
        <w:rPr>
          <w:szCs w:val="16"/>
        </w:rPr>
        <w:t xml:space="preserve">. </w:t>
      </w:r>
      <w:r w:rsidRPr="00125962">
        <w:rPr>
          <w:b/>
          <w:szCs w:val="16"/>
        </w:rPr>
        <w:t>142</w:t>
      </w:r>
      <w:r w:rsidRPr="00125962">
        <w:rPr>
          <w:szCs w:val="16"/>
        </w:rPr>
        <w:t>: 1677-1681 (1965).</w:t>
      </w:r>
    </w:p>
    <w:p w:rsidR="00416D75" w:rsidRPr="00125962" w:rsidRDefault="00416D75" w:rsidP="00416D75">
      <w:pPr>
        <w:pStyle w:val="reference"/>
        <w:ind w:left="450" w:hanging="450"/>
        <w:jc w:val="left"/>
        <w:rPr>
          <w:szCs w:val="16"/>
        </w:rPr>
      </w:pPr>
      <w:r w:rsidRPr="00125962">
        <w:rPr>
          <w:szCs w:val="16"/>
        </w:rPr>
        <w:t>[33]</w:t>
      </w:r>
      <w:r w:rsidRPr="00125962">
        <w:rPr>
          <w:szCs w:val="16"/>
        </w:rPr>
        <w:tab/>
        <w:t xml:space="preserve">W. A. Baum, R. Florentin-Nielsen, </w:t>
      </w:r>
      <w:r w:rsidRPr="00125962">
        <w:rPr>
          <w:i/>
          <w:szCs w:val="16"/>
        </w:rPr>
        <w:t>Astrophys. J.</w:t>
      </w:r>
      <w:r w:rsidRPr="00125962">
        <w:rPr>
          <w:szCs w:val="16"/>
        </w:rPr>
        <w:t xml:space="preserve"> </w:t>
      </w:r>
      <w:r w:rsidRPr="00125962">
        <w:rPr>
          <w:b/>
          <w:szCs w:val="16"/>
        </w:rPr>
        <w:t>209</w:t>
      </w:r>
      <w:r w:rsidRPr="00125962">
        <w:rPr>
          <w:szCs w:val="16"/>
        </w:rPr>
        <w:t>: 319-329 (1976).</w:t>
      </w:r>
    </w:p>
    <w:p w:rsidR="00416D75" w:rsidRPr="00125962" w:rsidRDefault="00416D75" w:rsidP="00416D75">
      <w:pPr>
        <w:pStyle w:val="reference"/>
        <w:ind w:left="450" w:hanging="450"/>
        <w:jc w:val="left"/>
        <w:rPr>
          <w:szCs w:val="16"/>
        </w:rPr>
      </w:pPr>
      <w:r w:rsidRPr="00125962">
        <w:rPr>
          <w:szCs w:val="16"/>
        </w:rPr>
        <w:t>[34]</w:t>
      </w:r>
      <w:r w:rsidRPr="00125962">
        <w:rPr>
          <w:szCs w:val="16"/>
        </w:rPr>
        <w:tab/>
        <w:t xml:space="preserve">J. E. Solheim, T.G. Barnes, H.J. Smith, </w:t>
      </w:r>
      <w:r w:rsidRPr="00125962">
        <w:rPr>
          <w:i/>
          <w:szCs w:val="16"/>
        </w:rPr>
        <w:t>Astrophys. J.</w:t>
      </w:r>
      <w:r w:rsidRPr="00125962">
        <w:rPr>
          <w:szCs w:val="16"/>
        </w:rPr>
        <w:t xml:space="preserve"> </w:t>
      </w:r>
      <w:r w:rsidRPr="00125962">
        <w:rPr>
          <w:b/>
          <w:szCs w:val="16"/>
        </w:rPr>
        <w:t>209</w:t>
      </w:r>
      <w:r w:rsidRPr="00125962">
        <w:rPr>
          <w:szCs w:val="16"/>
        </w:rPr>
        <w:t>: 330-4 (1976).</w:t>
      </w:r>
    </w:p>
    <w:p w:rsidR="00416D75" w:rsidRPr="00125962" w:rsidRDefault="00416D75" w:rsidP="00416D75">
      <w:pPr>
        <w:pStyle w:val="reference"/>
        <w:ind w:left="450" w:hanging="450"/>
        <w:jc w:val="left"/>
        <w:rPr>
          <w:szCs w:val="16"/>
        </w:rPr>
      </w:pPr>
      <w:r w:rsidRPr="00125962">
        <w:rPr>
          <w:szCs w:val="16"/>
        </w:rPr>
        <w:t>[35]</w:t>
      </w:r>
      <w:r w:rsidRPr="00125962">
        <w:rPr>
          <w:szCs w:val="16"/>
        </w:rPr>
        <w:tab/>
        <w:t xml:space="preserve">P. D. Noerdlinger, </w:t>
      </w:r>
      <w:r w:rsidRPr="00125962">
        <w:rPr>
          <w:i/>
          <w:szCs w:val="16"/>
        </w:rPr>
        <w:t>Phys. Rev. Lett.</w:t>
      </w:r>
      <w:r w:rsidRPr="00125962">
        <w:rPr>
          <w:szCs w:val="16"/>
        </w:rPr>
        <w:t xml:space="preserve"> </w:t>
      </w:r>
      <w:r w:rsidRPr="00125962">
        <w:rPr>
          <w:b/>
          <w:szCs w:val="16"/>
        </w:rPr>
        <w:t>30</w:t>
      </w:r>
      <w:r w:rsidRPr="00125962">
        <w:rPr>
          <w:szCs w:val="16"/>
        </w:rPr>
        <w:t>: 761-762 (1973).</w:t>
      </w:r>
    </w:p>
    <w:p w:rsidR="00416D75" w:rsidRPr="00125962" w:rsidRDefault="00416D75" w:rsidP="00416D75">
      <w:pPr>
        <w:pStyle w:val="reference"/>
        <w:ind w:left="450" w:hanging="450"/>
        <w:jc w:val="left"/>
        <w:rPr>
          <w:szCs w:val="16"/>
        </w:rPr>
      </w:pPr>
      <w:r w:rsidRPr="00125962">
        <w:rPr>
          <w:szCs w:val="16"/>
        </w:rPr>
        <w:t>[36]</w:t>
      </w:r>
      <w:r w:rsidRPr="00125962">
        <w:rPr>
          <w:szCs w:val="16"/>
        </w:rPr>
        <w:tab/>
        <w:t xml:space="preserve">R. Srianand et al. also D. Monroe, </w:t>
      </w:r>
      <w:r w:rsidRPr="00125962">
        <w:rPr>
          <w:i/>
          <w:szCs w:val="16"/>
        </w:rPr>
        <w:t>Phys. Rev. Lett.</w:t>
      </w:r>
      <w:r w:rsidRPr="00125962">
        <w:rPr>
          <w:szCs w:val="16"/>
        </w:rPr>
        <w:t xml:space="preserve"> </w:t>
      </w:r>
      <w:r w:rsidRPr="00125962">
        <w:rPr>
          <w:b/>
          <w:szCs w:val="16"/>
        </w:rPr>
        <w:t>92</w:t>
      </w:r>
      <w:r w:rsidRPr="00125962">
        <w:rPr>
          <w:szCs w:val="16"/>
        </w:rPr>
        <w:t>: 121302 (2004).</w:t>
      </w:r>
    </w:p>
    <w:p w:rsidR="00416D75" w:rsidRPr="00125962" w:rsidRDefault="00416D75" w:rsidP="00416D75">
      <w:pPr>
        <w:pStyle w:val="reference"/>
        <w:ind w:left="450" w:hanging="450"/>
        <w:jc w:val="left"/>
        <w:rPr>
          <w:szCs w:val="16"/>
        </w:rPr>
      </w:pPr>
      <w:r w:rsidRPr="00125962">
        <w:rPr>
          <w:szCs w:val="16"/>
        </w:rPr>
        <w:t>[37]</w:t>
      </w:r>
      <w:r w:rsidRPr="00125962">
        <w:rPr>
          <w:szCs w:val="16"/>
        </w:rPr>
        <w:tab/>
        <w:t xml:space="preserve">L. L. Cowie, A. Songaila, </w:t>
      </w:r>
      <w:r w:rsidRPr="00125962">
        <w:rPr>
          <w:i/>
          <w:szCs w:val="16"/>
        </w:rPr>
        <w:t>Nature</w:t>
      </w:r>
      <w:r w:rsidRPr="00125962">
        <w:rPr>
          <w:szCs w:val="16"/>
        </w:rPr>
        <w:t xml:space="preserve">, </w:t>
      </w:r>
      <w:r w:rsidRPr="00125962">
        <w:rPr>
          <w:b/>
          <w:szCs w:val="16"/>
        </w:rPr>
        <w:t>428</w:t>
      </w:r>
      <w:r w:rsidRPr="00125962">
        <w:rPr>
          <w:szCs w:val="16"/>
        </w:rPr>
        <w:t>: 132 (2004).</w:t>
      </w:r>
    </w:p>
    <w:p w:rsidR="00416D75" w:rsidRPr="00125962" w:rsidRDefault="00416D75" w:rsidP="00416D75">
      <w:pPr>
        <w:pStyle w:val="reference"/>
        <w:ind w:left="450" w:hanging="450"/>
        <w:jc w:val="left"/>
        <w:rPr>
          <w:szCs w:val="16"/>
        </w:rPr>
      </w:pPr>
      <w:r w:rsidRPr="00125962">
        <w:rPr>
          <w:szCs w:val="16"/>
        </w:rPr>
        <w:t>[38]</w:t>
      </w:r>
      <w:r w:rsidRPr="00125962">
        <w:rPr>
          <w:szCs w:val="16"/>
        </w:rPr>
        <w:tab/>
        <w:t xml:space="preserve">F. J. Dyson, </w:t>
      </w:r>
      <w:r w:rsidRPr="00125962">
        <w:rPr>
          <w:i/>
          <w:szCs w:val="16"/>
        </w:rPr>
        <w:t>Phys. Rev. Lett</w:t>
      </w:r>
      <w:r w:rsidRPr="00125962">
        <w:rPr>
          <w:szCs w:val="16"/>
        </w:rPr>
        <w:t xml:space="preserve">. </w:t>
      </w:r>
      <w:r w:rsidRPr="00125962">
        <w:rPr>
          <w:b/>
          <w:szCs w:val="16"/>
        </w:rPr>
        <w:t>19</w:t>
      </w:r>
      <w:r w:rsidRPr="00125962">
        <w:rPr>
          <w:szCs w:val="16"/>
        </w:rPr>
        <w:t>: 1291-1293 (1967).</w:t>
      </w:r>
    </w:p>
    <w:p w:rsidR="00416D75" w:rsidRPr="00125962" w:rsidRDefault="00416D75" w:rsidP="00416D75">
      <w:pPr>
        <w:pStyle w:val="reference"/>
        <w:ind w:left="450" w:hanging="450"/>
        <w:jc w:val="left"/>
        <w:rPr>
          <w:szCs w:val="16"/>
        </w:rPr>
      </w:pPr>
      <w:r w:rsidRPr="00125962">
        <w:rPr>
          <w:szCs w:val="16"/>
        </w:rPr>
        <w:t>[39]</w:t>
      </w:r>
      <w:r w:rsidRPr="00125962">
        <w:rPr>
          <w:szCs w:val="16"/>
        </w:rPr>
        <w:tab/>
        <w:t xml:space="preserve">A. Peres, </w:t>
      </w:r>
      <w:r w:rsidRPr="00125962">
        <w:rPr>
          <w:i/>
          <w:szCs w:val="16"/>
        </w:rPr>
        <w:t>Phys. Rev. Lett.</w:t>
      </w:r>
      <w:r w:rsidRPr="00125962">
        <w:rPr>
          <w:szCs w:val="16"/>
        </w:rPr>
        <w:t xml:space="preserve"> </w:t>
      </w:r>
      <w:r w:rsidRPr="00125962">
        <w:rPr>
          <w:b/>
          <w:szCs w:val="16"/>
        </w:rPr>
        <w:t>19</w:t>
      </w:r>
      <w:r w:rsidRPr="00125962">
        <w:rPr>
          <w:szCs w:val="16"/>
        </w:rPr>
        <w:t>: 1293-1294 (1967).</w:t>
      </w:r>
    </w:p>
    <w:p w:rsidR="00416D75" w:rsidRPr="00125962" w:rsidRDefault="00416D75" w:rsidP="00416D75">
      <w:pPr>
        <w:pStyle w:val="reference"/>
        <w:ind w:left="450" w:hanging="450"/>
        <w:jc w:val="left"/>
        <w:rPr>
          <w:szCs w:val="16"/>
        </w:rPr>
      </w:pPr>
      <w:r w:rsidRPr="00125962">
        <w:rPr>
          <w:szCs w:val="16"/>
        </w:rPr>
        <w:t>[40]</w:t>
      </w:r>
      <w:r w:rsidRPr="00125962">
        <w:rPr>
          <w:szCs w:val="16"/>
        </w:rPr>
        <w:tab/>
        <w:t xml:space="preserve">J. N. Bahcall, M. Schmidt, </w:t>
      </w:r>
      <w:r w:rsidRPr="00125962">
        <w:rPr>
          <w:i/>
          <w:szCs w:val="16"/>
        </w:rPr>
        <w:t>Phys. Rev. Lett.</w:t>
      </w:r>
      <w:r w:rsidRPr="00125962">
        <w:rPr>
          <w:szCs w:val="16"/>
        </w:rPr>
        <w:t xml:space="preserve"> </w:t>
      </w:r>
      <w:r w:rsidRPr="00125962">
        <w:rPr>
          <w:b/>
          <w:szCs w:val="16"/>
        </w:rPr>
        <w:t>19</w:t>
      </w:r>
      <w:r w:rsidRPr="00125962">
        <w:rPr>
          <w:szCs w:val="16"/>
        </w:rPr>
        <w:t xml:space="preserve">: 1294-1295 (1967). </w:t>
      </w:r>
    </w:p>
    <w:p w:rsidR="00416D75" w:rsidRPr="00125962" w:rsidRDefault="00416D75" w:rsidP="00416D75">
      <w:pPr>
        <w:pStyle w:val="reference"/>
        <w:ind w:left="450" w:hanging="450"/>
        <w:jc w:val="left"/>
        <w:rPr>
          <w:szCs w:val="16"/>
        </w:rPr>
      </w:pPr>
      <w:r w:rsidRPr="00125962">
        <w:rPr>
          <w:szCs w:val="16"/>
        </w:rPr>
        <w:t>[41]</w:t>
      </w:r>
      <w:r w:rsidRPr="00125962">
        <w:rPr>
          <w:szCs w:val="16"/>
        </w:rPr>
        <w:tab/>
        <w:t xml:space="preserve">P. S. Wesson, </w:t>
      </w:r>
      <w:r w:rsidRPr="00125962">
        <w:rPr>
          <w:i/>
          <w:szCs w:val="16"/>
        </w:rPr>
        <w:t>Cosmology and Geophysics,</w:t>
      </w:r>
      <w:r w:rsidRPr="00125962">
        <w:rPr>
          <w:szCs w:val="16"/>
        </w:rPr>
        <w:t xml:space="preserve"> Monographs on Astronomical Subjects, pp. 65-66, 88-89, 115-122, 207-208 (Adam Hilger Ltd, Bristol, 1978).</w:t>
      </w:r>
    </w:p>
    <w:p w:rsidR="00416D75" w:rsidRPr="00125962" w:rsidRDefault="00416D75" w:rsidP="00416D75">
      <w:pPr>
        <w:pStyle w:val="reference"/>
        <w:ind w:left="450" w:hanging="450"/>
        <w:jc w:val="left"/>
        <w:rPr>
          <w:szCs w:val="16"/>
        </w:rPr>
      </w:pPr>
      <w:r w:rsidRPr="00125962">
        <w:rPr>
          <w:szCs w:val="16"/>
        </w:rPr>
        <w:t>[42]</w:t>
      </w:r>
      <w:r w:rsidRPr="00125962">
        <w:rPr>
          <w:szCs w:val="16"/>
        </w:rPr>
        <w:tab/>
        <w:t xml:space="preserve">M. Brooks, “Operation Alpha”, </w:t>
      </w:r>
      <w:r w:rsidRPr="00125962">
        <w:rPr>
          <w:i/>
          <w:szCs w:val="16"/>
        </w:rPr>
        <w:t>New Scientist</w:t>
      </w:r>
      <w:r w:rsidRPr="00125962">
        <w:rPr>
          <w:szCs w:val="16"/>
        </w:rPr>
        <w:t>, p. 33-35 (23 Oct 2010)</w:t>
      </w:r>
    </w:p>
    <w:p w:rsidR="00416D75" w:rsidRPr="00125962" w:rsidRDefault="00416D75" w:rsidP="00416D75">
      <w:pPr>
        <w:pStyle w:val="reference"/>
        <w:ind w:left="450" w:hanging="450"/>
        <w:jc w:val="left"/>
        <w:rPr>
          <w:szCs w:val="16"/>
        </w:rPr>
      </w:pPr>
      <w:r w:rsidRPr="00125962">
        <w:rPr>
          <w:szCs w:val="16"/>
        </w:rPr>
        <w:t>[43]</w:t>
      </w:r>
      <w:r w:rsidRPr="00125962">
        <w:rPr>
          <w:szCs w:val="16"/>
        </w:rPr>
        <w:tab/>
        <w:t>P. S. Wesson, op. cit., pp. 65-66, 88-89, 115-122, 207-208.</w:t>
      </w:r>
    </w:p>
    <w:p w:rsidR="00416D75" w:rsidRPr="00125962" w:rsidRDefault="00416D75" w:rsidP="00416D75">
      <w:pPr>
        <w:pStyle w:val="reference"/>
        <w:ind w:left="450" w:hanging="450"/>
        <w:jc w:val="left"/>
        <w:rPr>
          <w:szCs w:val="16"/>
        </w:rPr>
      </w:pPr>
      <w:r w:rsidRPr="00125962">
        <w:rPr>
          <w:szCs w:val="16"/>
        </w:rPr>
        <w:t>[44]</w:t>
      </w:r>
      <w:r w:rsidRPr="00125962">
        <w:rPr>
          <w:szCs w:val="16"/>
        </w:rPr>
        <w:tab/>
        <w:t xml:space="preserve">M. Harwit, </w:t>
      </w:r>
      <w:r w:rsidRPr="00125962">
        <w:rPr>
          <w:i/>
          <w:szCs w:val="16"/>
        </w:rPr>
        <w:t>Bull. Astron. Inst. Czech</w:t>
      </w:r>
      <w:r w:rsidRPr="00125962">
        <w:rPr>
          <w:szCs w:val="16"/>
        </w:rPr>
        <w:t xml:space="preserve">. </w:t>
      </w:r>
      <w:r w:rsidRPr="00125962">
        <w:rPr>
          <w:b/>
          <w:szCs w:val="16"/>
        </w:rPr>
        <w:t>22</w:t>
      </w:r>
      <w:r w:rsidRPr="00125962">
        <w:rPr>
          <w:szCs w:val="16"/>
        </w:rPr>
        <w:t>: 22-29 (1971).</w:t>
      </w:r>
    </w:p>
    <w:p w:rsidR="00416D75" w:rsidRPr="00125962" w:rsidRDefault="00416D75" w:rsidP="00416D75">
      <w:pPr>
        <w:pStyle w:val="reference"/>
        <w:ind w:left="450" w:hanging="450"/>
        <w:jc w:val="left"/>
        <w:rPr>
          <w:szCs w:val="16"/>
        </w:rPr>
      </w:pPr>
      <w:r w:rsidRPr="00125962">
        <w:rPr>
          <w:szCs w:val="16"/>
        </w:rPr>
        <w:t>[45]</w:t>
      </w:r>
      <w:r w:rsidRPr="00125962">
        <w:rPr>
          <w:szCs w:val="16"/>
        </w:rPr>
        <w:tab/>
        <w:t xml:space="preserve">N. E. Dorsey, </w:t>
      </w:r>
      <w:r w:rsidRPr="00125962">
        <w:rPr>
          <w:i/>
          <w:szCs w:val="16"/>
        </w:rPr>
        <w:t>Trans. Am. Phil. Soc.</w:t>
      </w:r>
      <w:r w:rsidRPr="00125962">
        <w:rPr>
          <w:szCs w:val="16"/>
        </w:rPr>
        <w:t xml:space="preserve"> </w:t>
      </w:r>
      <w:r w:rsidRPr="00125962">
        <w:rPr>
          <w:b/>
          <w:szCs w:val="16"/>
        </w:rPr>
        <w:t>34</w:t>
      </w:r>
      <w:r w:rsidRPr="00125962">
        <w:rPr>
          <w:szCs w:val="16"/>
        </w:rPr>
        <w:t>: 1 (1944).</w:t>
      </w:r>
    </w:p>
    <w:p w:rsidR="00416D75" w:rsidRPr="00125962" w:rsidRDefault="00416D75" w:rsidP="00416D75">
      <w:pPr>
        <w:pStyle w:val="reference"/>
        <w:ind w:left="450" w:hanging="450"/>
        <w:jc w:val="left"/>
        <w:rPr>
          <w:szCs w:val="16"/>
        </w:rPr>
      </w:pPr>
      <w:proofErr w:type="gramStart"/>
      <w:r w:rsidRPr="00125962">
        <w:rPr>
          <w:szCs w:val="16"/>
        </w:rPr>
        <w:t>[46]</w:t>
      </w:r>
      <w:r w:rsidRPr="00125962">
        <w:rPr>
          <w:szCs w:val="16"/>
        </w:rPr>
        <w:tab/>
        <w:t xml:space="preserve">M. E. J. Gheury de Bray, </w:t>
      </w:r>
      <w:r w:rsidRPr="00125962">
        <w:rPr>
          <w:i/>
          <w:szCs w:val="16"/>
        </w:rPr>
        <w:t>Nature</w:t>
      </w:r>
      <w:r w:rsidRPr="00125962">
        <w:rPr>
          <w:szCs w:val="16"/>
        </w:rPr>
        <w:t xml:space="preserve"> </w:t>
      </w:r>
      <w:r w:rsidRPr="00125962">
        <w:rPr>
          <w:b/>
          <w:szCs w:val="16"/>
        </w:rPr>
        <w:t>120</w:t>
      </w:r>
      <w:r w:rsidRPr="00125962">
        <w:rPr>
          <w:szCs w:val="16"/>
        </w:rPr>
        <w:t xml:space="preserve">: 602 (1927); </w:t>
      </w:r>
      <w:r w:rsidRPr="00125962">
        <w:rPr>
          <w:b/>
          <w:szCs w:val="16"/>
        </w:rPr>
        <w:t>127</w:t>
      </w:r>
      <w:r w:rsidRPr="00125962">
        <w:rPr>
          <w:szCs w:val="16"/>
        </w:rPr>
        <w:t xml:space="preserve">: 522 (1931); and </w:t>
      </w:r>
      <w:r w:rsidRPr="00125962">
        <w:rPr>
          <w:b/>
          <w:szCs w:val="16"/>
        </w:rPr>
        <w:t>127</w:t>
      </w:r>
      <w:r w:rsidRPr="00125962">
        <w:rPr>
          <w:szCs w:val="16"/>
        </w:rPr>
        <w:t>: 892 (1931).</w:t>
      </w:r>
      <w:proofErr w:type="gramEnd"/>
    </w:p>
    <w:p w:rsidR="00416D75" w:rsidRPr="00125962" w:rsidRDefault="00416D75" w:rsidP="00416D75">
      <w:pPr>
        <w:pStyle w:val="reference"/>
        <w:ind w:left="450" w:hanging="450"/>
        <w:jc w:val="left"/>
        <w:rPr>
          <w:szCs w:val="16"/>
        </w:rPr>
      </w:pPr>
      <w:r w:rsidRPr="00125962">
        <w:rPr>
          <w:szCs w:val="16"/>
        </w:rPr>
        <w:t>[47]</w:t>
      </w:r>
      <w:r w:rsidRPr="00125962">
        <w:rPr>
          <w:szCs w:val="16"/>
        </w:rPr>
        <w:tab/>
        <w:t xml:space="preserve">R. T. Birge, </w:t>
      </w:r>
      <w:r w:rsidRPr="00125962">
        <w:rPr>
          <w:i/>
          <w:szCs w:val="16"/>
        </w:rPr>
        <w:t xml:space="preserve">Rep. Prog. </w:t>
      </w:r>
      <w:proofErr w:type="gramStart"/>
      <w:r w:rsidRPr="00125962">
        <w:rPr>
          <w:i/>
          <w:szCs w:val="16"/>
        </w:rPr>
        <w:t>Phys</w:t>
      </w:r>
      <w:r w:rsidRPr="00125962">
        <w:rPr>
          <w:szCs w:val="16"/>
        </w:rPr>
        <w:t>.</w:t>
      </w:r>
      <w:r w:rsidRPr="00125962">
        <w:rPr>
          <w:b/>
          <w:szCs w:val="16"/>
        </w:rPr>
        <w:t xml:space="preserve"> 8</w:t>
      </w:r>
      <w:r w:rsidRPr="00125962">
        <w:rPr>
          <w:szCs w:val="16"/>
        </w:rPr>
        <w:t>: 90 (1941).</w:t>
      </w:r>
      <w:proofErr w:type="gramEnd"/>
    </w:p>
    <w:p w:rsidR="00416D75" w:rsidRPr="00125962" w:rsidRDefault="00416D75" w:rsidP="00416D75">
      <w:pPr>
        <w:pStyle w:val="reference"/>
        <w:ind w:left="450" w:hanging="450"/>
        <w:jc w:val="left"/>
        <w:rPr>
          <w:szCs w:val="16"/>
        </w:rPr>
      </w:pPr>
      <w:r w:rsidRPr="00125962">
        <w:rPr>
          <w:szCs w:val="16"/>
        </w:rPr>
        <w:t>[48]</w:t>
      </w:r>
      <w:r w:rsidRPr="00125962">
        <w:rPr>
          <w:szCs w:val="16"/>
        </w:rPr>
        <w:tab/>
        <w:t>A. Montgomery, L. Dolphin, “Is the Velocity of Light Constant in Time?</w:t>
      </w:r>
      <w:proofErr w:type="gramStart"/>
      <w:r w:rsidRPr="00125962">
        <w:rPr>
          <w:szCs w:val="16"/>
        </w:rPr>
        <w:t>”,</w:t>
      </w:r>
      <w:proofErr w:type="gramEnd"/>
      <w:r w:rsidRPr="00125962">
        <w:rPr>
          <w:szCs w:val="16"/>
        </w:rPr>
        <w:t xml:space="preserve"> </w:t>
      </w:r>
      <w:r w:rsidRPr="00125962">
        <w:rPr>
          <w:i/>
          <w:szCs w:val="16"/>
        </w:rPr>
        <w:t>Galilean Electrodynamics</w:t>
      </w:r>
      <w:r w:rsidRPr="00125962">
        <w:rPr>
          <w:szCs w:val="16"/>
        </w:rPr>
        <w:t xml:space="preserve"> </w:t>
      </w:r>
      <w:r w:rsidRPr="00125962">
        <w:rPr>
          <w:b/>
          <w:szCs w:val="16"/>
        </w:rPr>
        <w:t>4</w:t>
      </w:r>
      <w:r w:rsidRPr="00125962">
        <w:rPr>
          <w:szCs w:val="16"/>
        </w:rPr>
        <w:t xml:space="preserve"> (5): 93ff (1993).</w:t>
      </w:r>
    </w:p>
    <w:p w:rsidR="00416D75" w:rsidRPr="00125962" w:rsidRDefault="00416D75" w:rsidP="00416D75">
      <w:pPr>
        <w:pStyle w:val="reference"/>
        <w:ind w:left="450" w:hanging="450"/>
        <w:jc w:val="left"/>
        <w:rPr>
          <w:szCs w:val="16"/>
        </w:rPr>
      </w:pPr>
      <w:r w:rsidRPr="00125962">
        <w:rPr>
          <w:szCs w:val="16"/>
        </w:rPr>
        <w:t>[49]</w:t>
      </w:r>
      <w:r w:rsidRPr="00125962">
        <w:rPr>
          <w:szCs w:val="16"/>
        </w:rPr>
        <w:tab/>
        <w:t>S. L. Martin, A. K. Connor</w:t>
      </w:r>
      <w:r w:rsidRPr="00125962">
        <w:rPr>
          <w:b/>
          <w:i/>
          <w:szCs w:val="16"/>
        </w:rPr>
        <w:t>, Basic Physics</w:t>
      </w:r>
      <w:r w:rsidRPr="00125962">
        <w:rPr>
          <w:szCs w:val="16"/>
        </w:rPr>
        <w:t>, Vol. 3, 6</w:t>
      </w:r>
      <w:r w:rsidRPr="00125962">
        <w:rPr>
          <w:szCs w:val="16"/>
          <w:vertAlign w:val="superscript"/>
        </w:rPr>
        <w:t>th</w:t>
      </w:r>
      <w:r w:rsidRPr="00125962">
        <w:rPr>
          <w:szCs w:val="16"/>
        </w:rPr>
        <w:t xml:space="preserve"> Ed., p. 1193 (Whitcombe and Tombs Pty. Ltd., Melbourne, Australia, 1958).</w:t>
      </w:r>
    </w:p>
    <w:p w:rsidR="00416D75" w:rsidRPr="00125962" w:rsidRDefault="00416D75" w:rsidP="00416D75">
      <w:pPr>
        <w:pStyle w:val="reference"/>
        <w:ind w:left="450" w:hanging="450"/>
        <w:jc w:val="left"/>
        <w:rPr>
          <w:szCs w:val="16"/>
        </w:rPr>
      </w:pPr>
      <w:r w:rsidRPr="00125962">
        <w:rPr>
          <w:szCs w:val="16"/>
        </w:rPr>
        <w:t>[50]</w:t>
      </w:r>
      <w:r w:rsidRPr="00125962">
        <w:rPr>
          <w:szCs w:val="16"/>
        </w:rPr>
        <w:tab/>
        <w:t xml:space="preserve">B. Haisch, A. Rueda, H. E. Puthoff, </w:t>
      </w:r>
      <w:r w:rsidRPr="00125962">
        <w:rPr>
          <w:i/>
          <w:szCs w:val="16"/>
        </w:rPr>
        <w:t>Speculations in Science and Technology</w:t>
      </w:r>
      <w:r w:rsidRPr="00125962">
        <w:rPr>
          <w:szCs w:val="16"/>
        </w:rPr>
        <w:t xml:space="preserve"> </w:t>
      </w:r>
      <w:r w:rsidRPr="00125962">
        <w:rPr>
          <w:b/>
          <w:szCs w:val="16"/>
        </w:rPr>
        <w:t>20</w:t>
      </w:r>
      <w:r w:rsidRPr="00125962">
        <w:rPr>
          <w:szCs w:val="16"/>
        </w:rPr>
        <w:t>: 99-114 (1997).</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1</w:t>
      </w:r>
      <w:r w:rsidRPr="00125962">
        <w:rPr>
          <w:szCs w:val="16"/>
        </w:rPr>
        <w:t>]</w:t>
      </w:r>
      <w:r w:rsidRPr="00125962">
        <w:rPr>
          <w:szCs w:val="16"/>
        </w:rPr>
        <w:tab/>
        <w:t xml:space="preserve">Science Editor, </w:t>
      </w:r>
      <w:r w:rsidRPr="00125962">
        <w:rPr>
          <w:i/>
          <w:szCs w:val="16"/>
        </w:rPr>
        <w:t>New Scientist</w:t>
      </w:r>
      <w:r w:rsidRPr="00125962">
        <w:rPr>
          <w:szCs w:val="16"/>
        </w:rPr>
        <w:t xml:space="preserve"> </w:t>
      </w:r>
      <w:r w:rsidRPr="00125962">
        <w:rPr>
          <w:b/>
          <w:szCs w:val="16"/>
        </w:rPr>
        <w:t>2611</w:t>
      </w:r>
      <w:r w:rsidRPr="00125962">
        <w:rPr>
          <w:szCs w:val="16"/>
        </w:rPr>
        <w:t xml:space="preserve"> (7 July 2007).</w:t>
      </w:r>
    </w:p>
    <w:p w:rsidR="00416D75" w:rsidRPr="00125962" w:rsidRDefault="00416D75" w:rsidP="00416D75">
      <w:pPr>
        <w:pStyle w:val="reference"/>
        <w:ind w:left="450" w:hanging="450"/>
        <w:jc w:val="left"/>
        <w:rPr>
          <w:szCs w:val="16"/>
        </w:rPr>
      </w:pPr>
      <w:proofErr w:type="gramStart"/>
      <w:r w:rsidRPr="00125962">
        <w:rPr>
          <w:szCs w:val="16"/>
        </w:rPr>
        <w:t>[52]</w:t>
      </w:r>
      <w:r w:rsidRPr="00125962">
        <w:rPr>
          <w:szCs w:val="16"/>
        </w:rPr>
        <w:tab/>
        <w:t xml:space="preserve">R. Gerritsma et al, </w:t>
      </w:r>
      <w:r w:rsidRPr="00125962">
        <w:rPr>
          <w:i/>
          <w:szCs w:val="16"/>
        </w:rPr>
        <w:t>Nature</w:t>
      </w:r>
      <w:r w:rsidRPr="00125962">
        <w:rPr>
          <w:szCs w:val="16"/>
        </w:rPr>
        <w:t xml:space="preserve"> </w:t>
      </w:r>
      <w:r w:rsidRPr="00125962">
        <w:rPr>
          <w:b/>
          <w:szCs w:val="16"/>
        </w:rPr>
        <w:t>463</w:t>
      </w:r>
      <w:r w:rsidRPr="00125962">
        <w:rPr>
          <w:szCs w:val="16"/>
        </w:rPr>
        <w:t>: 68-71 (7 Jan 2010), pp. 68-71.</w:t>
      </w:r>
      <w:proofErr w:type="gramEnd"/>
    </w:p>
    <w:p w:rsidR="00416D75" w:rsidRPr="00125962" w:rsidRDefault="00416D75" w:rsidP="00416D75">
      <w:pPr>
        <w:pStyle w:val="reference"/>
        <w:ind w:left="450" w:hanging="450"/>
        <w:jc w:val="left"/>
        <w:rPr>
          <w:szCs w:val="16"/>
        </w:rPr>
      </w:pPr>
      <w:r w:rsidRPr="00125962">
        <w:rPr>
          <w:szCs w:val="16"/>
        </w:rPr>
        <w:t>[53]</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(1989).</w:t>
      </w:r>
    </w:p>
    <w:p w:rsidR="00416D75" w:rsidRPr="00125962" w:rsidRDefault="00416D75" w:rsidP="00416D75">
      <w:pPr>
        <w:pStyle w:val="reference"/>
        <w:ind w:left="450" w:hanging="450"/>
        <w:jc w:val="left"/>
        <w:rPr>
          <w:szCs w:val="16"/>
        </w:rPr>
      </w:pPr>
      <w:r w:rsidRPr="00125962">
        <w:rPr>
          <w:szCs w:val="16"/>
        </w:rPr>
        <w:t>[54]</w:t>
      </w:r>
      <w:r w:rsidRPr="00125962">
        <w:rPr>
          <w:szCs w:val="16"/>
        </w:rPr>
        <w:tab/>
        <w:t xml:space="preserve">M. Chown, </w:t>
      </w:r>
      <w:r w:rsidRPr="00125962">
        <w:rPr>
          <w:i/>
          <w:szCs w:val="16"/>
        </w:rPr>
        <w:t>New Scientist</w:t>
      </w:r>
      <w:r w:rsidRPr="00125962">
        <w:rPr>
          <w:szCs w:val="16"/>
        </w:rPr>
        <w:t>, pp. 22-25 (3 Feb 2001).</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5</w:t>
      </w:r>
      <w:r w:rsidRPr="00125962">
        <w:rPr>
          <w:szCs w:val="16"/>
        </w:rPr>
        <w:t>]</w:t>
      </w:r>
      <w:r w:rsidRPr="00125962">
        <w:rPr>
          <w:szCs w:val="16"/>
        </w:rPr>
        <w:tab/>
        <w:t xml:space="preserve">B. Haisch, A. Rueda, H. E. Puthoff, </w:t>
      </w:r>
      <w:r w:rsidRPr="00125962">
        <w:rPr>
          <w:i/>
          <w:szCs w:val="16"/>
        </w:rPr>
        <w:t>Physical Review A</w:t>
      </w:r>
      <w:r w:rsidRPr="00125962">
        <w:rPr>
          <w:szCs w:val="16"/>
        </w:rPr>
        <w:t xml:space="preserve"> </w:t>
      </w:r>
      <w:r w:rsidRPr="00125962">
        <w:rPr>
          <w:b/>
          <w:szCs w:val="16"/>
        </w:rPr>
        <w:t>49</w:t>
      </w:r>
      <w:r w:rsidRPr="00125962">
        <w:rPr>
          <w:szCs w:val="16"/>
        </w:rPr>
        <w:t xml:space="preserve"> (2): 678-694 (Feb 1994).</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6</w:t>
      </w:r>
      <w:r w:rsidRPr="00125962">
        <w:rPr>
          <w:szCs w:val="16"/>
        </w:rPr>
        <w:t>]</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 Mar 1989).</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7</w:t>
      </w:r>
      <w:r w:rsidRPr="00125962">
        <w:rPr>
          <w:szCs w:val="16"/>
        </w:rPr>
        <w:t>]</w:t>
      </w:r>
      <w:r w:rsidRPr="00125962">
        <w:rPr>
          <w:szCs w:val="16"/>
        </w:rPr>
        <w:tab/>
        <w:t>B. Setterfield</w:t>
      </w:r>
      <w:proofErr w:type="gramStart"/>
      <w:r w:rsidRPr="00125962">
        <w:rPr>
          <w:szCs w:val="16"/>
        </w:rPr>
        <w:t>, ”</w:t>
      </w:r>
      <w:proofErr w:type="gramEnd"/>
      <w:r w:rsidRPr="00125962">
        <w:rPr>
          <w:szCs w:val="16"/>
        </w:rPr>
        <w:t xml:space="preserve">Reviewing the Zero Point Energy,” </w:t>
      </w:r>
      <w:r w:rsidRPr="00125962">
        <w:rPr>
          <w:i/>
          <w:szCs w:val="16"/>
        </w:rPr>
        <w:t>Journal of Vectorial Relativity</w:t>
      </w:r>
      <w:r w:rsidRPr="00125962">
        <w:rPr>
          <w:szCs w:val="16"/>
        </w:rPr>
        <w:t xml:space="preserve"> </w:t>
      </w:r>
      <w:r w:rsidRPr="00125962">
        <w:rPr>
          <w:b/>
          <w:szCs w:val="16"/>
        </w:rPr>
        <w:t>2</w:t>
      </w:r>
      <w:r w:rsidRPr="00125962">
        <w:rPr>
          <w:szCs w:val="16"/>
        </w:rPr>
        <w:t xml:space="preserve"> (3): 1-28 (2007) and also in reference [31].</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8</w:t>
      </w:r>
      <w:r w:rsidRPr="00125962">
        <w:rPr>
          <w:szCs w:val="16"/>
        </w:rPr>
        <w:t>]</w:t>
      </w:r>
      <w:r w:rsidRPr="00125962">
        <w:rPr>
          <w:szCs w:val="16"/>
        </w:rPr>
        <w:tab/>
        <w:t xml:space="preserve">R. T. Birge, </w:t>
      </w:r>
      <w:r w:rsidRPr="00125962">
        <w:rPr>
          <w:i/>
          <w:szCs w:val="16"/>
        </w:rPr>
        <w:t>Nature</w:t>
      </w:r>
      <w:r w:rsidRPr="00125962">
        <w:rPr>
          <w:szCs w:val="16"/>
        </w:rPr>
        <w:t xml:space="preserve"> </w:t>
      </w:r>
      <w:r w:rsidRPr="00125962">
        <w:rPr>
          <w:b/>
          <w:szCs w:val="16"/>
        </w:rPr>
        <w:t>134</w:t>
      </w:r>
      <w:r w:rsidRPr="00125962">
        <w:rPr>
          <w:szCs w:val="16"/>
        </w:rPr>
        <w:t>: 771-772 (1934).</w:t>
      </w:r>
    </w:p>
    <w:p w:rsidR="00416D75" w:rsidRPr="00125962" w:rsidRDefault="00416D75" w:rsidP="00416D75">
      <w:pPr>
        <w:pStyle w:val="reference"/>
        <w:ind w:left="450" w:hanging="450"/>
        <w:jc w:val="left"/>
        <w:rPr>
          <w:szCs w:val="16"/>
        </w:rPr>
      </w:pPr>
      <w:r w:rsidRPr="00125962">
        <w:rPr>
          <w:szCs w:val="16"/>
        </w:rPr>
        <w:t>[59]</w:t>
      </w:r>
      <w:r w:rsidRPr="00125962">
        <w:rPr>
          <w:szCs w:val="16"/>
        </w:rPr>
        <w:tab/>
        <w:t xml:space="preserve">A.N. Cox, </w:t>
      </w:r>
      <w:r w:rsidRPr="00125962">
        <w:rPr>
          <w:i/>
          <w:szCs w:val="16"/>
        </w:rPr>
        <w:t>Allen’s Astrophysical Quantities</w:t>
      </w:r>
      <w:r w:rsidRPr="00125962">
        <w:rPr>
          <w:szCs w:val="16"/>
        </w:rPr>
        <w:t>, p. 9 (Springer-Verlag, 2000).</w:t>
      </w:r>
    </w:p>
    <w:p w:rsidR="00416D75" w:rsidRPr="00125962" w:rsidRDefault="00416D75" w:rsidP="00416D75">
      <w:pPr>
        <w:pStyle w:val="reference"/>
        <w:ind w:left="450" w:hanging="450"/>
        <w:jc w:val="left"/>
        <w:rPr>
          <w:szCs w:val="16"/>
        </w:rPr>
      </w:pPr>
      <w:r w:rsidRPr="00125962">
        <w:rPr>
          <w:szCs w:val="16"/>
        </w:rPr>
        <w:t>[60]</w:t>
      </w:r>
      <w:r w:rsidRPr="00125962">
        <w:rPr>
          <w:szCs w:val="16"/>
        </w:rPr>
        <w:tab/>
        <w:t xml:space="preserve">A. P. French, </w:t>
      </w:r>
      <w:r w:rsidRPr="00125962">
        <w:rPr>
          <w:i/>
          <w:szCs w:val="16"/>
        </w:rPr>
        <w:t>Principles of Modern Physics,</w:t>
      </w:r>
      <w:r w:rsidRPr="00125962">
        <w:rPr>
          <w:szCs w:val="16"/>
        </w:rPr>
        <w:t xml:space="preserve"> p.114 (Wiley 1959).</w:t>
      </w:r>
    </w:p>
    <w:p w:rsidR="00416D75" w:rsidRPr="00125962" w:rsidRDefault="00416D75" w:rsidP="00416D75">
      <w:pPr>
        <w:pStyle w:val="reference"/>
        <w:ind w:left="450" w:hanging="450"/>
        <w:jc w:val="left"/>
        <w:rPr>
          <w:szCs w:val="16"/>
        </w:rPr>
      </w:pPr>
      <w:r w:rsidRPr="00125962">
        <w:rPr>
          <w:szCs w:val="16"/>
        </w:rPr>
        <w:t>[61]</w:t>
      </w:r>
      <w:r w:rsidRPr="00125962">
        <w:rPr>
          <w:szCs w:val="16"/>
        </w:rPr>
        <w:tab/>
        <w:t xml:space="preserve">J. Kovalevsky, </w:t>
      </w:r>
      <w:r w:rsidRPr="00125962">
        <w:rPr>
          <w:i/>
          <w:szCs w:val="16"/>
        </w:rPr>
        <w:t>Metrologia</w:t>
      </w:r>
      <w:r w:rsidRPr="00125962">
        <w:rPr>
          <w:szCs w:val="16"/>
        </w:rPr>
        <w:t xml:space="preserve"> </w:t>
      </w:r>
      <w:r w:rsidRPr="00125962">
        <w:rPr>
          <w:b/>
          <w:szCs w:val="16"/>
        </w:rPr>
        <w:t>1</w:t>
      </w:r>
      <w:r w:rsidRPr="00125962">
        <w:rPr>
          <w:szCs w:val="16"/>
        </w:rPr>
        <w:t xml:space="preserve"> (4): 169-180 (1965).</w:t>
      </w:r>
    </w:p>
    <w:p w:rsidR="00416D75" w:rsidRPr="00125962" w:rsidRDefault="00416D75" w:rsidP="00416D75">
      <w:pPr>
        <w:pStyle w:val="reference"/>
        <w:ind w:left="450" w:hanging="450"/>
        <w:jc w:val="left"/>
        <w:rPr>
          <w:szCs w:val="16"/>
        </w:rPr>
      </w:pPr>
      <w:r w:rsidRPr="00125962">
        <w:rPr>
          <w:szCs w:val="16"/>
        </w:rPr>
        <w:t>[62]</w:t>
      </w:r>
      <w:r w:rsidRPr="00125962">
        <w:rPr>
          <w:szCs w:val="16"/>
        </w:rPr>
        <w:tab/>
        <w:t xml:space="preserve">C. J. Masreliez, </w:t>
      </w:r>
      <w:r w:rsidRPr="00125962">
        <w:rPr>
          <w:rStyle w:val="Emphasis"/>
          <w:szCs w:val="16"/>
        </w:rPr>
        <w:t>Aperion</w:t>
      </w:r>
      <w:r w:rsidRPr="00125962">
        <w:rPr>
          <w:szCs w:val="16"/>
        </w:rPr>
        <w:t xml:space="preserve"> </w:t>
      </w:r>
      <w:r w:rsidRPr="00125962">
        <w:rPr>
          <w:rStyle w:val="Strong"/>
          <w:rFonts w:eastAsia="Calibri"/>
          <w:szCs w:val="16"/>
        </w:rPr>
        <w:t>11</w:t>
      </w:r>
      <w:r w:rsidRPr="00125962">
        <w:rPr>
          <w:szCs w:val="16"/>
        </w:rPr>
        <w:t xml:space="preserve">: 4 (Oct 2004); also Masreliez &amp; Kolesnik, </w:t>
      </w:r>
      <w:r w:rsidRPr="00125962">
        <w:rPr>
          <w:rStyle w:val="Emphasis"/>
          <w:szCs w:val="16"/>
        </w:rPr>
        <w:t>Astronomical Journal</w:t>
      </w:r>
      <w:r w:rsidRPr="00125962">
        <w:rPr>
          <w:szCs w:val="16"/>
        </w:rPr>
        <w:t xml:space="preserve"> (Aug 2004); Y.B. Kolesnik, “Analysis of the secular variations of the longitudes of the Sun, Mercury, and Venus from Optical observations” (2005), Available at: </w:t>
      </w:r>
      <w:hyperlink r:id="rId1228" w:history="1">
        <w:r w:rsidRPr="00125962">
          <w:rPr>
            <w:rStyle w:val="Hyperlink"/>
            <w:i/>
            <w:szCs w:val="16"/>
          </w:rPr>
          <w:t>http://www.estfound.org/ analysis.htm</w:t>
        </w:r>
      </w:hyperlink>
      <w:r w:rsidRPr="00125962">
        <w:rPr>
          <w:szCs w:val="16"/>
        </w:rPr>
        <w:t>.</w:t>
      </w:r>
    </w:p>
    <w:p w:rsidR="00416D75" w:rsidRPr="00125962" w:rsidRDefault="00416D75" w:rsidP="00416D75">
      <w:pPr>
        <w:pStyle w:val="reference"/>
        <w:ind w:left="450" w:hanging="450"/>
        <w:jc w:val="left"/>
        <w:rPr>
          <w:szCs w:val="16"/>
        </w:rPr>
      </w:pPr>
      <w:r w:rsidRPr="00125962">
        <w:rPr>
          <w:szCs w:val="16"/>
        </w:rPr>
        <w:t>[63]</w:t>
      </w:r>
      <w:r w:rsidRPr="00125962">
        <w:rPr>
          <w:szCs w:val="16"/>
        </w:rPr>
        <w:tab/>
        <w:t xml:space="preserve">Z-G. Yao, C. Smith in S. Debarbat et al, Eds., </w:t>
      </w:r>
      <w:r w:rsidRPr="00125962">
        <w:rPr>
          <w:rStyle w:val="Emphasis"/>
          <w:szCs w:val="16"/>
        </w:rPr>
        <w:t>Mapping the Sky</w:t>
      </w:r>
      <w:r w:rsidRPr="00125962">
        <w:rPr>
          <w:szCs w:val="16"/>
        </w:rPr>
        <w:t>, p. 501 (Kluwer, Dordrecht, 1988).</w:t>
      </w:r>
    </w:p>
    <w:p w:rsidR="00416D75" w:rsidRPr="00125962" w:rsidRDefault="00416D75" w:rsidP="00416D75">
      <w:pPr>
        <w:pStyle w:val="reference"/>
        <w:ind w:left="450" w:hanging="450"/>
        <w:jc w:val="left"/>
        <w:rPr>
          <w:szCs w:val="16"/>
        </w:rPr>
      </w:pPr>
      <w:r w:rsidRPr="00125962">
        <w:rPr>
          <w:szCs w:val="16"/>
        </w:rPr>
        <w:t>[64]</w:t>
      </w:r>
      <w:r w:rsidRPr="00125962">
        <w:rPr>
          <w:szCs w:val="16"/>
        </w:rPr>
        <w:tab/>
        <w:t xml:space="preserve">Z-G. Yao, C. Smith, </w:t>
      </w:r>
      <w:r w:rsidRPr="00125962">
        <w:rPr>
          <w:rStyle w:val="Emphasis"/>
          <w:szCs w:val="16"/>
        </w:rPr>
        <w:t xml:space="preserve">Astrophys. </w:t>
      </w:r>
      <w:proofErr w:type="gramStart"/>
      <w:r w:rsidRPr="00125962">
        <w:rPr>
          <w:rStyle w:val="Emphasis"/>
          <w:szCs w:val="16"/>
        </w:rPr>
        <w:t>and</w:t>
      </w:r>
      <w:proofErr w:type="gramEnd"/>
      <w:r w:rsidRPr="00125962">
        <w:rPr>
          <w:rStyle w:val="Emphasis"/>
          <w:szCs w:val="16"/>
        </w:rPr>
        <w:t xml:space="preserve"> Space Science</w:t>
      </w:r>
      <w:r w:rsidRPr="00125962">
        <w:rPr>
          <w:szCs w:val="16"/>
        </w:rPr>
        <w:t xml:space="preserve"> </w:t>
      </w:r>
      <w:r w:rsidRPr="00125962">
        <w:rPr>
          <w:rStyle w:val="Strong"/>
          <w:rFonts w:eastAsia="Calibri"/>
          <w:szCs w:val="16"/>
        </w:rPr>
        <w:t>177</w:t>
      </w:r>
      <w:r w:rsidRPr="00125962">
        <w:rPr>
          <w:szCs w:val="16"/>
        </w:rPr>
        <w:t>: 181 (1991).</w:t>
      </w:r>
    </w:p>
    <w:p w:rsidR="00416D75" w:rsidRPr="00125962" w:rsidRDefault="00416D75" w:rsidP="00416D75">
      <w:pPr>
        <w:pStyle w:val="reference"/>
        <w:ind w:left="450" w:hanging="450"/>
        <w:jc w:val="left"/>
        <w:rPr>
          <w:szCs w:val="16"/>
        </w:rPr>
      </w:pPr>
      <w:r w:rsidRPr="00125962">
        <w:rPr>
          <w:szCs w:val="16"/>
        </w:rPr>
        <w:t>[65]</w:t>
      </w:r>
      <w:r w:rsidRPr="00125962">
        <w:rPr>
          <w:szCs w:val="16"/>
        </w:rPr>
        <w:tab/>
        <w:t xml:space="preserve">Z-G. Yao, C. Smith in I. I. Muller, B. Kolaczek, Eds., </w:t>
      </w:r>
      <w:r w:rsidRPr="00125962">
        <w:rPr>
          <w:rStyle w:val="Emphasis"/>
          <w:szCs w:val="16"/>
        </w:rPr>
        <w:t>Developments in Astrometry and Their Impact on Astrophysics and Geodynamics</w:t>
      </w:r>
      <w:r w:rsidRPr="00125962">
        <w:rPr>
          <w:szCs w:val="16"/>
        </w:rPr>
        <w:t>, p. 403 (Kluwer, Dordrecht, 1993).</w:t>
      </w:r>
    </w:p>
    <w:p w:rsidR="00416D75" w:rsidRPr="00125962" w:rsidRDefault="00416D75" w:rsidP="00416D75">
      <w:pPr>
        <w:pStyle w:val="reference"/>
        <w:ind w:left="450" w:hanging="450"/>
        <w:jc w:val="left"/>
        <w:rPr>
          <w:szCs w:val="16"/>
        </w:rPr>
      </w:pPr>
      <w:r w:rsidRPr="00125962">
        <w:rPr>
          <w:szCs w:val="16"/>
        </w:rPr>
        <w:t>[66]</w:t>
      </w:r>
      <w:r w:rsidRPr="00125962">
        <w:rPr>
          <w:szCs w:val="16"/>
        </w:rPr>
        <w:tab/>
        <w:t xml:space="preserve">G. A. Krasinsky et al, </w:t>
      </w:r>
      <w:r w:rsidRPr="00125962">
        <w:rPr>
          <w:rStyle w:val="Emphasis"/>
          <w:szCs w:val="16"/>
        </w:rPr>
        <w:t xml:space="preserve">Cel. </w:t>
      </w:r>
      <w:proofErr w:type="gramStart"/>
      <w:r w:rsidRPr="00125962">
        <w:rPr>
          <w:rStyle w:val="Emphasis"/>
          <w:szCs w:val="16"/>
        </w:rPr>
        <w:t>Mec.</w:t>
      </w:r>
      <w:proofErr w:type="gramEnd"/>
      <w:r w:rsidRPr="00125962">
        <w:rPr>
          <w:rStyle w:val="Emphasis"/>
          <w:szCs w:val="16"/>
        </w:rPr>
        <w:t xml:space="preserve"> Dyn Astron</w:t>
      </w:r>
      <w:r w:rsidRPr="00125962">
        <w:rPr>
          <w:rStyle w:val="Strong"/>
          <w:rFonts w:eastAsia="Calibri"/>
          <w:szCs w:val="16"/>
        </w:rPr>
        <w:t xml:space="preserve"> 55</w:t>
      </w:r>
      <w:r w:rsidRPr="00125962">
        <w:rPr>
          <w:szCs w:val="16"/>
        </w:rPr>
        <w:t>: 1 (1993).</w:t>
      </w:r>
    </w:p>
    <w:p w:rsidR="00416D75" w:rsidRPr="00125962" w:rsidRDefault="00416D75" w:rsidP="00416D75">
      <w:pPr>
        <w:pStyle w:val="reference"/>
        <w:ind w:left="450" w:hanging="450"/>
        <w:jc w:val="left"/>
        <w:rPr>
          <w:szCs w:val="16"/>
        </w:rPr>
      </w:pPr>
      <w:r w:rsidRPr="00125962">
        <w:rPr>
          <w:szCs w:val="16"/>
        </w:rPr>
        <w:t>[67]</w:t>
      </w:r>
      <w:r w:rsidRPr="00125962">
        <w:rPr>
          <w:szCs w:val="16"/>
        </w:rPr>
        <w:tab/>
        <w:t xml:space="preserve">E. M. Standish, J. G. Williams, in J. H. Lieske, V. K. Abalakin, Eds., </w:t>
      </w:r>
      <w:r w:rsidRPr="00125962">
        <w:rPr>
          <w:rStyle w:val="Emphasis"/>
          <w:szCs w:val="16"/>
        </w:rPr>
        <w:t>Inertial Coordinate System on the Sky</w:t>
      </w:r>
      <w:r w:rsidRPr="00125962">
        <w:rPr>
          <w:szCs w:val="16"/>
        </w:rPr>
        <w:t>, p. 173 (Kluwer, Dordrecht, 1990).</w:t>
      </w:r>
    </w:p>
    <w:p w:rsidR="00416D75" w:rsidRPr="00125962" w:rsidRDefault="00416D75" w:rsidP="00416D75">
      <w:pPr>
        <w:pStyle w:val="reference"/>
        <w:ind w:left="450" w:hanging="450"/>
        <w:jc w:val="left"/>
        <w:rPr>
          <w:szCs w:val="16"/>
        </w:rPr>
      </w:pPr>
      <w:r w:rsidRPr="00125962">
        <w:rPr>
          <w:szCs w:val="16"/>
        </w:rPr>
        <w:t>[68]</w:t>
      </w:r>
      <w:r w:rsidRPr="00125962">
        <w:rPr>
          <w:szCs w:val="16"/>
        </w:rPr>
        <w:tab/>
        <w:t xml:space="preserve">P. K. Seidelman et al, in V. Szebenhey, B. Balazs, Eds., </w:t>
      </w:r>
      <w:r w:rsidRPr="00125962">
        <w:rPr>
          <w:rStyle w:val="Emphasis"/>
          <w:szCs w:val="16"/>
        </w:rPr>
        <w:t>Dynamical Astronomy</w:t>
      </w:r>
      <w:r w:rsidRPr="00125962">
        <w:rPr>
          <w:szCs w:val="16"/>
        </w:rPr>
        <w:t>, p. 55 (Austin, TX, 1985).</w:t>
      </w:r>
    </w:p>
    <w:p w:rsidR="00416D75" w:rsidRPr="00125962" w:rsidRDefault="00416D75" w:rsidP="00416D75">
      <w:pPr>
        <w:pStyle w:val="reference"/>
        <w:ind w:left="450" w:hanging="450"/>
        <w:jc w:val="left"/>
        <w:rPr>
          <w:szCs w:val="16"/>
        </w:rPr>
      </w:pPr>
      <w:r w:rsidRPr="00125962">
        <w:rPr>
          <w:szCs w:val="16"/>
        </w:rPr>
        <w:t>[69]</w:t>
      </w:r>
      <w:r w:rsidRPr="00125962">
        <w:rPr>
          <w:szCs w:val="16"/>
        </w:rPr>
        <w:tab/>
        <w:t xml:space="preserve">P. K. Seidelman et al, in J. Kovalevsky, V. A. Brumberg, Eds., </w:t>
      </w:r>
      <w:r w:rsidRPr="00125962">
        <w:rPr>
          <w:rStyle w:val="Emphasis"/>
          <w:szCs w:val="16"/>
        </w:rPr>
        <w:t>Relativity in Celestial Mechanics and Astrometry</w:t>
      </w:r>
      <w:r w:rsidRPr="00125962">
        <w:rPr>
          <w:szCs w:val="16"/>
        </w:rPr>
        <w:t>, p. 99 (Kluwer, Dordrecht, 1986).</w:t>
      </w:r>
    </w:p>
    <w:p w:rsidR="00416D75" w:rsidRPr="00125962" w:rsidRDefault="00416D75" w:rsidP="00416D75">
      <w:pPr>
        <w:pStyle w:val="reference"/>
        <w:ind w:left="450" w:hanging="450"/>
        <w:jc w:val="left"/>
        <w:rPr>
          <w:szCs w:val="16"/>
        </w:rPr>
      </w:pPr>
      <w:r w:rsidRPr="00125962">
        <w:rPr>
          <w:szCs w:val="16"/>
        </w:rPr>
        <w:lastRenderedPageBreak/>
        <w:t>[70]</w:t>
      </w:r>
      <w:r w:rsidRPr="00125962">
        <w:rPr>
          <w:szCs w:val="16"/>
        </w:rPr>
        <w:tab/>
        <w:t xml:space="preserve">P. K. Seidelman, in S. Ferraz-Mello et al, Eds., </w:t>
      </w:r>
      <w:r w:rsidRPr="00125962">
        <w:rPr>
          <w:rStyle w:val="Emphasis"/>
          <w:szCs w:val="16"/>
        </w:rPr>
        <w:t>Chaos, Resonance and Collective Dynamical Phenomena in the Solar System</w:t>
      </w:r>
      <w:r w:rsidRPr="00125962">
        <w:rPr>
          <w:szCs w:val="16"/>
        </w:rPr>
        <w:t>, p. 49 (Kluwer, Dordrecht, 1992).</w:t>
      </w:r>
    </w:p>
    <w:p w:rsidR="00416D75" w:rsidRPr="00125962" w:rsidRDefault="00416D75" w:rsidP="00416D75">
      <w:pPr>
        <w:pStyle w:val="reference"/>
        <w:ind w:left="450" w:hanging="450"/>
        <w:jc w:val="left"/>
        <w:rPr>
          <w:szCs w:val="16"/>
        </w:rPr>
      </w:pPr>
      <w:proofErr w:type="gramStart"/>
      <w:r w:rsidRPr="00125962">
        <w:rPr>
          <w:szCs w:val="16"/>
        </w:rPr>
        <w:t>[71]</w:t>
      </w:r>
      <w:r w:rsidRPr="00125962">
        <w:rPr>
          <w:szCs w:val="16"/>
        </w:rPr>
        <w:tab/>
        <w:t xml:space="preserve">Y. B. Kolesnik, </w:t>
      </w:r>
      <w:r w:rsidRPr="00125962">
        <w:rPr>
          <w:rStyle w:val="Emphasis"/>
          <w:szCs w:val="16"/>
        </w:rPr>
        <w:t>Astronomy and Astrophtsics</w:t>
      </w:r>
      <w:r w:rsidRPr="00125962">
        <w:rPr>
          <w:szCs w:val="16"/>
        </w:rPr>
        <w:t xml:space="preserve"> </w:t>
      </w:r>
      <w:r w:rsidRPr="00125962">
        <w:rPr>
          <w:rStyle w:val="Strong"/>
          <w:rFonts w:eastAsia="Calibri"/>
          <w:szCs w:val="16"/>
        </w:rPr>
        <w:t>294</w:t>
      </w:r>
      <w:r w:rsidRPr="00125962">
        <w:rPr>
          <w:szCs w:val="16"/>
        </w:rPr>
        <w:t>:  876 (1995).</w:t>
      </w:r>
      <w:proofErr w:type="gramEnd"/>
    </w:p>
    <w:p w:rsidR="00416D75" w:rsidRPr="00125962" w:rsidRDefault="00416D75" w:rsidP="00416D75">
      <w:pPr>
        <w:pStyle w:val="reference"/>
        <w:ind w:left="450" w:hanging="450"/>
        <w:jc w:val="left"/>
        <w:rPr>
          <w:szCs w:val="16"/>
        </w:rPr>
      </w:pPr>
      <w:r w:rsidRPr="00125962">
        <w:rPr>
          <w:szCs w:val="16"/>
        </w:rPr>
        <w:t>[72]</w:t>
      </w:r>
      <w:r w:rsidRPr="00125962">
        <w:rPr>
          <w:szCs w:val="16"/>
        </w:rPr>
        <w:tab/>
        <w:t xml:space="preserve">Y. B. Kolesnik, in S. Ferraz-Mello et al, Eds., </w:t>
      </w:r>
      <w:r w:rsidRPr="00125962">
        <w:rPr>
          <w:rStyle w:val="Emphasis"/>
          <w:szCs w:val="16"/>
        </w:rPr>
        <w:t>Dynamics, Ephemerides and Astrometry of the Solar System</w:t>
      </w:r>
      <w:r w:rsidRPr="00125962">
        <w:rPr>
          <w:szCs w:val="16"/>
        </w:rPr>
        <w:t>, p 477 (Reidel, Dordrecht, 1996).</w:t>
      </w:r>
    </w:p>
    <w:p w:rsidR="00416D75" w:rsidRPr="00125962" w:rsidRDefault="00416D75" w:rsidP="00416D75">
      <w:pPr>
        <w:pStyle w:val="reference"/>
        <w:ind w:left="450" w:hanging="450"/>
        <w:jc w:val="left"/>
        <w:rPr>
          <w:szCs w:val="16"/>
        </w:rPr>
      </w:pPr>
      <w:r w:rsidRPr="00125962">
        <w:rPr>
          <w:szCs w:val="16"/>
        </w:rPr>
        <w:t>[73]</w:t>
      </w:r>
      <w:r w:rsidRPr="00125962">
        <w:rPr>
          <w:szCs w:val="16"/>
        </w:rPr>
        <w:tab/>
        <w:t xml:space="preserve">P. S. R. Poppe et al, </w:t>
      </w:r>
      <w:r w:rsidRPr="00125962">
        <w:rPr>
          <w:rStyle w:val="Emphasis"/>
          <w:szCs w:val="16"/>
        </w:rPr>
        <w:t>Astronomical Journal</w:t>
      </w:r>
      <w:r w:rsidRPr="00125962">
        <w:rPr>
          <w:szCs w:val="16"/>
        </w:rPr>
        <w:t xml:space="preserve"> </w:t>
      </w:r>
      <w:r w:rsidRPr="00125962">
        <w:rPr>
          <w:rStyle w:val="Strong"/>
          <w:rFonts w:eastAsia="Calibri"/>
          <w:szCs w:val="16"/>
        </w:rPr>
        <w:t>116</w:t>
      </w:r>
      <w:r w:rsidRPr="00125962">
        <w:rPr>
          <w:szCs w:val="16"/>
        </w:rPr>
        <w:t>: 2 (1999).</w:t>
      </w:r>
    </w:p>
    <w:p w:rsidR="00416D75" w:rsidRPr="00125962" w:rsidRDefault="00416D75" w:rsidP="00416D75">
      <w:pPr>
        <w:pStyle w:val="reference"/>
        <w:ind w:left="446" w:hanging="446"/>
        <w:jc w:val="left"/>
        <w:rPr>
          <w:szCs w:val="16"/>
        </w:rPr>
      </w:pPr>
      <w:r w:rsidRPr="00125962">
        <w:rPr>
          <w:szCs w:val="16"/>
        </w:rPr>
        <w:t>[74]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416D75" w:rsidRPr="00125962" w:rsidRDefault="00416D75" w:rsidP="00416D75">
      <w:pPr>
        <w:pStyle w:val="reference"/>
        <w:ind w:left="446" w:hanging="446"/>
        <w:jc w:val="left"/>
        <w:rPr>
          <w:szCs w:val="16"/>
        </w:rPr>
      </w:pPr>
      <w:r w:rsidRPr="00125962">
        <w:rPr>
          <w:szCs w:val="16"/>
        </w:rPr>
        <w:t>[75]</w:t>
      </w:r>
      <w:r w:rsidRPr="00125962">
        <w:rPr>
          <w:szCs w:val="16"/>
        </w:rPr>
        <w:tab/>
        <w:t xml:space="preserve">P. Claverie, S. Diner, in O. Chalvet et al, Eds., </w:t>
      </w:r>
      <w:r w:rsidRPr="00125962">
        <w:rPr>
          <w:i/>
          <w:szCs w:val="16"/>
        </w:rPr>
        <w:t>Localization and Delocalization in Quantum Chemistry</w:t>
      </w:r>
      <w:r w:rsidRPr="00125962">
        <w:rPr>
          <w:b/>
          <w:szCs w:val="16"/>
        </w:rPr>
        <w:t>,</w:t>
      </w:r>
      <w:r w:rsidRPr="00125962">
        <w:rPr>
          <w:szCs w:val="16"/>
        </w:rPr>
        <w:t xml:space="preserve"> Vol. II, p. 395 (Reidel, Dorchrecht, 1976).</w:t>
      </w:r>
    </w:p>
    <w:p w:rsidR="00416D75" w:rsidRPr="00125962" w:rsidRDefault="00416D75" w:rsidP="00416D75">
      <w:pPr>
        <w:pStyle w:val="reference"/>
        <w:ind w:left="446" w:hanging="446"/>
        <w:jc w:val="left"/>
        <w:rPr>
          <w:szCs w:val="16"/>
        </w:rPr>
      </w:pPr>
      <w:r w:rsidRPr="00125962">
        <w:rPr>
          <w:szCs w:val="16"/>
        </w:rPr>
        <w:t>[76]</w:t>
      </w:r>
      <w:r w:rsidRPr="00125962">
        <w:rPr>
          <w:szCs w:val="16"/>
        </w:rPr>
        <w:tab/>
        <w:t xml:space="preserve">L. de la Pena, “Stochastic Electrodynamics: Its Development, Present Situation, and Perspectives”, in B. Gomez et al, Eds., </w:t>
      </w:r>
      <w:r w:rsidRPr="00125962">
        <w:rPr>
          <w:i/>
          <w:szCs w:val="16"/>
        </w:rPr>
        <w:t>Stochastic Processes Applied to Physics and other Related Fields</w:t>
      </w:r>
      <w:r w:rsidRPr="00125962">
        <w:rPr>
          <w:szCs w:val="16"/>
        </w:rPr>
        <w:t>, pp. 428-581 (Proceedings of the Escuela Lationamericana de Fisica held in Cali, Colombia, 21 June- 9 July, 1982; World Scientific, 1983).</w:t>
      </w:r>
    </w:p>
    <w:p w:rsidR="00416D75" w:rsidRPr="00125962" w:rsidRDefault="00416D75" w:rsidP="00416D75">
      <w:pPr>
        <w:pStyle w:val="reference"/>
        <w:ind w:left="446" w:hanging="446"/>
        <w:jc w:val="left"/>
        <w:rPr>
          <w:szCs w:val="16"/>
        </w:rPr>
      </w:pPr>
      <w:proofErr w:type="gramStart"/>
      <w:r w:rsidRPr="00125962">
        <w:rPr>
          <w:szCs w:val="16"/>
        </w:rPr>
        <w:t>[77]</w:t>
      </w:r>
      <w:r w:rsidRPr="00125962">
        <w:rPr>
          <w:szCs w:val="16"/>
        </w:rPr>
        <w:tab/>
        <w:t xml:space="preserve">V. Spicka et al, in Theo. M. Nieuwenhuizen, Ed, </w:t>
      </w:r>
      <w:r w:rsidRPr="00125962">
        <w:rPr>
          <w:i/>
          <w:szCs w:val="16"/>
        </w:rPr>
        <w:t>Beyond the Quantum</w:t>
      </w:r>
      <w:r w:rsidRPr="00125962">
        <w:rPr>
          <w:szCs w:val="16"/>
        </w:rPr>
        <w:t>, pp. 247-270 (World Scientific, 2007).</w:t>
      </w:r>
      <w:proofErr w:type="gramEnd"/>
    </w:p>
    <w:p w:rsidR="00416D75" w:rsidRPr="00125962" w:rsidRDefault="00416D75" w:rsidP="00416D75">
      <w:pPr>
        <w:pStyle w:val="reference"/>
        <w:ind w:left="446" w:hanging="446"/>
        <w:jc w:val="left"/>
        <w:rPr>
          <w:szCs w:val="16"/>
        </w:rPr>
      </w:pPr>
      <w:proofErr w:type="gramStart"/>
      <w:r w:rsidRPr="00125962">
        <w:rPr>
          <w:szCs w:val="16"/>
        </w:rPr>
        <w:t>[78]</w:t>
      </w:r>
      <w:r w:rsidRPr="00125962">
        <w:rPr>
          <w:szCs w:val="16"/>
        </w:rPr>
        <w:tab/>
        <w:t xml:space="preserve">W. G. Tifft, </w:t>
      </w:r>
      <w:r w:rsidRPr="00125962">
        <w:rPr>
          <w:i/>
          <w:iCs/>
          <w:szCs w:val="16"/>
        </w:rPr>
        <w:t xml:space="preserve">Astrophysical Journal </w:t>
      </w:r>
      <w:r w:rsidRPr="00125962">
        <w:rPr>
          <w:b/>
          <w:bCs/>
          <w:szCs w:val="16"/>
        </w:rPr>
        <w:t>206</w:t>
      </w:r>
      <w:r w:rsidRPr="00125962">
        <w:rPr>
          <w:szCs w:val="16"/>
        </w:rPr>
        <w:t xml:space="preserve">: 38 (1976); </w:t>
      </w:r>
      <w:r w:rsidRPr="00125962">
        <w:rPr>
          <w:i/>
          <w:iCs/>
          <w:szCs w:val="16"/>
        </w:rPr>
        <w:t>Astrophysical Journal</w:t>
      </w:r>
      <w:r w:rsidRPr="00125962">
        <w:rPr>
          <w:szCs w:val="16"/>
        </w:rPr>
        <w:t xml:space="preserve"> </w:t>
      </w:r>
      <w:r w:rsidRPr="00125962">
        <w:rPr>
          <w:b/>
          <w:bCs/>
          <w:szCs w:val="16"/>
        </w:rPr>
        <w:t>211</w:t>
      </w:r>
      <w:r w:rsidRPr="00125962">
        <w:rPr>
          <w:szCs w:val="16"/>
        </w:rPr>
        <w:t xml:space="preserve">: 31 (1977); </w:t>
      </w:r>
      <w:r w:rsidRPr="00125962">
        <w:rPr>
          <w:i/>
          <w:iCs/>
          <w:szCs w:val="16"/>
        </w:rPr>
        <w:t>Astrophysical Journal</w:t>
      </w:r>
      <w:r w:rsidRPr="00125962">
        <w:rPr>
          <w:szCs w:val="16"/>
        </w:rPr>
        <w:t xml:space="preserve"> </w:t>
      </w:r>
      <w:r w:rsidRPr="00125962">
        <w:rPr>
          <w:b/>
          <w:bCs/>
          <w:szCs w:val="16"/>
        </w:rPr>
        <w:t>382</w:t>
      </w:r>
      <w:r w:rsidRPr="00125962">
        <w:rPr>
          <w:szCs w:val="16"/>
        </w:rPr>
        <w:t>: 396 (1991).</w:t>
      </w:r>
      <w:proofErr w:type="gramEnd"/>
    </w:p>
    <w:p w:rsidR="00416D75" w:rsidRPr="00125962" w:rsidRDefault="00416D75" w:rsidP="00416D75">
      <w:pPr>
        <w:pStyle w:val="reference"/>
        <w:ind w:left="446" w:hanging="446"/>
        <w:jc w:val="left"/>
        <w:rPr>
          <w:szCs w:val="16"/>
        </w:rPr>
      </w:pPr>
      <w:r w:rsidRPr="00125962">
        <w:rPr>
          <w:szCs w:val="16"/>
        </w:rPr>
        <w:t>[79]</w:t>
      </w:r>
      <w:r w:rsidRPr="00125962">
        <w:rPr>
          <w:szCs w:val="16"/>
        </w:rPr>
        <w:tab/>
        <w:t xml:space="preserve">H. Arp, </w:t>
      </w:r>
      <w:r w:rsidRPr="00125962">
        <w:rPr>
          <w:i/>
          <w:iCs/>
          <w:szCs w:val="16"/>
        </w:rPr>
        <w:t>Quasars, Redshifts and Controversies</w:t>
      </w:r>
      <w:r w:rsidRPr="00125962">
        <w:rPr>
          <w:szCs w:val="16"/>
        </w:rPr>
        <w:t xml:space="preserve">, p. 112 (Interstellar Media, Berkeley, CA, 1987); </w:t>
      </w:r>
      <w:r w:rsidRPr="00125962">
        <w:rPr>
          <w:i/>
          <w:iCs/>
          <w:szCs w:val="16"/>
        </w:rPr>
        <w:t>Seeing Red: Redshifts, Cosmology and Academic Science</w:t>
      </w:r>
      <w:r w:rsidRPr="00125962">
        <w:rPr>
          <w:i/>
          <w:szCs w:val="16"/>
        </w:rPr>
        <w:t xml:space="preserve">, </w:t>
      </w:r>
      <w:r w:rsidRPr="00125962">
        <w:rPr>
          <w:szCs w:val="16"/>
        </w:rPr>
        <w:t>p. 199 (Apeiron, Montreal, Canada, 1998).</w:t>
      </w:r>
    </w:p>
    <w:p w:rsidR="00416D75" w:rsidRPr="00125962" w:rsidRDefault="00416D75" w:rsidP="00416D75">
      <w:pPr>
        <w:pStyle w:val="reference"/>
        <w:ind w:left="446" w:hanging="446"/>
        <w:jc w:val="left"/>
        <w:rPr>
          <w:szCs w:val="16"/>
        </w:rPr>
      </w:pPr>
      <w:r w:rsidRPr="00125962">
        <w:rPr>
          <w:szCs w:val="16"/>
        </w:rPr>
        <w:t>[80]</w:t>
      </w:r>
      <w:r w:rsidRPr="00125962">
        <w:rPr>
          <w:szCs w:val="16"/>
        </w:rPr>
        <w:tab/>
        <w:t xml:space="preserve">P. F. Schewe &amp; B. Stein, American Institute Physics, </w:t>
      </w:r>
      <w:r w:rsidRPr="00125962">
        <w:rPr>
          <w:i/>
          <w:iCs/>
          <w:szCs w:val="16"/>
        </w:rPr>
        <w:t xml:space="preserve">Physics News Update, </w:t>
      </w:r>
      <w:r w:rsidRPr="00125962">
        <w:rPr>
          <w:szCs w:val="16"/>
        </w:rPr>
        <w:t>No. 61 (3 Jan 1992); No. 104 (25 Nov 1992).</w:t>
      </w:r>
    </w:p>
    <w:p w:rsidR="00416D75" w:rsidRPr="00125962" w:rsidRDefault="00416D75" w:rsidP="00416D75">
      <w:pPr>
        <w:pStyle w:val="reference"/>
        <w:ind w:left="446" w:hanging="446"/>
        <w:jc w:val="left"/>
        <w:rPr>
          <w:szCs w:val="16"/>
        </w:rPr>
      </w:pPr>
      <w:r w:rsidRPr="00125962">
        <w:rPr>
          <w:szCs w:val="16"/>
        </w:rPr>
        <w:t>[81]</w:t>
      </w:r>
      <w:r w:rsidRPr="00125962">
        <w:rPr>
          <w:szCs w:val="16"/>
        </w:rPr>
        <w:tab/>
        <w:t xml:space="preserve">News Editor, </w:t>
      </w:r>
      <w:r w:rsidRPr="00125962">
        <w:rPr>
          <w:i/>
          <w:iCs/>
          <w:szCs w:val="16"/>
        </w:rPr>
        <w:t>Scientific American</w:t>
      </w:r>
      <w:r w:rsidRPr="00125962">
        <w:rPr>
          <w:szCs w:val="16"/>
        </w:rPr>
        <w:t xml:space="preserve"> (Dec 1992).</w:t>
      </w:r>
    </w:p>
    <w:p w:rsidR="00416D75" w:rsidRPr="00125962" w:rsidRDefault="00416D75" w:rsidP="00416D75">
      <w:pPr>
        <w:pStyle w:val="reference"/>
        <w:ind w:left="446" w:hanging="446"/>
        <w:jc w:val="left"/>
        <w:rPr>
          <w:szCs w:val="16"/>
        </w:rPr>
      </w:pPr>
      <w:r w:rsidRPr="00125962">
        <w:rPr>
          <w:szCs w:val="16"/>
        </w:rPr>
        <w:t>[82]</w:t>
      </w:r>
      <w:r w:rsidRPr="00125962">
        <w:rPr>
          <w:szCs w:val="16"/>
        </w:rPr>
        <w:tab/>
        <w:t xml:space="preserve">J. Gribbin, </w:t>
      </w:r>
      <w:r w:rsidRPr="00125962">
        <w:rPr>
          <w:i/>
          <w:iCs/>
          <w:szCs w:val="16"/>
        </w:rPr>
        <w:t>New Scientist</w:t>
      </w:r>
      <w:r w:rsidRPr="00125962">
        <w:rPr>
          <w:szCs w:val="16"/>
        </w:rPr>
        <w:t>, p. 17 (9 Jul 1994)</w:t>
      </w:r>
    </w:p>
    <w:p w:rsidR="00416D75" w:rsidRPr="00125962" w:rsidRDefault="00416D75" w:rsidP="00416D75">
      <w:pPr>
        <w:pStyle w:val="reference"/>
        <w:ind w:left="446" w:hanging="446"/>
        <w:jc w:val="left"/>
        <w:rPr>
          <w:szCs w:val="16"/>
        </w:rPr>
      </w:pPr>
      <w:r w:rsidRPr="00125962">
        <w:rPr>
          <w:szCs w:val="16"/>
        </w:rPr>
        <w:t>[83]</w:t>
      </w:r>
      <w:r w:rsidRPr="00125962">
        <w:rPr>
          <w:szCs w:val="16"/>
        </w:rPr>
        <w:tab/>
        <w:t xml:space="preserve">A. L. Peratt, </w:t>
      </w:r>
      <w:r w:rsidRPr="00125962">
        <w:rPr>
          <w:i/>
          <w:szCs w:val="16"/>
        </w:rPr>
        <w:t>IEEE Transactions on Plasma Science</w:t>
      </w:r>
      <w:r w:rsidRPr="00125962">
        <w:rPr>
          <w:szCs w:val="16"/>
        </w:rPr>
        <w:t xml:space="preserve"> </w:t>
      </w:r>
      <w:r w:rsidRPr="00125962">
        <w:rPr>
          <w:b/>
          <w:szCs w:val="16"/>
        </w:rPr>
        <w:t>PS-14</w:t>
      </w:r>
      <w:r w:rsidRPr="00125962">
        <w:rPr>
          <w:szCs w:val="16"/>
        </w:rPr>
        <w:t xml:space="preserve"> (6): 763-778 (Dec 1986).</w:t>
      </w:r>
    </w:p>
    <w:p w:rsidR="00416D75" w:rsidRPr="00125962" w:rsidRDefault="00416D75" w:rsidP="00416D75">
      <w:pPr>
        <w:pStyle w:val="reference"/>
        <w:ind w:left="446" w:hanging="446"/>
        <w:jc w:val="left"/>
        <w:rPr>
          <w:szCs w:val="16"/>
        </w:rPr>
      </w:pPr>
      <w:r w:rsidRPr="00125962">
        <w:rPr>
          <w:szCs w:val="16"/>
        </w:rPr>
        <w:t>[84]</w:t>
      </w:r>
      <w:r w:rsidRPr="00125962">
        <w:rPr>
          <w:szCs w:val="16"/>
        </w:rPr>
        <w:tab/>
        <w:t>A. L. Peratt,</w:t>
      </w:r>
      <w:r w:rsidRPr="00125962">
        <w:rPr>
          <w:i/>
          <w:szCs w:val="16"/>
        </w:rPr>
        <w:t xml:space="preserve"> Physics of the Plasma Universe</w:t>
      </w:r>
      <w:r w:rsidRPr="00125962">
        <w:rPr>
          <w:szCs w:val="16"/>
        </w:rPr>
        <w:t>, Chap. 4, Section 4.6.3 (Springer-Verlag, 1992).</w:t>
      </w:r>
    </w:p>
    <w:p w:rsidR="00416D75" w:rsidRPr="00125962" w:rsidRDefault="00416D75" w:rsidP="00416D75">
      <w:pPr>
        <w:pStyle w:val="reference"/>
        <w:ind w:left="446" w:hanging="446"/>
        <w:jc w:val="left"/>
        <w:rPr>
          <w:szCs w:val="16"/>
        </w:rPr>
      </w:pPr>
      <w:r w:rsidRPr="00125962">
        <w:rPr>
          <w:szCs w:val="16"/>
        </w:rPr>
        <w:t>[85]</w:t>
      </w:r>
      <w:r w:rsidRPr="00125962">
        <w:rPr>
          <w:szCs w:val="16"/>
        </w:rPr>
        <w:tab/>
        <w:t xml:space="preserve">B. J. Setterfield, “A Plasma Universe </w:t>
      </w:r>
      <w:proofErr w:type="gramStart"/>
      <w:r w:rsidRPr="00125962">
        <w:rPr>
          <w:szCs w:val="16"/>
        </w:rPr>
        <w:t>With</w:t>
      </w:r>
      <w:proofErr w:type="gramEnd"/>
      <w:r w:rsidRPr="00125962">
        <w:rPr>
          <w:szCs w:val="16"/>
        </w:rPr>
        <w:t xml:space="preserve"> Changing Zero Point Energy”, </w:t>
      </w:r>
      <w:r w:rsidRPr="00125962">
        <w:rPr>
          <w:i/>
          <w:szCs w:val="16"/>
        </w:rPr>
        <w:t>Proceedings of the NPA</w:t>
      </w:r>
      <w:r w:rsidRPr="00125962">
        <w:rPr>
          <w:szCs w:val="16"/>
        </w:rPr>
        <w:t xml:space="preserve"> </w:t>
      </w:r>
      <w:r w:rsidRPr="00125962">
        <w:rPr>
          <w:b/>
          <w:szCs w:val="16"/>
        </w:rPr>
        <w:t>8</w:t>
      </w:r>
      <w:r w:rsidRPr="00125962">
        <w:rPr>
          <w:szCs w:val="16"/>
        </w:rPr>
        <w:t xml:space="preserve">: 535-544 (2011); also “Reviewing a Plasma Universe with Zero Point Energy”, </w:t>
      </w:r>
      <w:r w:rsidRPr="00125962">
        <w:rPr>
          <w:i/>
          <w:szCs w:val="16"/>
        </w:rPr>
        <w:t>Journal of Vectorial Relativity</w:t>
      </w:r>
      <w:r w:rsidRPr="00125962">
        <w:rPr>
          <w:b/>
          <w:szCs w:val="16"/>
        </w:rPr>
        <w:t xml:space="preserve"> 3</w:t>
      </w:r>
      <w:r w:rsidRPr="00125962">
        <w:rPr>
          <w:szCs w:val="16"/>
        </w:rPr>
        <w:t xml:space="preserve"> (3): 1-29 (Sep 2008).</w:t>
      </w:r>
    </w:p>
    <w:p w:rsidR="00416D75" w:rsidRPr="00125962" w:rsidRDefault="00416D75" w:rsidP="00416D75">
      <w:pPr>
        <w:pStyle w:val="reference"/>
        <w:ind w:left="446" w:hanging="446"/>
        <w:jc w:val="left"/>
        <w:rPr>
          <w:szCs w:val="16"/>
        </w:rPr>
      </w:pPr>
      <w:proofErr w:type="gramStart"/>
      <w:r w:rsidRPr="00125962">
        <w:rPr>
          <w:szCs w:val="16"/>
        </w:rPr>
        <w:t>[86]</w:t>
      </w:r>
      <w:r w:rsidRPr="00125962">
        <w:rPr>
          <w:szCs w:val="16"/>
        </w:rPr>
        <w:tab/>
        <w:t>J. Malmivuo, R. Plonsey</w:t>
      </w:r>
      <w:r w:rsidRPr="00125962">
        <w:rPr>
          <w:b/>
          <w:i/>
          <w:szCs w:val="16"/>
        </w:rPr>
        <w:t xml:space="preserve">, </w:t>
      </w:r>
      <w:r w:rsidRPr="00125962">
        <w:rPr>
          <w:i/>
          <w:szCs w:val="16"/>
        </w:rPr>
        <w:t>Bioelectromagnetism</w:t>
      </w:r>
      <w:r w:rsidRPr="00125962">
        <w:rPr>
          <w:szCs w:val="16"/>
        </w:rPr>
        <w:t>, pp. 33, 39, 42 (Oxford University Press, New York, 1995).</w:t>
      </w:r>
      <w:proofErr w:type="gramEnd"/>
    </w:p>
    <w:p w:rsidR="00416D75" w:rsidRPr="00125962" w:rsidRDefault="00416D75" w:rsidP="00416D75">
      <w:pPr>
        <w:pStyle w:val="reference"/>
        <w:ind w:left="446" w:hanging="446"/>
        <w:jc w:val="left"/>
        <w:rPr>
          <w:szCs w:val="16"/>
        </w:rPr>
      </w:pPr>
      <w:proofErr w:type="gramStart"/>
      <w:r w:rsidRPr="00125962">
        <w:rPr>
          <w:szCs w:val="16"/>
        </w:rPr>
        <w:t>[87]</w:t>
      </w:r>
      <w:r w:rsidRPr="00125962">
        <w:rPr>
          <w:szCs w:val="16"/>
        </w:rPr>
        <w:tab/>
        <w:t xml:space="preserve">B. J. Setterfield, “Zero Point Energy and Gigantism in Fossils”, </w:t>
      </w:r>
      <w:r w:rsidRPr="00125962">
        <w:rPr>
          <w:i/>
          <w:szCs w:val="16"/>
        </w:rPr>
        <w:t xml:space="preserve">Proceedings of the NPA </w:t>
      </w:r>
      <w:r w:rsidRPr="00125962">
        <w:rPr>
          <w:b/>
          <w:szCs w:val="16"/>
        </w:rPr>
        <w:t>8</w:t>
      </w:r>
      <w:r w:rsidRPr="00125962">
        <w:rPr>
          <w:szCs w:val="16"/>
        </w:rPr>
        <w:t>: 545-554 (2011).</w:t>
      </w:r>
      <w:proofErr w:type="gramEnd"/>
    </w:p>
    <w:p w:rsidR="00416D75" w:rsidRPr="00125962" w:rsidRDefault="00416D75" w:rsidP="00416D75">
      <w:pPr>
        <w:pStyle w:val="reference"/>
        <w:ind w:left="446" w:hanging="446"/>
        <w:jc w:val="left"/>
        <w:rPr>
          <w:szCs w:val="16"/>
        </w:rPr>
      </w:pPr>
      <w:r w:rsidRPr="00125962">
        <w:rPr>
          <w:szCs w:val="16"/>
        </w:rPr>
        <w:t>[88]</w:t>
      </w:r>
      <w:r w:rsidRPr="00125962">
        <w:rPr>
          <w:szCs w:val="16"/>
        </w:rPr>
        <w:tab/>
        <w:t xml:space="preserve">T. H. Boyer, </w:t>
      </w:r>
      <w:r w:rsidRPr="00125962">
        <w:rPr>
          <w:i/>
          <w:szCs w:val="16"/>
        </w:rPr>
        <w:t>Scientific American</w:t>
      </w:r>
      <w:r w:rsidRPr="00125962">
        <w:rPr>
          <w:szCs w:val="16"/>
        </w:rPr>
        <w:t>, pp. 70-78 (Aug 1985).</w:t>
      </w:r>
    </w:p>
    <w:p w:rsidR="00416D75" w:rsidRPr="00125962" w:rsidRDefault="00416D75" w:rsidP="00416D75">
      <w:pPr>
        <w:pStyle w:val="reference"/>
        <w:ind w:left="446" w:hanging="446"/>
        <w:jc w:val="left"/>
        <w:rPr>
          <w:szCs w:val="16"/>
        </w:rPr>
      </w:pPr>
      <w:r w:rsidRPr="00125962">
        <w:rPr>
          <w:szCs w:val="16"/>
        </w:rPr>
        <w:t>[89]</w:t>
      </w:r>
      <w:r w:rsidRPr="00125962">
        <w:rPr>
          <w:szCs w:val="16"/>
        </w:rPr>
        <w:tab/>
        <w:t xml:space="preserve">B. J. Setterfield, “General Relativity and the Zero Point Energy,” </w:t>
      </w:r>
      <w:r w:rsidRPr="00125962">
        <w:rPr>
          <w:i/>
          <w:iCs/>
          <w:szCs w:val="16"/>
        </w:rPr>
        <w:t>Journal of Theoretics</w:t>
      </w:r>
      <w:r w:rsidRPr="00125962">
        <w:rPr>
          <w:szCs w:val="16"/>
        </w:rPr>
        <w:t>, extensive papers (15 Oct 2003).</w:t>
      </w:r>
    </w:p>
    <w:p w:rsidR="00416D75" w:rsidRPr="00125962" w:rsidRDefault="00416D75" w:rsidP="00416D75">
      <w:pPr>
        <w:pStyle w:val="reference"/>
        <w:ind w:left="446" w:hanging="446"/>
        <w:jc w:val="left"/>
        <w:rPr>
          <w:szCs w:val="16"/>
        </w:rPr>
      </w:pPr>
      <w:proofErr w:type="gramStart"/>
      <w:r w:rsidRPr="00125962">
        <w:rPr>
          <w:szCs w:val="16"/>
        </w:rPr>
        <w:t>[90]</w:t>
      </w:r>
      <w:r w:rsidRPr="00125962">
        <w:rPr>
          <w:szCs w:val="16"/>
        </w:rPr>
        <w:tab/>
        <w:t xml:space="preserve">A. Eddington, </w:t>
      </w:r>
      <w:r w:rsidRPr="00125962">
        <w:rPr>
          <w:i/>
          <w:szCs w:val="16"/>
        </w:rPr>
        <w:t>Space, Time and Gravitation</w:t>
      </w:r>
      <w:r w:rsidRPr="00125962">
        <w:rPr>
          <w:szCs w:val="16"/>
        </w:rPr>
        <w:t>, p. 109 (Cambridge University Press, reprint 1987).</w:t>
      </w:r>
      <w:proofErr w:type="gramEnd"/>
    </w:p>
    <w:p w:rsidR="00416D75" w:rsidRPr="00125962" w:rsidRDefault="00416D75" w:rsidP="00416D75">
      <w:pPr>
        <w:pStyle w:val="reference"/>
        <w:ind w:left="446" w:hanging="446"/>
        <w:jc w:val="left"/>
        <w:rPr>
          <w:szCs w:val="16"/>
        </w:rPr>
      </w:pPr>
      <w:r w:rsidRPr="00125962">
        <w:rPr>
          <w:szCs w:val="16"/>
        </w:rPr>
        <w:t>[91]</w:t>
      </w:r>
      <w:r w:rsidRPr="00125962">
        <w:rPr>
          <w:szCs w:val="16"/>
        </w:rPr>
        <w:tab/>
        <w:t xml:space="preserve">M. Harwit, </w:t>
      </w:r>
      <w:r w:rsidRPr="00125962">
        <w:rPr>
          <w:i/>
          <w:szCs w:val="16"/>
        </w:rPr>
        <w:t>Astrophysical Concepts</w:t>
      </w:r>
      <w:r w:rsidRPr="00125962">
        <w:rPr>
          <w:szCs w:val="16"/>
        </w:rPr>
        <w:t>, p. 178 (Springer-Verlag, 1988).</w:t>
      </w:r>
    </w:p>
    <w:p w:rsidR="00416D75" w:rsidRPr="00125962" w:rsidRDefault="00416D75" w:rsidP="00416D75">
      <w:pPr>
        <w:pStyle w:val="reference"/>
        <w:ind w:left="446" w:hanging="446"/>
        <w:jc w:val="left"/>
        <w:rPr>
          <w:szCs w:val="16"/>
        </w:rPr>
      </w:pPr>
      <w:proofErr w:type="gramStart"/>
      <w:r w:rsidRPr="00125962">
        <w:rPr>
          <w:szCs w:val="16"/>
        </w:rPr>
        <w:t>[92]</w:t>
      </w:r>
      <w:r w:rsidRPr="00125962">
        <w:rPr>
          <w:szCs w:val="16"/>
        </w:rPr>
        <w:tab/>
        <w:t xml:space="preserve">T. Van Flandern, in M. R. Edwards, Ed., </w:t>
      </w:r>
      <w:r w:rsidRPr="00125962">
        <w:rPr>
          <w:i/>
          <w:szCs w:val="16"/>
        </w:rPr>
        <w:t>Pushing Gravity</w:t>
      </w:r>
      <w:r w:rsidRPr="00125962">
        <w:rPr>
          <w:szCs w:val="16"/>
        </w:rPr>
        <w:t>, p. 94 (Apeiron, 2002).</w:t>
      </w:r>
      <w:proofErr w:type="gramEnd"/>
    </w:p>
    <w:p w:rsidR="00416D75" w:rsidRPr="00125962" w:rsidRDefault="00416D75" w:rsidP="00416D75">
      <w:pPr>
        <w:pStyle w:val="reference"/>
        <w:ind w:left="446" w:hanging="446"/>
        <w:jc w:val="left"/>
        <w:rPr>
          <w:szCs w:val="16"/>
        </w:rPr>
      </w:pPr>
      <w:r w:rsidRPr="00125962">
        <w:rPr>
          <w:szCs w:val="16"/>
        </w:rPr>
        <w:t>[93]</w:t>
      </w:r>
      <w:r w:rsidRPr="00125962">
        <w:rPr>
          <w:szCs w:val="16"/>
        </w:rPr>
        <w:tab/>
        <w:t xml:space="preserve">California Institute for Physics and Astrophysics, Questions and Answers, </w:t>
      </w:r>
      <w:hyperlink r:id="rId1229" w:history="1">
        <w:r w:rsidRPr="00125962">
          <w:rPr>
            <w:rStyle w:val="Hyperlink"/>
            <w:i/>
            <w:szCs w:val="16"/>
          </w:rPr>
          <w:t>http://www.calphysics.org/questions.html</w:t>
        </w:r>
      </w:hyperlink>
      <w:r w:rsidRPr="00125962">
        <w:rPr>
          <w:szCs w:val="16"/>
        </w:rPr>
        <w:t xml:space="preserve"> ;</w:t>
      </w:r>
    </w:p>
    <w:p w:rsidR="00416D75" w:rsidRPr="00125962" w:rsidRDefault="00416D75" w:rsidP="00416D75">
      <w:pPr>
        <w:pStyle w:val="reference"/>
        <w:ind w:left="446" w:hanging="446"/>
        <w:jc w:val="left"/>
        <w:rPr>
          <w:szCs w:val="16"/>
        </w:rPr>
      </w:pPr>
      <w:r w:rsidRPr="00125962">
        <w:rPr>
          <w:szCs w:val="16"/>
        </w:rPr>
        <w:t xml:space="preserve">            Y. Dobyns, A. Rueda, B. Haisch, </w:t>
      </w:r>
      <w:r w:rsidRPr="00125962">
        <w:rPr>
          <w:i/>
          <w:iCs/>
          <w:szCs w:val="16"/>
        </w:rPr>
        <w:t xml:space="preserve">Found. Phys. </w:t>
      </w:r>
      <w:r w:rsidRPr="00125962">
        <w:rPr>
          <w:b/>
          <w:bCs/>
          <w:szCs w:val="16"/>
        </w:rPr>
        <w:t xml:space="preserve">30 </w:t>
      </w:r>
      <w:r w:rsidRPr="00125962">
        <w:rPr>
          <w:szCs w:val="16"/>
        </w:rPr>
        <w:t>(1): 59 (2000).</w:t>
      </w:r>
    </w:p>
    <w:p w:rsidR="00416D75" w:rsidRPr="00125962" w:rsidRDefault="00416D75" w:rsidP="00416D75">
      <w:pPr>
        <w:pStyle w:val="reference"/>
        <w:ind w:left="446" w:hanging="446"/>
        <w:jc w:val="left"/>
        <w:rPr>
          <w:szCs w:val="16"/>
        </w:rPr>
      </w:pPr>
      <w:r w:rsidRPr="00125962">
        <w:rPr>
          <w:szCs w:val="16"/>
        </w:rPr>
        <w:t>[94]</w:t>
      </w:r>
      <w:r w:rsidRPr="00125962">
        <w:rPr>
          <w:szCs w:val="16"/>
        </w:rPr>
        <w:tab/>
        <w:t xml:space="preserve">B. Haisch, A. Rueda, H. Puthoff, </w:t>
      </w:r>
      <w:r w:rsidRPr="00125962">
        <w:rPr>
          <w:i/>
          <w:szCs w:val="16"/>
        </w:rPr>
        <w:t>The Sciences</w:t>
      </w:r>
      <w:r w:rsidRPr="00125962">
        <w:rPr>
          <w:szCs w:val="16"/>
        </w:rPr>
        <w:t>, p.26ff (Nov-Dec 1994)</w:t>
      </w:r>
    </w:p>
    <w:p w:rsidR="00416D75" w:rsidRPr="00125962" w:rsidRDefault="00416D75" w:rsidP="00416D75">
      <w:pPr>
        <w:pStyle w:val="reference"/>
        <w:ind w:left="446" w:hanging="446"/>
        <w:jc w:val="left"/>
        <w:rPr>
          <w:szCs w:val="16"/>
        </w:rPr>
      </w:pPr>
      <w:r w:rsidRPr="00125962">
        <w:rPr>
          <w:szCs w:val="16"/>
        </w:rPr>
        <w:t>[95]</w:t>
      </w:r>
      <w:r w:rsidRPr="00125962">
        <w:rPr>
          <w:szCs w:val="16"/>
        </w:rPr>
        <w:tab/>
        <w:t xml:space="preserve">B. </w:t>
      </w:r>
      <w:proofErr w:type="gramStart"/>
      <w:r w:rsidRPr="00125962">
        <w:rPr>
          <w:szCs w:val="16"/>
        </w:rPr>
        <w:t>Haisch,</w:t>
      </w:r>
      <w:proofErr w:type="gramEnd"/>
      <w:r w:rsidRPr="00125962">
        <w:rPr>
          <w:szCs w:val="16"/>
        </w:rPr>
        <w:t xml:space="preserve"> quoted in </w:t>
      </w:r>
      <w:r w:rsidRPr="00125962">
        <w:rPr>
          <w:i/>
          <w:szCs w:val="16"/>
        </w:rPr>
        <w:t>New Scientist</w:t>
      </w:r>
      <w:r w:rsidRPr="00125962">
        <w:rPr>
          <w:szCs w:val="16"/>
        </w:rPr>
        <w:t>, pp. 22-25 (3 Feb 2001).</w:t>
      </w:r>
    </w:p>
    <w:p w:rsidR="00416D75" w:rsidRPr="00125962" w:rsidRDefault="00416D75" w:rsidP="00416D75">
      <w:pPr>
        <w:pStyle w:val="reference"/>
        <w:ind w:left="446" w:hanging="446"/>
        <w:jc w:val="left"/>
        <w:rPr>
          <w:szCs w:val="16"/>
        </w:rPr>
      </w:pPr>
      <w:r w:rsidRPr="00125962">
        <w:rPr>
          <w:szCs w:val="16"/>
        </w:rPr>
        <w:t>[96]</w:t>
      </w:r>
      <w:r w:rsidRPr="00125962">
        <w:rPr>
          <w:szCs w:val="16"/>
        </w:rPr>
        <w:tab/>
        <w:t xml:space="preserve">P. E. Anderson, “Electric Scarring of the Earth’s Surface”, </w:t>
      </w:r>
      <w:r w:rsidRPr="00125962">
        <w:rPr>
          <w:i/>
          <w:szCs w:val="16"/>
        </w:rPr>
        <w:t>Proceedings of the NPA</w:t>
      </w:r>
      <w:r w:rsidRPr="00125962">
        <w:rPr>
          <w:szCs w:val="16"/>
        </w:rPr>
        <w:t xml:space="preserve"> </w:t>
      </w:r>
      <w:r w:rsidRPr="00125962">
        <w:rPr>
          <w:b/>
          <w:szCs w:val="16"/>
        </w:rPr>
        <w:t>9</w:t>
      </w:r>
      <w:r w:rsidRPr="00125962">
        <w:rPr>
          <w:szCs w:val="16"/>
        </w:rPr>
        <w:t>: (July 2012).</w:t>
      </w:r>
    </w:p>
    <w:p w:rsidR="00416D75" w:rsidRPr="00125962" w:rsidRDefault="00416D75" w:rsidP="00416D75">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Figure References </w:t>
      </w:r>
      <w:r w:rsidRPr="00125962">
        <w:rPr>
          <w:rFonts w:ascii="Book Antiqua" w:hAnsi="Book Antiqua" w:cs="Times New Roman"/>
          <w:b w:val="0"/>
          <w:i/>
          <w:sz w:val="20"/>
          <w:szCs w:val="20"/>
        </w:rPr>
        <w:t>– All URL’s retrieved 9/13/12</w:t>
      </w:r>
    </w:p>
    <w:p w:rsidR="00416D75" w:rsidRPr="00125962" w:rsidRDefault="00416D75" w:rsidP="00416D75">
      <w:pPr>
        <w:pStyle w:val="reference"/>
        <w:ind w:left="446" w:hanging="446"/>
        <w:jc w:val="left"/>
        <w:rPr>
          <w:i/>
          <w:color w:val="000000"/>
          <w:szCs w:val="16"/>
        </w:rPr>
      </w:pPr>
      <w:r w:rsidRPr="00125962">
        <w:rPr>
          <w:color w:val="000000"/>
          <w:szCs w:val="16"/>
        </w:rPr>
        <w:t xml:space="preserve">Photograph of Noah Ernest Dorsey:  </w:t>
      </w:r>
      <w:hyperlink r:id="rId1230" w:history="1">
        <w:r w:rsidRPr="00125962">
          <w:rPr>
            <w:rStyle w:val="Hyperlink"/>
            <w:i/>
            <w:szCs w:val="16"/>
          </w:rPr>
          <w:t>http://www.nist.gov/pml/general/curie/dorsey.cfm</w:t>
        </w:r>
      </w:hyperlink>
    </w:p>
    <w:p w:rsidR="00416D75" w:rsidRPr="00125962" w:rsidRDefault="00416D75" w:rsidP="00416D75">
      <w:pPr>
        <w:pStyle w:val="reference"/>
        <w:ind w:left="446" w:hanging="446"/>
        <w:jc w:val="left"/>
        <w:rPr>
          <w:i/>
          <w:color w:val="000000"/>
          <w:szCs w:val="16"/>
        </w:rPr>
      </w:pPr>
      <w:r w:rsidRPr="00125962">
        <w:rPr>
          <w:color w:val="000000"/>
          <w:szCs w:val="16"/>
        </w:rPr>
        <w:t xml:space="preserve">Photograph of Raymond Thayer Birge: </w:t>
      </w:r>
      <w:hyperlink r:id="rId1231" w:history="1">
        <w:r w:rsidRPr="00125962">
          <w:rPr>
            <w:rStyle w:val="Hyperlink"/>
            <w:i/>
            <w:szCs w:val="16"/>
          </w:rPr>
          <w:t>http://bancroft.berkeley.edu/Exhibits/physics/learning01.html</w:t>
        </w:r>
      </w:hyperlink>
    </w:p>
    <w:p w:rsidR="00416D75" w:rsidRPr="00125962" w:rsidRDefault="00416D75" w:rsidP="00416D75">
      <w:pPr>
        <w:pStyle w:val="reference"/>
        <w:ind w:left="446" w:hanging="446"/>
        <w:jc w:val="left"/>
        <w:rPr>
          <w:i/>
          <w:szCs w:val="16"/>
        </w:rPr>
      </w:pPr>
      <w:r w:rsidRPr="00125962">
        <w:rPr>
          <w:color w:val="000000"/>
          <w:szCs w:val="16"/>
        </w:rPr>
        <w:t>Figure 9: Guthrie and Napier’s quantized redshifts in the direction of Virgo cluster.</w:t>
      </w:r>
      <w:r>
        <w:rPr>
          <w:color w:val="000000"/>
          <w:szCs w:val="16"/>
        </w:rPr>
        <w:t xml:space="preserve"> </w:t>
      </w:r>
      <w:hyperlink r:id="rId1232" w:history="1">
        <w:r w:rsidRPr="00125962">
          <w:rPr>
            <w:rStyle w:val="Hyperlink"/>
            <w:i/>
            <w:szCs w:val="16"/>
          </w:rPr>
          <w:t>http://www.setterfield.org/Kiel_Presentation.html</w:t>
        </w:r>
      </w:hyperlink>
    </w:p>
    <w:p w:rsidR="00C15298" w:rsidRDefault="00416D75" w:rsidP="00416D75">
      <w:pPr>
        <w:pStyle w:val="reference"/>
        <w:ind w:left="446" w:hanging="446"/>
        <w:jc w:val="left"/>
        <w:rPr>
          <w:color w:val="000000"/>
          <w:szCs w:val="16"/>
        </w:rPr>
      </w:pPr>
      <w:r w:rsidRPr="00125962">
        <w:rPr>
          <w:color w:val="000000"/>
          <w:szCs w:val="16"/>
        </w:rPr>
        <w:t>Figure 11: Peratt’s production of galaxies from plasma filaments.</w:t>
      </w:r>
      <w:r w:rsidR="00C15298">
        <w:rPr>
          <w:color w:val="000000"/>
          <w:szCs w:val="16"/>
        </w:rPr>
        <w:t xml:space="preserve"> </w:t>
      </w:r>
    </w:p>
    <w:p w:rsidR="00416D75" w:rsidRPr="00125962" w:rsidRDefault="00241D2F" w:rsidP="00416D75">
      <w:pPr>
        <w:pStyle w:val="reference"/>
        <w:ind w:left="446" w:hanging="446"/>
        <w:jc w:val="left"/>
        <w:rPr>
          <w:i/>
          <w:color w:val="000000"/>
          <w:szCs w:val="16"/>
        </w:rPr>
      </w:pPr>
      <w:hyperlink r:id="rId1233" w:history="1">
        <w:r w:rsidR="00416D75" w:rsidRPr="00125962">
          <w:rPr>
            <w:rStyle w:val="Hyperlink"/>
            <w:i/>
            <w:szCs w:val="16"/>
          </w:rPr>
          <w:t>http://www.thunderbolts.info/wp/2011/12/05/considering-the-electric-sun-part-1/perattsimulations_1/</w:t>
        </w:r>
      </w:hyperlink>
    </w:p>
    <w:p w:rsidR="00416D75" w:rsidRPr="00125962" w:rsidRDefault="00416D75" w:rsidP="00416D75">
      <w:pPr>
        <w:pStyle w:val="reference"/>
        <w:ind w:left="446" w:hanging="446"/>
        <w:jc w:val="left"/>
        <w:rPr>
          <w:i/>
          <w:szCs w:val="16"/>
        </w:rPr>
      </w:pPr>
      <w:r w:rsidRPr="00125962">
        <w:rPr>
          <w:color w:val="000000"/>
          <w:szCs w:val="16"/>
        </w:rPr>
        <w:t xml:space="preserve">Figure 12: Typical nerve cell or neuron. </w:t>
      </w:r>
      <w:hyperlink r:id="rId1234" w:history="1">
        <w:r w:rsidRPr="00125962">
          <w:rPr>
            <w:rStyle w:val="Hyperlink"/>
            <w:i/>
            <w:szCs w:val="16"/>
          </w:rPr>
          <w:t>http://www.web-books.com/eLibrary/Medicine/Physiology/Nervous/Nervous.htm</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 xml:space="preserve">Photographs of Michelson and Morley: </w:t>
      </w:r>
      <w:hyperlink r:id="rId1235" w:history="1">
        <w:r w:rsidRPr="00125962">
          <w:rPr>
            <w:rStyle w:val="Hyperlink"/>
            <w:rFonts w:ascii="Book Antiqua" w:hAnsi="Book Antiqua"/>
            <w:i/>
            <w:szCs w:val="16"/>
          </w:rPr>
          <w:t>http://www.mystica.gr/philex_3.htm</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Photograph of Bernard Haisch:</w:t>
      </w:r>
      <w:r w:rsidR="004A4795">
        <w:rPr>
          <w:rFonts w:ascii="Book Antiqua" w:hAnsi="Book Antiqua"/>
          <w:sz w:val="16"/>
          <w:szCs w:val="16"/>
        </w:rPr>
        <w:t xml:space="preserve"> </w:t>
      </w:r>
      <w:hyperlink r:id="rId1236" w:history="1">
        <w:r w:rsidRPr="00125962">
          <w:rPr>
            <w:rStyle w:val="Hyperlink"/>
            <w:rFonts w:ascii="Book Antiqua" w:hAnsi="Book Antiqua"/>
            <w:i/>
            <w:szCs w:val="16"/>
          </w:rPr>
          <w:t>http://www.newdimensions.org/program-archive/god-is-alive-and-well-in-the-cosmos-with-bernard-haisch/</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 xml:space="preserve">Photograph of Harold E. Puthoff: </w:t>
      </w:r>
      <w:hyperlink r:id="rId1237" w:history="1">
        <w:r w:rsidRPr="00125962">
          <w:rPr>
            <w:rStyle w:val="Hyperlink"/>
            <w:rFonts w:ascii="Book Antiqua" w:hAnsi="Book Antiqua"/>
            <w:i/>
            <w:szCs w:val="16"/>
          </w:rPr>
          <w:t>http://www.ebdir.net/enlighten/puthoff.html</w:t>
        </w:r>
      </w:hyperlink>
    </w:p>
    <w:p w:rsidR="00416D75" w:rsidRPr="00125962" w:rsidRDefault="00416D75" w:rsidP="00416D75">
      <w:pPr>
        <w:rPr>
          <w:rFonts w:ascii="Book Antiqua" w:hAnsi="Book Antiqua"/>
          <w:sz w:val="16"/>
          <w:szCs w:val="16"/>
        </w:rPr>
      </w:pPr>
    </w:p>
    <w:p w:rsidR="00416D75" w:rsidRDefault="00416D75" w:rsidP="00416D75">
      <w:pPr>
        <w:jc w:val="center"/>
        <w:rPr>
          <w:rFonts w:ascii="Book Antiqua" w:hAnsi="Book Antiqua"/>
          <w:b/>
          <w:sz w:val="28"/>
          <w:szCs w:val="28"/>
        </w:rPr>
      </w:pPr>
      <w:r w:rsidRPr="00D25417">
        <w:rPr>
          <w:rFonts w:ascii="Book Antiqua" w:hAnsi="Book Antiqua"/>
          <w:b/>
          <w:sz w:val="28"/>
          <w:szCs w:val="28"/>
        </w:rPr>
        <w:t>*  *  *  *  *  *  *</w:t>
      </w:r>
    </w:p>
    <w:p w:rsidR="003F4734" w:rsidRDefault="003F4734">
      <w:pPr>
        <w:widowControl/>
        <w:spacing w:after="200" w:line="276" w:lineRule="auto"/>
        <w:rPr>
          <w:rFonts w:ascii="Book Antiqua" w:hAnsi="Book Antiqua"/>
          <w:b/>
          <w:sz w:val="28"/>
          <w:szCs w:val="28"/>
        </w:rPr>
      </w:pPr>
      <w:r>
        <w:rPr>
          <w:rFonts w:ascii="Book Antiqua" w:hAnsi="Book Antiqua"/>
          <w:b/>
          <w:sz w:val="28"/>
          <w:szCs w:val="28"/>
        </w:rPr>
        <w:br w:type="page"/>
      </w:r>
    </w:p>
    <w:p w:rsidR="00BC1170" w:rsidRPr="00AB49F0" w:rsidRDefault="00BC1170" w:rsidP="00BC1170">
      <w:pPr>
        <w:pStyle w:val="NoSpacing"/>
        <w:jc w:val="center"/>
        <w:rPr>
          <w:rFonts w:ascii="Book Antiqua" w:hAnsi="Book Antiqua"/>
          <w:b/>
          <w:bCs/>
          <w:iCs/>
          <w:color w:val="000000"/>
          <w:szCs w:val="24"/>
        </w:rPr>
      </w:pPr>
      <w:r w:rsidRPr="00AB49F0">
        <w:rPr>
          <w:rFonts w:ascii="Book Antiqua" w:hAnsi="Book Antiqua"/>
          <w:b/>
          <w:bCs/>
          <w:iCs/>
          <w:color w:val="000000"/>
          <w:szCs w:val="24"/>
        </w:rPr>
        <w:lastRenderedPageBreak/>
        <w:t xml:space="preserve">Appendix A: </w:t>
      </w:r>
      <w:r w:rsidRPr="00AB49F0">
        <w:rPr>
          <w:rFonts w:ascii="Book Antiqua" w:hAnsi="Book Antiqua"/>
          <w:b/>
          <w:bCs/>
          <w:i/>
          <w:iCs/>
          <w:color w:val="000000"/>
          <w:szCs w:val="24"/>
        </w:rPr>
        <w:t>The ZPE and the redshift equation derivation</w:t>
      </w:r>
    </w:p>
    <w:p w:rsidR="00BC1170" w:rsidRPr="0005293A" w:rsidRDefault="00BC1170" w:rsidP="00BC1170">
      <w:pPr>
        <w:pStyle w:val="NoSpacing"/>
        <w:rPr>
          <w:rFonts w:ascii="Book Antiqua" w:hAnsi="Book Antiqua"/>
          <w:b/>
          <w:bCs/>
          <w:iCs/>
          <w:color w:val="000000"/>
          <w:sz w:val="20"/>
          <w:u w:val="single"/>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As discussed in Chapter 1, the initial rapid expansion of space gave rise to Planck Particle Pairs which resulted in the Zero Point Energy.  The ZPE then built in strength due to the ongoing turbulence and</w:t>
      </w:r>
      <w:r>
        <w:rPr>
          <w:rFonts w:ascii="Book Antiqua" w:hAnsi="Book Antiqua"/>
          <w:sz w:val="20"/>
        </w:rPr>
        <w:t xml:space="preserve"> continued to build, after the turbulence ceased, due to the</w:t>
      </w:r>
      <w:r w:rsidRPr="0005293A">
        <w:rPr>
          <w:rFonts w:ascii="Book Antiqua" w:hAnsi="Book Antiqua"/>
          <w:sz w:val="20"/>
        </w:rPr>
        <w:t xml:space="preserve"> recombination of the PPP.  The build-up of ZPE with time was shown to affect atomic orbits</w:t>
      </w:r>
      <w:r>
        <w:rPr>
          <w:rFonts w:ascii="Book Antiqua" w:hAnsi="Book Antiqua"/>
          <w:sz w:val="20"/>
        </w:rPr>
        <w:t>:</w:t>
      </w:r>
      <w:r w:rsidRPr="0005293A">
        <w:rPr>
          <w:rFonts w:ascii="Book Antiqua" w:hAnsi="Book Antiqua"/>
          <w:sz w:val="20"/>
        </w:rPr>
        <w:t xml:space="preserve"> </w:t>
      </w:r>
      <w:r>
        <w:rPr>
          <w:rFonts w:ascii="Book Antiqua" w:hAnsi="Book Antiqua"/>
          <w:sz w:val="20"/>
        </w:rPr>
        <w:t>a</w:t>
      </w:r>
      <w:r w:rsidRPr="0005293A">
        <w:rPr>
          <w:rFonts w:ascii="Book Antiqua" w:hAnsi="Book Antiqua"/>
          <w:sz w:val="20"/>
        </w:rPr>
        <w:t xml:space="preserve"> stronger ZPE meant that the energies of all atomic orbits increased in proportion with ZPE strength. As time </w:t>
      </w:r>
      <w:r>
        <w:rPr>
          <w:rFonts w:ascii="Book Antiqua" w:hAnsi="Book Antiqua"/>
          <w:sz w:val="20"/>
        </w:rPr>
        <w:t>progressed</w:t>
      </w:r>
      <w:r w:rsidRPr="0005293A">
        <w:rPr>
          <w:rFonts w:ascii="Book Antiqua" w:hAnsi="Book Antiqua"/>
          <w:sz w:val="20"/>
        </w:rPr>
        <w:t xml:space="preserve"> and atomic orbit energies increased, more energetic, or bluer, light was emitted from all atomic orbit transitions. Therefore, looking back in time, emitted light </w:t>
      </w:r>
      <w:r>
        <w:rPr>
          <w:rFonts w:ascii="Book Antiqua" w:hAnsi="Book Antiqua"/>
          <w:sz w:val="20"/>
        </w:rPr>
        <w:t>i</w:t>
      </w:r>
      <w:r w:rsidRPr="0005293A">
        <w:rPr>
          <w:rFonts w:ascii="Book Antiqua" w:hAnsi="Book Antiqua"/>
          <w:sz w:val="20"/>
        </w:rPr>
        <w:t xml:space="preserve">s redder. </w:t>
      </w:r>
      <w:r>
        <w:rPr>
          <w:rFonts w:ascii="Book Antiqua" w:hAnsi="Book Antiqua"/>
          <w:sz w:val="20"/>
        </w:rPr>
        <w:t xml:space="preserve"> This means t</w:t>
      </w:r>
      <w:r w:rsidRPr="0005293A">
        <w:rPr>
          <w:rFonts w:ascii="Book Antiqua" w:hAnsi="Book Antiqua"/>
          <w:sz w:val="20"/>
        </w:rPr>
        <w:t>he form taken by the ZPE build-up is the inverse of the redshift function. That redshift function is often written in the form (see Chapter 5 equation (63)):</w:t>
      </w:r>
    </w:p>
    <w:p w:rsidR="00BC1170" w:rsidRPr="0005293A" w:rsidRDefault="00BC1170" w:rsidP="00BC1170">
      <w:pPr>
        <w:pStyle w:val="NoSpacing"/>
        <w:ind w:firstLine="720"/>
        <w:jc w:val="both"/>
        <w:rPr>
          <w:rFonts w:ascii="Book Antiqua" w:hAnsi="Book Antiqua"/>
          <w:sz w:val="20"/>
        </w:rPr>
      </w:pPr>
    </w:p>
    <w:p w:rsidR="00BC1170" w:rsidRPr="0005293A" w:rsidRDefault="00BC1170" w:rsidP="00BC1170">
      <w:pPr>
        <w:pStyle w:val="NoSpacing"/>
        <w:ind w:firstLine="720"/>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(A)</w:t>
      </w:r>
    </w:p>
    <w:p w:rsidR="00BC1170" w:rsidRPr="0005293A" w:rsidRDefault="00BC1170" w:rsidP="00BC1170">
      <w:pPr>
        <w:pStyle w:val="NoSpacing"/>
        <w:ind w:firstLine="720"/>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In other words, if a lower ZPE in the past really is the cause of the redshift, then by considering the phenomena of turbulence and recombination among Planck Particle Pairs we should be able to derive something similar to the inverse of equation (A). To begin this derivation, we note that the standard form of the recombination equation is [1]: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iCs/>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oMath>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rPr>
        <w:t xml:space="preserve"> (1)</w:t>
      </w:r>
    </w:p>
    <w:p w:rsidR="00BC1170" w:rsidRPr="0005293A" w:rsidRDefault="00BC1170" w:rsidP="00BC1170">
      <w:pPr>
        <w:pStyle w:val="NoSpacing"/>
        <w:jc w:val="both"/>
        <w:rPr>
          <w:rFonts w:ascii="Book Antiqua" w:hAnsi="Book Antiqua"/>
          <w:i/>
          <w:iCs/>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iCs/>
          <w:sz w:val="20"/>
        </w:rPr>
        <w:t>In (1),</w:t>
      </w:r>
      <w:r w:rsidRPr="0005293A">
        <w:rPr>
          <w:rFonts w:ascii="Book Antiqua" w:hAnsi="Book Antiqua"/>
          <w:i/>
          <w:iCs/>
          <w:sz w:val="20"/>
        </w:rPr>
        <w:t xml:space="preserve"> </w:t>
      </w:r>
      <m:oMath>
        <m:r>
          <w:rPr>
            <w:rFonts w:ascii="Cambria Math" w:hAnsi="Cambria Math"/>
            <w:sz w:val="20"/>
          </w:rPr>
          <m:t>N</m:t>
        </m:r>
      </m:oMath>
      <w:r w:rsidRPr="0005293A">
        <w:rPr>
          <w:rFonts w:ascii="Book Antiqua" w:hAnsi="Book Antiqua"/>
          <w:i/>
          <w:iCs/>
          <w:sz w:val="20"/>
        </w:rPr>
        <w:t xml:space="preserve"> </w:t>
      </w:r>
      <w:r w:rsidRPr="0005293A">
        <w:rPr>
          <w:rFonts w:ascii="Book Antiqua" w:hAnsi="Book Antiqua"/>
          <w:sz w:val="20"/>
        </w:rPr>
        <w:t xml:space="preserve">is the number of ion pairs per unit volume available for recombination, </w:t>
      </w:r>
      <m:oMath>
        <m:r>
          <w:rPr>
            <w:rFonts w:ascii="Cambria Math" w:hAnsi="Cambria Math"/>
            <w:sz w:val="20"/>
          </w:rPr>
          <m:t>r</m:t>
        </m:r>
      </m:oMath>
      <w:r w:rsidRPr="0005293A">
        <w:rPr>
          <w:rFonts w:ascii="Book Antiqua" w:hAnsi="Book Antiqua"/>
          <w:i/>
          <w:iCs/>
          <w:sz w:val="20"/>
        </w:rPr>
        <w:t xml:space="preserve"> </w:t>
      </w:r>
      <w:r w:rsidRPr="0005293A">
        <w:rPr>
          <w:rFonts w:ascii="Book Antiqua" w:hAnsi="Book Antiqua"/>
          <w:sz w:val="20"/>
        </w:rPr>
        <w:t xml:space="preserve">is the recombination coefficient, and </w:t>
      </w:r>
      <m:oMath>
        <m:r>
          <w:rPr>
            <w:rFonts w:ascii="Cambria Math" w:hAnsi="Cambria Math"/>
            <w:sz w:val="20"/>
          </w:rPr>
          <m:t>q</m:t>
        </m:r>
      </m:oMath>
      <w:r w:rsidRPr="0005293A">
        <w:rPr>
          <w:rFonts w:ascii="Book Antiqua" w:hAnsi="Book Antiqua"/>
          <w:i/>
          <w:iCs/>
          <w:sz w:val="20"/>
        </w:rPr>
        <w:t xml:space="preserve"> </w:t>
      </w:r>
      <w:r w:rsidRPr="0005293A">
        <w:rPr>
          <w:rFonts w:ascii="Book Antiqua" w:hAnsi="Book Antiqua"/>
          <w:sz w:val="20"/>
        </w:rPr>
        <w:t>is the number of ion pairs created per unit volume per unit time by any given process, such as ionization. The quantity</w:t>
      </w:r>
      <m:oMath>
        <m:r>
          <w:rPr>
            <w:rFonts w:ascii="Cambria Math" w:hAnsi="Book Antiqua"/>
            <w:sz w:val="20"/>
          </w:rPr>
          <m:t xml:space="preserve"> </m:t>
        </m:r>
        <m:r>
          <w:rPr>
            <w:rFonts w:ascii="Cambria Math" w:hAnsi="Cambria Math"/>
            <w:sz w:val="20"/>
          </w:rPr>
          <m:t>t</m:t>
        </m:r>
      </m:oMath>
      <w:r w:rsidRPr="0005293A">
        <w:rPr>
          <w:rFonts w:ascii="Book Antiqua" w:hAnsi="Book Antiqua"/>
          <w:sz w:val="20"/>
        </w:rPr>
        <w:t xml:space="preserve"> is the time measured going forward from the beginning of the interaction [1]. </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For our purposes here, we put </w:t>
      </w:r>
      <m:oMath>
        <m:r>
          <w:rPr>
            <w:rFonts w:ascii="Cambria Math" w:hAnsi="Cambria Math"/>
            <w:sz w:val="20"/>
          </w:rPr>
          <m:t>N</m:t>
        </m:r>
        <m:r>
          <w:rPr>
            <w:rFonts w:ascii="Cambria Math" w:hAnsi="Book Antiqua"/>
            <w:sz w:val="20"/>
          </w:rPr>
          <m:t xml:space="preserve"> </m:t>
        </m:r>
      </m:oMath>
      <w:r w:rsidRPr="0005293A">
        <w:rPr>
          <w:rFonts w:ascii="Book Antiqua" w:hAnsi="Book Antiqua"/>
          <w:sz w:val="20"/>
        </w:rPr>
        <w:t xml:space="preserve">equal to the number of Planck Particle Pairs per unit volume available for recombination at any given time. Furthermore, we put </w:t>
      </w:r>
      <m:oMath>
        <m:r>
          <w:rPr>
            <w:rFonts w:ascii="Cambria Math" w:hAnsi="Cambria Math"/>
            <w:sz w:val="20"/>
          </w:rPr>
          <m:t>q</m:t>
        </m:r>
        <m:r>
          <w:rPr>
            <w:rFonts w:ascii="Cambria Math" w:hAnsi="Book Antiqua"/>
            <w:sz w:val="20"/>
          </w:rPr>
          <m:t xml:space="preserve"> </m:t>
        </m:r>
      </m:oMath>
      <w:r w:rsidRPr="0005293A">
        <w:rPr>
          <w:rFonts w:ascii="Book Antiqua" w:hAnsi="Book Antiqua"/>
          <w:sz w:val="20"/>
        </w:rPr>
        <w:t xml:space="preserve">as the number of ion pairs created per unit volume per unit time by turbulence as outlined by Gibson [2]. In addition, </w:t>
      </w:r>
      <m:oMath>
        <m:r>
          <w:rPr>
            <w:rFonts w:ascii="Cambria Math" w:hAnsi="Cambria Math"/>
            <w:sz w:val="20"/>
          </w:rPr>
          <m:t>t</m:t>
        </m:r>
      </m:oMath>
      <w:r w:rsidRPr="0005293A">
        <w:rPr>
          <w:rFonts w:ascii="Book Antiqua" w:hAnsi="Book Antiqua"/>
          <w:sz w:val="20"/>
        </w:rPr>
        <w:t xml:space="preserve"> is time going forward and measured from the inception of the cosmos, </w:t>
      </w:r>
      <w:proofErr w:type="gramStart"/>
      <w:r w:rsidRPr="0005293A">
        <w:rPr>
          <w:rFonts w:ascii="Book Antiqua" w:hAnsi="Book Antiqua"/>
          <w:sz w:val="20"/>
        </w:rPr>
        <w:t xml:space="preserve">where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to the present epoch, where </w:t>
      </w:r>
      <m:oMath>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xml:space="preserve"> . However, astronomically, and specifically in the redshift application, we also need to use a definition of time</w:t>
      </w:r>
      <w:proofErr w:type="gramStart"/>
      <w:r w:rsidRPr="0005293A">
        <w:rPr>
          <w:rFonts w:ascii="Book Antiqua" w:hAnsi="Book Antiqua"/>
          <w:sz w:val="20"/>
        </w:rPr>
        <w:t xml:space="preserve">, </w:t>
      </w:r>
      <m:oMath>
        <w:proofErr w:type="gramEnd"/>
        <m:r>
          <w:rPr>
            <w:rFonts w:ascii="Cambria Math" w:hAnsi="Cambria Math"/>
            <w:sz w:val="20"/>
          </w:rPr>
          <m:t>T</m:t>
        </m:r>
      </m:oMath>
      <w:r w:rsidRPr="0005293A">
        <w:rPr>
          <w:rFonts w:ascii="Book Antiqua" w:hAnsi="Book Antiqua"/>
          <w:sz w:val="20"/>
        </w:rPr>
        <w:t xml:space="preserve">, where </w:t>
      </w:r>
      <m:oMath>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at our present era and </w:t>
      </w:r>
      <m:oMath>
        <m:r>
          <w:rPr>
            <w:rFonts w:ascii="Cambria Math" w:hAnsi="Book Antiqua"/>
            <w:sz w:val="20"/>
          </w:rPr>
          <m:t>(</m:t>
        </m:r>
        <m:r>
          <w:rPr>
            <w:rFonts w:ascii="Cambria Math" w:hAnsi="Cambria Math"/>
            <w:sz w:val="20"/>
          </w:rPr>
          <m:t>T</m:t>
        </m:r>
        <m:r>
          <w:rPr>
            <w:rFonts w:ascii="Cambria Math" w:hAnsi="Book Antiqua"/>
            <w:sz w:val="20"/>
          </w:rPr>
          <m:t xml:space="preserve"> = 1) </m:t>
        </m:r>
      </m:oMath>
      <w:r w:rsidRPr="0005293A">
        <w:rPr>
          <w:rFonts w:ascii="Book Antiqua" w:hAnsi="Book Antiqua"/>
          <w:sz w:val="20"/>
        </w:rPr>
        <w:t xml:space="preserve">at the origin of the universe. Thus we can write that, </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Cambria Math" w:hAnsi="Cambria Math"/>
            <w:sz w:val="20"/>
          </w:rPr>
          <m:t>or</m:t>
        </m:r>
        <m:r>
          <w:rPr>
            <w:rFonts w:ascii="Cambria Math" w:hAnsi="Book Antiqua"/>
            <w:sz w:val="20"/>
          </w:rPr>
          <m:t xml:space="preserve"> </m:t>
        </m:r>
        <m:r>
          <w:rPr>
            <w:rFonts w:ascii="Cambria Math" w:hAnsi="Cambria Math"/>
            <w:sz w:val="20"/>
          </w:rPr>
          <m:t>e</m:t>
        </m:r>
        <m:r>
          <w:rPr>
            <w:rFonts w:ascii="Cambria Math" w:hAnsi="Cambria Math"/>
            <w:sz w:val="20"/>
          </w:rPr>
          <m:t>quivalently</m:t>
        </m:r>
        <m:r>
          <w:rPr>
            <w:rFonts w:ascii="Cambria Math" w:hAnsi="Book Antiqua"/>
            <w:sz w:val="20"/>
          </w:rPr>
          <m:t xml:space="preserve">     </m:t>
        </m:r>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i/>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In the standard form of the equation in (1), the recombination coefficient</w:t>
      </w:r>
      <w:proofErr w:type="gramStart"/>
      <w:r w:rsidRPr="0005293A">
        <w:rPr>
          <w:rFonts w:ascii="Book Antiqua" w:hAnsi="Book Antiqua"/>
          <w:sz w:val="20"/>
        </w:rPr>
        <w:t xml:space="preserve">, </w:t>
      </w:r>
      <m:oMath>
        <w:proofErr w:type="gramEnd"/>
        <m:r>
          <w:rPr>
            <w:rFonts w:ascii="Cambria Math" w:hAnsi="Cambria Math"/>
            <w:sz w:val="20"/>
          </w:rPr>
          <m:t>r</m:t>
        </m:r>
      </m:oMath>
      <w:r w:rsidRPr="0005293A">
        <w:rPr>
          <w:rFonts w:ascii="Book Antiqua" w:hAnsi="Book Antiqua"/>
          <w:sz w:val="20"/>
        </w:rPr>
        <w:t>, is given by [3]: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Nτ</m:t>
        </m:r>
        <m:r>
          <w:rPr>
            <w:rFonts w:ascii="Cambria Math" w:hAnsi="Book Antiqua"/>
            <w:sz w:val="20"/>
          </w:rPr>
          <m:t>)</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where</w:t>
      </w:r>
      <w:proofErr w:type="gramEnd"/>
      <w:r w:rsidRPr="0005293A">
        <w:rPr>
          <w:rFonts w:ascii="Book Antiqua" w:hAnsi="Book Antiqua"/>
          <w:sz w:val="20"/>
        </w:rPr>
        <w:t xml:space="preserve"> </w:t>
      </w:r>
      <m:oMath>
        <m:r>
          <w:rPr>
            <w:rFonts w:ascii="Cambria Math" w:hAnsi="Cambria Math"/>
            <w:sz w:val="20"/>
          </w:rPr>
          <m:t>τ</m:t>
        </m:r>
      </m:oMath>
      <w:r w:rsidRPr="0005293A">
        <w:rPr>
          <w:rFonts w:ascii="Book Antiqua" w:hAnsi="Book Antiqua"/>
          <w:sz w:val="20"/>
        </w:rPr>
        <w:t xml:space="preserve"> is the recombination time. As such, the recombination coefficient bears the units of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ion</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xml:space="preserve"> as pointed out by Zwaska et al. [4]. For our purposes, however, we have already identified the quantity </w:t>
      </w:r>
      <m:oMath>
        <m:r>
          <w:rPr>
            <w:rFonts w:ascii="Cambria Math" w:hAnsi="Cambria Math"/>
            <w:sz w:val="20"/>
          </w:rPr>
          <m:t>N</m:t>
        </m:r>
      </m:oMath>
      <w:r w:rsidRPr="0005293A">
        <w:rPr>
          <w:rFonts w:ascii="Book Antiqua" w:hAnsi="Book Antiqua"/>
          <w:sz w:val="20"/>
        </w:rPr>
        <w:t xml:space="preserve"> as the number of PPP per unit volume available for recombination at any given unit of time. Therefore, in (3) we can state that for our purposes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(4)</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since</w:t>
      </w:r>
      <w:proofErr w:type="gramEnd"/>
      <w:r w:rsidRPr="0005293A">
        <w:rPr>
          <w:rFonts w:ascii="Book Antiqua" w:hAnsi="Book Antiqua"/>
          <w:sz w:val="20"/>
        </w:rPr>
        <w:t xml:space="preserve"> this gives the required units for this formula, namely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PPP</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When this is substituted in (1) we obtain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r>
          <w:rPr>
            <w:rFonts w:ascii="Cambria Math" w:hAnsi="Book Antiqua"/>
            <w:sz w:val="20"/>
            <w:vertAlign w:val="superscript"/>
          </w:rPr>
          <m:t xml:space="preserve">  </m:t>
        </m:r>
        <m:r>
          <w:rPr>
            <w:rFonts w:ascii="Cambria Math" w:hAnsi="Book Antiqua"/>
            <w:sz w:val="20"/>
          </w:rPr>
          <m:t xml:space="preserve">=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Nt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(5)</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Taking the indefinite integral, we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qt</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(6)</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We also need to make the identification that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is the number of ion-pairs originally present. When that is done, we note that at any instant,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the number of ion pairs which have re-combined is given by the number that were originally present,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plus the number created by turbulence until time </w:t>
      </w:r>
      <m:oMath>
        <m:r>
          <w:rPr>
            <w:rFonts w:ascii="Cambria Math" w:hAnsi="Cambria Math"/>
            <w:sz w:val="20"/>
          </w:rPr>
          <m:t>t</m:t>
        </m:r>
      </m:oMath>
      <w:r w:rsidRPr="0005293A">
        <w:rPr>
          <w:rFonts w:ascii="Book Antiqua" w:hAnsi="Book Antiqua"/>
          <w:sz w:val="20"/>
        </w:rPr>
        <w:t>. This is given by</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qt</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(7)</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equation (7), it is usual for </w:t>
      </w:r>
      <m:oMath>
        <m:r>
          <w:rPr>
            <w:rFonts w:ascii="Cambria Math" w:hAnsi="Cambria Math"/>
            <w:sz w:val="20"/>
          </w:rPr>
          <m:t>q</m:t>
        </m:r>
      </m:oMath>
      <w:r w:rsidRPr="0005293A">
        <w:rPr>
          <w:rFonts w:ascii="Book Antiqua" w:hAnsi="Book Antiqua"/>
          <w:sz w:val="20"/>
        </w:rPr>
        <w:t xml:space="preserve"> to represent the ionization rate. The equivalent in our case is the number of Planck Particle Pairs (PPP) formed per unit volume in a given time by the decaying turbulence. Thus the term </w:t>
      </w:r>
      <m:oMath>
        <m:r>
          <w:rPr>
            <w:rFonts w:ascii="Cambria Math" w:hAnsi="Cambria Math"/>
            <w:sz w:val="20"/>
          </w:rPr>
          <m:t>q</m:t>
        </m:r>
      </m:oMath>
      <w:r w:rsidRPr="0005293A">
        <w:rPr>
          <w:rFonts w:ascii="Book Antiqua" w:hAnsi="Book Antiqua"/>
          <w:sz w:val="20"/>
        </w:rPr>
        <w:t xml:space="preserve"> is directly related to the decay in turbulence</w:t>
      </w:r>
      <w:proofErr w:type="gramStart"/>
      <w:r w:rsidRPr="0005293A">
        <w:rPr>
          <w:rFonts w:ascii="Book Antiqua" w:hAnsi="Book Antiqua"/>
          <w:sz w:val="20"/>
        </w:rPr>
        <w:t xml:space="preserve">, </w:t>
      </w:r>
      <m:oMath>
        <w:proofErr w:type="gramEnd"/>
        <m:r>
          <w:rPr>
            <w:rFonts w:ascii="Cambria Math" w:hAnsi="Cambria Math"/>
            <w:sz w:val="20"/>
          </w:rPr>
          <m:t>L</m:t>
        </m:r>
      </m:oMath>
      <w:r w:rsidRPr="0005293A">
        <w:rPr>
          <w:rFonts w:ascii="Book Antiqua" w:hAnsi="Book Antiqua"/>
          <w:sz w:val="20"/>
        </w:rPr>
        <w:t xml:space="preserve">. It is generally conceded that the decay in turbulence follows a power law such that for time, </w:t>
      </w:r>
      <m:oMath>
        <m:r>
          <w:rPr>
            <w:rFonts w:ascii="Cambria Math" w:hAnsi="Cambria Math"/>
            <w:sz w:val="20"/>
          </w:rPr>
          <m:t>t</m:t>
        </m:r>
      </m:oMath>
      <w:r w:rsidRPr="0005293A">
        <w:rPr>
          <w:rFonts w:ascii="Book Antiqua" w:hAnsi="Book Antiqua"/>
          <w:sz w:val="20"/>
        </w:rPr>
        <w:t xml:space="preserve"> we have [5]:</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L</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t</m:t>
            </m:r>
          </m:e>
          <m:sup>
            <m:r>
              <w:rPr>
                <w:rFonts w:ascii="Cambria Math" w:hAnsi="Cambria Math"/>
                <w:sz w:val="20"/>
              </w:rPr>
              <m:t>x</m:t>
            </m:r>
          </m:sup>
        </m:sSup>
        <m:r>
          <w:rPr>
            <w:rFonts w:ascii="Cambria Math" w:hAnsi="Book Antiqua"/>
            <w:sz w:val="20"/>
          </w:rPr>
          <m:t xml:space="preserve">)~  </m:t>
        </m:r>
        <m:r>
          <w:rPr>
            <w:rFonts w:ascii="Cambria Math" w:hAnsi="Cambria Math"/>
            <w:sz w:val="20"/>
          </w:rPr>
          <m:t>q</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(8)</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The value of </w:t>
      </w:r>
      <m:oMath>
        <m:r>
          <w:rPr>
            <w:rFonts w:ascii="Cambria Math" w:hAnsi="Cambria Math"/>
            <w:sz w:val="20"/>
          </w:rPr>
          <m:t>x</m:t>
        </m:r>
      </m:oMath>
      <w:r w:rsidRPr="0005293A">
        <w:rPr>
          <w:rFonts w:ascii="Book Antiqua" w:hAnsi="Book Antiqua"/>
          <w:sz w:val="20"/>
        </w:rPr>
        <w:t xml:space="preserve"> varies for different systems. For example, it is known that, in incompressible systems, the value of </w:t>
      </w:r>
      <m:oMath>
        <m:r>
          <w:rPr>
            <w:rFonts w:ascii="Cambria Math" w:hAnsi="Cambria Math"/>
            <w:sz w:val="20"/>
          </w:rPr>
          <m:t>x</m:t>
        </m:r>
      </m:oMath>
      <w:r w:rsidRPr="0005293A">
        <w:rPr>
          <w:rFonts w:ascii="Book Antiqua" w:hAnsi="Book Antiqua"/>
          <w:sz w:val="20"/>
        </w:rPr>
        <w:t xml:space="preserve"> can be much lower than unity. It is further known that for spatially free turbulence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is lower in any given system than for turbulence in a confined system. In confined systems,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in incompressible turbulence can be below </w:t>
      </w:r>
      <m:oMath>
        <m:r>
          <w:rPr>
            <w:rFonts w:ascii="Cambria Math" w:hAnsi="Book Antiqua"/>
            <w:sz w:val="20"/>
          </w:rPr>
          <m:t>(</m:t>
        </m:r>
        <m:r>
          <w:rPr>
            <w:rFonts w:ascii="Cambria Math" w:hAnsi="Cambria Math"/>
            <w:sz w:val="20"/>
          </w:rPr>
          <m:t>x</m:t>
        </m:r>
        <m:r>
          <w:rPr>
            <w:rFonts w:ascii="Cambria Math" w:hAnsi="Book Antiqua"/>
            <w:sz w:val="20"/>
          </w:rPr>
          <m:t xml:space="preserve"> = 0.66)</m:t>
        </m:r>
      </m:oMath>
      <w:r w:rsidRPr="0005293A">
        <w:rPr>
          <w:rFonts w:ascii="Book Antiqua" w:hAnsi="Book Antiqua"/>
          <w:sz w:val="20"/>
        </w:rPr>
        <w:t xml:space="preserve"> [5]. In the case of spatially free turbulence it may therefore not be unreasonable to expect to drop to a value of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or even lower. </w:t>
      </w:r>
      <w:r>
        <w:rPr>
          <w:rFonts w:ascii="Book Antiqua" w:hAnsi="Book Antiqua"/>
          <w:sz w:val="20"/>
        </w:rPr>
        <w:t>This would mean that the turbulence would persist for about four times the length of the initiating (expansion) event. This agrees with the redshift equation where the expansion ceased at a redshift of 1.6, which corresponds to T = 0.742 and t = 0.2577. We therefore</w:t>
      </w:r>
      <w:r w:rsidRPr="0005293A">
        <w:rPr>
          <w:rFonts w:ascii="Book Antiqua" w:hAnsi="Book Antiqua"/>
          <w:sz w:val="20"/>
        </w:rPr>
        <w:t xml:space="preserve"> </w:t>
      </w:r>
      <w:r>
        <w:rPr>
          <w:rFonts w:ascii="Book Antiqua" w:hAnsi="Book Antiqua"/>
          <w:sz w:val="20"/>
        </w:rPr>
        <w:t>s</w:t>
      </w:r>
      <w:r w:rsidRPr="0005293A">
        <w:rPr>
          <w:rFonts w:ascii="Book Antiqua" w:hAnsi="Book Antiqua"/>
          <w:sz w:val="20"/>
        </w:rPr>
        <w:t xml:space="preserve">et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in (8) and substitute for </w:t>
      </w:r>
      <m:oMath>
        <m:r>
          <w:rPr>
            <w:rFonts w:ascii="Cambria Math" w:hAnsi="Cambria Math"/>
            <w:sz w:val="20"/>
          </w:rPr>
          <m:t>q</m:t>
        </m:r>
      </m:oMath>
      <w:r w:rsidRPr="0005293A">
        <w:rPr>
          <w:rFonts w:ascii="Book Antiqua" w:hAnsi="Book Antiqua"/>
          <w:sz w:val="20"/>
        </w:rPr>
        <w:t xml:space="preserve"> in (7). We then obtain the result that</w:t>
      </w:r>
    </w:p>
    <w:p w:rsidR="00BC1170" w:rsidRPr="0005293A" w:rsidRDefault="00BC1170" w:rsidP="00BC1170">
      <w:pPr>
        <w:pStyle w:val="NoSpacing"/>
        <w:jc w:val="both"/>
        <w:rPr>
          <w:oMath/>
          <w:rFonts w:ascii="Cambria Math"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Cambria Math"/>
                <w:sz w:val="20"/>
              </w:rPr>
              <m:t>t</m:t>
            </m:r>
          </m:e>
          <m:sup>
            <m:f>
              <m:fPr>
                <m:ctrlPr>
                  <w:rPr>
                    <w:rFonts w:ascii="Cambria Math" w:hAnsi="Book Antiqua"/>
                    <w:i/>
                    <w:sz w:val="20"/>
                  </w:rPr>
                </m:ctrlPr>
              </m:fPr>
              <m:num>
                <m:r>
                  <w:rPr>
                    <w:rFonts w:ascii="Cambria Math" w:hAnsi="Book Antiqua"/>
                    <w:sz w:val="20"/>
                  </w:rPr>
                  <m:t>1</m:t>
                </m:r>
              </m:num>
              <m:den>
                <m:r>
                  <w:rPr>
                    <w:rFonts w:ascii="Cambria Math" w:hAnsi="Book Antiqua"/>
                    <w:sz w:val="20"/>
                  </w:rPr>
                  <m:t>2</m:t>
                </m:r>
              </m:den>
            </m:f>
          </m:sup>
        </m:sSup>
        <m:r>
          <w:rPr>
            <w:rFonts w:ascii="Cambria Math" w:hAnsi="Book Antiqua"/>
            <w:sz w:val="20"/>
          </w:rPr>
          <m:t xml:space="preserve"> )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(9)</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This can be written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(10)</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However, the ZPE strength</w:t>
      </w:r>
      <w:proofErr w:type="gramStart"/>
      <w:r w:rsidRPr="0005293A">
        <w:rPr>
          <w:rFonts w:ascii="Book Antiqua" w:hAnsi="Book Antiqua"/>
          <w:sz w:val="20"/>
        </w:rPr>
        <w:t xml:space="preserve">, </w:t>
      </w:r>
      <m:oMath>
        <w:proofErr w:type="gramEnd"/>
        <m:r>
          <w:rPr>
            <w:rFonts w:ascii="Cambria Math" w:hAnsi="Cambria Math"/>
            <w:sz w:val="20"/>
          </w:rPr>
          <m:t>U</m:t>
        </m:r>
      </m:oMath>
      <w:r w:rsidRPr="0005293A">
        <w:rPr>
          <w:rFonts w:ascii="Book Antiqua" w:hAnsi="Book Antiqua"/>
          <w:sz w:val="20"/>
        </w:rPr>
        <w:t xml:space="preserve">, at any instant is proportional to the number of PPP that have recombined. Therefore we can the behavior of </w:t>
      </w:r>
      <m:oMath>
        <m:r>
          <w:rPr>
            <w:rFonts w:ascii="Cambria Math" w:hAnsi="Cambria Math"/>
            <w:sz w:val="20"/>
          </w:rPr>
          <m:t>U</m:t>
        </m:r>
      </m:oMath>
      <w:r w:rsidRPr="0005293A">
        <w:rPr>
          <w:rFonts w:ascii="Book Antiqua" w:hAnsi="Book Antiqua"/>
          <w:sz w:val="20"/>
        </w:rPr>
        <w:t xml:space="preserve"> is such that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Inspection reveals the quantity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in (11) will increase with time and so is proportional to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But the build-up of PPP’s per unit volume is accompanied by a decrease in turbulence. This situation is very similar to chemical rate equations where the concentration of a reactant decreases while the concentration per unit volume of the end product(s) increases. The equation describing the process may be of the first order if the relationship is direct, while it is of the second order if it is a squared relationship [6]. In other cases, the order of the reaction can be more complex [6]. Our immediate purpose here is satisfied if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bears a second order relationship with </w:t>
      </w:r>
      <w:r w:rsidRPr="0005293A">
        <w:rPr>
          <w:rFonts w:ascii="Book Antiqua" w:hAnsi="Book Antiqua"/>
          <w:i/>
          <w:sz w:val="20"/>
        </w:rPr>
        <w:t>t</w:t>
      </w:r>
      <w:r w:rsidRPr="0005293A">
        <w:rPr>
          <w:rFonts w:ascii="Book Antiqua" w:hAnsi="Book Antiqua"/>
          <w:sz w:val="20"/>
        </w:rPr>
        <w:t>. If this is so, we can write</w:t>
      </w:r>
    </w:p>
    <w:p w:rsidR="00BC1170" w:rsidRPr="0005293A" w:rsidRDefault="00BC1170" w:rsidP="00BC1170">
      <w:pPr>
        <w:pStyle w:val="NoSpacing"/>
        <w:ind w:firstLine="720"/>
        <w:jc w:val="both"/>
        <w:rPr>
          <w:rFonts w:ascii="Book Antiqua" w:hAnsi="Book Antiqua"/>
          <w:sz w:val="20"/>
        </w:rPr>
      </w:pPr>
    </w:p>
    <w:p w:rsidR="00BC1170" w:rsidRPr="0005293A" w:rsidRDefault="00241D2F" w:rsidP="00BC1170">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e>
          <m:sup>
            <m:r>
              <w:rPr>
                <w:rFonts w:ascii="Cambria Math" w:hAnsi="Book Antiqua"/>
                <w:sz w:val="20"/>
              </w:rPr>
              <m:t>2</m:t>
            </m:r>
          </m:sup>
        </m:sSup>
        <m:r>
          <w:rPr>
            <w:rFonts w:ascii="Cambria Math" w:hAnsi="Book Antiqua"/>
            <w:sz w:val="20"/>
          </w:rPr>
          <m:t xml:space="preserve">  ~  </m:t>
        </m:r>
        <m:r>
          <w:rPr>
            <w:rFonts w:ascii="Cambria Math" w:hAnsi="Cambria Math"/>
            <w:sz w:val="20"/>
          </w:rPr>
          <m:t>t</m:t>
        </m:r>
        <m:r>
          <w:rPr>
            <w:rFonts w:ascii="Cambria Math" w:hAnsi="Book Antiqua"/>
            <w:sz w:val="20"/>
          </w:rPr>
          <m:t xml:space="preserve"> </m:t>
        </m:r>
      </m:oMath>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i/>
          <w:sz w:val="20"/>
        </w:rPr>
        <w:t>(12)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Therefore,</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 </m:t>
        </m:r>
        <m:r>
          <w:rPr>
            <w:rFonts w:ascii="Cambria Math" w:hAnsi="Cambria Math"/>
            <w:sz w:val="20"/>
          </w:rPr>
          <m:t>y</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(13), </w:t>
      </w:r>
      <m:oMath>
        <m:r>
          <w:rPr>
            <w:rFonts w:ascii="Cambria Math" w:hAnsi="Cambria Math"/>
            <w:sz w:val="20"/>
          </w:rPr>
          <m:t>y</m:t>
        </m:r>
      </m:oMath>
      <w:r w:rsidRPr="0005293A">
        <w:rPr>
          <w:rFonts w:ascii="Book Antiqua" w:hAnsi="Book Antiqua"/>
          <w:sz w:val="20"/>
        </w:rPr>
        <w:t xml:space="preserve"> is some proportionality </w:t>
      </w:r>
      <w:proofErr w:type="gramStart"/>
      <w:r w:rsidRPr="0005293A">
        <w:rPr>
          <w:rFonts w:ascii="Book Antiqua" w:hAnsi="Book Antiqua"/>
          <w:sz w:val="20"/>
        </w:rPr>
        <w:t>constant.</w:t>
      </w:r>
      <w:proofErr w:type="gramEnd"/>
      <w:r w:rsidRPr="0005293A">
        <w:rPr>
          <w:rFonts w:ascii="Book Antiqua" w:hAnsi="Book Antiqua"/>
          <w:sz w:val="20"/>
        </w:rPr>
        <w:t xml:space="preserve"> As a result of substituting (13) in (11) we obtain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xml:space="preserve">) + </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[(1+</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(14)</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Since </w:t>
      </w:r>
      <m:oMath>
        <m:r>
          <w:rPr>
            <w:rFonts w:ascii="Cambria Math" w:hAnsi="Cambria Math"/>
            <w:sz w:val="20"/>
          </w:rPr>
          <m:t>y</m:t>
        </m:r>
      </m:oMath>
      <w:r w:rsidRPr="0005293A">
        <w:rPr>
          <w:rFonts w:ascii="Book Antiqua" w:hAnsi="Book Antiqua"/>
          <w:sz w:val="20"/>
        </w:rPr>
        <w:t xml:space="preserve"> is a constant, then we can put </w:t>
      </w:r>
      <m:oMath>
        <m:r>
          <w:rPr>
            <w:rFonts w:ascii="Cambria Math" w:hAnsi="Book Antiqua"/>
            <w:sz w:val="20"/>
          </w:rPr>
          <m:t xml:space="preserve">(1 + </m:t>
        </m:r>
        <m:r>
          <w:rPr>
            <w:rFonts w:ascii="Cambria Math" w:hAnsi="Cambria Math"/>
            <w:sz w:val="20"/>
          </w:rPr>
          <m:t>y</m:t>
        </m:r>
        <m:r>
          <w:rPr>
            <w:rFonts w:ascii="Cambria Math" w:hAnsi="Book Antiqua"/>
            <w:sz w:val="20"/>
          </w:rPr>
          <m:t xml:space="preserve">) = </m:t>
        </m:r>
        <m:r>
          <w:rPr>
            <w:rFonts w:ascii="Cambria Math" w:hAnsi="Cambria Math"/>
            <w:sz w:val="20"/>
          </w:rPr>
          <m:t>b</m:t>
        </m:r>
        <m:r>
          <w:rPr>
            <w:rFonts w:ascii="Cambria Math" w:hAnsi="Book Antiqua"/>
            <w:sz w:val="20"/>
          </w:rPr>
          <m:t xml:space="preserve"> </m:t>
        </m:r>
      </m:oMath>
      <w:r w:rsidRPr="0005293A">
        <w:rPr>
          <w:rFonts w:ascii="Book Antiqua" w:hAnsi="Book Antiqua"/>
          <w:sz w:val="20"/>
        </w:rPr>
        <w:t xml:space="preserve">and substitute this in (14). Then from (14) we can obtain the expression for the behavior of </w:t>
      </w:r>
      <w:r w:rsidRPr="0005293A">
        <w:rPr>
          <w:rFonts w:ascii="Book Antiqua" w:hAnsi="Book Antiqua"/>
          <w:i/>
          <w:sz w:val="20"/>
        </w:rPr>
        <w:t>U</w:t>
      </w:r>
      <w:r w:rsidRPr="0005293A">
        <w:rPr>
          <w:rFonts w:ascii="Book Antiqua" w:hAnsi="Book Antiqua"/>
          <w:sz w:val="20"/>
        </w:rPr>
        <w:t xml:space="preserve"> with time by taking the indefinite integral thus: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Book Antiqua" w:hAnsi="Book Antiqua"/>
            <w:sz w:val="20"/>
          </w:rPr>
          <m:t>∫</m:t>
        </m:r>
        <m:r>
          <w:rPr>
            <w:rFonts w:ascii="Cambria Math" w:hAnsi="Book Antiqua"/>
            <w:sz w:val="20"/>
          </w:rPr>
          <m:t xml:space="preserve"> </m:t>
        </m:r>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b</m:t>
        </m:r>
        <m:r>
          <w:rPr>
            <w:rFonts w:ascii="Cambria Math" w:hAnsi="Book Antiqua"/>
            <w:sz w:val="20"/>
          </w:rPr>
          <m:t xml:space="preserve"> </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(2/3) </m:t>
        </m:r>
        <m:r>
          <w:rPr>
            <w:rFonts w:ascii="Cambria Math" w:hAnsi="Cambria Math"/>
            <w:sz w:val="20"/>
          </w:rPr>
          <m:t>b</m:t>
        </m:r>
        <m:sSup>
          <m:sSupPr>
            <m:ctrlPr>
              <w:rPr>
                <w:rFonts w:ascii="Cambria Math" w:hAnsi="Book Antiqua"/>
                <w:i/>
                <w:sz w:val="20"/>
              </w:rPr>
            </m:ctrlPr>
          </m:sSupPr>
          <m:e>
            <m:r>
              <w:rPr>
                <w:rFonts w:ascii="Cambria Math" w:hAnsi="Cambria Math"/>
                <w:sz w:val="20"/>
              </w:rPr>
              <m:t>t</m:t>
            </m:r>
          </m:e>
          <m:sup>
            <m:r>
              <w:rPr>
                <w:rFonts w:ascii="Cambria Math" w:hAnsi="Book Antiqua"/>
                <w:sz w:val="20"/>
              </w:rPr>
              <m:t>3/2</m:t>
            </m:r>
          </m:sup>
        </m:sSup>
        <m:r>
          <w:rPr>
            <w:rFonts w:ascii="Cambria Math" w:hAnsi="Book Antiqua"/>
            <w:sz w:val="20"/>
          </w:rPr>
          <m:t xml:space="preserve">   =   (</m:t>
        </m:r>
        <m:r>
          <w:rPr>
            <w:rFonts w:ascii="Cambria Math" w:hAnsi="Cambria Math"/>
            <w:sz w:val="20"/>
          </w:rPr>
          <m:t>k</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(15)</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(15) the substitution has been made that </w:t>
      </w:r>
      <m:oMath>
        <m:r>
          <w:rPr>
            <w:rFonts w:ascii="Cambria Math" w:hAnsi="Cambria Math"/>
            <w:sz w:val="20"/>
          </w:rPr>
          <m:t>k</m:t>
        </m:r>
        <m:r>
          <w:rPr>
            <w:rFonts w:ascii="Cambria Math" w:hAnsi="Book Antiqua"/>
            <w:sz w:val="20"/>
          </w:rPr>
          <m:t xml:space="preserve"> = (2/3)</m:t>
        </m:r>
        <m:r>
          <w:rPr>
            <w:rFonts w:ascii="Cambria Math" w:hAnsi="Cambria Math"/>
            <w:sz w:val="20"/>
          </w:rPr>
          <m:t>b</m:t>
        </m:r>
      </m:oMath>
      <w:r w:rsidRPr="0005293A">
        <w:rPr>
          <w:rFonts w:ascii="Book Antiqua" w:hAnsi="Book Antiqua"/>
          <w:sz w:val="20"/>
        </w:rPr>
        <w:t xml:space="preserve"> where </w:t>
      </w:r>
      <m:oMath>
        <m:r>
          <w:rPr>
            <w:rFonts w:ascii="Cambria Math" w:hAnsi="Cambria Math"/>
            <w:sz w:val="20"/>
          </w:rPr>
          <m:t>k</m:t>
        </m:r>
      </m:oMath>
      <w:r w:rsidRPr="0005293A">
        <w:rPr>
          <w:rFonts w:ascii="Book Antiqua" w:hAnsi="Book Antiqua"/>
          <w:sz w:val="20"/>
        </w:rPr>
        <w:t xml:space="preserve"> is some constant. Recalling that astronomical applications require the time </w:t>
      </w:r>
      <m:oMath>
        <m:r>
          <w:rPr>
            <w:rFonts w:ascii="Cambria Math" w:hAnsi="Cambria Math"/>
            <w:sz w:val="20"/>
          </w:rPr>
          <m:t>t</m:t>
        </m:r>
      </m:oMath>
      <w:r w:rsidRPr="0005293A">
        <w:rPr>
          <w:rFonts w:ascii="Book Antiqua" w:hAnsi="Book Antiqua"/>
          <w:sz w:val="20"/>
        </w:rPr>
        <w:t xml:space="preserve"> to be in terms of </w:t>
      </w:r>
      <w:proofErr w:type="gramStart"/>
      <w:r w:rsidRPr="0005293A">
        <w:rPr>
          <w:rFonts w:ascii="Book Antiqua" w:hAnsi="Book Antiqua"/>
          <w:sz w:val="20"/>
        </w:rPr>
        <w:t xml:space="preserve">time </w:t>
      </w:r>
      <m:oMath>
        <w:proofErr w:type="gramEnd"/>
        <m:r>
          <w:rPr>
            <w:rFonts w:ascii="Cambria Math" w:hAnsi="Cambria Math"/>
            <w:sz w:val="20"/>
          </w:rPr>
          <m:t>T</m:t>
        </m:r>
      </m:oMath>
      <w:r w:rsidRPr="0005293A">
        <w:rPr>
          <w:rFonts w:ascii="Book Antiqua" w:hAnsi="Book Antiqua"/>
          <w:sz w:val="20"/>
        </w:rPr>
        <w:t>, we substitute (2) in (15) to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 xml:space="preserve">)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t xml:space="preserve"> (16)</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It is then mathematically correct to multiply both numerator and denominator </w:t>
      </w:r>
      <w:proofErr w:type="gramStart"/>
      <w:r w:rsidRPr="0005293A">
        <w:rPr>
          <w:rFonts w:ascii="Book Antiqua" w:hAnsi="Book Antiqua"/>
          <w:sz w:val="20"/>
        </w:rPr>
        <w:t xml:space="preserve">by </w:t>
      </w:r>
      <m:oMath>
        <w:proofErr w:type="gramEnd"/>
        <m:r>
          <w:rPr>
            <w:rFonts w:ascii="Cambria Math" w:hAnsi="Book Antiqua"/>
            <w:sz w:val="20"/>
          </w:rPr>
          <m:t xml:space="preserve">(1 + </m:t>
        </m:r>
        <m:r>
          <w:rPr>
            <w:rFonts w:ascii="Cambria Math" w:hAnsi="Cambria Math"/>
            <w:sz w:val="20"/>
          </w:rPr>
          <m:t>T</m:t>
        </m:r>
        <m:r>
          <w:rPr>
            <w:rFonts w:ascii="Cambria Math" w:hAnsi="Book Antiqua"/>
            <w:sz w:val="20"/>
          </w:rPr>
          <m:t>)</m:t>
        </m:r>
      </m:oMath>
      <w:r w:rsidRPr="0005293A">
        <w:rPr>
          <w:rFonts w:ascii="Book Antiqua" w:hAnsi="Book Antiqua"/>
          <w:sz w:val="20"/>
        </w:rPr>
        <w:t>. When this is done, it emerges that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Cambria Math" w:hAnsi="Cambria Math"/>
            <w:sz w:val="20"/>
          </w:rPr>
          <m:t>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Book Antiqua" w:hAnsi="Book Antiqua"/>
            <w:sz w:val="20"/>
          </w:rPr>
          <m:t>–</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(17)</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However, in these equations, </w:t>
      </w:r>
      <m:oMath>
        <m:r>
          <w:rPr>
            <w:rFonts w:ascii="Cambria Math" w:hAnsi="Cambria Math"/>
            <w:sz w:val="20"/>
          </w:rPr>
          <m:t>T</m:t>
        </m:r>
      </m:oMath>
      <w:r w:rsidRPr="0005293A">
        <w:rPr>
          <w:rFonts w:ascii="Book Antiqua" w:hAnsi="Book Antiqua"/>
          <w:sz w:val="20"/>
        </w:rPr>
        <w:t xml:space="preserve"> lies between zero and one so we write</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0 </m:t>
        </m:r>
        <m:r>
          <w:rPr>
            <w:rFonts w:ascii="Book Antiqua" w:hAnsi="Book Antiqua"/>
            <w:sz w:val="20"/>
            <w:u w:val="single"/>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Book Antiqua"/>
            <w:sz w:val="20"/>
            <w:u w:val="single"/>
          </w:rPr>
          <m:t>≤</m:t>
        </m:r>
        <m:r>
          <w:rPr>
            <w:rFonts w:ascii="Cambria Math" w:hAnsi="Book Antiqua"/>
            <w:sz w:val="20"/>
          </w:rPr>
          <m:t xml:space="preserve"> 1</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(18)</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Therefore </w:t>
      </w:r>
      <m:oMath>
        <m:r>
          <w:rPr>
            <w:rFonts w:ascii="Cambria Math" w:hAnsi="Cambria Math"/>
            <w:sz w:val="20"/>
          </w:rPr>
          <m:t>T</m:t>
        </m:r>
      </m:oMath>
      <w:r w:rsidRPr="0005293A">
        <w:rPr>
          <w:rFonts w:ascii="Book Antiqua" w:hAnsi="Book Antiqua"/>
          <w:sz w:val="20"/>
        </w:rPr>
        <w:t xml:space="preserve"> is small. And with small numbers the substitution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Cambria Math"/>
            <w:sz w:val="20"/>
          </w:rPr>
          <m:t>≅</m:t>
        </m:r>
        <m:r>
          <w:rPr>
            <w:rFonts w:ascii="Cambria Math" w:hAnsi="Book Antiqua"/>
            <w:sz w:val="20"/>
          </w:rPr>
          <m:t xml:space="preserve">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(19)</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is</w:t>
      </w:r>
      <w:proofErr w:type="gramEnd"/>
      <w:r w:rsidRPr="0005293A">
        <w:rPr>
          <w:rFonts w:ascii="Book Antiqua" w:hAnsi="Book Antiqua"/>
          <w:sz w:val="20"/>
        </w:rPr>
        <w:t xml:space="preserve"> valid, where the symbol </w:t>
      </w:r>
      <m:oMath>
        <m:r>
          <w:rPr>
            <w:rFonts w:ascii="Book Antiqua" w:hAnsi="Cambria Math"/>
            <w:sz w:val="20"/>
          </w:rPr>
          <m:t>≅</m:t>
        </m:r>
      </m:oMath>
      <w:r w:rsidRPr="0005293A">
        <w:rPr>
          <w:rFonts w:ascii="Book Antiqua" w:hAnsi="Book Antiqua"/>
          <w:sz w:val="20"/>
        </w:rPr>
        <w:t xml:space="preserve"> means “approximately equal to.” Thus </w:t>
      </w:r>
      <w:proofErr w:type="gramStart"/>
      <w:r w:rsidRPr="0005293A">
        <w:rPr>
          <w:rFonts w:ascii="Book Antiqua" w:hAnsi="Book Antiqua"/>
          <w:sz w:val="20"/>
        </w:rPr>
        <w:t xml:space="preserve">when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both sides of the equation equal one. </w:t>
      </w:r>
      <w:proofErr w:type="gramStart"/>
      <w:r w:rsidRPr="0005293A">
        <w:rPr>
          <w:rFonts w:ascii="Book Antiqua" w:hAnsi="Book Antiqua"/>
          <w:sz w:val="20"/>
        </w:rPr>
        <w:t xml:space="preserve">When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both sides of the equation equal zero. Therefore at the limits of the equation, the results are entirely concordant. If we make this adjustment to (17) we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 </m:t>
        </m:r>
        <m:r>
          <w:rPr>
            <w:rFonts w:ascii="Cambria Math" w:hAnsi="Cambria Math"/>
            <w:sz w:val="20"/>
          </w:rPr>
          <m:t>K</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xml:space="preserve">] / (1 +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(20)</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(20), </w:t>
      </w:r>
      <m:oMath>
        <m:r>
          <w:rPr>
            <w:rFonts w:ascii="Cambria Math" w:hAnsi="Cambria Math"/>
            <w:sz w:val="20"/>
          </w:rPr>
          <m:t>K</m:t>
        </m:r>
      </m:oMath>
      <w:r w:rsidRPr="0005293A">
        <w:rPr>
          <w:rFonts w:ascii="Book Antiqua" w:hAnsi="Book Antiqua"/>
          <w:sz w:val="20"/>
        </w:rPr>
        <w:t xml:space="preserve"> is a proportionality constant which includes the link between </w:t>
      </w:r>
      <m:oMath>
        <m:r>
          <w:rPr>
            <w:rFonts w:ascii="Cambria Math" w:hAnsi="Cambria Math"/>
            <w:sz w:val="20"/>
          </w:rPr>
          <m:t>U</m:t>
        </m:r>
      </m:oMath>
      <w:r w:rsidRPr="0005293A">
        <w:rPr>
          <w:rFonts w:ascii="Book Antiqua" w:hAnsi="Book Antiqua"/>
          <w:sz w:val="20"/>
        </w:rPr>
        <w:t xml:space="preserve"> and atomic phenomena as discussed in Chapter </w:t>
      </w:r>
      <w:proofErr w:type="gramStart"/>
      <w:r w:rsidRPr="0005293A">
        <w:rPr>
          <w:rFonts w:ascii="Book Antiqua" w:hAnsi="Book Antiqua"/>
          <w:sz w:val="20"/>
        </w:rPr>
        <w:t>4.</w:t>
      </w:r>
      <w:proofErr w:type="gramEnd"/>
      <w:r w:rsidRPr="0005293A">
        <w:rPr>
          <w:rFonts w:ascii="Book Antiqua" w:hAnsi="Book Antiqua"/>
          <w:sz w:val="20"/>
        </w:rPr>
        <w:t xml:space="preserve"> Since the redshift quantity </w:t>
      </w:r>
      <m:oMath>
        <m:r>
          <w:rPr>
            <w:rFonts w:ascii="Cambria Math" w:hAnsi="Book Antiqua"/>
            <w:sz w:val="20"/>
          </w:rPr>
          <m:t xml:space="preserve">(1 + </m:t>
        </m:r>
        <m:r>
          <w:rPr>
            <w:rFonts w:ascii="Cambria Math" w:hAnsi="Cambria Math"/>
            <w:sz w:val="20"/>
          </w:rPr>
          <m:t>z</m:t>
        </m:r>
        <m:r>
          <w:rPr>
            <w:rFonts w:ascii="Cambria Math" w:hAnsi="Book Antiqua"/>
            <w:sz w:val="20"/>
          </w:rPr>
          <m:t xml:space="preserve">) </m:t>
        </m:r>
      </m:oMath>
      <w:r w:rsidRPr="0005293A">
        <w:rPr>
          <w:rFonts w:ascii="Book Antiqua" w:hAnsi="Book Antiqua"/>
          <w:sz w:val="20"/>
        </w:rPr>
        <w:t>is inversely related to the ZPE energy density</w:t>
      </w:r>
      <w:proofErr w:type="gramStart"/>
      <w:r w:rsidRPr="0005293A">
        <w:rPr>
          <w:rFonts w:ascii="Book Antiqua" w:hAnsi="Book Antiqua"/>
          <w:sz w:val="20"/>
        </w:rPr>
        <w:t xml:space="preserve">, </w:t>
      </w:r>
      <m:oMath>
        <w:proofErr w:type="gramEnd"/>
        <m:r>
          <w:rPr>
            <w:rFonts w:ascii="Cambria Math" w:hAnsi="Cambria Math"/>
            <w:sz w:val="20"/>
          </w:rPr>
          <m:t>U</m:t>
        </m:r>
      </m:oMath>
      <w:r w:rsidRPr="0005293A">
        <w:rPr>
          <w:rFonts w:ascii="Book Antiqua" w:hAnsi="Book Antiqua"/>
          <w:sz w:val="20"/>
        </w:rPr>
        <w:t>, then we can invert (20) so that it reads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+(1</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(21)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We obtain good agreement with the data out to a redshift </w:t>
      </w:r>
      <w:proofErr w:type="gramStart"/>
      <w:r w:rsidRPr="0005293A">
        <w:rPr>
          <w:rFonts w:ascii="Book Antiqua" w:hAnsi="Book Antiqua"/>
          <w:sz w:val="20"/>
        </w:rPr>
        <w:t xml:space="preserve">of </w:t>
      </w:r>
      <m:oMath>
        <w:proofErr w:type="gramEnd"/>
        <m:r>
          <w:rPr>
            <w:rFonts w:ascii="Cambria Math" w:hAnsi="Cambria Math"/>
            <w:sz w:val="20"/>
          </w:rPr>
          <m:t>z</m:t>
        </m:r>
        <m:r>
          <w:rPr>
            <w:rFonts w:ascii="Cambria Math" w:hAnsi="Book Antiqua"/>
            <w:sz w:val="20"/>
          </w:rPr>
          <m:t>=1</m:t>
        </m:r>
      </m:oMath>
      <w:r w:rsidRPr="0005293A">
        <w:rPr>
          <w:rFonts w:ascii="Book Antiqua" w:hAnsi="Book Antiqua"/>
          <w:sz w:val="20"/>
        </w:rPr>
        <w:t xml:space="preserve">, or thereabouts, if we put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 0.5</m:t>
        </m:r>
      </m:oMath>
      <w:r w:rsidRPr="0005293A">
        <w:rPr>
          <w:rFonts w:ascii="Book Antiqua" w:hAnsi="Book Antiqua"/>
          <w:i/>
          <w:sz w:val="20"/>
        </w:rPr>
        <w:t xml:space="preserve">. </w:t>
      </w:r>
      <w:r w:rsidRPr="0005293A">
        <w:rPr>
          <w:rFonts w:ascii="Book Antiqua" w:hAnsi="Book Antiqua"/>
          <w:sz w:val="20"/>
        </w:rPr>
        <w:t>Eq</w:t>
      </w:r>
      <w:r w:rsidRPr="0005293A">
        <w:rPr>
          <w:rFonts w:ascii="Book Antiqua" w:hAnsi="Book Antiqua"/>
          <w:i/>
          <w:sz w:val="20"/>
        </w:rPr>
        <w:t>.</w:t>
      </w:r>
      <w:r w:rsidRPr="0005293A">
        <w:rPr>
          <w:rFonts w:ascii="Book Antiqua" w:hAnsi="Book Antiqua"/>
          <w:sz w:val="20"/>
        </w:rPr>
        <w:t xml:space="preserve"> (21) then becomes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{(0.5) (1 + </m:t>
        </m:r>
        <m:r>
          <w:rPr>
            <w:rFonts w:ascii="Cambria Math" w:hAnsi="Cambria Math"/>
            <w:sz w:val="20"/>
          </w:rPr>
          <m:t>T</m:t>
        </m:r>
        <m:r>
          <w:rPr>
            <w:rFonts w:ascii="Cambria Math" w:hAnsi="Book Antiqua"/>
            <w:sz w:val="20"/>
          </w:rPr>
          <m:t>)/[</m:t>
        </m:r>
        <m:sSup>
          <m:sSupPr>
            <m:ctrlPr>
              <w:rPr>
                <w:rFonts w:ascii="Cambria Math" w:hAnsi="Book Antiqua"/>
                <w:i/>
                <w:sz w:val="20"/>
              </w:rPr>
            </m:ctrlPr>
          </m:sSupPr>
          <m:e>
            <m:d>
              <m:dPr>
                <m:ctrlPr>
                  <w:rPr>
                    <w:rFonts w:ascii="Cambria Math" w:hAnsi="Book Antiqua"/>
                    <w:i/>
                    <w:sz w:val="20"/>
                  </w:rPr>
                </m:ctrlPr>
              </m:d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e>
            </m:d>
          </m:e>
          <m:sup>
            <m:f>
              <m:fPr>
                <m:ctrlPr>
                  <w:rPr>
                    <w:rFonts w:ascii="Cambria Math" w:hAnsi="Book Antiqua"/>
                    <w:i/>
                    <w:sz w:val="20"/>
                  </w:rPr>
                </m:ctrlPr>
              </m:fPr>
              <m:num>
                <m:r>
                  <w:rPr>
                    <w:rFonts w:ascii="Cambria Math" w:hAnsi="Book Antiqua"/>
                    <w:sz w:val="20"/>
                  </w:rPr>
                  <m:t>3</m:t>
                </m:r>
              </m:num>
              <m:den>
                <m:r>
                  <w:rPr>
                    <w:rFonts w:ascii="Cambria Math" w:hAnsi="Book Antiqua"/>
                    <w:sz w:val="20"/>
                  </w:rPr>
                  <m:t>2</m:t>
                </m:r>
              </m:den>
            </m:f>
          </m:sup>
        </m:sSup>
        <m:r>
          <w:rPr>
            <w:rFonts w:ascii="Cambria Math" w:hAnsi="Book Antiqua"/>
            <w:sz w:val="20"/>
          </w:rPr>
          <m:t>]} +</m:t>
        </m:r>
        <m:d>
          <m:dPr>
            <m:ctrlPr>
              <w:rPr>
                <w:rFonts w:ascii="Cambria Math" w:hAnsi="Book Antiqua"/>
                <w:i/>
                <w:sz w:val="20"/>
              </w:rPr>
            </m:ctrlPr>
          </m:dPr>
          <m:e>
            <m:r>
              <w:rPr>
                <w:rFonts w:ascii="Cambria Math" w:hAnsi="Book Antiqua"/>
                <w:sz w:val="20"/>
              </w:rPr>
              <m:t>0.5</m:t>
            </m:r>
          </m:e>
        </m:d>
        <m:r>
          <w:rPr>
            <w:rFonts w:ascii="Cambria Math" w:hAnsi="Book Antiqua"/>
            <w:sz w:val="20"/>
          </w:rPr>
          <m:t xml:space="preserve"> </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This equation then has the form</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r>
          <w:rPr>
            <w:rFonts w:ascii="Cambria Math" w:hAnsi="Book Antiqua"/>
            <w:sz w:val="20"/>
          </w:rPr>
          <m:t xml:space="preserve">]} +(1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(23)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center"/>
        <w:rPr>
          <w:rFonts w:ascii="Book Antiqua" w:hAnsi="Book Antiqua"/>
          <w:i/>
          <w:sz w:val="20"/>
        </w:rPr>
      </w:pPr>
      <w:r w:rsidRPr="0005293A">
        <w:rPr>
          <w:rFonts w:ascii="Book Antiqua" w:hAnsi="Book Antiqua"/>
          <w:noProof/>
          <w:sz w:val="20"/>
        </w:rPr>
        <w:lastRenderedPageBreak/>
        <w:drawing>
          <wp:inline distT="0" distB="0" distL="0" distR="0">
            <wp:extent cx="4143375" cy="4543425"/>
            <wp:effectExtent l="19050" t="0" r="9525" b="0"/>
            <wp:docPr id="14"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8"/>
              </a:graphicData>
            </a:graphic>
          </wp:inline>
        </w:drawing>
      </w:r>
    </w:p>
    <w:p w:rsidR="00BC1170" w:rsidRPr="0005293A" w:rsidRDefault="00BC1170" w:rsidP="00BC1170">
      <w:pPr>
        <w:pStyle w:val="NoSpacing"/>
        <w:jc w:val="both"/>
        <w:rPr>
          <w:rFonts w:ascii="Book Antiqua" w:hAnsi="Book Antiqua"/>
          <w:b/>
          <w:i/>
          <w:sz w:val="20"/>
        </w:rPr>
      </w:pPr>
    </w:p>
    <w:p w:rsidR="00BC1170" w:rsidRPr="00E659FC" w:rsidRDefault="00BC1170" w:rsidP="00BC1170">
      <w:pPr>
        <w:pStyle w:val="NoSpacing"/>
        <w:rPr>
          <w:rFonts w:ascii="Book Antiqua" w:hAnsi="Book Antiqua"/>
          <w:i/>
          <w:sz w:val="18"/>
          <w:szCs w:val="18"/>
        </w:rPr>
      </w:pPr>
      <w:r w:rsidRPr="00E659FC">
        <w:rPr>
          <w:rFonts w:ascii="Book Antiqua" w:hAnsi="Book Antiqua"/>
          <w:b/>
          <w:i/>
          <w:sz w:val="18"/>
          <w:szCs w:val="18"/>
        </w:rPr>
        <w:t>Figure 1:</w:t>
      </w:r>
      <w:r w:rsidRPr="00E659FC">
        <w:rPr>
          <w:rFonts w:ascii="Book Antiqua" w:hAnsi="Book Antiqua"/>
          <w:i/>
          <w:sz w:val="18"/>
          <w:szCs w:val="18"/>
        </w:rPr>
        <w:t xml:space="preserve"> Comparing redshift equations from the same family of curves. Vertical axis is (1 + z); horizontal axis is orbital time from T=1 at the cosmos origin to T = 0 near our location in space. The curve</w:t>
      </w:r>
      <w:r w:rsidR="004469E4">
        <w:rPr>
          <w:rFonts w:ascii="Book Antiqua" w:hAnsi="Book Antiqua"/>
          <w:i/>
          <w:sz w:val="18"/>
          <w:szCs w:val="18"/>
        </w:rPr>
        <w:t xml:space="preserve"> that goes highest</w:t>
      </w:r>
      <w:r w:rsidRPr="00E659FC">
        <w:rPr>
          <w:rFonts w:ascii="Book Antiqua" w:hAnsi="Book Antiqua"/>
          <w:i/>
          <w:sz w:val="18"/>
          <w:szCs w:val="18"/>
        </w:rPr>
        <w:t xml:space="preserve"> is one equation which comes from a consideration of recombination and turbulence among Planck Particle Pairs in the early universe. The</w:t>
      </w:r>
      <w:r w:rsidR="004469E4">
        <w:rPr>
          <w:rFonts w:ascii="Book Antiqua" w:hAnsi="Book Antiqua"/>
          <w:i/>
          <w:sz w:val="18"/>
          <w:szCs w:val="18"/>
        </w:rPr>
        <w:t xml:space="preserve"> other </w:t>
      </w:r>
      <w:r w:rsidRPr="00E659FC">
        <w:rPr>
          <w:rFonts w:ascii="Book Antiqua" w:hAnsi="Book Antiqua"/>
          <w:i/>
          <w:sz w:val="18"/>
          <w:szCs w:val="18"/>
        </w:rPr>
        <w:t>curve is the</w:t>
      </w:r>
      <w:r w:rsidR="004469E4">
        <w:rPr>
          <w:rFonts w:ascii="Book Antiqua" w:hAnsi="Book Antiqua"/>
          <w:i/>
          <w:sz w:val="18"/>
          <w:szCs w:val="18"/>
        </w:rPr>
        <w:t xml:space="preserve"> </w:t>
      </w:r>
      <w:r w:rsidRPr="00E659FC">
        <w:rPr>
          <w:rFonts w:ascii="Book Antiqua" w:hAnsi="Book Antiqua"/>
          <w:i/>
          <w:sz w:val="18"/>
          <w:szCs w:val="18"/>
        </w:rPr>
        <w:t>standard given by Y = (1+z) = (1 + x)</w:t>
      </w:r>
      <w:proofErr w:type="gramStart"/>
      <w:r w:rsidRPr="00E659FC">
        <w:rPr>
          <w:rFonts w:ascii="Book Antiqua" w:hAnsi="Book Antiqua"/>
          <w:i/>
          <w:sz w:val="18"/>
          <w:szCs w:val="18"/>
        </w:rPr>
        <w:t>/[</w:t>
      </w:r>
      <w:proofErr w:type="gramEnd"/>
      <w:r w:rsidRPr="00E659FC">
        <w:rPr>
          <w:rFonts w:ascii="Book Antiqua" w:hAnsi="Book Antiqua"/>
          <w:i/>
          <w:sz w:val="18"/>
          <w:szCs w:val="18"/>
        </w:rPr>
        <w:t>1 – (x</w:t>
      </w:r>
      <w:r w:rsidRPr="00E659FC">
        <w:rPr>
          <w:rFonts w:ascii="Book Antiqua" w:hAnsi="Book Antiqua"/>
          <w:i/>
          <w:sz w:val="18"/>
          <w:szCs w:val="18"/>
          <w:vertAlign w:val="superscript"/>
        </w:rPr>
        <w:t>a</w:t>
      </w:r>
      <w:r w:rsidRPr="00E659FC">
        <w:rPr>
          <w:rFonts w:ascii="Book Antiqua" w:hAnsi="Book Antiqua"/>
          <w:i/>
          <w:sz w:val="18"/>
          <w:szCs w:val="18"/>
        </w:rPr>
        <w:t>)]</w:t>
      </w:r>
      <w:r w:rsidRPr="00E659FC">
        <w:rPr>
          <w:rFonts w:ascii="Book Antiqua" w:hAnsi="Book Antiqua"/>
          <w:i/>
          <w:sz w:val="18"/>
          <w:szCs w:val="18"/>
          <w:vertAlign w:val="superscript"/>
        </w:rPr>
        <w:t>b</w:t>
      </w:r>
      <w:r w:rsidRPr="00E659FC">
        <w:rPr>
          <w:rFonts w:ascii="Book Antiqua" w:hAnsi="Book Antiqua"/>
          <w:i/>
          <w:sz w:val="18"/>
          <w:szCs w:val="18"/>
        </w:rPr>
        <w:t xml:space="preserve">  where  a = 2 and b = ½. The </w:t>
      </w:r>
      <w:r w:rsidR="004469E4">
        <w:rPr>
          <w:rFonts w:ascii="Book Antiqua" w:hAnsi="Book Antiqua"/>
          <w:i/>
          <w:sz w:val="18"/>
          <w:szCs w:val="18"/>
        </w:rPr>
        <w:t>high</w:t>
      </w:r>
      <w:r w:rsidRPr="00E659FC">
        <w:rPr>
          <w:rFonts w:ascii="Book Antiqua" w:hAnsi="Book Antiqua"/>
          <w:i/>
          <w:sz w:val="18"/>
          <w:szCs w:val="18"/>
        </w:rPr>
        <w:t xml:space="preserve"> curve has Y = (1 + z) = 0.5 {(1 + x)</w:t>
      </w:r>
      <w:proofErr w:type="gramStart"/>
      <w:r w:rsidRPr="00E659FC">
        <w:rPr>
          <w:rFonts w:ascii="Book Antiqua" w:hAnsi="Book Antiqua"/>
          <w:i/>
          <w:sz w:val="18"/>
          <w:szCs w:val="18"/>
        </w:rPr>
        <w:t>/[</w:t>
      </w:r>
      <w:proofErr w:type="gramEnd"/>
      <w:r w:rsidRPr="00E659FC">
        <w:rPr>
          <w:rFonts w:ascii="Book Antiqua" w:hAnsi="Book Antiqua"/>
          <w:i/>
          <w:sz w:val="18"/>
          <w:szCs w:val="18"/>
        </w:rPr>
        <w:t>1 – (x</w:t>
      </w:r>
      <w:r w:rsidRPr="00E659FC">
        <w:rPr>
          <w:rFonts w:ascii="Book Antiqua" w:hAnsi="Book Antiqua"/>
          <w:i/>
          <w:sz w:val="18"/>
          <w:szCs w:val="18"/>
          <w:vertAlign w:val="superscript"/>
        </w:rPr>
        <w:t>a</w:t>
      </w:r>
      <w:r w:rsidRPr="00E659FC">
        <w:rPr>
          <w:rFonts w:ascii="Book Antiqua" w:hAnsi="Book Antiqua"/>
          <w:i/>
          <w:sz w:val="18"/>
          <w:szCs w:val="18"/>
        </w:rPr>
        <w:t>)]</w:t>
      </w:r>
      <w:r w:rsidRPr="00E659FC">
        <w:rPr>
          <w:rFonts w:ascii="Book Antiqua" w:hAnsi="Book Antiqua"/>
          <w:i/>
          <w:sz w:val="18"/>
          <w:szCs w:val="18"/>
          <w:vertAlign w:val="superscript"/>
        </w:rPr>
        <w:t>b</w:t>
      </w:r>
      <w:r w:rsidRPr="00E659FC">
        <w:rPr>
          <w:rFonts w:ascii="Book Antiqua" w:hAnsi="Book Antiqua"/>
          <w:i/>
          <w:sz w:val="18"/>
          <w:szCs w:val="18"/>
        </w:rPr>
        <w:t>} + 0.5 where a = 2 and b = 3/2. Crossover occurs near (1 + z) = 2, that is, z = 1.</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Under these circumstances, it seems that (22) and equation (A) are both equations from the same family </w:t>
      </w:r>
      <w:r>
        <w:rPr>
          <w:rFonts w:ascii="Book Antiqua" w:hAnsi="Book Antiqua"/>
          <w:sz w:val="20"/>
        </w:rPr>
        <w:t xml:space="preserve">of curves given by (23) that </w:t>
      </w:r>
      <w:r w:rsidRPr="0005293A">
        <w:rPr>
          <w:rFonts w:ascii="Book Antiqua" w:hAnsi="Book Antiqua"/>
          <w:sz w:val="20"/>
        </w:rPr>
        <w:t>describ</w:t>
      </w:r>
      <w:r>
        <w:rPr>
          <w:rFonts w:ascii="Book Antiqua" w:hAnsi="Book Antiqua"/>
          <w:sz w:val="20"/>
        </w:rPr>
        <w:t xml:space="preserve">e </w:t>
      </w:r>
      <w:r w:rsidRPr="0005293A">
        <w:rPr>
          <w:rFonts w:ascii="Book Antiqua" w:hAnsi="Book Antiqua"/>
          <w:sz w:val="20"/>
        </w:rPr>
        <w:t xml:space="preserve">redshift behavior. These equations can be derived from the known physics of the turbulence and recombination of Planck Particle Pairs in the early universe. In (23) the currently used formula for the redshift has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oMath>
      <w:r w:rsidRPr="0005293A">
        <w:rPr>
          <w:rFonts w:ascii="Book Antiqua" w:hAnsi="Book Antiqua"/>
          <w:sz w:val="20"/>
        </w:rPr>
        <w:t xml:space="preserve"> equal </w:t>
      </w:r>
      <w:proofErr w:type="gramStart"/>
      <w:r w:rsidRPr="0005293A">
        <w:rPr>
          <w:rFonts w:ascii="Book Antiqua" w:hAnsi="Book Antiqua"/>
          <w:sz w:val="20"/>
        </w:rPr>
        <w:t xml:space="preserve">to </w:t>
      </w:r>
      <m:oMath>
        <w:proofErr w:type="gramEnd"/>
        <m:r>
          <w:rPr>
            <w:rFonts w:ascii="Cambria Math" w:hAnsi="Book Antiqua"/>
            <w:sz w:val="20"/>
          </w:rPr>
          <m:t>+1</m:t>
        </m:r>
      </m:oMath>
      <w:r w:rsidRPr="0005293A">
        <w:rPr>
          <w:rFonts w:ascii="Book Antiqua" w:hAnsi="Book Antiqua"/>
          <w:sz w:val="20"/>
        </w:rPr>
        <w:t xml:space="preserve">, while </w:t>
      </w:r>
      <m:oMath>
        <m:r>
          <w:rPr>
            <w:rFonts w:ascii="Cambria Math" w:hAnsi="Cambria Math"/>
            <w:sz w:val="20"/>
          </w:rPr>
          <m:t>a</m:t>
        </m:r>
        <m:r>
          <w:rPr>
            <w:rFonts w:ascii="Cambria Math" w:hAnsi="Book Antiqua"/>
            <w:sz w:val="20"/>
          </w:rPr>
          <m:t xml:space="preserve"> = 2</m:t>
        </m:r>
      </m:oMath>
      <w:r w:rsidRPr="0005293A">
        <w:rPr>
          <w:rFonts w:ascii="Book Antiqua" w:hAnsi="Book Antiqua"/>
          <w:sz w:val="20"/>
        </w:rPr>
        <w:t xml:space="preserve"> and </w:t>
      </w:r>
      <m:oMath>
        <m:r>
          <w:rPr>
            <w:rFonts w:ascii="Cambria Math" w:hAnsi="Cambria Math"/>
            <w:sz w:val="20"/>
          </w:rPr>
          <m:t>b</m:t>
        </m:r>
        <m:r>
          <w:rPr>
            <w:rFonts w:ascii="Cambria Math" w:hAnsi="Book Antiqua"/>
            <w:sz w:val="20"/>
          </w:rPr>
          <m:t xml:space="preserve"> = 0.5</m:t>
        </m:r>
      </m:oMath>
      <w:r w:rsidRPr="0005293A">
        <w:rPr>
          <w:rFonts w:ascii="Book Antiqua" w:hAnsi="Book Antiqua"/>
          <w:sz w:val="20"/>
        </w:rPr>
        <w:t>.  Equation (22) appears in Figure I as the curve</w:t>
      </w:r>
      <w:r w:rsidR="004469E4">
        <w:rPr>
          <w:rFonts w:ascii="Book Antiqua" w:hAnsi="Book Antiqua"/>
          <w:sz w:val="20"/>
        </w:rPr>
        <w:t xml:space="preserve"> that goes highest</w:t>
      </w:r>
      <w:r w:rsidRPr="0005293A">
        <w:rPr>
          <w:rFonts w:ascii="Book Antiqua" w:hAnsi="Book Antiqua"/>
          <w:sz w:val="20"/>
        </w:rPr>
        <w:t xml:space="preserve"> with the standard redshift equation reproduced as the curve</w:t>
      </w:r>
      <w:r w:rsidR="004469E4">
        <w:rPr>
          <w:rFonts w:ascii="Book Antiqua" w:hAnsi="Book Antiqua"/>
          <w:sz w:val="20"/>
        </w:rPr>
        <w:t xml:space="preserve"> which goes furthest to the right</w:t>
      </w:r>
      <w:r w:rsidRPr="0005293A">
        <w:rPr>
          <w:rFonts w:ascii="Book Antiqua" w:hAnsi="Book Antiqua"/>
          <w:sz w:val="20"/>
        </w:rPr>
        <w:t xml:space="preserve">. </w:t>
      </w:r>
    </w:p>
    <w:p w:rsidR="00BC1170" w:rsidRPr="0005293A" w:rsidRDefault="00BC1170" w:rsidP="00BC1170">
      <w:pPr>
        <w:pStyle w:val="NoSpacing"/>
        <w:jc w:val="both"/>
        <w:rPr>
          <w:rFonts w:ascii="Book Antiqua" w:hAnsi="Book Antiqua"/>
          <w:i/>
          <w:sz w:val="20"/>
        </w:rPr>
      </w:pPr>
    </w:p>
    <w:p w:rsidR="00BC1170" w:rsidRDefault="00BC1170" w:rsidP="00BC1170">
      <w:pPr>
        <w:pStyle w:val="NoSpacing"/>
        <w:ind w:firstLine="720"/>
        <w:jc w:val="both"/>
        <w:rPr>
          <w:rFonts w:ascii="Book Antiqua" w:hAnsi="Book Antiqua"/>
          <w:sz w:val="20"/>
        </w:rPr>
      </w:pPr>
      <w:r w:rsidRPr="0005293A">
        <w:rPr>
          <w:rFonts w:ascii="Book Antiqua" w:hAnsi="Book Antiqua"/>
          <w:sz w:val="20"/>
        </w:rPr>
        <w:t xml:space="preserve">Note that the red curve indicates that, below a redshift of about </w:t>
      </w:r>
      <m:oMath>
        <m:r>
          <w:rPr>
            <w:rFonts w:ascii="Cambria Math" w:hAnsi="Cambria Math"/>
            <w:sz w:val="20"/>
          </w:rPr>
          <m:t>z</m:t>
        </m:r>
        <m:r>
          <w:rPr>
            <w:rFonts w:ascii="Cambria Math" w:hAnsi="Book Antiqua"/>
            <w:sz w:val="20"/>
          </w:rPr>
          <m:t xml:space="preserve"> = 1</m:t>
        </m:r>
      </m:oMath>
      <w:r w:rsidRPr="0005293A">
        <w:rPr>
          <w:rFonts w:ascii="Book Antiqua" w:hAnsi="Book Antiqua"/>
          <w:sz w:val="20"/>
        </w:rPr>
        <w:t xml:space="preserve">, objects will appear further away than expected from the standard redshift curve </w:t>
      </w:r>
      <w:r>
        <w:rPr>
          <w:rFonts w:ascii="Book Antiqua" w:hAnsi="Book Antiqua"/>
          <w:sz w:val="20"/>
        </w:rPr>
        <w:t>(</w:t>
      </w:r>
      <w:r w:rsidRPr="0005293A">
        <w:rPr>
          <w:rFonts w:ascii="Book Antiqua" w:hAnsi="Book Antiqua"/>
          <w:sz w:val="20"/>
        </w:rPr>
        <w:t>in blue</w:t>
      </w:r>
      <w:r>
        <w:rPr>
          <w:rFonts w:ascii="Book Antiqua" w:hAnsi="Book Antiqua"/>
          <w:sz w:val="20"/>
        </w:rPr>
        <w:t>)</w:t>
      </w:r>
      <w:r w:rsidRPr="0005293A">
        <w:rPr>
          <w:rFonts w:ascii="Book Antiqua" w:hAnsi="Book Antiqua"/>
          <w:sz w:val="20"/>
        </w:rPr>
        <w:t xml:space="preserve">. In contrast, above a redshift </w:t>
      </w:r>
      <w:proofErr w:type="gramStart"/>
      <w:r w:rsidRPr="0005293A">
        <w:rPr>
          <w:rFonts w:ascii="Book Antiqua" w:hAnsi="Book Antiqua"/>
          <w:sz w:val="20"/>
        </w:rPr>
        <w:t xml:space="preserve">of </w:t>
      </w:r>
      <m:oMath>
        <w:proofErr w:type="gramEnd"/>
        <m:r>
          <w:rPr>
            <w:rFonts w:ascii="Cambria Math" w:hAnsi="Cambria Math"/>
            <w:sz w:val="20"/>
          </w:rPr>
          <m:t>z</m:t>
        </m:r>
        <m:r>
          <w:rPr>
            <w:rFonts w:ascii="Cambria Math" w:hAnsi="Book Antiqua"/>
            <w:sz w:val="20"/>
          </w:rPr>
          <m:t xml:space="preserve"> = 1</m:t>
        </m:r>
      </m:oMath>
      <w:r w:rsidRPr="0005293A">
        <w:rPr>
          <w:rFonts w:ascii="Book Antiqua" w:hAnsi="Book Antiqua"/>
          <w:sz w:val="20"/>
        </w:rPr>
        <w:t>, objects on the red curve will appear closer to us than expected from the standard curve</w:t>
      </w:r>
      <w:r>
        <w:rPr>
          <w:rFonts w:ascii="Book Antiqua" w:hAnsi="Book Antiqua"/>
          <w:sz w:val="20"/>
        </w:rPr>
        <w:t>, given by equation (A) and shown on the blue line</w:t>
      </w:r>
      <w:r w:rsidRPr="0005293A">
        <w:rPr>
          <w:rFonts w:ascii="Book Antiqua" w:hAnsi="Book Antiqua"/>
          <w:sz w:val="20"/>
        </w:rPr>
        <w:t xml:space="preserve">. </w:t>
      </w:r>
      <w:r>
        <w:rPr>
          <w:rFonts w:ascii="Book Antiqua" w:hAnsi="Book Antiqua"/>
          <w:sz w:val="20"/>
        </w:rPr>
        <w:t>The effect demonstrated by the red curve</w:t>
      </w:r>
      <w:r w:rsidRPr="0005293A">
        <w:rPr>
          <w:rFonts w:ascii="Book Antiqua" w:hAnsi="Book Antiqua"/>
          <w:sz w:val="20"/>
        </w:rPr>
        <w:t xml:space="preserve"> is the situation that already exists with the known data, and tends to suggest that the standard equation is at fault. </w:t>
      </w:r>
      <w:r>
        <w:rPr>
          <w:rFonts w:ascii="Book Antiqua" w:hAnsi="Book Antiqua"/>
          <w:sz w:val="20"/>
        </w:rPr>
        <w:t>Looking at the behavior of the Zero Point Energy</w:t>
      </w:r>
      <w:r w:rsidRPr="0005293A">
        <w:rPr>
          <w:rFonts w:ascii="Book Antiqua" w:hAnsi="Book Antiqua"/>
          <w:sz w:val="20"/>
        </w:rPr>
        <w:t xml:space="preserve"> is a simpler approach than invoking an initially decelerating and then an accelerating universe. The precise position of the turnaround (where the red line crosses the blue line) and the separation of the two curves on the vertical segment is adjustable by tweaking the values </w:t>
      </w:r>
      <w:proofErr w:type="gramStart"/>
      <w:r w:rsidRPr="0005293A">
        <w:rPr>
          <w:rFonts w:ascii="Book Antiqua" w:hAnsi="Book Antiqua"/>
          <w:sz w:val="20"/>
        </w:rPr>
        <w:t xml:space="preserve">of </w:t>
      </w:r>
      <m:oMath>
        <w:proofErr w:type="gramEnd"/>
        <m:r>
          <w:rPr>
            <w:rFonts w:ascii="Cambria Math" w:hAnsi="Cambria Math"/>
            <w:sz w:val="20"/>
          </w:rPr>
          <m:t>a</m:t>
        </m:r>
      </m:oMath>
      <w:r w:rsidRPr="0005293A">
        <w:rPr>
          <w:rFonts w:ascii="Book Antiqua" w:hAnsi="Book Antiqua"/>
          <w:sz w:val="20"/>
        </w:rPr>
        <w:t xml:space="preserve">, </w:t>
      </w:r>
      <m:oMath>
        <m:r>
          <w:rPr>
            <w:rFonts w:ascii="Cambria Math" w:hAnsi="Cambria Math"/>
            <w:sz w:val="20"/>
          </w:rPr>
          <m:t>b</m:t>
        </m:r>
      </m:oMath>
      <w:r w:rsidRPr="0005293A">
        <w:rPr>
          <w:rFonts w:ascii="Book Antiqua" w:hAnsi="Book Antiqua"/>
          <w:sz w:val="20"/>
        </w:rPr>
        <w:t xml:space="preserve"> and </w:t>
      </w:r>
      <m:oMath>
        <m:r>
          <w:rPr>
            <w:rFonts w:ascii="Cambria Math" w:hAnsi="Cambria Math"/>
            <w:sz w:val="20"/>
          </w:rPr>
          <m:t>k</m:t>
        </m:r>
      </m:oMath>
      <w:r w:rsidRPr="0005293A">
        <w:rPr>
          <w:rFonts w:ascii="Book Antiqua" w:hAnsi="Book Antiqua"/>
          <w:sz w:val="20"/>
        </w:rPr>
        <w:t xml:space="preserve"> in equation (23).</w:t>
      </w:r>
    </w:p>
    <w:p w:rsidR="00BC1170" w:rsidRDefault="00BC1170" w:rsidP="00BC1170">
      <w:pPr>
        <w:pStyle w:val="NoSpacing"/>
        <w:ind w:firstLine="720"/>
        <w:jc w:val="both"/>
        <w:rPr>
          <w:rFonts w:ascii="Book Antiqua" w:hAnsi="Book Antiqua"/>
          <w:sz w:val="20"/>
        </w:rPr>
      </w:pPr>
    </w:p>
    <w:p w:rsidR="00BC1170" w:rsidRDefault="00BC1170" w:rsidP="00BC1170">
      <w:pPr>
        <w:pStyle w:val="NoSpacing"/>
        <w:ind w:firstLine="720"/>
        <w:jc w:val="both"/>
        <w:rPr>
          <w:rFonts w:ascii="Book Antiqua" w:hAnsi="Book Antiqua"/>
          <w:sz w:val="20"/>
        </w:rPr>
      </w:pPr>
      <w:r>
        <w:rPr>
          <w:rFonts w:ascii="Book Antiqua" w:hAnsi="Book Antiqua"/>
          <w:sz w:val="20"/>
        </w:rPr>
        <w:t xml:space="preserve">It needs to be noted that the initial formulation of the equation derived here involved Planck Particle Pair generation due to expansion and turbulence, plus the effects of recombination on PPP numbers while these processes </w:t>
      </w:r>
      <w:r>
        <w:rPr>
          <w:rFonts w:ascii="Book Antiqua" w:hAnsi="Book Antiqua"/>
          <w:sz w:val="20"/>
        </w:rPr>
        <w:lastRenderedPageBreak/>
        <w:t xml:space="preserve">were operating. These processes were complete at </w:t>
      </w:r>
      <m:oMath>
        <m:r>
          <w:rPr>
            <w:rFonts w:ascii="Cambria Math" w:hAnsi="Cambria Math"/>
            <w:sz w:val="20"/>
          </w:rPr>
          <m:t>T = 0</m:t>
        </m:r>
      </m:oMath>
      <w:r>
        <w:rPr>
          <w:rFonts w:ascii="Book Antiqua" w:hAnsi="Book Antiqua"/>
          <w:sz w:val="20"/>
        </w:rPr>
        <w:t xml:space="preserve"> </w:t>
      </w:r>
      <w:proofErr w:type="gramStart"/>
      <w:r>
        <w:rPr>
          <w:rFonts w:ascii="Book Antiqua" w:hAnsi="Book Antiqua"/>
          <w:sz w:val="20"/>
        </w:rPr>
        <w:t xml:space="preserve">or </w:t>
      </w:r>
      <m:oMath>
        <w:proofErr w:type="gramEnd"/>
        <m:r>
          <w:rPr>
            <w:rFonts w:ascii="Cambria Math" w:hAnsi="Cambria Math"/>
            <w:sz w:val="20"/>
          </w:rPr>
          <m:t>t = 1</m:t>
        </m:r>
      </m:oMath>
      <w:r>
        <w:rPr>
          <w:rFonts w:ascii="Book Antiqua" w:hAnsi="Book Antiqua"/>
          <w:sz w:val="20"/>
        </w:rPr>
        <w:t xml:space="preserve">. Since we are dealing with a redshift which is decreasing from a high number down to zero as time progresses, it follows that </w:t>
      </w:r>
      <w:proofErr w:type="gramStart"/>
      <w:r>
        <w:rPr>
          <w:rFonts w:ascii="Book Antiqua" w:hAnsi="Book Antiqua"/>
          <w:sz w:val="20"/>
        </w:rPr>
        <w:t xml:space="preserve">when </w:t>
      </w:r>
      <m:oMath>
        <w:proofErr w:type="gramEnd"/>
        <m:r>
          <w:rPr>
            <w:rFonts w:ascii="Cambria Math" w:hAnsi="Cambria Math"/>
            <w:sz w:val="20"/>
          </w:rPr>
          <m:t>T = 0</m:t>
        </m:r>
      </m:oMath>
      <w:r>
        <w:rPr>
          <w:rFonts w:ascii="Book Antiqua" w:hAnsi="Book Antiqua"/>
          <w:sz w:val="20"/>
        </w:rPr>
        <w:t xml:space="preserve">, then the redshift  </w:t>
      </w:r>
      <m:oMath>
        <m:r>
          <w:rPr>
            <w:rFonts w:ascii="Cambria Math" w:hAnsi="Cambria Math"/>
            <w:sz w:val="20"/>
          </w:rPr>
          <m:t>z = 0</m:t>
        </m:r>
      </m:oMath>
      <w:r>
        <w:rPr>
          <w:rFonts w:ascii="Book Antiqua" w:hAnsi="Book Antiqua"/>
          <w:sz w:val="20"/>
        </w:rPr>
        <w:t xml:space="preserve"> also. At this point, the equation and its relevance ceases, since turbulence is a key component of the formulation of Planck Particle Pairs. Once all turbulence ceased, no more PPP were being formed. This means that these equations had reached the limits of their applicability. All that was left from that point on was the recombination of the PPP that were present at the moment when all turbulence ceased. This recombination resulted in the final build-up of the ZPE to its maximum, following which variation in ZPE strength occurred due to the Narlikar-Arp universal oscillation.</w:t>
      </w:r>
    </w:p>
    <w:p w:rsidR="00BC1170" w:rsidRDefault="00BC1170" w:rsidP="00BC1170">
      <w:pPr>
        <w:pStyle w:val="NoSpacing"/>
        <w:ind w:firstLine="720"/>
        <w:jc w:val="both"/>
        <w:rPr>
          <w:rFonts w:ascii="Book Antiqua" w:hAnsi="Book Antiqua"/>
          <w:sz w:val="20"/>
        </w:rPr>
      </w:pPr>
    </w:p>
    <w:p w:rsidR="00BC1170" w:rsidRPr="00E97F80" w:rsidRDefault="00BC1170" w:rsidP="00BC1170">
      <w:pPr>
        <w:pStyle w:val="NoSpacing"/>
        <w:ind w:firstLine="720"/>
        <w:jc w:val="both"/>
        <w:rPr>
          <w:rFonts w:ascii="Book Antiqua" w:hAnsi="Book Antiqua"/>
          <w:sz w:val="20"/>
        </w:rPr>
      </w:pPr>
      <w:r w:rsidRPr="00E97F80">
        <w:rPr>
          <w:rFonts w:ascii="Book Antiqua" w:hAnsi="Book Antiqua"/>
          <w:sz w:val="20"/>
        </w:rPr>
        <w:t xml:space="preserve">As shown in Chapter 5, recombination of a set number of positive and negative charges is </w:t>
      </w:r>
      <w:r w:rsidR="007A1DBC">
        <w:rPr>
          <w:rFonts w:ascii="Book Antiqua" w:hAnsi="Book Antiqua"/>
          <w:sz w:val="20"/>
        </w:rPr>
        <w:t>often</w:t>
      </w:r>
      <w:r w:rsidRPr="00E97F80">
        <w:rPr>
          <w:rFonts w:ascii="Book Antiqua" w:hAnsi="Book Antiqua"/>
          <w:sz w:val="20"/>
        </w:rPr>
        <w:t xml:space="preserve"> a linear process as experimentally determined in laboratories. This is illustrated by the graph in Figure 2 here, where a defined quantity of Argon ions recombines with electrons, and in Figures 15 and 16 in Chapter 5, where hydrogen ions (protons) recombine with electrons.</w:t>
      </w:r>
    </w:p>
    <w:p w:rsidR="00BC1170" w:rsidRDefault="00BC1170" w:rsidP="00BC1170">
      <w:pPr>
        <w:pStyle w:val="NoSpacing"/>
        <w:ind w:firstLine="720"/>
        <w:jc w:val="both"/>
        <w:rPr>
          <w:rFonts w:ascii="Book Antiqua" w:hAnsi="Book Antiqua"/>
          <w:sz w:val="20"/>
        </w:rPr>
      </w:pPr>
    </w:p>
    <w:p w:rsidR="00BC1170" w:rsidRPr="00372C58" w:rsidRDefault="00BC1170" w:rsidP="00BC1170">
      <w:pPr>
        <w:pStyle w:val="NoSpacing"/>
        <w:jc w:val="center"/>
        <w:rPr>
          <w:rFonts w:ascii="Book Antiqua" w:hAnsi="Book Antiqua"/>
          <w:sz w:val="20"/>
        </w:rPr>
      </w:pPr>
      <w:r w:rsidRPr="00325F76">
        <w:rPr>
          <w:rFonts w:ascii="Book Antiqua" w:hAnsi="Book Antiqua"/>
          <w:noProof/>
          <w:sz w:val="20"/>
        </w:rPr>
        <w:drawing>
          <wp:inline distT="0" distB="0" distL="0" distR="0">
            <wp:extent cx="4875733" cy="3742125"/>
            <wp:effectExtent l="19050" t="0" r="1067" b="0"/>
            <wp:docPr id="21" name="Picture 13"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
                    <pic:cNvPicPr>
                      <a:picLocks noChangeAspect="1" noChangeArrowheads="1"/>
                    </pic:cNvPicPr>
                  </pic:nvPicPr>
                  <pic:blipFill>
                    <a:blip r:embed="rId231" cstate="print"/>
                    <a:srcRect/>
                    <a:stretch>
                      <a:fillRect/>
                    </a:stretch>
                  </pic:blipFill>
                  <pic:spPr bwMode="auto">
                    <a:xfrm>
                      <a:off x="0" y="0"/>
                      <a:ext cx="4878874" cy="3744536"/>
                    </a:xfrm>
                    <a:prstGeom prst="rect">
                      <a:avLst/>
                    </a:prstGeom>
                    <a:noFill/>
                    <a:ln w="9525">
                      <a:noFill/>
                      <a:miter lim="800000"/>
                      <a:headEnd/>
                      <a:tailEnd/>
                    </a:ln>
                  </pic:spPr>
                </pic:pic>
              </a:graphicData>
            </a:graphic>
          </wp:inline>
        </w:drawing>
      </w:r>
    </w:p>
    <w:p w:rsidR="00BC1170" w:rsidRPr="00372C58" w:rsidRDefault="00BC1170" w:rsidP="00BC1170">
      <w:pPr>
        <w:pStyle w:val="NoSpacing"/>
        <w:ind w:firstLine="720"/>
        <w:jc w:val="both"/>
        <w:rPr>
          <w:rFonts w:ascii="Book Antiqua" w:hAnsi="Book Antiqua"/>
          <w:bCs/>
          <w:iCs/>
          <w:color w:val="000000"/>
          <w:sz w:val="20"/>
        </w:rPr>
      </w:pPr>
    </w:p>
    <w:p w:rsidR="00BC1170" w:rsidRPr="001D4FDA" w:rsidRDefault="00BC1170" w:rsidP="00BC1170">
      <w:pPr>
        <w:pStyle w:val="NoSpacing"/>
        <w:rPr>
          <w:rFonts w:ascii="Book Antiqua" w:hAnsi="Book Antiqua"/>
          <w:i/>
          <w:sz w:val="20"/>
        </w:rPr>
      </w:pPr>
      <w:r w:rsidRPr="001D4FDA">
        <w:rPr>
          <w:rFonts w:ascii="Book Antiqua" w:hAnsi="Book Antiqua"/>
          <w:b/>
          <w:i/>
          <w:sz w:val="18"/>
          <w:szCs w:val="18"/>
        </w:rPr>
        <w:t>Figure 2:</w:t>
      </w:r>
      <w:r w:rsidRPr="001D4FDA">
        <w:rPr>
          <w:rFonts w:ascii="Book Antiqua" w:hAnsi="Book Antiqua"/>
          <w:i/>
          <w:sz w:val="18"/>
          <w:szCs w:val="18"/>
        </w:rPr>
        <w:t xml:space="preserve"> Experimental results using a fixed concentration of Argon atoms. Reading the graph from left to right gives the ionization rate of neutral Argon atoms.</w:t>
      </w:r>
      <w:r>
        <w:rPr>
          <w:rFonts w:ascii="Book Antiqua" w:hAnsi="Book Antiqua"/>
          <w:i/>
          <w:sz w:val="18"/>
          <w:szCs w:val="18"/>
        </w:rPr>
        <w:t xml:space="preserve"> </w:t>
      </w:r>
      <w:r w:rsidRPr="001D4FDA">
        <w:rPr>
          <w:rFonts w:ascii="Book Antiqua" w:hAnsi="Book Antiqua"/>
          <w:i/>
          <w:sz w:val="18"/>
          <w:szCs w:val="18"/>
        </w:rPr>
        <w:t xml:space="preserve">This is determined by the free electron density given vertically with time horizontally. The plateau on the upper right occurs when all argon atoms have been ionized. Reading the graph from right to left gives the recombination rate of the fixed concentration of Argon ions and electrons from the level of the plateau down to only neutral atoms at the zero mark. In both cases, the rate constant </w:t>
      </w:r>
      <w:proofErr w:type="gramStart"/>
      <w:r w:rsidRPr="001D4FDA">
        <w:rPr>
          <w:rFonts w:ascii="Book Antiqua" w:hAnsi="Book Antiqua"/>
          <w:i/>
          <w:sz w:val="18"/>
          <w:szCs w:val="18"/>
        </w:rPr>
        <w:t xml:space="preserve">is </w:t>
      </w:r>
      <m:oMath>
        <w:proofErr w:type="gramEnd"/>
        <m:sSub>
          <m:sSubPr>
            <m:ctrlPr>
              <w:rPr>
                <w:rFonts w:ascii="Cambria Math" w:hAnsi="Book Antiqua"/>
                <w:i/>
                <w:sz w:val="18"/>
                <w:szCs w:val="18"/>
              </w:rPr>
            </m:ctrlPr>
          </m:sSubPr>
          <m:e>
            <m:r>
              <w:rPr>
                <w:rFonts w:ascii="Cambria Math" w:hAnsi="Cambria Math"/>
                <w:sz w:val="18"/>
                <w:szCs w:val="18"/>
              </w:rPr>
              <m:t>k</m:t>
            </m:r>
          </m:e>
          <m:sub>
            <m:r>
              <w:rPr>
                <w:rFonts w:ascii="Cambria Math" w:hAnsi="Book Antiqua"/>
                <w:sz w:val="18"/>
                <w:szCs w:val="18"/>
              </w:rPr>
              <m:t>1</m:t>
            </m:r>
          </m:sub>
        </m:sSub>
      </m:oMath>
      <w:r w:rsidRPr="001D4FDA">
        <w:rPr>
          <w:rFonts w:ascii="Book Antiqua" w:hAnsi="Book Antiqua"/>
          <w:i/>
          <w:sz w:val="18"/>
          <w:szCs w:val="18"/>
        </w:rPr>
        <w:t>. It can be seen that the recombination (or ionization) rate for a set number of ions (or atoms), is basically a linear function</w:t>
      </w:r>
      <w:r w:rsidR="007A1DBC">
        <w:rPr>
          <w:rFonts w:ascii="Book Antiqua" w:hAnsi="Book Antiqua"/>
          <w:i/>
          <w:sz w:val="18"/>
          <w:szCs w:val="18"/>
        </w:rPr>
        <w:t xml:space="preserve"> in this case, and many others likewise</w:t>
      </w:r>
      <w:r w:rsidRPr="001D4FDA">
        <w:rPr>
          <w:rFonts w:ascii="Book Antiqua" w:hAnsi="Book Antiqua"/>
          <w:i/>
          <w:sz w:val="18"/>
          <w:szCs w:val="18"/>
        </w:rPr>
        <w:t>.</w:t>
      </w:r>
    </w:p>
    <w:p w:rsidR="00BC1170" w:rsidRPr="00372C58" w:rsidRDefault="00BC1170" w:rsidP="00BC1170">
      <w:pPr>
        <w:pStyle w:val="NoSpacing"/>
        <w:jc w:val="center"/>
        <w:rPr>
          <w:rFonts w:ascii="Book Antiqua" w:hAnsi="Book Antiqua"/>
          <w:sz w:val="20"/>
        </w:rPr>
      </w:pPr>
    </w:p>
    <w:p w:rsidR="00BC1170" w:rsidRDefault="00BC1170" w:rsidP="00BC1170">
      <w:pPr>
        <w:pStyle w:val="NoSpacing"/>
        <w:ind w:firstLine="720"/>
        <w:jc w:val="both"/>
        <w:rPr>
          <w:rFonts w:ascii="Book Antiqua" w:hAnsi="Book Antiqua"/>
          <w:sz w:val="20"/>
        </w:rPr>
      </w:pPr>
      <w:r>
        <w:rPr>
          <w:rFonts w:ascii="Book Antiqua" w:hAnsi="Book Antiqua"/>
          <w:sz w:val="20"/>
        </w:rPr>
        <w:t xml:space="preserve">The conclusion is that, following the cessation of Planck Particle Pair build-up through turbulence, the system will undergo recombination exclusively. That then will lead to a steep </w:t>
      </w:r>
      <w:r w:rsidR="007A1DBC">
        <w:rPr>
          <w:rFonts w:ascii="Book Antiqua" w:hAnsi="Book Antiqua"/>
          <w:sz w:val="20"/>
        </w:rPr>
        <w:t xml:space="preserve">and probably </w:t>
      </w:r>
      <w:r>
        <w:rPr>
          <w:rFonts w:ascii="Book Antiqua" w:hAnsi="Book Antiqua"/>
          <w:sz w:val="20"/>
        </w:rPr>
        <w:t xml:space="preserve">linear decline in PPP numbers and an inverse rapid linear build-up of the ZPE strength after the redshift function has ceased. Data discussed in Chapter 5 suggest that the </w:t>
      </w:r>
      <w:r w:rsidRPr="007A6B4A">
        <w:rPr>
          <w:rFonts w:ascii="Book Antiqua" w:hAnsi="Book Antiqua"/>
          <w:sz w:val="20"/>
        </w:rPr>
        <w:t>cosmic</w:t>
      </w:r>
      <w:r>
        <w:rPr>
          <w:rFonts w:ascii="Book Antiqua" w:hAnsi="Book Antiqua"/>
          <w:color w:val="FF0000"/>
          <w:sz w:val="20"/>
        </w:rPr>
        <w:t xml:space="preserve"> </w:t>
      </w:r>
      <w:r>
        <w:rPr>
          <w:rFonts w:ascii="Book Antiqua" w:hAnsi="Book Antiqua"/>
          <w:sz w:val="20"/>
        </w:rPr>
        <w:t xml:space="preserve">redshift function ceases relatively nearby in astronomical terms. </w:t>
      </w:r>
    </w:p>
    <w:p w:rsidR="00BC1170" w:rsidRDefault="00BC1170" w:rsidP="00BC1170">
      <w:pPr>
        <w:pStyle w:val="NoSpacing"/>
        <w:ind w:firstLine="720"/>
        <w:jc w:val="both"/>
        <w:rPr>
          <w:rFonts w:ascii="Book Antiqua" w:hAnsi="Book Antiqua"/>
          <w:sz w:val="20"/>
        </w:rPr>
      </w:pPr>
    </w:p>
    <w:p w:rsidR="00BC1170" w:rsidRDefault="00BC1170" w:rsidP="00BC1170">
      <w:pPr>
        <w:pStyle w:val="NoSpacing"/>
        <w:jc w:val="both"/>
        <w:rPr>
          <w:rFonts w:ascii="Book Antiqua" w:hAnsi="Book Antiqua"/>
          <w:b/>
          <w:sz w:val="20"/>
        </w:rPr>
      </w:pPr>
    </w:p>
    <w:p w:rsidR="00BC1170" w:rsidRPr="0005293A" w:rsidRDefault="00BC1170" w:rsidP="00BC1170">
      <w:pPr>
        <w:pStyle w:val="NoSpacing"/>
        <w:jc w:val="both"/>
        <w:rPr>
          <w:rFonts w:ascii="Book Antiqua" w:hAnsi="Book Antiqua"/>
          <w:i/>
          <w:sz w:val="20"/>
        </w:rPr>
      </w:pPr>
      <w:r w:rsidRPr="0005293A">
        <w:rPr>
          <w:rFonts w:ascii="Book Antiqua" w:hAnsi="Book Antiqua"/>
          <w:b/>
          <w:sz w:val="20"/>
        </w:rPr>
        <w:t xml:space="preserve">References </w:t>
      </w:r>
      <w:r w:rsidRPr="0005293A">
        <w:rPr>
          <w:rFonts w:ascii="Book Antiqua" w:hAnsi="Book Antiqua"/>
          <w:sz w:val="20"/>
        </w:rPr>
        <w:t xml:space="preserve">– </w:t>
      </w:r>
      <w:r w:rsidRPr="0005293A">
        <w:rPr>
          <w:rFonts w:ascii="Book Antiqua" w:hAnsi="Book Antiqua"/>
          <w:i/>
          <w:sz w:val="20"/>
        </w:rPr>
        <w:t>All URL’s retrieved 20</w:t>
      </w:r>
      <w:r w:rsidRPr="0005293A">
        <w:rPr>
          <w:rFonts w:ascii="Book Antiqua" w:hAnsi="Book Antiqua"/>
          <w:i/>
          <w:sz w:val="20"/>
          <w:vertAlign w:val="superscript"/>
        </w:rPr>
        <w:t>th</w:t>
      </w:r>
      <w:r w:rsidRPr="0005293A">
        <w:rPr>
          <w:rFonts w:ascii="Book Antiqua" w:hAnsi="Book Antiqua"/>
          <w:i/>
          <w:sz w:val="20"/>
        </w:rPr>
        <w:t xml:space="preserve"> September 2012</w:t>
      </w:r>
    </w:p>
    <w:p w:rsidR="00BC1170" w:rsidRPr="0005293A" w:rsidRDefault="00BC1170" w:rsidP="00BC1170">
      <w:pPr>
        <w:pStyle w:val="NoSpacing"/>
        <w:jc w:val="both"/>
        <w:rPr>
          <w:rFonts w:ascii="Book Antiqua" w:hAnsi="Book Antiqua"/>
          <w:b/>
          <w:i/>
          <w:sz w:val="20"/>
        </w:rPr>
      </w:pP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[1</w:t>
      </w:r>
      <w:proofErr w:type="gramStart"/>
      <w:r w:rsidRPr="0005293A">
        <w:rPr>
          <w:rFonts w:ascii="Book Antiqua" w:hAnsi="Book Antiqua"/>
          <w:sz w:val="16"/>
          <w:szCs w:val="16"/>
        </w:rPr>
        <w:t>]  See</w:t>
      </w:r>
      <w:proofErr w:type="gramEnd"/>
      <w:r w:rsidRPr="0005293A">
        <w:rPr>
          <w:rFonts w:ascii="Book Antiqua" w:hAnsi="Book Antiqua"/>
          <w:sz w:val="16"/>
          <w:szCs w:val="16"/>
        </w:rPr>
        <w:t xml:space="preserve"> under “recombination coefficient” in </w:t>
      </w:r>
      <w:r w:rsidRPr="0005293A">
        <w:rPr>
          <w:rFonts w:ascii="Book Antiqua" w:hAnsi="Book Antiqua"/>
          <w:i/>
          <w:sz w:val="16"/>
          <w:szCs w:val="16"/>
        </w:rPr>
        <w:t>American Meteorological Society Glossary of Meteorology</w:t>
      </w:r>
      <w:r w:rsidRPr="0005293A">
        <w:rPr>
          <w:rFonts w:ascii="Book Antiqua" w:hAnsi="Book Antiqua"/>
          <w:sz w:val="16"/>
          <w:szCs w:val="16"/>
        </w:rPr>
        <w:t xml:space="preserve">, available at: </w:t>
      </w:r>
    </w:p>
    <w:p w:rsidR="00BC1170" w:rsidRPr="0005293A" w:rsidRDefault="00241D2F" w:rsidP="00BC1170">
      <w:pPr>
        <w:pStyle w:val="NoSpacing"/>
        <w:rPr>
          <w:rFonts w:ascii="Book Antiqua" w:hAnsi="Book Antiqua"/>
          <w:i/>
          <w:sz w:val="16"/>
          <w:szCs w:val="16"/>
        </w:rPr>
      </w:pPr>
      <w:hyperlink r:id="rId1239" w:history="1">
        <w:r w:rsidR="00BC1170" w:rsidRPr="0005293A">
          <w:rPr>
            <w:rStyle w:val="Hyperlink"/>
            <w:rFonts w:ascii="Book Antiqua" w:hAnsi="Book Antiqua"/>
            <w:i/>
            <w:szCs w:val="16"/>
          </w:rPr>
          <w:t>http://amsglossary.allenpress.com/glossary/browse?s=r&amp;p=30</w:t>
        </w:r>
      </w:hyperlink>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[2] C. H. Gibson, “Turbulence and mixing in the early universe,” Keynote Paper, International Conference Mechanical Engineering, Dhaka, Bangladesh, Dec. 26 to 28, 2001. Available at:</w:t>
      </w:r>
    </w:p>
    <w:p w:rsidR="00BC1170" w:rsidRPr="0005293A" w:rsidRDefault="00BC1170" w:rsidP="00BC1170">
      <w:pPr>
        <w:pStyle w:val="NoSpacing"/>
        <w:rPr>
          <w:rFonts w:ascii="Book Antiqua" w:hAnsi="Book Antiqua"/>
          <w:i/>
          <w:sz w:val="16"/>
          <w:szCs w:val="16"/>
        </w:rPr>
      </w:pPr>
      <w:r w:rsidRPr="0005293A">
        <w:rPr>
          <w:rFonts w:ascii="Book Antiqua" w:hAnsi="Book Antiqua"/>
          <w:i/>
          <w:sz w:val="16"/>
          <w:szCs w:val="16"/>
        </w:rPr>
        <w:t xml:space="preserve"> </w:t>
      </w:r>
      <w:hyperlink r:id="rId1240" w:history="1">
        <w:r w:rsidRPr="0005293A">
          <w:rPr>
            <w:rStyle w:val="Hyperlink"/>
            <w:rFonts w:ascii="Book Antiqua" w:hAnsi="Book Antiqua"/>
            <w:i/>
            <w:szCs w:val="16"/>
          </w:rPr>
          <w:t>http://arxiv.org/abs/astro-ph/0110012</w:t>
        </w:r>
      </w:hyperlink>
    </w:p>
    <w:p w:rsidR="00BC1170" w:rsidRPr="0005293A" w:rsidRDefault="00BC1170" w:rsidP="00BC1170">
      <w:pPr>
        <w:pStyle w:val="NoSpacing"/>
        <w:rPr>
          <w:rFonts w:ascii="Book Antiqua" w:hAnsi="Book Antiqua"/>
          <w:i/>
          <w:sz w:val="16"/>
          <w:szCs w:val="16"/>
        </w:rPr>
      </w:pPr>
      <w:r w:rsidRPr="0005293A">
        <w:rPr>
          <w:rFonts w:ascii="Book Antiqua" w:hAnsi="Book Antiqua"/>
          <w:sz w:val="16"/>
          <w:szCs w:val="16"/>
        </w:rPr>
        <w:t>[</w:t>
      </w:r>
      <w:proofErr w:type="gramStart"/>
      <w:r w:rsidRPr="0005293A">
        <w:rPr>
          <w:rFonts w:ascii="Book Antiqua" w:hAnsi="Book Antiqua"/>
          <w:sz w:val="16"/>
          <w:szCs w:val="16"/>
        </w:rPr>
        <w:t>3  See</w:t>
      </w:r>
      <w:proofErr w:type="gramEnd"/>
      <w:r w:rsidRPr="0005293A">
        <w:rPr>
          <w:rFonts w:ascii="Book Antiqua" w:hAnsi="Book Antiqua"/>
          <w:sz w:val="16"/>
          <w:szCs w:val="16"/>
        </w:rPr>
        <w:t>, for example, Astronomy 871 – Physics of the ISM, page III-3, available at:</w:t>
      </w:r>
      <w:r w:rsidRPr="0005293A">
        <w:rPr>
          <w:rFonts w:ascii="Book Antiqua" w:hAnsi="Book Antiqua"/>
          <w:i/>
          <w:sz w:val="16"/>
          <w:szCs w:val="16"/>
        </w:rPr>
        <w:t xml:space="preserve"> </w:t>
      </w:r>
    </w:p>
    <w:p w:rsidR="00BC1170" w:rsidRPr="0005293A" w:rsidRDefault="00241D2F" w:rsidP="00BC1170">
      <w:pPr>
        <w:pStyle w:val="NoSpacing"/>
        <w:rPr>
          <w:rFonts w:ascii="Book Antiqua" w:hAnsi="Book Antiqua"/>
          <w:sz w:val="16"/>
          <w:szCs w:val="16"/>
        </w:rPr>
      </w:pPr>
      <w:hyperlink r:id="rId1241" w:history="1">
        <w:r w:rsidR="00BC1170" w:rsidRPr="0005293A">
          <w:rPr>
            <w:rStyle w:val="Hyperlink"/>
            <w:rFonts w:ascii="Book Antiqua" w:hAnsi="Book Antiqua"/>
            <w:i/>
            <w:szCs w:val="16"/>
          </w:rPr>
          <w:t>http://www.astronomy.ohio-state.edu/~pogge/Ast871/</w:t>
        </w:r>
      </w:hyperlink>
      <w:r w:rsidR="00BC1170" w:rsidRPr="0005293A">
        <w:rPr>
          <w:rFonts w:ascii="Book Antiqua" w:hAnsi="Book Antiqua"/>
          <w:sz w:val="16"/>
          <w:szCs w:val="16"/>
        </w:rPr>
        <w:t xml:space="preserve">     </w:t>
      </w: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[4] R. M. Zwaska et al., “Beam Tests of Ionization Chambers…” at:</w:t>
      </w:r>
    </w:p>
    <w:p w:rsidR="00BC1170" w:rsidRPr="0005293A" w:rsidRDefault="00BC1170" w:rsidP="00BC1170">
      <w:pPr>
        <w:pStyle w:val="NoSpacing"/>
        <w:jc w:val="both"/>
        <w:rPr>
          <w:rFonts w:ascii="Book Antiqua" w:hAnsi="Book Antiqua"/>
          <w:i/>
          <w:sz w:val="16"/>
          <w:szCs w:val="16"/>
        </w:rPr>
      </w:pPr>
      <w:r w:rsidRPr="0005293A">
        <w:rPr>
          <w:rFonts w:ascii="Book Antiqua" w:hAnsi="Book Antiqua"/>
          <w:i/>
          <w:sz w:val="16"/>
          <w:szCs w:val="16"/>
        </w:rPr>
        <w:t xml:space="preserve"> </w:t>
      </w:r>
      <w:hyperlink r:id="rId1242" w:history="1">
        <w:r w:rsidRPr="0005293A">
          <w:rPr>
            <w:rStyle w:val="Hyperlink"/>
            <w:rFonts w:ascii="Book Antiqua" w:hAnsi="Book Antiqua"/>
            <w:i/>
            <w:szCs w:val="16"/>
          </w:rPr>
          <w:t>http://home.fnal.gov/~morfin/minos/monitor_ieee.pdf</w:t>
        </w:r>
      </w:hyperlink>
      <w:r w:rsidRPr="0005293A">
        <w:rPr>
          <w:rFonts w:ascii="Book Antiqua" w:hAnsi="Book Antiqua"/>
          <w:i/>
          <w:sz w:val="16"/>
          <w:szCs w:val="16"/>
        </w:rPr>
        <w:t>.</w:t>
      </w:r>
      <w:r w:rsidRPr="0005293A">
        <w:rPr>
          <w:rFonts w:ascii="Book Antiqua" w:hAnsi="Book Antiqua"/>
          <w:sz w:val="16"/>
          <w:szCs w:val="16"/>
        </w:rPr>
        <w:t xml:space="preserve"> See under their Section B following their Figure 9.</w:t>
      </w: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 xml:space="preserve">[5] M-M MacLow, R. S. Klessen &amp; A. Burket, </w:t>
      </w:r>
      <w:r w:rsidRPr="0005293A">
        <w:rPr>
          <w:rFonts w:ascii="Book Antiqua" w:hAnsi="Book Antiqua"/>
          <w:i/>
          <w:sz w:val="16"/>
          <w:szCs w:val="16"/>
        </w:rPr>
        <w:t>Physical Review Letters</w:t>
      </w:r>
      <w:r w:rsidRPr="0005293A">
        <w:rPr>
          <w:rFonts w:ascii="Book Antiqua" w:hAnsi="Book Antiqua"/>
          <w:sz w:val="16"/>
          <w:szCs w:val="16"/>
        </w:rPr>
        <w:t xml:space="preserve"> </w:t>
      </w:r>
      <w:r w:rsidRPr="0005293A">
        <w:rPr>
          <w:rFonts w:ascii="Book Antiqua" w:hAnsi="Book Antiqua"/>
          <w:b/>
          <w:sz w:val="16"/>
          <w:szCs w:val="16"/>
        </w:rPr>
        <w:t>80</w:t>
      </w:r>
      <w:r w:rsidRPr="0005293A">
        <w:rPr>
          <w:rFonts w:ascii="Book Antiqua" w:hAnsi="Book Antiqua"/>
          <w:sz w:val="16"/>
          <w:szCs w:val="16"/>
        </w:rPr>
        <w:t>:13, p.2754, (1998).</w:t>
      </w:r>
    </w:p>
    <w:p w:rsidR="00BC1170" w:rsidRPr="00560C26" w:rsidRDefault="00BC1170" w:rsidP="00BC1170">
      <w:pPr>
        <w:pStyle w:val="NoSpacing"/>
        <w:rPr>
          <w:rFonts w:ascii="Book Antiqua" w:hAnsi="Book Antiqua"/>
          <w:sz w:val="16"/>
          <w:szCs w:val="16"/>
        </w:rPr>
      </w:pPr>
      <w:proofErr w:type="gramStart"/>
      <w:r w:rsidRPr="0005293A">
        <w:rPr>
          <w:rFonts w:ascii="Book Antiqua" w:hAnsi="Book Antiqua"/>
          <w:sz w:val="16"/>
          <w:szCs w:val="16"/>
        </w:rPr>
        <w:t xml:space="preserve">[6] W. J. Moore, </w:t>
      </w:r>
      <w:r w:rsidRPr="0005293A">
        <w:rPr>
          <w:rFonts w:ascii="Book Antiqua" w:hAnsi="Book Antiqua"/>
          <w:i/>
          <w:sz w:val="16"/>
          <w:szCs w:val="16"/>
        </w:rPr>
        <w:t>Physical Chemistry</w:t>
      </w:r>
      <w:r w:rsidRPr="0005293A">
        <w:rPr>
          <w:rFonts w:ascii="Book Antiqua" w:hAnsi="Book Antiqua"/>
          <w:sz w:val="16"/>
          <w:szCs w:val="16"/>
        </w:rPr>
        <w:t>, 3rd Edition, pp.530-531, (Longmans, 1961).</w:t>
      </w:r>
      <w:proofErr w:type="gramEnd"/>
    </w:p>
    <w:p w:rsidR="00BC1170" w:rsidRDefault="00BC1170" w:rsidP="00BC1170">
      <w:pPr>
        <w:pStyle w:val="NoSpacing"/>
        <w:rPr>
          <w:rFonts w:ascii="Book Antiqua" w:hAnsi="Book Antiqua"/>
          <w:bCs/>
          <w:iCs/>
          <w:color w:val="000000"/>
          <w:sz w:val="16"/>
          <w:szCs w:val="16"/>
        </w:rPr>
      </w:pPr>
    </w:p>
    <w:p w:rsidR="00BC1170" w:rsidRPr="00D112AF" w:rsidRDefault="00BC1170" w:rsidP="00BC1170">
      <w:pPr>
        <w:pStyle w:val="NoSpacing"/>
        <w:rPr>
          <w:rFonts w:ascii="Book Antiqua" w:hAnsi="Book Antiqua"/>
          <w:b/>
          <w:i/>
          <w:sz w:val="20"/>
        </w:rPr>
      </w:pPr>
      <w:r w:rsidRPr="00D112AF">
        <w:rPr>
          <w:rFonts w:ascii="Book Antiqua" w:hAnsi="Book Antiqua"/>
          <w:b/>
          <w:i/>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BC1170" w:rsidRPr="00560C26" w:rsidRDefault="00BC1170" w:rsidP="00BC1170">
      <w:pPr>
        <w:pStyle w:val="NoSpacing"/>
        <w:rPr>
          <w:rFonts w:ascii="Book Antiqua" w:hAnsi="Book Antiqua"/>
          <w:bCs/>
          <w:iCs/>
          <w:color w:val="000000"/>
          <w:sz w:val="16"/>
          <w:szCs w:val="16"/>
        </w:rPr>
      </w:pPr>
    </w:p>
    <w:p w:rsidR="00BC1170" w:rsidRDefault="00BC1170" w:rsidP="00BC1170">
      <w:pPr>
        <w:rPr>
          <w:i/>
        </w:rPr>
      </w:pPr>
      <w:r w:rsidRPr="00560C26">
        <w:rPr>
          <w:rFonts w:ascii="Book Antiqua" w:hAnsi="Book Antiqua"/>
          <w:bCs/>
          <w:iCs/>
          <w:color w:val="000000"/>
          <w:sz w:val="16"/>
          <w:szCs w:val="16"/>
        </w:rPr>
        <w:t xml:space="preserve">Figure </w:t>
      </w:r>
      <w:r>
        <w:rPr>
          <w:rFonts w:ascii="Book Antiqua" w:hAnsi="Book Antiqua"/>
          <w:bCs/>
          <w:iCs/>
          <w:color w:val="000000"/>
          <w:sz w:val="16"/>
          <w:szCs w:val="16"/>
        </w:rPr>
        <w:t>2</w:t>
      </w:r>
      <w:r w:rsidRPr="00560C26">
        <w:rPr>
          <w:rFonts w:ascii="Book Antiqua" w:hAnsi="Book Antiqua"/>
          <w:bCs/>
          <w:iCs/>
          <w:color w:val="000000"/>
          <w:sz w:val="16"/>
          <w:szCs w:val="16"/>
        </w:rPr>
        <w:t>:</w:t>
      </w:r>
      <w:r>
        <w:rPr>
          <w:rFonts w:ascii="Book Antiqua" w:hAnsi="Book Antiqua"/>
          <w:bCs/>
          <w:iCs/>
          <w:color w:val="000000"/>
          <w:sz w:val="16"/>
          <w:szCs w:val="16"/>
        </w:rPr>
        <w:t xml:space="preserve"> </w:t>
      </w:r>
      <w:hyperlink r:id="rId1243" w:history="1">
        <w:r w:rsidRPr="00560C26">
          <w:rPr>
            <w:rStyle w:val="Hyperlink"/>
            <w:i/>
          </w:rPr>
          <w:t>http://www.zdplaskin.laplace.univ-tlse.fr/examples/01/</w:t>
        </w:r>
      </w:hyperlink>
    </w:p>
    <w:p w:rsidR="00BC1170" w:rsidRDefault="00BC1170" w:rsidP="00BC1170">
      <w:pPr>
        <w:pStyle w:val="NoSpacing"/>
        <w:jc w:val="center"/>
        <w:rPr>
          <w:rFonts w:ascii="Book Antiqua" w:hAnsi="Book Antiqua"/>
          <w:b/>
          <w:bCs/>
          <w:iCs/>
          <w:color w:val="000000"/>
          <w:sz w:val="28"/>
          <w:szCs w:val="28"/>
        </w:rPr>
      </w:pPr>
      <w:r w:rsidRPr="00D175C5">
        <w:rPr>
          <w:rFonts w:ascii="Book Antiqua" w:hAnsi="Book Antiqua"/>
          <w:b/>
          <w:bCs/>
          <w:iCs/>
          <w:color w:val="000000"/>
          <w:sz w:val="28"/>
          <w:szCs w:val="28"/>
        </w:rPr>
        <w:t>*  *  *  *  *  *  *</w:t>
      </w:r>
    </w:p>
    <w:p w:rsidR="0060216B" w:rsidRDefault="0060216B">
      <w:pPr>
        <w:widowControl/>
        <w:spacing w:after="200" w:line="276" w:lineRule="auto"/>
        <w:rPr>
          <w:rFonts w:ascii="Book Antiqua" w:eastAsia="Times New Roman" w:hAnsi="Book Antiqua"/>
          <w:b/>
          <w:bCs/>
          <w:iCs/>
          <w:color w:val="000000"/>
          <w:sz w:val="28"/>
          <w:szCs w:val="28"/>
          <w:lang w:val="en-US"/>
        </w:rPr>
      </w:pPr>
      <w:r>
        <w:rPr>
          <w:rFonts w:ascii="Book Antiqua" w:hAnsi="Book Antiqua"/>
          <w:b/>
          <w:bCs/>
          <w:iCs/>
          <w:color w:val="000000"/>
          <w:sz w:val="28"/>
          <w:szCs w:val="28"/>
        </w:rPr>
        <w:br w:type="page"/>
      </w:r>
    </w:p>
    <w:p w:rsidR="00C80BD4" w:rsidRPr="00AB49F0" w:rsidRDefault="00C80BD4" w:rsidP="00C80BD4">
      <w:pPr>
        <w:pStyle w:val="NoSpacing"/>
        <w:jc w:val="center"/>
        <w:rPr>
          <w:rFonts w:ascii="Book Antiqua" w:hAnsi="Book Antiqua"/>
          <w:b/>
          <w:szCs w:val="24"/>
        </w:rPr>
      </w:pPr>
      <w:r w:rsidRPr="00AB49F0">
        <w:rPr>
          <w:rFonts w:ascii="Book Antiqua" w:hAnsi="Book Antiqua"/>
          <w:b/>
          <w:szCs w:val="24"/>
        </w:rPr>
        <w:lastRenderedPageBreak/>
        <w:t xml:space="preserve">Appendix B: </w:t>
      </w:r>
      <w:r w:rsidRPr="00AB49F0">
        <w:rPr>
          <w:rFonts w:ascii="Book Antiqua" w:hAnsi="Book Antiqua"/>
          <w:b/>
          <w:i/>
          <w:szCs w:val="24"/>
        </w:rPr>
        <w:t>Radiant energy emission.</w:t>
      </w:r>
    </w:p>
    <w:p w:rsidR="00C80BD4" w:rsidRPr="00C07D41" w:rsidRDefault="00C80BD4" w:rsidP="00C80BD4">
      <w:pPr>
        <w:pStyle w:val="NoSpacing"/>
        <w:jc w:val="both"/>
        <w:rPr>
          <w:rFonts w:ascii="Book Antiqua" w:hAnsi="Book Antiqua"/>
          <w:sz w:val="20"/>
        </w:rPr>
      </w:pPr>
    </w:p>
    <w:p w:rsidR="00C80BD4" w:rsidRPr="00C07D41" w:rsidRDefault="00C80BD4" w:rsidP="00C80BD4">
      <w:pPr>
        <w:pStyle w:val="NoSpacing"/>
        <w:rPr>
          <w:rFonts w:ascii="Book Antiqua" w:hAnsi="Book Antiqua"/>
          <w:b/>
          <w:sz w:val="20"/>
        </w:rPr>
      </w:pPr>
      <w:r w:rsidRPr="00C07D41">
        <w:rPr>
          <w:rFonts w:ascii="Book Antiqua" w:hAnsi="Book Antiqua"/>
          <w:b/>
          <w:sz w:val="20"/>
        </w:rPr>
        <w:t>B1.   Energy density of radiation</w:t>
      </w:r>
    </w:p>
    <w:p w:rsidR="00C80BD4" w:rsidRPr="00C07D41" w:rsidRDefault="00C80BD4" w:rsidP="00C80BD4">
      <w:pPr>
        <w:pStyle w:val="NoSpacing"/>
        <w:rPr>
          <w:rFonts w:ascii="Book Antiqua" w:hAnsi="Book Antiqua"/>
          <w:sz w:val="20"/>
        </w:rPr>
      </w:pPr>
    </w:p>
    <w:p w:rsidR="00C80BD4" w:rsidRPr="00C07D41" w:rsidRDefault="00C80BD4" w:rsidP="00C80BD4">
      <w:pPr>
        <w:pStyle w:val="NoSpacing"/>
        <w:ind w:firstLine="720"/>
        <w:jc w:val="both"/>
        <w:rPr>
          <w:rFonts w:ascii="Book Antiqua" w:hAnsi="Book Antiqua"/>
          <w:sz w:val="20"/>
        </w:rPr>
      </w:pPr>
      <w:r w:rsidRPr="00C07D41">
        <w:rPr>
          <w:rFonts w:ascii="Book Antiqua" w:hAnsi="Book Antiqua"/>
          <w:sz w:val="20"/>
        </w:rPr>
        <w:t>Chapter 2 discussed the energy density of radiation. We begin here with a brief recapitulation of what was said there, and then move on to other aspects of the topic.  In the wave model of electromagnetic radiation, the energy density</w:t>
      </w:r>
      <w:proofErr w:type="gramStart"/>
      <w:r w:rsidRPr="00C07D41">
        <w:rPr>
          <w:rFonts w:ascii="Book Antiqua" w:hAnsi="Book Antiqua"/>
          <w:sz w:val="20"/>
        </w:rPr>
        <w:t xml:space="preserve">, </w:t>
      </w:r>
      <m:oMath>
        <w:proofErr w:type="gramEnd"/>
        <m:r>
          <w:rPr>
            <w:rFonts w:ascii="Cambria Math" w:hAnsi="Cambria Math"/>
            <w:sz w:val="20"/>
          </w:rPr>
          <m:t>ρ</m:t>
        </m:r>
      </m:oMath>
      <w:r w:rsidRPr="00C07D41">
        <w:rPr>
          <w:rFonts w:ascii="Book Antiqua" w:hAnsi="Book Antiqua"/>
          <w:sz w:val="20"/>
        </w:rPr>
        <w:t>, of emitted radiation, is given by the following equation in references [</w:t>
      </w:r>
      <w:hyperlink r:id="rId1244" w:anchor="2a148" w:history="1">
        <w:r w:rsidRPr="00C07D41">
          <w:rPr>
            <w:rStyle w:val="Hyperlink"/>
            <w:rFonts w:ascii="Book Antiqua" w:hAnsi="Book Antiqua"/>
            <w:sz w:val="20"/>
          </w:rPr>
          <w:t>1-3]</w:t>
        </w:r>
      </w:hyperlink>
      <w:r w:rsidRPr="00C07D41">
        <w:rPr>
          <w:rFonts w:ascii="Book Antiqua" w:hAnsi="Book Antiqua"/>
          <w:sz w:val="20"/>
        </w:rPr>
        <w:t xml:space="preserve">: </w:t>
      </w:r>
    </w:p>
    <w:p w:rsidR="00C80BD4" w:rsidRPr="00C07D41" w:rsidRDefault="00C80BD4" w:rsidP="00C80BD4">
      <w:pPr>
        <w:pStyle w:val="NormalWeb"/>
        <w:jc w:val="right"/>
        <w:rPr>
          <w:rFonts w:ascii="Book Antiqua" w:hAnsi="Book Antiqua"/>
          <w:i/>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oMath>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 xml:space="preserve"> </w:t>
      </w:r>
      <w:r w:rsidRPr="00C07D41">
        <w:rPr>
          <w:rFonts w:ascii="Book Antiqua" w:hAnsi="Book Antiqua"/>
          <w:i/>
          <w:sz w:val="20"/>
          <w:szCs w:val="20"/>
        </w:rPr>
        <w:t>(1)</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r>
          <w:rPr>
            <w:rStyle w:val="style21"/>
            <w:rFonts w:ascii="Cambria Math" w:hAnsi="Cambria Math"/>
            <w:sz w:val="20"/>
            <w:szCs w:val="20"/>
          </w:rPr>
          <m:t>ε</m:t>
        </m:r>
      </m:oMath>
      <w:r w:rsidRPr="00C07D41">
        <w:rPr>
          <w:rStyle w:val="style21"/>
          <w:rFonts w:ascii="Book Antiqua" w:hAnsi="Book Antiqua"/>
          <w:sz w:val="20"/>
          <w:szCs w:val="20"/>
        </w:rPr>
        <w:t xml:space="preserve"> is the electric permittivity of the vacuum, </w:t>
      </w:r>
      <m:oMath>
        <m:r>
          <w:rPr>
            <w:rStyle w:val="style21"/>
            <w:rFonts w:ascii="Cambria Math" w:hAnsi="Cambria Math"/>
            <w:sz w:val="20"/>
            <w:szCs w:val="20"/>
          </w:rPr>
          <m:t>μ</m:t>
        </m:r>
      </m:oMath>
      <w:r w:rsidRPr="00C07D41">
        <w:rPr>
          <w:rStyle w:val="style21"/>
          <w:rFonts w:ascii="Book Antiqua" w:hAnsi="Book Antiqua"/>
          <w:sz w:val="20"/>
          <w:szCs w:val="20"/>
        </w:rPr>
        <w:t xml:space="preserve"> the magnetic permeability, </w:t>
      </w:r>
      <m:oMath>
        <m:r>
          <w:rPr>
            <w:rStyle w:val="style21"/>
            <w:rFonts w:ascii="Cambria Math" w:hAnsi="Cambria Math"/>
            <w:sz w:val="20"/>
            <w:szCs w:val="20"/>
          </w:rPr>
          <m:t>E</m:t>
        </m:r>
      </m:oMath>
      <w:r w:rsidRPr="00C07D41">
        <w:rPr>
          <w:rStyle w:val="style21"/>
          <w:rFonts w:ascii="Book Antiqua" w:hAnsi="Book Antiqua"/>
          <w:sz w:val="20"/>
          <w:szCs w:val="20"/>
        </w:rPr>
        <w:t xml:space="preserve"> and</w:t>
      </w:r>
      <w:r w:rsidRPr="00C07D41">
        <w:rPr>
          <w:rStyle w:val="style21"/>
          <w:rFonts w:ascii="Book Antiqua" w:hAnsi="Book Antiqua"/>
          <w:i/>
          <w:sz w:val="20"/>
          <w:szCs w:val="20"/>
        </w:rPr>
        <w:t xml:space="preserve"> </w:t>
      </w:r>
      <m:oMath>
        <m:r>
          <w:rPr>
            <w:rStyle w:val="style21"/>
            <w:rFonts w:ascii="Cambria Math" w:hAnsi="Cambria Math"/>
            <w:sz w:val="20"/>
            <w:szCs w:val="20"/>
          </w:rPr>
          <m:t>H</m:t>
        </m:r>
      </m:oMath>
      <w:r w:rsidRPr="00C07D41">
        <w:rPr>
          <w:rStyle w:val="style21"/>
          <w:rFonts w:ascii="Book Antiqua" w:hAnsi="Book Antiqua"/>
          <w:sz w:val="20"/>
          <w:szCs w:val="20"/>
        </w:rPr>
        <w:t xml:space="preserve"> the electric and magnetic field strengths respectively. </w:t>
      </w:r>
      <w:r w:rsidRPr="00C07D41">
        <w:rPr>
          <w:rFonts w:ascii="Book Antiqua" w:hAnsi="Book Antiqua"/>
          <w:sz w:val="20"/>
          <w:szCs w:val="20"/>
        </w:rPr>
        <w:t xml:space="preserve">Electromagnetic waves are described by a sine function. If the peak amplitude of the sine wave </w:t>
      </w:r>
      <w:proofErr w:type="gramStart"/>
      <w:r w:rsidRPr="00C07D41">
        <w:rPr>
          <w:rFonts w:ascii="Book Antiqua" w:hAnsi="Book Antiqua"/>
          <w:sz w:val="20"/>
          <w:szCs w:val="20"/>
        </w:rPr>
        <w:t xml:space="preserve">is </w:t>
      </w:r>
      <m:oMath>
        <m:sSub>
          <m:sSubPr>
            <m:ctrlPr>
              <w:rPr>
                <w:rStyle w:val="Emphasis"/>
                <w:rFonts w:ascii="Cambria Math" w:hAnsi="Book Antiqua"/>
                <w:i w:val="0"/>
                <w:iCs w:val="0"/>
                <w:sz w:val="20"/>
                <w:szCs w:val="20"/>
              </w:rPr>
            </m:ctrlPr>
          </m:sSubPr>
          <m:e>
            <w:proofErr w:type="gramEnd"/>
            <m:r>
              <w:rPr>
                <w:rStyle w:val="Emphasis"/>
                <w:rFonts w:ascii="Cambria Math" w:hAnsi="Cambria Math"/>
                <w:sz w:val="20"/>
                <w:szCs w:val="20"/>
              </w:rPr>
              <m:t>A</m:t>
            </m:r>
          </m:e>
          <m:sub>
            <m:r>
              <w:rPr>
                <w:rStyle w:val="Emphasis"/>
                <w:rFonts w:ascii="Cambria Math" w:hAnsi="Book Antiqua"/>
                <w:sz w:val="20"/>
                <w:szCs w:val="20"/>
              </w:rPr>
              <m:t>0</m:t>
            </m:r>
          </m:sub>
        </m:sSub>
      </m:oMath>
      <w:r w:rsidRPr="00C07D41">
        <w:rPr>
          <w:rStyle w:val="Emphasis"/>
          <w:rFonts w:ascii="Book Antiqua" w:hAnsi="Book Antiqua"/>
          <w:sz w:val="20"/>
          <w:szCs w:val="20"/>
          <w:vertAlign w:val="subscript"/>
        </w:rPr>
        <w:t xml:space="preserve"> , </w:t>
      </w:r>
      <w:r w:rsidRPr="00C07D41">
        <w:rPr>
          <w:rFonts w:ascii="Book Antiqua" w:hAnsi="Book Antiqua"/>
          <w:sz w:val="20"/>
          <w:szCs w:val="20"/>
        </w:rPr>
        <w:t xml:space="preserve">then the energy density of the wave is also given by </w:t>
      </w:r>
      <m:oMath>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oMath>
      <w:r w:rsidRPr="00C07D41">
        <w:rPr>
          <w:rStyle w:val="Emphasis"/>
          <w:rFonts w:ascii="Book Antiqua" w:hAnsi="Book Antiqua"/>
          <w:sz w:val="20"/>
          <w:szCs w:val="20"/>
        </w:rPr>
        <w:t xml:space="preserve"> </w:t>
      </w:r>
      <w:r w:rsidRPr="00C07D41">
        <w:rPr>
          <w:rFonts w:ascii="Book Antiqua" w:hAnsi="Book Antiqua"/>
          <w:sz w:val="20"/>
          <w:szCs w:val="20"/>
        </w:rPr>
        <w:t>since the factor of</w:t>
      </w:r>
      <m:oMath>
        <m:r>
          <w:rPr>
            <w:rFonts w:ascii="Cambria Math" w:hAnsi="Book Antiqua"/>
            <w:sz w:val="20"/>
            <w:szCs w:val="20"/>
          </w:rPr>
          <m:t xml:space="preserve">  </m:t>
        </m:r>
        <m:r>
          <w:rPr>
            <w:rFonts w:ascii="Book Antiqua" w:hAnsi="Book Antiqua"/>
            <w:sz w:val="20"/>
            <w:szCs w:val="20"/>
          </w:rPr>
          <m:t>½</m:t>
        </m:r>
        <m:r>
          <w:rPr>
            <w:rFonts w:ascii="Cambria Math" w:hAnsi="Book Antiqua"/>
            <w:sz w:val="20"/>
            <w:szCs w:val="20"/>
          </w:rPr>
          <m:t xml:space="preserve"> </m:t>
        </m:r>
      </m:oMath>
      <w:r w:rsidRPr="00C07D41">
        <w:rPr>
          <w:rFonts w:ascii="Book Antiqua" w:hAnsi="Book Antiqua"/>
          <w:sz w:val="20"/>
          <w:szCs w:val="20"/>
        </w:rPr>
        <w:t xml:space="preserve"> is the mean of the square of the sine over all </w:t>
      </w:r>
      <w:r w:rsidRPr="0092452E">
        <w:rPr>
          <w:rFonts w:ascii="Book Antiqua" w:hAnsi="Book Antiqua"/>
          <w:sz w:val="20"/>
          <w:szCs w:val="20"/>
        </w:rPr>
        <w:t>angles [1].</w:t>
      </w:r>
      <w:r w:rsidRPr="00C07D41">
        <w:rPr>
          <w:rFonts w:ascii="Book Antiqua" w:hAnsi="Book Antiqua"/>
          <w:sz w:val="20"/>
          <w:szCs w:val="20"/>
        </w:rPr>
        <w:t xml:space="preserve"> It therefore follows from (1) that </w:t>
      </w:r>
    </w:p>
    <w:p w:rsidR="00C80BD4" w:rsidRPr="00C07D41" w:rsidRDefault="00C80BD4" w:rsidP="00C80BD4">
      <w:pPr>
        <w:pStyle w:val="NormalWeb"/>
        <w:jc w:val="right"/>
        <w:rPr>
          <w:rFonts w:ascii="Book Antiqua" w:hAnsi="Book Antiqua"/>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r>
          <w:rPr>
            <w:rStyle w:val="style21"/>
            <w:rFonts w:ascii="Cambria Math" w:hAnsi="Book Antiqua"/>
            <w:sz w:val="20"/>
            <w:szCs w:val="20"/>
          </w:rPr>
          <m:t xml:space="preserve"> = </m:t>
        </m:r>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r>
          <w:rPr>
            <w:rStyle w:val="Emphasis"/>
            <w:rFonts w:ascii="Cambria Math" w:hAnsi="Book Antiqua"/>
            <w:sz w:val="20"/>
            <w:szCs w:val="20"/>
          </w:rPr>
          <m:t xml:space="preserve"> </m:t>
        </m:r>
      </m:oMath>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t xml:space="preserve"> (2)</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This means that, when the energy density of the wave is lower, so, too, is the square of the amplitude in direct proportion. In Chapter 2, equations (5) to (9), it is shown that both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are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So the energy density of electromagnetic waves</w:t>
      </w:r>
      <w:proofErr w:type="gramStart"/>
      <w:r w:rsidRPr="00C07D41">
        <w:rPr>
          <w:rFonts w:ascii="Book Antiqua" w:hAnsi="Book Antiqua"/>
          <w:sz w:val="20"/>
          <w:szCs w:val="20"/>
        </w:rPr>
        <w:t xml:space="preserve">, </w:t>
      </w:r>
      <m:oMath>
        <w:proofErr w:type="gramEnd"/>
        <m:r>
          <w:rPr>
            <w:rFonts w:ascii="Cambria Math" w:hAnsi="Cambria Math"/>
            <w:sz w:val="20"/>
            <w:szCs w:val="20"/>
          </w:rPr>
          <m:t>ρ</m:t>
        </m:r>
      </m:oMath>
      <w:r w:rsidRPr="00C07D41">
        <w:rPr>
          <w:rFonts w:ascii="Book Antiqua" w:hAnsi="Book Antiqua"/>
          <w:sz w:val="20"/>
          <w:szCs w:val="20"/>
        </w:rPr>
        <w:t xml:space="preserve">, is proportional to </w:t>
      </w:r>
      <m:oMath>
        <m:r>
          <w:rPr>
            <w:rFonts w:ascii="Book Antiqua" w:hAnsi="Cambria Math"/>
            <w:sz w:val="20"/>
            <w:szCs w:val="20"/>
          </w:rPr>
          <m:t>h</m:t>
        </m:r>
      </m:oMath>
      <w:r w:rsidRPr="00C07D41">
        <w:rPr>
          <w:rFonts w:ascii="Book Antiqua" w:hAnsi="Book Antiqua"/>
          <w:sz w:val="20"/>
          <w:szCs w:val="20"/>
        </w:rPr>
        <w:t xml:space="preserve"> or </w:t>
      </w:r>
      <m:oMath>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w:t>
      </w:r>
      <w:proofErr w:type="gramStart"/>
      <w:r w:rsidRPr="00C07D41">
        <w:rPr>
          <w:rFonts w:ascii="Book Antiqua" w:hAnsi="Book Antiqua"/>
          <w:sz w:val="20"/>
          <w:szCs w:val="20"/>
        </w:rPr>
        <w:t>just</w:t>
      </w:r>
      <w:proofErr w:type="gramEnd"/>
      <w:r w:rsidRPr="00C07D41">
        <w:rPr>
          <w:rFonts w:ascii="Book Antiqua" w:hAnsi="Book Antiqua"/>
          <w:sz w:val="20"/>
          <w:szCs w:val="20"/>
        </w:rPr>
        <w:t xml:space="preserve"> as the ZPE itself is. We can now write</w:t>
      </w:r>
    </w:p>
    <w:p w:rsidR="00C80BD4" w:rsidRPr="00C07D41" w:rsidRDefault="00C80BD4" w:rsidP="00C80BD4">
      <w:pPr>
        <w:pStyle w:val="NormalWeb"/>
        <w:jc w:val="right"/>
        <w:rPr>
          <w:rFonts w:ascii="Book Antiqua" w:hAnsi="Book Antiqua"/>
          <w:i/>
          <w:sz w:val="20"/>
          <w:szCs w:val="20"/>
        </w:rPr>
      </w:pPr>
      <m:oMath>
        <m:r>
          <w:rPr>
            <w:rStyle w:val="style21"/>
            <w:rFonts w:ascii="Cambria Math" w:hAnsi="Cambria Math"/>
            <w:sz w:val="20"/>
            <w:szCs w:val="20"/>
          </w:rPr>
          <m:t>ρ</m:t>
        </m:r>
        <m:r>
          <w:rPr>
            <w:rStyle w:val="style21"/>
            <w:rFonts w:ascii="Cambria Math" w:hAnsi="Book Antiqua"/>
            <w:sz w:val="20"/>
            <w:szCs w:val="20"/>
          </w:rPr>
          <m:t xml:space="preserve"> ~ 1/</m:t>
        </m:r>
        <m:r>
          <w:rPr>
            <w:rStyle w:val="style21"/>
            <w:rFonts w:ascii="Cambria Math" w:hAnsi="Cambria Math"/>
            <w:sz w:val="20"/>
            <w:szCs w:val="20"/>
          </w:rPr>
          <m:t>c</m:t>
        </m:r>
        <m:r>
          <w:rPr>
            <w:rStyle w:val="style21"/>
            <w:rFonts w:ascii="Cambria Math" w:hAnsi="Book Antiqua"/>
            <w:sz w:val="20"/>
            <w:szCs w:val="20"/>
          </w:rPr>
          <m:t xml:space="preserve"> ~ </m:t>
        </m:r>
        <m:r>
          <w:rPr>
            <w:rStyle w:val="style21"/>
            <w:rFonts w:ascii="Book Antiqua" w:hAnsi="Cambria Math"/>
            <w:sz w:val="20"/>
            <w:szCs w:val="20"/>
          </w:rPr>
          <m:t>h</m:t>
        </m:r>
        <m:r>
          <w:rPr>
            <w:rStyle w:val="style21"/>
            <w:rFonts w:ascii="Cambria Math" w:hAnsi="Book Antiqua"/>
            <w:sz w:val="20"/>
            <w:szCs w:val="20"/>
          </w:rPr>
          <m:t xml:space="preserve"> ~ </m:t>
        </m:r>
        <m:r>
          <w:rPr>
            <w:rStyle w:val="style21"/>
            <w:rFonts w:ascii="Cambria Math" w:hAnsi="Cambria Math"/>
            <w:sz w:val="20"/>
            <w:szCs w:val="20"/>
          </w:rPr>
          <m:t>U</m:t>
        </m:r>
      </m:oMath>
      <w:r w:rsidRPr="00C07D41">
        <w:rPr>
          <w:rStyle w:val="style21"/>
          <w:rFonts w:ascii="Book Antiqua" w:hAnsi="Book Antiqua"/>
          <w:sz w:val="20"/>
          <w:szCs w:val="20"/>
        </w:rPr>
        <w:t xml:space="preserve"> </w:t>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ab/>
      </w:r>
      <w:r w:rsidRPr="00C07D41">
        <w:rPr>
          <w:rFonts w:ascii="Book Antiqua" w:hAnsi="Book Antiqua"/>
          <w:i/>
          <w:sz w:val="20"/>
          <w:szCs w:val="20"/>
        </w:rPr>
        <w:t>(3)</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increase </w:t>
      </w:r>
      <w:proofErr w:type="gramStart"/>
      <w:r w:rsidRPr="00C07D41">
        <w:rPr>
          <w:rFonts w:ascii="Book Antiqua" w:hAnsi="Book Antiqua"/>
          <w:sz w:val="20"/>
          <w:szCs w:val="20"/>
        </w:rPr>
        <w:t xml:space="preserve">in </w:t>
      </w:r>
      <m:oMath>
        <w:proofErr w:type="gramEnd"/>
        <m:r>
          <w:rPr>
            <w:rStyle w:val="Emphasis"/>
            <w:rFonts w:ascii="Cambria Math" w:hAnsi="Cambria Math"/>
            <w:sz w:val="20"/>
            <w:szCs w:val="20"/>
          </w:rPr>
          <m:t>U</m:t>
        </m:r>
      </m:oMath>
      <w:r w:rsidRPr="00C07D41">
        <w:rPr>
          <w:rFonts w:ascii="Book Antiqua" w:hAnsi="Book Antiqua"/>
          <w:sz w:val="20"/>
          <w:szCs w:val="20"/>
        </w:rPr>
        <w:t xml:space="preserve">,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with time means the energy density of emitted radiation will also increase with time. Because the properties of the vacuum were altered, higher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values in the past were accompanied by lower energy densities for all electromagnetic radiation. Since </w:t>
      </w:r>
      <m:oMath>
        <m:r>
          <w:rPr>
            <w:rFonts w:ascii="Cambria Math" w:hAnsi="Cambria Math"/>
            <w:sz w:val="20"/>
            <w:szCs w:val="20"/>
          </w:rPr>
          <m:t>ε</m:t>
        </m:r>
        <m:r>
          <w:rPr>
            <w:rFonts w:ascii="Cambria Math" w:hAnsi="Book Antiqua"/>
            <w:sz w:val="20"/>
            <w:szCs w:val="20"/>
          </w:rPr>
          <m:t xml:space="preserve"> </m:t>
        </m:r>
      </m:oMath>
      <w:r w:rsidRPr="00C07D41">
        <w:rPr>
          <w:rFonts w:ascii="Book Antiqua" w:hAnsi="Book Antiqua"/>
          <w:sz w:val="20"/>
          <w:szCs w:val="20"/>
        </w:rPr>
        <w:t xml:space="preserve">and </w:t>
      </w:r>
      <m:oMath>
        <m:r>
          <w:rPr>
            <w:rFonts w:ascii="Cambria Math" w:hAnsi="Cambria Math"/>
            <w:sz w:val="20"/>
            <w:szCs w:val="20"/>
          </w:rPr>
          <m:t>μ</m:t>
        </m:r>
      </m:oMath>
      <w:r w:rsidRPr="00C07D41">
        <w:rPr>
          <w:rFonts w:ascii="Book Antiqua" w:hAnsi="Book Antiqua"/>
          <w:sz w:val="20"/>
          <w:szCs w:val="20"/>
        </w:rPr>
        <w:t xml:space="preserve"> increase with time during travel, the energy density (and hence amplitude) of a monochromatic wave in transit through the vacuum will be higher at reception than at emission, all other factors being equal. But, since the speed of light has slowed in transit, the number of waves being received by the observer per unit time is less than the number that was emitted per unit time.  This means that the radiation intensity will remain unchanged. Since radiation intensity, </w:t>
      </w:r>
      <m:oMath>
        <m:r>
          <w:rPr>
            <w:rStyle w:val="Emphasis"/>
            <w:rFonts w:ascii="Cambria Math" w:hAnsi="Cambria Math"/>
            <w:sz w:val="20"/>
            <w:szCs w:val="20"/>
          </w:rPr>
          <m:t>I</m:t>
        </m:r>
        <m:r>
          <m:rPr>
            <m:sty m:val="p"/>
          </m:rPr>
          <w:rPr>
            <w:rFonts w:ascii="Cambria Math" w:hAnsi="Book Antiqua"/>
            <w:sz w:val="20"/>
            <w:szCs w:val="20"/>
          </w:rPr>
          <m:t>,</m:t>
        </m:r>
      </m:oMath>
      <w:r w:rsidRPr="00C07D41">
        <w:rPr>
          <w:rFonts w:ascii="Book Antiqua" w:hAnsi="Book Antiqua"/>
          <w:sz w:val="20"/>
          <w:szCs w:val="20"/>
        </w:rPr>
        <w:t xml:space="preserve"> is given by the term </w:t>
      </w:r>
      <m:oMath>
        <m:r>
          <w:rPr>
            <w:rStyle w:val="Emphasis"/>
            <w:rFonts w:ascii="Cambria Math" w:hAnsi="Cambria Math"/>
            <w:sz w:val="20"/>
            <w:szCs w:val="20"/>
          </w:rPr>
          <m:t>ρc</m:t>
        </m:r>
        <m:r>
          <m:rPr>
            <m:sty m:val="p"/>
          </m:rPr>
          <w:rPr>
            <w:rFonts w:ascii="Cambria Math" w:hAnsi="Book Antiqua"/>
            <w:sz w:val="20"/>
            <w:szCs w:val="20"/>
          </w:rPr>
          <m:t xml:space="preserve"> </m:t>
        </m:r>
      </m:oMath>
      <w:r w:rsidRPr="00C07D41">
        <w:rPr>
          <w:rFonts w:ascii="Book Antiqua" w:hAnsi="Book Antiqua"/>
          <w:sz w:val="20"/>
          <w:szCs w:val="20"/>
        </w:rPr>
        <w:t>in [</w:t>
      </w:r>
      <w:hyperlink r:id="rId1245" w:anchor="2a148" w:history="1">
        <w:r w:rsidRPr="00C07D41">
          <w:rPr>
            <w:rStyle w:val="Hyperlink"/>
            <w:rFonts w:ascii="Book Antiqua" w:hAnsi="Book Antiqua"/>
            <w:sz w:val="20"/>
            <w:szCs w:val="20"/>
          </w:rPr>
          <w:t>1-3</w:t>
        </w:r>
      </w:hyperlink>
      <w:r w:rsidRPr="00C07D41">
        <w:rPr>
          <w:rFonts w:ascii="Book Antiqua" w:hAnsi="Book Antiqua"/>
          <w:sz w:val="20"/>
          <w:szCs w:val="20"/>
        </w:rPr>
        <w:t xml:space="preserve">], it can be seen from (3) that </w:t>
      </w:r>
    </w:p>
    <w:p w:rsidR="00C80BD4" w:rsidRPr="00C07D41" w:rsidRDefault="00C80BD4" w:rsidP="00C80BD4">
      <w:pPr>
        <w:pStyle w:val="NormalWeb"/>
        <w:jc w:val="right"/>
        <w:rPr>
          <w:rFonts w:ascii="Book Antiqua" w:hAnsi="Book Antiqua"/>
          <w:i/>
          <w:sz w:val="20"/>
          <w:szCs w:val="20"/>
        </w:rPr>
      </w:pPr>
      <m:oMath>
        <m:r>
          <w:rPr>
            <w:rStyle w:val="Emphasis"/>
            <w:rFonts w:ascii="Cambria Math" w:hAnsi="Cambria Math"/>
            <w:sz w:val="20"/>
            <w:szCs w:val="20"/>
          </w:rPr>
          <m:t>I</m:t>
        </m:r>
        <m:r>
          <w:rPr>
            <w:rStyle w:val="Emphasis"/>
            <w:rFonts w:ascii="Cambria Math" w:hAnsi="Book Antiqua"/>
            <w:sz w:val="20"/>
            <w:szCs w:val="20"/>
          </w:rPr>
          <m:t xml:space="preserve">  =  </m:t>
        </m:r>
        <m:r>
          <w:rPr>
            <w:rStyle w:val="Emphasis"/>
            <w:rFonts w:ascii="Cambria Math" w:hAnsi="Cambria Math"/>
            <w:sz w:val="20"/>
            <w:szCs w:val="20"/>
          </w:rPr>
          <m:t>ρc</m:t>
        </m:r>
        <m:r>
          <w:rPr>
            <w:rStyle w:val="Emphasis"/>
            <w:rFonts w:ascii="Cambria Math" w:hAnsi="Book Antiqua"/>
            <w:sz w:val="20"/>
            <w:szCs w:val="20"/>
          </w:rPr>
          <m:t xml:space="preserve"> = </m:t>
        </m:r>
        <m:r>
          <w:rPr>
            <w:rStyle w:val="Emphasis"/>
            <w:rFonts w:ascii="Cambria Math" w:hAnsi="Cambria Math"/>
            <w:sz w:val="20"/>
            <w:szCs w:val="20"/>
          </w:rPr>
          <m:t>constant</m:t>
        </m:r>
      </m:oMath>
      <w:r w:rsidRPr="00C07D41">
        <w:rPr>
          <w:rStyle w:val="Emphasis"/>
          <w:rFonts w:ascii="Book Antiqua" w:hAnsi="Book Antiqua"/>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sz w:val="20"/>
          <w:szCs w:val="20"/>
        </w:rPr>
        <w:t xml:space="preserve"> (4)</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To clarify, assume that an electromagnetic wave takes one second to pass an observer, and its measured energy density is one erg per cubic centimeter with the speed of light being one centimeter per second. The intensity of the wave will be 1 erg per square centimeter per second. Now if the speed of light at emission was 10 times faster, then from (2) and (3) this means the energy density of each wave </w:t>
      </w:r>
      <w:proofErr w:type="gramStart"/>
      <w:r w:rsidRPr="00C07D41">
        <w:rPr>
          <w:rFonts w:ascii="Book Antiqua" w:hAnsi="Book Antiqua"/>
          <w:sz w:val="20"/>
          <w:szCs w:val="20"/>
        </w:rPr>
        <w:t xml:space="preserve">is </w:t>
      </w:r>
      <m:oMath>
        <w:proofErr w:type="gramEnd"/>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But the speed of light is 10 times greater, so we now have 10 waves, each </w:t>
      </w:r>
      <w:proofErr w:type="gramStart"/>
      <w:r w:rsidRPr="00C07D41">
        <w:rPr>
          <w:rFonts w:ascii="Book Antiqua" w:hAnsi="Book Antiqua"/>
          <w:sz w:val="20"/>
          <w:szCs w:val="20"/>
        </w:rPr>
        <w:t xml:space="preserve">of </w:t>
      </w:r>
      <m:oMath>
        <w:proofErr w:type="gramEnd"/>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passing a given point in one second. This is true since wavelengths remain constant from the moment of emission to the moment of reception even though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drops with time. Thus the total energy at emission that passes through one square centimeter per second is the same as at reception, so radiation intensities, </w:t>
      </w:r>
      <m:oMath>
        <m:r>
          <w:rPr>
            <w:rFonts w:ascii="Cambria Math" w:hAnsi="Cambria Math"/>
            <w:sz w:val="20"/>
            <w:szCs w:val="20"/>
          </w:rPr>
          <m:t>I</m:t>
        </m:r>
        <m:r>
          <w:rPr>
            <w:rFonts w:ascii="Cambria Math" w:hAnsi="Book Antiqua"/>
            <w:sz w:val="20"/>
            <w:szCs w:val="20"/>
          </w:rPr>
          <m:t>,</m:t>
        </m:r>
      </m:oMath>
      <w:r w:rsidRPr="00C07D41">
        <w:rPr>
          <w:rFonts w:ascii="Book Antiqua" w:hAnsi="Book Antiqua"/>
          <w:sz w:val="20"/>
          <w:szCs w:val="20"/>
        </w:rPr>
        <w:t xml:space="preserve"> remain unchanged.</w:t>
      </w:r>
    </w:p>
    <w:p w:rsidR="007A1DBC" w:rsidRDefault="00C80BD4" w:rsidP="00C80BD4">
      <w:pPr>
        <w:pStyle w:val="NormalWeb"/>
        <w:ind w:firstLine="720"/>
        <w:jc w:val="both"/>
        <w:rPr>
          <w:rFonts w:ascii="Book Antiqua" w:hAnsi="Book Antiqua"/>
          <w:b/>
          <w:sz w:val="20"/>
          <w:szCs w:val="20"/>
        </w:rPr>
      </w:pPr>
      <w:r w:rsidRPr="002F5B8C">
        <w:rPr>
          <w:rFonts w:ascii="Book Antiqua" w:hAnsi="Book Antiqua"/>
          <w:b/>
          <w:sz w:val="20"/>
          <w:szCs w:val="20"/>
        </w:rPr>
        <w:t>B2.   Stellar Luminosities</w:t>
      </w:r>
      <w:bookmarkStart w:id="220" w:name="stellar"/>
      <w:bookmarkEnd w:id="220"/>
    </w:p>
    <w:p w:rsidR="00C80BD4" w:rsidRPr="00C07D41" w:rsidRDefault="00C80BD4" w:rsidP="00C80BD4">
      <w:pPr>
        <w:pStyle w:val="NormalWeb"/>
        <w:ind w:firstLine="720"/>
        <w:jc w:val="both"/>
        <w:rPr>
          <w:rFonts w:ascii="Book Antiqua" w:hAnsi="Book Antiqua"/>
          <w:i/>
          <w:sz w:val="20"/>
          <w:szCs w:val="20"/>
        </w:rPr>
      </w:pPr>
      <w:r w:rsidRPr="00C07D41">
        <w:rPr>
          <w:rFonts w:ascii="Book Antiqua" w:hAnsi="Book Antiqua"/>
          <w:i/>
          <w:sz w:val="20"/>
          <w:szCs w:val="20"/>
        </w:rPr>
        <w:t>2.1 The Nuclear Approach</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There are currently two theories about the energy generation mechanism regarding the output of light from stars. One is the standard nuclear model examined in detail in this segment. The other is the model which results from a consideration of plasma physics and is briefly discussed below as well as in Chapter 6.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lastRenderedPageBreak/>
        <w:t xml:space="preserve">In the nuclear model, three factors determine the luminosity of a star with increasing ZPE strength, and decreasing c. First is the photon production rate, which depends on the stellar nuclear reaction rate. Second is the mass-density of the atomic and subatomic particles making up the </w:t>
      </w:r>
      <w:proofErr w:type="gramStart"/>
      <w:r w:rsidRPr="00C07D41">
        <w:rPr>
          <w:rFonts w:ascii="Book Antiqua" w:hAnsi="Book Antiqua"/>
          <w:sz w:val="20"/>
          <w:szCs w:val="20"/>
        </w:rPr>
        <w:t>star.</w:t>
      </w:r>
      <w:proofErr w:type="gramEnd"/>
      <w:r w:rsidRPr="00C07D41">
        <w:rPr>
          <w:rFonts w:ascii="Book Antiqua" w:hAnsi="Book Antiqua"/>
          <w:sz w:val="20"/>
          <w:szCs w:val="20"/>
        </w:rPr>
        <w:t xml:space="preserve">  Third is the star’s opacity.  The core of the star is where the nuclear reaction occurs.  The radiation must then be transported to the outside to produce the shining.   It is the opacity which inhibits the energy transport from the reaction center out to where that energy radiates into space. Four key processes may contribute to opacity: free-free transitions (a free electron in the star is hit by radiation and remains free), bound-free transitions (an electron bound to an ion is hit by radiation and is freed from the ion), bound-bound </w:t>
      </w:r>
      <w:proofErr w:type="gramStart"/>
      <w:r w:rsidRPr="00C07D41">
        <w:rPr>
          <w:rFonts w:ascii="Book Antiqua" w:hAnsi="Book Antiqua"/>
          <w:sz w:val="20"/>
          <w:szCs w:val="20"/>
        </w:rPr>
        <w:t>transitions(</w:t>
      </w:r>
      <w:proofErr w:type="gramEnd"/>
      <w:r w:rsidRPr="00C07D41">
        <w:rPr>
          <w:rFonts w:ascii="Book Antiqua" w:hAnsi="Book Antiqua"/>
          <w:sz w:val="20"/>
          <w:szCs w:val="20"/>
        </w:rPr>
        <w:t xml:space="preserve"> an electron bound to an ion absorbs radiation and still remains bound to the ion), and scattering by electrons (free electrons scatter the radiation). We note that bound-bound transitions play a negligible part in stellar interiors </w:t>
      </w:r>
      <w:hyperlink r:id="rId1246" w:anchor="2a151" w:history="1">
        <w:r w:rsidRPr="00C07D41">
          <w:rPr>
            <w:rStyle w:val="Hyperlink"/>
            <w:rFonts w:ascii="Book Antiqua" w:hAnsi="Book Antiqua"/>
            <w:sz w:val="20"/>
            <w:szCs w:val="20"/>
          </w:rPr>
          <w:t>[4]</w:t>
        </w:r>
      </w:hyperlink>
      <w:r w:rsidRPr="00C07D41">
        <w:rPr>
          <w:rFonts w:ascii="Book Antiqua" w:hAnsi="Book Antiqua"/>
          <w:sz w:val="20"/>
          <w:szCs w:val="20"/>
        </w:rPr>
        <w:t xml:space="preserve">, but </w:t>
      </w:r>
      <w:r w:rsidRPr="00C07D41">
        <w:rPr>
          <w:rStyle w:val="Emphasis"/>
          <w:rFonts w:ascii="Book Antiqua" w:hAnsi="Book Antiqua"/>
          <w:sz w:val="20"/>
          <w:szCs w:val="20"/>
        </w:rPr>
        <w:t xml:space="preserve">“typical stellar interior densities, electron scattering will predominate over bound-free and free-free absorption for temperatures in excess of, say, some </w:t>
      </w:r>
      <m:oMath>
        <m:sSup>
          <m:sSupPr>
            <m:ctrlPr>
              <w:rPr>
                <w:rStyle w:val="Emphasis"/>
                <w:rFonts w:ascii="Cambria Math" w:hAnsi="Book Antiqua"/>
                <w:i w:val="0"/>
                <w:iCs w:val="0"/>
                <w:sz w:val="20"/>
                <w:szCs w:val="20"/>
              </w:rPr>
            </m:ctrlPr>
          </m:sSupPr>
          <m:e>
            <m:sSup>
              <m:sSupPr>
                <m:ctrlPr>
                  <w:rPr>
                    <w:rStyle w:val="Emphasis"/>
                    <w:rFonts w:ascii="Cambria Math" w:hAnsi="Book Antiqua"/>
                    <w:i w:val="0"/>
                    <w:iCs w:val="0"/>
                    <w:sz w:val="20"/>
                    <w:szCs w:val="20"/>
                  </w:rPr>
                </m:ctrlPr>
              </m:sSupPr>
              <m:e>
                <m:r>
                  <w:rPr>
                    <w:rStyle w:val="Emphasis"/>
                    <w:rFonts w:ascii="Cambria Math" w:hAnsi="Book Antiqua"/>
                    <w:sz w:val="20"/>
                    <w:szCs w:val="20"/>
                  </w:rPr>
                  <m:t>10</m:t>
                </m:r>
              </m:e>
              <m:sup>
                <m:r>
                  <w:rPr>
                    <w:rStyle w:val="Emphasis"/>
                    <w:rFonts w:ascii="Cambria Math" w:hAnsi="Book Antiqua"/>
                    <w:sz w:val="20"/>
                    <w:szCs w:val="20"/>
                  </w:rPr>
                  <m:t>7</m:t>
                </m:r>
              </m:sup>
            </m:sSup>
            <m:r>
              <w:rPr>
                <w:rStyle w:val="Emphasis"/>
                <w:rFonts w:ascii="Cambria Math" w:hAnsi="Book Antiqua"/>
                <w:sz w:val="20"/>
                <w:szCs w:val="20"/>
              </w:rPr>
              <m:t xml:space="preserve">  </m:t>
            </m:r>
          </m:e>
          <m:sup>
            <m:r>
              <w:rPr>
                <w:rStyle w:val="Emphasis"/>
                <w:rFonts w:ascii="Cambria Math" w:hAnsi="Book Antiqua"/>
                <w:sz w:val="20"/>
                <w:szCs w:val="20"/>
              </w:rPr>
              <m:t>0</m:t>
            </m:r>
          </m:sup>
        </m:sSup>
      </m:oMath>
      <w:r w:rsidRPr="00C07D41">
        <w:rPr>
          <w:rStyle w:val="Emphasis"/>
          <w:rFonts w:ascii="Book Antiqua" w:hAnsi="Book Antiqua"/>
          <w:sz w:val="20"/>
          <w:szCs w:val="20"/>
        </w:rPr>
        <w:t>K.”</w:t>
      </w:r>
      <w:hyperlink r:id="rId1247" w:anchor="2a152" w:history="1">
        <w:r w:rsidRPr="00C07D41">
          <w:rPr>
            <w:rStyle w:val="Hyperlink"/>
            <w:rFonts w:ascii="Book Antiqua" w:hAnsi="Book Antiqua"/>
            <w:sz w:val="20"/>
            <w:szCs w:val="20"/>
          </w:rPr>
          <w:t>[5]</w:t>
        </w:r>
      </w:hyperlink>
      <w:r w:rsidRPr="00C07D41">
        <w:rPr>
          <w:rFonts w:ascii="Book Antiqua" w:hAnsi="Book Antiqua"/>
          <w:sz w:val="20"/>
          <w:szCs w:val="20"/>
        </w:rPr>
        <w:t>.</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For the central area of stars, this leaves electron scattering of photons as the prime source of opacity. If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is the number of electrons in unit volume 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the mass-density [6, 7], then the opacity from scattering by free electrons </w:t>
      </w: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e</m:t>
            </m:r>
          </m:sub>
        </m:sSub>
      </m:oMath>
      <w:r w:rsidRPr="00C07D41">
        <w:rPr>
          <w:rFonts w:ascii="Book Antiqua" w:hAnsi="Book Antiqua"/>
          <w:sz w:val="20"/>
          <w:szCs w:val="20"/>
        </w:rPr>
        <w:t xml:space="preserve"> is given by [4, 8]:</w:t>
      </w:r>
    </w:p>
    <w:p w:rsidR="00C80BD4" w:rsidRPr="00C07D41" w:rsidRDefault="00241D2F" w:rsidP="00C80BD4">
      <w:pPr>
        <w:pStyle w:val="NormalWeb"/>
        <w:jc w:val="right"/>
        <w:rPr>
          <w:rFonts w:ascii="Book Antiqua" w:hAnsi="Book Antiqua"/>
          <w:i/>
          <w:sz w:val="20"/>
          <w:szCs w:val="20"/>
        </w:rPr>
      </w:pPr>
      <m:oMath>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e</m:t>
            </m:r>
            <m:r>
              <w:rPr>
                <w:rStyle w:val="style21"/>
                <w:rFonts w:ascii="Cambria Math" w:hAnsi="Book Antiqua"/>
                <w:sz w:val="20"/>
                <w:szCs w:val="20"/>
              </w:rPr>
              <m:t xml:space="preserve"> </m:t>
            </m:r>
          </m:sub>
        </m:sSub>
        <m:r>
          <w:rPr>
            <w:rStyle w:val="style21"/>
            <w:rFonts w:ascii="Cambria Math" w:hAnsi="Book Antiqua"/>
            <w:sz w:val="20"/>
            <w:szCs w:val="20"/>
          </w:rPr>
          <m:t xml:space="preserve">= </m:t>
        </m:r>
        <m:r>
          <w:rPr>
            <w:rStyle w:val="style21"/>
            <w:rFonts w:ascii="Cambria Math" w:hAnsi="Cambria Math"/>
            <w:sz w:val="20"/>
            <w:szCs w:val="20"/>
          </w:rPr>
          <m:t>σ</m:t>
        </m:r>
        <m:r>
          <w:rPr>
            <w:rStyle w:val="style21"/>
            <w:rFonts w:ascii="Cambria Math" w:hAnsi="Book Antiqua"/>
            <w:sz w:val="20"/>
            <w:szCs w:val="20"/>
          </w:rPr>
          <m:t xml:space="preserve"> </m:t>
        </m:r>
        <m:sSub>
          <m:sSubPr>
            <m:ctrlPr>
              <w:rPr>
                <w:rStyle w:val="style21"/>
                <w:rFonts w:ascii="Cambria Math" w:hAnsi="Book Antiqua"/>
                <w:i/>
                <w:sz w:val="20"/>
                <w:szCs w:val="20"/>
              </w:rPr>
            </m:ctrlPr>
          </m:sSubPr>
          <m:e>
            <m:r>
              <w:rPr>
                <w:rStyle w:val="style21"/>
                <w:rFonts w:ascii="Cambria Math" w:hAnsi="Cambria Math"/>
                <w:sz w:val="20"/>
                <w:szCs w:val="20"/>
              </w:rPr>
              <m:t>n</m:t>
            </m:r>
          </m:e>
          <m:sub>
            <m:r>
              <w:rPr>
                <w:rStyle w:val="style21"/>
                <w:rFonts w:ascii="Cambria Math" w:hAnsi="Cambria Math"/>
                <w:sz w:val="20"/>
                <w:szCs w:val="20"/>
              </w:rPr>
              <m:t>e</m:t>
            </m:r>
          </m:sub>
        </m:sSub>
        <m:r>
          <w:rPr>
            <w:rStyle w:val="style21"/>
            <w:rFonts w:ascii="Cambria Math" w:hAnsi="Book Antiqua"/>
            <w:sz w:val="20"/>
            <w:szCs w:val="20"/>
          </w:rPr>
          <m:t xml:space="preserve"> / </m:t>
        </m:r>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Style w:val="style21"/>
            <w:rFonts w:ascii="Cambria Math" w:hAnsi="Book Antiqua"/>
            <w:sz w:val="20"/>
            <w:szCs w:val="20"/>
          </w:rPr>
          <m:t xml:space="preserve"> ~ </m:t>
        </m:r>
        <m:sSup>
          <m:sSupPr>
            <m:ctrlPr>
              <w:rPr>
                <w:rStyle w:val="style21"/>
                <w:rFonts w:ascii="Cambria Math" w:hAnsi="Book Antiqua"/>
                <w:i/>
                <w:sz w:val="20"/>
                <w:szCs w:val="20"/>
              </w:rPr>
            </m:ctrlPr>
          </m:sSupPr>
          <m:e>
            <m:r>
              <w:rPr>
                <w:rStyle w:val="style21"/>
                <w:rFonts w:ascii="Cambria Math" w:hAnsi="Cambria Math"/>
                <w:sz w:val="20"/>
                <w:szCs w:val="20"/>
              </w:rPr>
              <m:t>c</m:t>
            </m:r>
          </m:e>
          <m:sup>
            <m:r>
              <w:rPr>
                <w:rStyle w:val="style21"/>
                <w:rFonts w:ascii="Cambria Math" w:hAnsi="Book Antiqua"/>
                <w:sz w:val="20"/>
                <w:szCs w:val="20"/>
              </w:rPr>
              <m:t>2</m:t>
            </m:r>
          </m:sup>
        </m:sSup>
        <m:r>
          <w:rPr>
            <w:rStyle w:val="style21"/>
            <w:rFonts w:ascii="Cambria Math" w:hAnsi="Book Antiqua"/>
            <w:sz w:val="20"/>
            <w:szCs w:val="20"/>
          </w:rPr>
          <m:t xml:space="preserve"> ~ 1/</m:t>
        </m:r>
        <m:sSup>
          <m:sSupPr>
            <m:ctrlPr>
              <w:rPr>
                <w:rStyle w:val="style21"/>
                <w:rFonts w:ascii="Cambria Math" w:hAnsi="Book Antiqua"/>
                <w:i/>
                <w:sz w:val="20"/>
                <w:szCs w:val="20"/>
              </w:rPr>
            </m:ctrlPr>
          </m:sSupPr>
          <m:e>
            <m:r>
              <w:rPr>
                <w:rStyle w:val="style21"/>
                <w:rFonts w:ascii="Cambria Math" w:hAnsi="Cambria Math"/>
                <w:sz w:val="20"/>
                <w:szCs w:val="20"/>
              </w:rPr>
              <m:t>U</m:t>
            </m:r>
          </m:e>
          <m:sup>
            <m:r>
              <w:rPr>
                <w:rStyle w:val="style21"/>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(5)</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r>
          <w:rPr>
            <w:rFonts w:ascii="Cambria Math" w:hAnsi="Cambria Math"/>
            <w:sz w:val="20"/>
            <w:szCs w:val="20"/>
          </w:rPr>
          <m:t>σ</m:t>
        </m:r>
      </m:oMath>
      <w:r w:rsidRPr="00C07D41">
        <w:rPr>
          <w:rFonts w:ascii="Book Antiqua" w:hAnsi="Book Antiqua"/>
          <w:sz w:val="20"/>
          <w:szCs w:val="20"/>
        </w:rPr>
        <w:t xml:space="preserve"> is the Thomson scattering cross-section where we have </w:t>
      </w:r>
      <m:oMath>
        <m:r>
          <w:rPr>
            <w:rStyle w:val="style21"/>
            <w:rFonts w:ascii="Cambria Math" w:hAnsi="Cambria Math"/>
            <w:sz w:val="20"/>
            <w:szCs w:val="20"/>
          </w:rPr>
          <m:t>σ</m:t>
        </m:r>
        <m:r>
          <w:rPr>
            <w:rStyle w:val="style21"/>
            <w:rFonts w:ascii="Cambria Math" w:hAnsi="Book Antiqua"/>
            <w:sz w:val="20"/>
            <w:szCs w:val="20"/>
          </w:rPr>
          <m:t xml:space="preserve"> </m:t>
        </m:r>
        <m:r>
          <w:rPr>
            <w:rFonts w:ascii="Cambria Math" w:hAnsi="Book Antiqua"/>
            <w:sz w:val="20"/>
            <w:szCs w:val="20"/>
          </w:rPr>
          <m:t>= (8</m:t>
        </m:r>
        <m:r>
          <w:rPr>
            <w:rStyle w:val="style21"/>
            <w:rFonts w:ascii="Cambria Math" w:hAnsi="Cambria Math"/>
            <w:sz w:val="20"/>
            <w:szCs w:val="20"/>
          </w:rPr>
          <m:t>π</m:t>
        </m:r>
        <m:r>
          <w:rPr>
            <w:rFonts w:ascii="Cambria Math" w:hAnsi="Book Antiqua"/>
            <w:sz w:val="20"/>
            <w:szCs w:val="20"/>
          </w:rPr>
          <m:t>/3)</m:t>
        </m:r>
        <m:sSup>
          <m:sSupPr>
            <m:ctrlPr>
              <w:rPr>
                <w:rFonts w:ascii="Cambria Math" w:hAnsi="Book Antiqua"/>
                <w:i/>
                <w:sz w:val="20"/>
                <w:szCs w:val="20"/>
              </w:rPr>
            </m:ctrlPr>
          </m:sSupPr>
          <m:e>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2</m:t>
                </m:r>
              </m:sup>
            </m:sSup>
            <m:r>
              <w:rPr>
                <w:rFonts w:ascii="Cambria Math" w:hAnsi="Book Antiqua"/>
                <w:sz w:val="20"/>
                <w:szCs w:val="20"/>
              </w:rPr>
              <m:t>/(</m:t>
            </m:r>
            <m:r>
              <w:rPr>
                <w:rStyle w:val="style21"/>
                <w:rFonts w:ascii="Cambria Math" w:hAnsi="Cambria Math"/>
                <w:sz w:val="20"/>
                <w:szCs w:val="20"/>
              </w:rPr>
              <m:t>ε</m:t>
            </m:r>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m:t>
            </m:r>
          </m:e>
          <m:sup>
            <m:r>
              <w:rPr>
                <w:rFonts w:ascii="Cambria Math" w:hAnsi="Book Antiqua"/>
                <w:sz w:val="20"/>
                <w:szCs w:val="20"/>
              </w:rPr>
              <m:t>2</m:t>
            </m:r>
          </m:sup>
        </m:sSup>
      </m:oMath>
      <w:r w:rsidRPr="00C07D41">
        <w:rPr>
          <w:rFonts w:ascii="Book Antiqua" w:hAnsi="Book Antiqua"/>
          <w:sz w:val="20"/>
          <w:szCs w:val="20"/>
        </w:rPr>
        <w:t xml:space="preserve"> which is constant, as </w:t>
      </w:r>
      <w:proofErr w:type="gramStart"/>
      <w:r w:rsidRPr="00C07D41">
        <w:rPr>
          <w:rFonts w:ascii="Book Antiqua" w:hAnsi="Book Antiqua"/>
          <w:sz w:val="20"/>
          <w:szCs w:val="20"/>
        </w:rPr>
        <w:t xml:space="preserve">is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w:t>
      </w:r>
      <w:proofErr w:type="gramStart"/>
      <w:r w:rsidRPr="00C07D41">
        <w:rPr>
          <w:rFonts w:ascii="Book Antiqua" w:hAnsi="Book Antiqua"/>
          <w:sz w:val="20"/>
          <w:szCs w:val="20"/>
        </w:rPr>
        <w:t xml:space="preserve">But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proportional to </w:t>
      </w:r>
      <m:oMath>
        <m:r>
          <w:rPr>
            <w:rStyle w:val="Emphasis"/>
            <w:rFonts w:ascii="Cambria Math" w:hAnsi="Book Antiqua"/>
            <w:sz w:val="20"/>
            <w:szCs w:val="20"/>
          </w:rPr>
          <m:t>1</m:t>
        </m:r>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eastAsia="Calibri"/>
          <w:i/>
          <w:iCs/>
        </w:rPr>
        <w:t xml:space="preserve"> </w:t>
      </w:r>
      <w:r w:rsidRPr="00C07D41">
        <w:rPr>
          <w:rFonts w:ascii="Book Antiqua" w:hAnsi="Book Antiqua"/>
          <w:sz w:val="20"/>
          <w:szCs w:val="20"/>
        </w:rPr>
        <w:t xml:space="preserve">from equation (17) in Chapter 4, so electron scattering opacity is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as in (5).</w:t>
      </w:r>
      <w:proofErr w:type="gramEnd"/>
      <w:r w:rsidRPr="00C07D41">
        <w:rPr>
          <w:rFonts w:ascii="Book Antiqua" w:hAnsi="Book Antiqua"/>
          <w:sz w:val="20"/>
          <w:szCs w:val="20"/>
        </w:rPr>
        <w:t xml:space="preserve"> Some stars do not have the interior conditions for high energy Compton or inverse Compton effects to be relevant </w:t>
      </w:r>
      <w:hyperlink r:id="rId1248" w:anchor="2a156" w:history="1">
        <w:r w:rsidRPr="00C07D41">
          <w:rPr>
            <w:rStyle w:val="Hyperlink"/>
            <w:rFonts w:ascii="Book Antiqua" w:hAnsi="Book Antiqua"/>
            <w:sz w:val="20"/>
            <w:szCs w:val="20"/>
          </w:rPr>
          <w:t>[9]</w:t>
        </w:r>
      </w:hyperlink>
      <w:r w:rsidRPr="00C07D41">
        <w:rPr>
          <w:rFonts w:ascii="Book Antiqua" w:hAnsi="Book Antiqua"/>
          <w:sz w:val="20"/>
          <w:szCs w:val="20"/>
        </w:rPr>
        <w:t xml:space="preserve">. Still a formula for the Rosseland mean opacity for Compton scattering by free electrons in the non-degenerative limit exists </w:t>
      </w:r>
      <w:hyperlink r:id="rId1249" w:anchor="2a158" w:history="1">
        <w:r w:rsidRPr="00C07D41">
          <w:rPr>
            <w:rStyle w:val="Hyperlink"/>
            <w:rFonts w:ascii="Book Antiqua" w:hAnsi="Book Antiqua"/>
            <w:sz w:val="20"/>
            <w:szCs w:val="20"/>
          </w:rPr>
          <w:t>[10]</w:t>
        </w:r>
      </w:hyperlink>
      <w:r w:rsidRPr="00C07D41">
        <w:rPr>
          <w:rFonts w:ascii="Book Antiqua" w:hAnsi="Book Antiqua"/>
          <w:sz w:val="20"/>
          <w:szCs w:val="20"/>
        </w:rPr>
        <w:t xml:space="preserve">. It differs from (5) only by a dimensionless number.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Let us consider bound-free transitions. Harwit states </w:t>
      </w:r>
      <w:r w:rsidRPr="00C07D41">
        <w:rPr>
          <w:rStyle w:val="Emphasis"/>
          <w:rFonts w:ascii="Book Antiqua" w:hAnsi="Book Antiqua"/>
          <w:sz w:val="20"/>
          <w:szCs w:val="20"/>
        </w:rPr>
        <w:t xml:space="preserve">“hydrogen and helium do not contribute significantly to the bound-free transitions.” </w:t>
      </w:r>
      <w:hyperlink r:id="rId1250" w:anchor="2a158" w:history="1">
        <w:r w:rsidRPr="00C07D41">
          <w:rPr>
            <w:rStyle w:val="Hyperlink"/>
            <w:rFonts w:ascii="Book Antiqua" w:hAnsi="Book Antiqua"/>
            <w:sz w:val="20"/>
            <w:szCs w:val="20"/>
          </w:rPr>
          <w:t>[11]</w:t>
        </w:r>
      </w:hyperlink>
      <w:r w:rsidRPr="00C07D41">
        <w:rPr>
          <w:rFonts w:ascii="Book Antiqua" w:hAnsi="Book Antiqua"/>
          <w:sz w:val="20"/>
          <w:szCs w:val="20"/>
        </w:rPr>
        <w:t xml:space="preserve"> Instead, a factor</w:t>
      </w:r>
      <m:oMath>
        <m:r>
          <w:rPr>
            <w:rFonts w:ascii="Cambria Math" w:hAnsi="Book Antiqua"/>
            <w:sz w:val="20"/>
            <w:szCs w:val="20"/>
          </w:rPr>
          <m:t xml:space="preserve"> </m:t>
        </m:r>
        <m:r>
          <w:rPr>
            <w:rStyle w:val="Emphasis"/>
            <w:rFonts w:ascii="Cambria Math" w:hAnsi="Cambria Math"/>
            <w:sz w:val="20"/>
            <w:szCs w:val="20"/>
          </w:rPr>
          <m:t>Z</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put in the equation where </w:t>
      </w:r>
      <m:oMath>
        <m:r>
          <w:rPr>
            <w:rStyle w:val="Emphasis"/>
            <w:rFonts w:ascii="Cambria Math" w:hAnsi="Cambria Math"/>
            <w:sz w:val="20"/>
            <w:szCs w:val="20"/>
          </w:rPr>
          <m:t>Z</m:t>
        </m:r>
      </m:oMath>
      <w:r w:rsidRPr="00C07D41">
        <w:rPr>
          <w:rFonts w:ascii="Book Antiqua" w:hAnsi="Book Antiqua"/>
          <w:sz w:val="20"/>
          <w:szCs w:val="20"/>
        </w:rPr>
        <w:t xml:space="preserve"> is the metal abundance expressed as a fraction of total mass, and so is constant for </w:t>
      </w:r>
      <w:proofErr w:type="gramStart"/>
      <w:r w:rsidRPr="00C07D41">
        <w:rPr>
          <w:rFonts w:ascii="Book Antiqua" w:hAnsi="Book Antiqua"/>
          <w:sz w:val="20"/>
          <w:szCs w:val="20"/>
        </w:rPr>
        <w:t xml:space="preserve">all </w:t>
      </w:r>
      <m:oMath>
        <w:proofErr w:type="gramEnd"/>
        <m:r>
          <w:rPr>
            <w:rStyle w:val="Emphasis"/>
            <w:rFonts w:ascii="Cambria Math" w:hAnsi="Cambria Math"/>
            <w:sz w:val="20"/>
            <w:szCs w:val="20"/>
          </w:rPr>
          <m:t>c</m:t>
        </m:r>
      </m:oMath>
      <w:r w:rsidRPr="00C07D41">
        <w:rPr>
          <w:rFonts w:ascii="Book Antiqua" w:hAnsi="Book Antiqua"/>
          <w:sz w:val="20"/>
          <w:szCs w:val="20"/>
        </w:rPr>
        <w:t xml:space="preserve">. Harwit detailed terms giving the numerical coefficient in the equation describing Kramer’s Law of Opacity for bound-free absorption </w:t>
      </w:r>
      <w:hyperlink r:id="rId1251" w:anchor="2a159" w:history="1">
        <w:r w:rsidRPr="00C07D41">
          <w:rPr>
            <w:rStyle w:val="Hyperlink"/>
            <w:rFonts w:ascii="Book Antiqua" w:hAnsi="Book Antiqua"/>
            <w:sz w:val="20"/>
            <w:szCs w:val="20"/>
          </w:rPr>
          <w:t>[12]</w:t>
        </w:r>
      </w:hyperlink>
      <w:r w:rsidRPr="00C07D41">
        <w:rPr>
          <w:rFonts w:ascii="Book Antiqua" w:hAnsi="Book Antiqua"/>
          <w:sz w:val="20"/>
          <w:szCs w:val="20"/>
        </w:rPr>
        <w:t>. Including these give the following equation:</w:t>
      </w:r>
    </w:p>
    <w:p w:rsidR="00C80BD4" w:rsidRPr="00C07D41" w:rsidRDefault="00241D2F" w:rsidP="00C80BD4">
      <w:pPr>
        <w:pStyle w:val="NormalWeb"/>
        <w:ind w:firstLine="720"/>
        <w:jc w:val="both"/>
        <w:rPr>
          <w:rFonts w:ascii="Book Antiqua" w:hAnsi="Book Antiqua"/>
          <w:i/>
          <w:sz w:val="20"/>
          <w:szCs w:val="20"/>
        </w:rPr>
      </w:pPr>
      <m:oMath>
        <m:sSub>
          <m:sSubPr>
            <m:ctrlPr>
              <w:rPr>
                <w:rFonts w:ascii="Cambria Math" w:hAnsi="Book Antiqua"/>
                <w:i/>
                <w:sz w:val="18"/>
                <w:szCs w:val="18"/>
              </w:rPr>
            </m:ctrlPr>
          </m:sSubPr>
          <m:e>
            <m:r>
              <w:rPr>
                <w:rFonts w:ascii="Cambria Math" w:hAnsi="Cambria Math"/>
                <w:sz w:val="18"/>
                <w:szCs w:val="18"/>
              </w:rPr>
              <m:t>Κ</m:t>
            </m:r>
          </m:e>
          <m:sub>
            <m:r>
              <w:rPr>
                <w:rFonts w:ascii="Cambria Math" w:hAnsi="Cambria Math"/>
                <w:sz w:val="18"/>
                <w:szCs w:val="18"/>
              </w:rPr>
              <m:t>bf</m:t>
            </m:r>
          </m:sub>
        </m:sSub>
        <m:r>
          <w:rPr>
            <w:rFonts w:ascii="Cambria Math" w:hAnsi="Book Antiqua"/>
            <w:sz w:val="18"/>
            <w:szCs w:val="18"/>
          </w:rPr>
          <m:t>=</m:t>
        </m:r>
        <m:d>
          <m:dPr>
            <m:ctrlPr>
              <w:rPr>
                <w:rFonts w:ascii="Cambria Math" w:hAnsi="Book Antiqua"/>
                <w:i/>
                <w:sz w:val="18"/>
                <w:szCs w:val="18"/>
              </w:rPr>
            </m:ctrlPr>
          </m:dPr>
          <m:e>
            <m:f>
              <m:fPr>
                <m:ctrlPr>
                  <w:rPr>
                    <w:rFonts w:ascii="Cambria Math" w:hAnsi="Book Antiqua"/>
                    <w:i/>
                    <w:sz w:val="18"/>
                    <w:szCs w:val="18"/>
                  </w:rPr>
                </m:ctrlPr>
              </m:fPr>
              <m:num>
                <m:r>
                  <w:rPr>
                    <w:rFonts w:ascii="Cambria Math" w:hAnsi="Book Antiqua"/>
                    <w:sz w:val="18"/>
                    <w:szCs w:val="18"/>
                  </w:rPr>
                  <m:t>2</m:t>
                </m:r>
              </m:num>
              <m:den>
                <m:r>
                  <w:rPr>
                    <w:rFonts w:ascii="Cambria Math" w:hAnsi="Book Antiqua"/>
                    <w:sz w:val="18"/>
                    <w:szCs w:val="18"/>
                  </w:rPr>
                  <m:t>3</m:t>
                </m:r>
              </m:den>
            </m:f>
          </m:e>
        </m:d>
        <m:r>
          <w:rPr>
            <w:rFonts w:ascii="Book Antiqua" w:hAnsi="Book Antiqua"/>
            <w:sz w:val="18"/>
            <w:szCs w:val="18"/>
          </w:rPr>
          <m:t>√</m:t>
        </m:r>
        <m:r>
          <w:rPr>
            <w:rFonts w:ascii="Cambria Math" w:hAnsi="Book Antiqua"/>
            <w:sz w:val="18"/>
            <w:szCs w:val="18"/>
          </w:rPr>
          <m:t>(2</m:t>
        </m:r>
        <m:r>
          <w:rPr>
            <w:rFonts w:ascii="Cambria Math" w:hAnsi="Cambria Math"/>
            <w:sz w:val="18"/>
            <w:szCs w:val="18"/>
          </w:rPr>
          <m:t>π</m:t>
        </m:r>
        <m:r>
          <w:rPr>
            <w:rFonts w:ascii="Cambria Math" w:hAnsi="Book Antiqua"/>
            <w:sz w:val="18"/>
            <w:szCs w:val="18"/>
          </w:rPr>
          <m:t>/3)[</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6</m:t>
            </m:r>
          </m:sup>
        </m:sSup>
        <m:sSup>
          <m:sSupPr>
            <m:ctrlPr>
              <w:rPr>
                <w:rFonts w:ascii="Cambria Math" w:hAnsi="Book Antiqua"/>
                <w:i/>
                <w:sz w:val="18"/>
                <w:szCs w:val="18"/>
              </w:rPr>
            </m:ctrlPr>
          </m:sSupPr>
          <m:e>
            <m:r>
              <w:rPr>
                <w:rFonts w:ascii="Book Antiqua" w:hAnsi="Cambria Math"/>
                <w:sz w:val="18"/>
                <w:szCs w:val="18"/>
              </w:rPr>
              <m:t>h</m:t>
            </m:r>
          </m:e>
          <m:sup>
            <m:r>
              <w:rPr>
                <w:rFonts w:ascii="Cambria Math" w:hAnsi="Book Antiqua"/>
                <w:sz w:val="18"/>
                <w:szCs w:val="18"/>
              </w:rPr>
              <m:t>2</m:t>
            </m:r>
          </m:sup>
        </m:sSup>
        <m:sSub>
          <m:sSubPr>
            <m:ctrlPr>
              <w:rPr>
                <w:rStyle w:val="style21"/>
                <w:rFonts w:ascii="Cambria Math" w:hAnsi="Book Antiqua"/>
                <w:i/>
                <w:sz w:val="18"/>
                <w:szCs w:val="18"/>
              </w:rPr>
            </m:ctrlPr>
          </m:sSubPr>
          <m:e>
            <m:r>
              <w:rPr>
                <w:rStyle w:val="style21"/>
                <w:rFonts w:ascii="Cambria Math" w:hAnsi="Cambria Math"/>
                <w:sz w:val="18"/>
                <w:szCs w:val="18"/>
              </w:rPr>
              <m:t>ρ</m:t>
            </m:r>
          </m:e>
          <m:sub>
            <m:r>
              <w:rPr>
                <w:rStyle w:val="style21"/>
                <w:rFonts w:ascii="Cambria Math" w:hAnsi="Cambria Math"/>
                <w:sz w:val="18"/>
                <w:szCs w:val="18"/>
              </w:rPr>
              <m:t>m</m:t>
            </m:r>
          </m:sub>
        </m:sSub>
        <m:r>
          <w:rPr>
            <w:rFonts w:ascii="Cambria Math" w:hAnsi="Book Antiqua"/>
            <w:sz w:val="18"/>
            <w:szCs w:val="18"/>
          </w:rPr>
          <m:t>/(</m:t>
        </m:r>
        <m:sSup>
          <m:sSupPr>
            <m:ctrlPr>
              <w:rPr>
                <w:rStyle w:val="style21"/>
                <w:rFonts w:ascii="Cambria Math" w:hAnsi="Book Antiqua"/>
                <w:i/>
                <w:sz w:val="18"/>
                <w:szCs w:val="18"/>
              </w:rPr>
            </m:ctrlPr>
          </m:sSupPr>
          <m:e>
            <m:r>
              <w:rPr>
                <w:rStyle w:val="style21"/>
                <w:rFonts w:ascii="Cambria Math" w:hAnsi="Cambria Math"/>
                <w:sz w:val="18"/>
                <w:szCs w:val="18"/>
              </w:rPr>
              <m:t>ε</m:t>
            </m:r>
          </m:e>
          <m:sup>
            <m:r>
              <w:rPr>
                <w:rStyle w:val="style21"/>
                <w:rFonts w:ascii="Cambria Math" w:hAnsi="Book Antiqua"/>
                <w:sz w:val="18"/>
                <w:szCs w:val="18"/>
              </w:rPr>
              <m:t>3</m:t>
            </m:r>
          </m:sup>
        </m:sSup>
        <m:r>
          <w:rPr>
            <w:rFonts w:ascii="Cambria Math" w:hAnsi="Cambria Math"/>
            <w:sz w:val="18"/>
            <w:szCs w:val="18"/>
          </w:rPr>
          <m:t>c</m:t>
        </m:r>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H</m:t>
                </m:r>
              </m:sub>
            </m:sSub>
          </m:e>
          <m:sup>
            <m:r>
              <w:rPr>
                <w:rFonts w:ascii="Cambria Math" w:hAnsi="Book Antiqua"/>
                <w:sz w:val="18"/>
                <w:szCs w:val="18"/>
              </w:rPr>
              <m:t>2</m:t>
            </m:r>
          </m:sup>
        </m:sSup>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e</m:t>
                </m:r>
              </m:sub>
            </m:sSub>
          </m:e>
          <m:sup>
            <m:f>
              <m:fPr>
                <m:ctrlPr>
                  <w:rPr>
                    <w:rFonts w:ascii="Cambria Math" w:hAnsi="Book Antiqua"/>
                    <w:i/>
                    <w:sz w:val="18"/>
                    <w:szCs w:val="18"/>
                  </w:rPr>
                </m:ctrlPr>
              </m:fPr>
              <m:num>
                <m:r>
                  <w:rPr>
                    <w:rFonts w:ascii="Cambria Math" w:hAnsi="Book Antiqua"/>
                    <w:sz w:val="18"/>
                    <w:szCs w:val="18"/>
                  </w:rPr>
                  <m:t>3</m:t>
                </m:r>
              </m:num>
              <m:den>
                <m:r>
                  <w:rPr>
                    <w:rFonts w:ascii="Cambria Math" w:hAnsi="Book Antiqua"/>
                    <w:sz w:val="18"/>
                    <w:szCs w:val="18"/>
                  </w:rPr>
                  <m:t>2</m:t>
                </m:r>
              </m:den>
            </m:f>
          </m:sup>
        </m:sSup>
        <m:r>
          <w:rPr>
            <w:rFonts w:ascii="Cambria Math" w:hAnsi="Book Antiqua"/>
            <w:sz w:val="18"/>
            <w:szCs w:val="18"/>
          </w:rPr>
          <m:t>)[</m:t>
        </m:r>
        <m:r>
          <w:rPr>
            <w:rFonts w:ascii="Cambria Math" w:hAnsi="Cambria Math"/>
            <w:sz w:val="18"/>
            <w:szCs w:val="18"/>
          </w:rPr>
          <m:t>Z</m:t>
        </m:r>
        <m:r>
          <w:rPr>
            <w:rFonts w:ascii="Cambria Math" w:hAnsi="Book Antiqua"/>
            <w:sz w:val="18"/>
            <w:szCs w:val="18"/>
          </w:rPr>
          <m:t>(1+</m:t>
        </m:r>
        <m:r>
          <w:rPr>
            <w:rFonts w:ascii="Cambria Math" w:hAnsi="Cambria Math"/>
            <w:sz w:val="18"/>
            <w:szCs w:val="18"/>
          </w:rPr>
          <m:t>X</m:t>
        </m:r>
        <m:r>
          <w:rPr>
            <w:rFonts w:ascii="Cambria Math" w:hAnsi="Book Antiqua"/>
            <w:sz w:val="18"/>
            <w:szCs w:val="18"/>
          </w:rPr>
          <m:t>)/</m:t>
        </m:r>
        <m:sSup>
          <m:sSupPr>
            <m:ctrlPr>
              <w:rPr>
                <w:rFonts w:ascii="Cambria Math" w:hAnsi="Book Antiqua"/>
                <w:i/>
                <w:sz w:val="18"/>
                <w:szCs w:val="18"/>
              </w:rPr>
            </m:ctrlPr>
          </m:sSupPr>
          <m:e>
            <m:d>
              <m:dPr>
                <m:ctrlPr>
                  <w:rPr>
                    <w:rFonts w:ascii="Cambria Math" w:hAnsi="Book Antiqua"/>
                    <w:i/>
                    <w:sz w:val="18"/>
                    <w:szCs w:val="18"/>
                  </w:rPr>
                </m:ctrlPr>
              </m:dPr>
              <m:e>
                <m:r>
                  <w:rPr>
                    <w:rFonts w:ascii="Cambria Math" w:hAnsi="Cambria Math"/>
                    <w:sz w:val="18"/>
                    <w:szCs w:val="18"/>
                  </w:rPr>
                  <m:t>kT</m:t>
                </m:r>
              </m:e>
            </m:d>
          </m:e>
          <m:sup>
            <m:f>
              <m:fPr>
                <m:ctrlPr>
                  <w:rPr>
                    <w:rFonts w:ascii="Cambria Math" w:hAnsi="Book Antiqua"/>
                    <w:i/>
                    <w:sz w:val="18"/>
                    <w:szCs w:val="18"/>
                  </w:rPr>
                </m:ctrlPr>
              </m:fPr>
              <m:num>
                <m:r>
                  <w:rPr>
                    <w:rFonts w:ascii="Cambria Math" w:hAnsi="Book Antiqua"/>
                    <w:sz w:val="18"/>
                    <w:szCs w:val="18"/>
                  </w:rPr>
                  <m:t>7</m:t>
                </m:r>
              </m:num>
              <m:den>
                <m:r>
                  <w:rPr>
                    <w:rFonts w:ascii="Cambria Math" w:hAnsi="Book Antiqua"/>
                    <w:sz w:val="18"/>
                    <w:szCs w:val="18"/>
                  </w:rPr>
                  <m:t>2</m:t>
                </m:r>
              </m:den>
            </m:f>
          </m:sup>
        </m:sSup>
        <m:r>
          <w:rPr>
            <w:rFonts w:ascii="Cambria Math" w:hAnsi="Book Antiqua"/>
            <w:sz w:val="18"/>
            <w:szCs w:val="18"/>
          </w:rPr>
          <m:t>]</m:t>
        </m:r>
        <m:sSup>
          <m:sSupPr>
            <m:ctrlPr>
              <w:rPr>
                <w:rFonts w:ascii="Cambria Math" w:hAnsi="Book Antiqua"/>
                <w:i/>
                <w:sz w:val="18"/>
                <w:szCs w:val="18"/>
              </w:rPr>
            </m:ctrlPr>
          </m:sSupPr>
          <m:e>
            <m:d>
              <m:dPr>
                <m:begChr m:val="["/>
                <m:endChr m:val="]"/>
                <m:ctrlPr>
                  <w:rPr>
                    <w:rFonts w:ascii="Cambria Math" w:hAnsi="Book Antiqua"/>
                    <w:i/>
                    <w:sz w:val="18"/>
                    <w:szCs w:val="18"/>
                  </w:rPr>
                </m:ctrlPr>
              </m:dPr>
              <m:e>
                <m:f>
                  <m:fPr>
                    <m:ctrlPr>
                      <w:rPr>
                        <w:rFonts w:ascii="Cambria Math" w:hAnsi="Book Antiqua"/>
                        <w:i/>
                        <w:sz w:val="18"/>
                        <w:szCs w:val="18"/>
                      </w:rPr>
                    </m:ctrlPr>
                  </m:fPr>
                  <m:num>
                    <m:r>
                      <w:rPr>
                        <w:rFonts w:ascii="Cambria Math" w:hAnsi="Cambria Math"/>
                        <w:sz w:val="18"/>
                        <w:szCs w:val="18"/>
                      </w:rPr>
                      <m:t>kT</m:t>
                    </m:r>
                  </m:num>
                  <m:den>
                    <m:r>
                      <w:rPr>
                        <w:rFonts w:ascii="Book Antiqua" w:hAnsi="Cambria Math"/>
                        <w:sz w:val="18"/>
                        <w:szCs w:val="18"/>
                      </w:rPr>
                      <m:t>h</m:t>
                    </m:r>
                    <m:r>
                      <w:rPr>
                        <w:rFonts w:ascii="Cambria Math" w:hAnsi="Cambria Math"/>
                        <w:sz w:val="18"/>
                        <w:szCs w:val="18"/>
                      </w:rPr>
                      <m:t>f</m:t>
                    </m:r>
                  </m:den>
                </m:f>
              </m:e>
            </m:d>
          </m:e>
          <m:sup>
            <m:r>
              <w:rPr>
                <w:rFonts w:ascii="Cambria Math" w:hAnsi="Book Antiqua"/>
                <w:sz w:val="18"/>
                <w:szCs w:val="18"/>
              </w:rPr>
              <m:t>3</m:t>
            </m:r>
          </m:sup>
        </m:sSup>
        <m:sSub>
          <m:sSubPr>
            <m:ctrlPr>
              <w:rPr>
                <w:rFonts w:ascii="Cambria Math" w:hAnsi="Book Antiqua"/>
                <w:i/>
                <w:sz w:val="18"/>
                <w:szCs w:val="18"/>
              </w:rPr>
            </m:ctrlPr>
          </m:sSubPr>
          <m:e>
            <m:r>
              <w:rPr>
                <w:rFonts w:ascii="Cambria Math" w:hAnsi="Cambria Math"/>
                <w:sz w:val="18"/>
                <w:szCs w:val="18"/>
              </w:rPr>
              <m:t>g</m:t>
            </m:r>
          </m:e>
          <m:sub>
            <m:r>
              <w:rPr>
                <w:rFonts w:ascii="Cambria Math" w:hAnsi="Cambria Math"/>
                <w:sz w:val="18"/>
                <w:szCs w:val="18"/>
              </w:rPr>
              <m:t>bf</m:t>
            </m:r>
          </m:sub>
        </m:sSub>
        <m:r>
          <w:rPr>
            <w:rFonts w:ascii="Cambria Math" w:hAnsi="Book Antiqua"/>
            <w:sz w:val="18"/>
            <w:szCs w:val="18"/>
          </w:rPr>
          <m:t>/</m:t>
        </m:r>
        <m:r>
          <w:rPr>
            <w:rFonts w:ascii="Cambria Math" w:hAnsi="Cambria Math"/>
            <w:sz w:val="18"/>
            <w:szCs w:val="18"/>
          </w:rPr>
          <m:t>F</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U</m:t>
            </m:r>
          </m:e>
          <m:sup>
            <m:r>
              <w:rPr>
                <w:rFonts w:ascii="Cambria Math" w:hAnsi="Book Antiqua"/>
                <w:sz w:val="18"/>
                <w:szCs w:val="18"/>
              </w:rPr>
              <m:t>2</m:t>
            </m:r>
          </m:sup>
        </m:sSup>
      </m:oMath>
      <w:r w:rsidR="00C80BD4" w:rsidRPr="00C07D41">
        <w:rPr>
          <w:rFonts w:ascii="Book Antiqua" w:hAnsi="Book Antiqua"/>
          <w:sz w:val="20"/>
          <w:szCs w:val="20"/>
        </w:rPr>
        <w:tab/>
      </w:r>
      <w:r w:rsidR="00C80BD4" w:rsidRPr="00C07D41">
        <w:rPr>
          <w:rFonts w:ascii="Book Antiqua" w:hAnsi="Book Antiqua"/>
          <w:i/>
          <w:sz w:val="20"/>
          <w:szCs w:val="20"/>
        </w:rPr>
        <w:t>(6)</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(6), </w:t>
      </w:r>
      <m:oMath>
        <m:r>
          <w:rPr>
            <w:rStyle w:val="Emphasis"/>
            <w:rFonts w:ascii="Cambria Math" w:hAnsi="Cambria Math"/>
            <w:sz w:val="20"/>
            <w:szCs w:val="20"/>
          </w:rPr>
          <m:t>k</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Boltzmann’s constant, which is invariant for </w:t>
      </w:r>
      <w:proofErr w:type="gramStart"/>
      <w:r w:rsidRPr="00C07D41">
        <w:rPr>
          <w:rFonts w:ascii="Book Antiqua" w:hAnsi="Book Antiqua"/>
          <w:sz w:val="20"/>
          <w:szCs w:val="20"/>
        </w:rPr>
        <w:t xml:space="preserve">all </w:t>
      </w:r>
      <m:oMath>
        <w:proofErr w:type="gramEnd"/>
        <m:r>
          <w:rPr>
            <w:rStyle w:val="Emphasis"/>
            <w:rFonts w:ascii="Cambria Math" w:hAnsi="Cambria Math"/>
            <w:sz w:val="20"/>
            <w:szCs w:val="20"/>
          </w:rPr>
          <m:t>c</m:t>
        </m:r>
      </m:oMath>
      <w:r w:rsidRPr="00C07D41">
        <w:rPr>
          <w:rFonts w:ascii="Book Antiqua" w:hAnsi="Book Antiqua"/>
          <w:sz w:val="20"/>
          <w:szCs w:val="20"/>
        </w:rPr>
        <w:t xml:space="preserve">. The terms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H</m:t>
            </m:r>
          </m:sub>
        </m:sSub>
      </m:oMath>
      <w:r w:rsidRPr="00C07D41">
        <w:rPr>
          <w:rStyle w:val="Emphasis"/>
          <w:rFonts w:ascii="Book Antiqua" w:hAnsi="Book Antiqua"/>
          <w:sz w:val="20"/>
          <w:szCs w:val="20"/>
        </w:rPr>
        <w:t xml:space="preserve"> </w:t>
      </w:r>
      <w:r w:rsidRPr="00C07D41">
        <w:rPr>
          <w:rFonts w:ascii="Book Antiqua" w:hAnsi="Book Antiqua"/>
          <w:sz w:val="20"/>
          <w:szCs w:val="20"/>
        </w:rPr>
        <w:t>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e</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are the masses of the hydrogen atom and electron respectively </w:t>
      </w:r>
      <w:hyperlink r:id="rId1252" w:anchor="2a160" w:history="1">
        <w:r w:rsidRPr="00C07D41">
          <w:rPr>
            <w:rStyle w:val="Hyperlink"/>
            <w:rFonts w:ascii="Book Antiqua" w:hAnsi="Book Antiqua"/>
            <w:sz w:val="20"/>
            <w:szCs w:val="20"/>
          </w:rPr>
          <w:t>[13]</w:t>
        </w:r>
      </w:hyperlink>
      <w:r w:rsidRPr="00C07D41">
        <w:rPr>
          <w:rFonts w:ascii="Book Antiqua" w:hAnsi="Book Antiqua"/>
          <w:sz w:val="20"/>
          <w:szCs w:val="20"/>
        </w:rPr>
        <w:t xml:space="preserve">, and are proportional to </w:t>
      </w:r>
      <m:oMath>
        <m:r>
          <w:rPr>
            <w:rStyle w:val="Emphasis"/>
            <w:rFonts w:ascii="Cambria Math" w:hAnsi="Book Antiqua"/>
            <w:sz w:val="20"/>
            <w:szCs w:val="20"/>
          </w:rPr>
          <m:t>1</m:t>
        </m:r>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from (17) in Chapter 3.  The term </w:t>
      </w:r>
      <m:oMath>
        <m:r>
          <w:rPr>
            <w:rStyle w:val="Emphasis"/>
            <w:rFonts w:ascii="Cambria Math" w:hAnsi="Cambria Math"/>
            <w:sz w:val="20"/>
            <w:szCs w:val="20"/>
          </w:rPr>
          <m:t>F</m:t>
        </m:r>
      </m:oMath>
      <w:r w:rsidRPr="00C07D41">
        <w:rPr>
          <w:rStyle w:val="Emphasis"/>
          <w:rFonts w:ascii="Book Antiqua" w:hAnsi="Book Antiqua"/>
          <w:sz w:val="20"/>
          <w:szCs w:val="20"/>
        </w:rPr>
        <w:t xml:space="preserve"> </w:t>
      </w:r>
      <w:r w:rsidRPr="00C07D41">
        <w:rPr>
          <w:rFonts w:ascii="Book Antiqua" w:hAnsi="Book Antiqua"/>
          <w:sz w:val="20"/>
          <w:szCs w:val="20"/>
        </w:rPr>
        <w:t xml:space="preserve">contains correction and other factors independent </w:t>
      </w:r>
      <w:proofErr w:type="gramStart"/>
      <w:r w:rsidRPr="00C07D41">
        <w:rPr>
          <w:rFonts w:ascii="Book Antiqua" w:hAnsi="Book Antiqua"/>
          <w:sz w:val="20"/>
          <w:szCs w:val="20"/>
        </w:rPr>
        <w:t xml:space="preserve">of </w:t>
      </w:r>
      <m:oMath>
        <w:proofErr w:type="gramEnd"/>
        <m:r>
          <w:rPr>
            <w:rStyle w:val="Emphasis"/>
            <w:rFonts w:ascii="Cambria Math" w:hAnsi="Cambria Math"/>
            <w:sz w:val="20"/>
            <w:szCs w:val="20"/>
          </w:rPr>
          <m:t>c</m:t>
        </m:r>
      </m:oMath>
      <w:r w:rsidRPr="00C07D41">
        <w:rPr>
          <w:rFonts w:ascii="Book Antiqua" w:hAnsi="Book Antiqua"/>
          <w:sz w:val="20"/>
          <w:szCs w:val="20"/>
        </w:rPr>
        <w:t xml:space="preserve">, while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g</m:t>
            </m:r>
          </m:e>
          <m:sub>
            <m:r>
              <w:rPr>
                <w:rStyle w:val="Emphasis"/>
                <w:rFonts w:ascii="Cambria Math" w:hAnsi="Cambria Math"/>
                <w:sz w:val="20"/>
                <w:szCs w:val="20"/>
              </w:rPr>
              <m:t>bf</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dimensionless mean Gaunt factor of the order of unity. The term </w:t>
      </w:r>
      <m:oMath>
        <m:r>
          <w:rPr>
            <w:rStyle w:val="Emphasis"/>
            <w:rFonts w:ascii="Cambria Math" w:hAnsi="Cambria Math"/>
            <w:sz w:val="20"/>
            <w:szCs w:val="20"/>
          </w:rPr>
          <m:t>X</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a dimensionless number, and </w:t>
      </w:r>
      <m:oMath>
        <m:r>
          <w:rPr>
            <w:rStyle w:val="Emphasis"/>
            <w:rFonts w:ascii="Cambria Math" w:hAnsi="Cambria Math"/>
            <w:sz w:val="20"/>
            <w:szCs w:val="20"/>
          </w:rPr>
          <m:t>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temperature. When the </w:t>
      </w:r>
      <m:oMath>
        <m:r>
          <w:rPr>
            <w:rStyle w:val="Emphasis"/>
            <w:rFonts w:ascii="Cambria Math" w:hAnsi="Cambria Math"/>
            <w:sz w:val="20"/>
            <w:szCs w:val="20"/>
          </w:rPr>
          <m:t>c</m:t>
        </m:r>
      </m:oMath>
      <w:r w:rsidRPr="00C07D41">
        <w:rPr>
          <w:rFonts w:ascii="Book Antiqua" w:hAnsi="Book Antiqua"/>
          <w:sz w:val="20"/>
          <w:szCs w:val="20"/>
        </w:rPr>
        <w:t xml:space="preserve">-dependent terms are analysed, the result is that bound-free opacities are proportional </w:t>
      </w:r>
      <w:proofErr w:type="gramStart"/>
      <w:r w:rsidRPr="00C07D41">
        <w:rPr>
          <w:rFonts w:ascii="Book Antiqua" w:hAnsi="Book Antiqua"/>
          <w:sz w:val="20"/>
          <w:szCs w:val="20"/>
        </w:rPr>
        <w:t xml:space="preserve">to </w:t>
      </w:r>
      <m:oMath>
        <w:proofErr w:type="gramEnd"/>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the same as electron scattering. Figure 8.3 in Harwit’s </w:t>
      </w:r>
      <w:r w:rsidRPr="00C07D41">
        <w:rPr>
          <w:rFonts w:ascii="Book Antiqua" w:hAnsi="Book Antiqua"/>
          <w:i/>
          <w:sz w:val="20"/>
          <w:szCs w:val="20"/>
        </w:rPr>
        <w:t>Astrophysical Concepts</w:t>
      </w:r>
      <w:r w:rsidRPr="00C07D41">
        <w:rPr>
          <w:rFonts w:ascii="Book Antiqua" w:hAnsi="Book Antiqua"/>
          <w:sz w:val="20"/>
          <w:szCs w:val="20"/>
        </w:rPr>
        <w:t xml:space="preserve"> [12] reveals that the stellar conditions allowing free-free transitions are restricted. Nevertheless he repeats the above process for these free-free transitions. The resulting equation gives a result similar to (6), but an </w:t>
      </w:r>
      <m:oMath>
        <m:r>
          <w:rPr>
            <w:rStyle w:val="Emphasis"/>
            <w:rFonts w:ascii="Cambria Math" w:hAnsi="Book Antiqua"/>
            <w:sz w:val="20"/>
            <w:szCs w:val="20"/>
          </w:rPr>
          <m:t>(</m:t>
        </m:r>
        <m:r>
          <w:rPr>
            <w:rStyle w:val="Emphasis"/>
            <w:rFonts w:ascii="Cambria Math" w:hAnsi="Cambria Math"/>
            <w:sz w:val="20"/>
            <w:szCs w:val="20"/>
          </w:rPr>
          <m:t>X</m:t>
        </m:r>
        <m:r>
          <w:rPr>
            <w:rStyle w:val="Emphasis"/>
            <w:rFonts w:ascii="Cambria Math" w:hAnsi="Book Antiqua"/>
            <w:sz w:val="20"/>
            <w:szCs w:val="20"/>
          </w:rPr>
          <m:t xml:space="preserve"> </m:t>
        </m:r>
        <m:r>
          <m:rPr>
            <m:sty m:val="b"/>
          </m:rPr>
          <w:rPr>
            <w:rStyle w:val="Strong"/>
            <w:rFonts w:ascii="Cambria Math" w:eastAsia="Calibri" w:hAnsi="Book Antiqua"/>
            <w:sz w:val="20"/>
            <w:szCs w:val="20"/>
          </w:rPr>
          <m:t xml:space="preserve">+ </m:t>
        </m:r>
        <m:r>
          <w:rPr>
            <w:rStyle w:val="Emphasis"/>
            <w:rFonts w:ascii="Cambria Math" w:hAnsi="Cambria Math"/>
            <w:sz w:val="20"/>
            <w:szCs w:val="20"/>
          </w:rPr>
          <m:t>Y</m:t>
        </m:r>
        <m:r>
          <w:rPr>
            <w:rStyle w:val="Emphasis"/>
            <w:rFonts w:ascii="Cambria Math" w:hAnsi="Book Antiqua"/>
            <w:sz w:val="20"/>
            <w:szCs w:val="20"/>
          </w:rPr>
          <m: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term is included in place </w:t>
      </w:r>
      <w:proofErr w:type="gramStart"/>
      <w:r w:rsidRPr="00C07D41">
        <w:rPr>
          <w:rFonts w:ascii="Book Antiqua" w:hAnsi="Book Antiqua"/>
          <w:sz w:val="20"/>
          <w:szCs w:val="20"/>
        </w:rPr>
        <w:t xml:space="preserve">of </w:t>
      </w:r>
      <m:oMath>
        <w:proofErr w:type="gramEnd"/>
        <m:r>
          <w:rPr>
            <w:rStyle w:val="Emphasis"/>
            <w:rFonts w:ascii="Cambria Math" w:hAnsi="Cambria Math"/>
            <w:sz w:val="20"/>
            <w:szCs w:val="20"/>
          </w:rPr>
          <m:t>Z</m:t>
        </m:r>
      </m:oMath>
      <w:r w:rsidRPr="00C07D41">
        <w:rPr>
          <w:rFonts w:ascii="Book Antiqua" w:hAnsi="Book Antiqua"/>
          <w:sz w:val="20"/>
          <w:szCs w:val="20"/>
        </w:rPr>
        <w:t xml:space="preserve">. Schwarzschild lists the complete equation as </w:t>
      </w:r>
      <w:hyperlink r:id="rId1253" w:anchor="2a161" w:history="1">
        <w:r w:rsidRPr="00C07D41">
          <w:rPr>
            <w:rStyle w:val="Hyperlink"/>
            <w:rFonts w:ascii="Book Antiqua" w:hAnsi="Book Antiqua"/>
            <w:sz w:val="20"/>
            <w:szCs w:val="20"/>
          </w:rPr>
          <w:t>[14]</w:t>
        </w:r>
      </w:hyperlink>
      <w:r w:rsidRPr="00C07D41">
        <w:rPr>
          <w:rFonts w:ascii="Book Antiqua" w:hAnsi="Book Antiqua"/>
          <w:sz w:val="20"/>
          <w:szCs w:val="20"/>
        </w:rPr>
        <w:t>:</w:t>
      </w:r>
    </w:p>
    <w:p w:rsidR="00C80BD4" w:rsidRPr="00C07D41" w:rsidRDefault="00241D2F"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ff</m:t>
            </m:r>
          </m:sub>
        </m:sSub>
        <m:r>
          <w:rPr>
            <w:rFonts w:ascii="Cambria Math" w:hAnsi="Book Antiqua"/>
            <w:sz w:val="20"/>
            <w:szCs w:val="20"/>
          </w:rPr>
          <m:t>=</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2</m:t>
                </m:r>
              </m:num>
              <m:den>
                <m:r>
                  <w:rPr>
                    <w:rFonts w:ascii="Cambria Math" w:hAnsi="Book Antiqua"/>
                    <w:sz w:val="20"/>
                    <w:szCs w:val="20"/>
                  </w:rPr>
                  <m:t>3</m:t>
                </m:r>
              </m:den>
            </m:f>
          </m:e>
        </m:d>
        <m:rad>
          <m:radPr>
            <m:degHide m:val="on"/>
            <m:ctrlPr>
              <w:rPr>
                <w:rFonts w:ascii="Cambria Math" w:hAnsi="Book Antiqua"/>
                <w:i/>
                <w:sz w:val="20"/>
                <w:szCs w:val="20"/>
              </w:rPr>
            </m:ctrlPr>
          </m:radPr>
          <m:deg/>
          <m:e>
            <m:f>
              <m:fPr>
                <m:ctrlPr>
                  <w:rPr>
                    <w:rFonts w:ascii="Cambria Math" w:hAnsi="Book Antiqua"/>
                    <w:i/>
                    <w:sz w:val="20"/>
                    <w:szCs w:val="20"/>
                  </w:rPr>
                </m:ctrlPr>
              </m:fPr>
              <m:num>
                <m:r>
                  <w:rPr>
                    <w:rFonts w:ascii="Cambria Math" w:hAnsi="Book Antiqua"/>
                    <w:sz w:val="20"/>
                    <w:szCs w:val="20"/>
                  </w:rPr>
                  <m:t>2</m:t>
                </m:r>
                <m:r>
                  <w:rPr>
                    <w:rFonts w:ascii="Cambria Math" w:hAnsi="Cambria Math"/>
                    <w:sz w:val="20"/>
                    <w:szCs w:val="20"/>
                  </w:rPr>
                  <m:t>π</m:t>
                </m:r>
              </m:num>
              <m:den>
                <m:r>
                  <w:rPr>
                    <w:rFonts w:ascii="Cambria Math" w:hAnsi="Book Antiqua"/>
                    <w:sz w:val="20"/>
                    <w:szCs w:val="20"/>
                  </w:rPr>
                  <m:t>3</m:t>
                </m:r>
              </m:den>
            </m:f>
          </m:e>
        </m:rad>
        <m:d>
          <m:dPr>
            <m:begChr m:val="["/>
            <m:endChr m:val="]"/>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6</m:t>
                    </m:r>
                  </m:sup>
                </m:sSup>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ctrlPr>
                  <w:rPr>
                    <w:rStyle w:val="style21"/>
                    <w:rFonts w:ascii="Cambria Math" w:hAnsi="Book Antiqua"/>
                    <w:i/>
                    <w:sz w:val="20"/>
                    <w:szCs w:val="20"/>
                  </w:rPr>
                </m:ctrlPr>
              </m:num>
              <m:den>
                <m:sSup>
                  <m:sSupPr>
                    <m:ctrlPr>
                      <w:rPr>
                        <w:rStyle w:val="style21"/>
                        <w:rFonts w:ascii="Cambria Math" w:hAnsi="Book Antiqua"/>
                        <w:i/>
                        <w:sz w:val="20"/>
                        <w:szCs w:val="20"/>
                      </w:rPr>
                    </m:ctrlPr>
                  </m:sSupPr>
                  <m:e>
                    <m:r>
                      <w:rPr>
                        <w:rStyle w:val="style21"/>
                        <w:rFonts w:ascii="Cambria Math" w:hAnsi="Cambria Math"/>
                        <w:sz w:val="20"/>
                        <w:szCs w:val="20"/>
                      </w:rPr>
                      <m:t>ε</m:t>
                    </m:r>
                  </m:e>
                  <m:sup>
                    <m:r>
                      <w:rPr>
                        <w:rStyle w:val="style21"/>
                        <w:rFonts w:ascii="Cambria Math" w:hAnsi="Book Antiqua"/>
                        <w:sz w:val="20"/>
                        <w:szCs w:val="20"/>
                      </w:rPr>
                      <m:t>3</m:t>
                    </m:r>
                  </m:sup>
                </m:sSup>
                <m:r>
                  <w:rPr>
                    <w:rFonts w:ascii="Cambria Math" w:hAnsi="Cambria Math"/>
                    <w:sz w:val="20"/>
                    <w:szCs w:val="20"/>
                  </w:rPr>
                  <m:t>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H</m:t>
                        </m:r>
                      </m:sub>
                    </m:sSub>
                  </m:e>
                  <m:sup>
                    <m:r>
                      <w:rPr>
                        <w:rFonts w:ascii="Cambria Math" w:hAnsi="Book Antiqua"/>
                        <w:sz w:val="20"/>
                        <w:szCs w:val="20"/>
                      </w:rPr>
                      <m:t>2</m:t>
                    </m:r>
                  </m:sup>
                </m:sSup>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e>
                  <m:sup>
                    <m:f>
                      <m:fPr>
                        <m:ctrlPr>
                          <w:rPr>
                            <w:rFonts w:ascii="Cambria Math" w:hAnsi="Book Antiqua"/>
                            <w:i/>
                            <w:sz w:val="20"/>
                            <w:szCs w:val="20"/>
                          </w:rPr>
                        </m:ctrlPr>
                      </m:fPr>
                      <m:num>
                        <m:r>
                          <w:rPr>
                            <w:rFonts w:ascii="Cambria Math" w:hAnsi="Book Antiqua"/>
                            <w:sz w:val="20"/>
                            <w:szCs w:val="20"/>
                          </w:rPr>
                          <m:t>3</m:t>
                        </m:r>
                      </m:num>
                      <m:den>
                        <m:r>
                          <w:rPr>
                            <w:rFonts w:ascii="Cambria Math" w:hAnsi="Book Antiqua"/>
                            <w:sz w:val="20"/>
                            <w:szCs w:val="20"/>
                          </w:rPr>
                          <m:t>2</m:t>
                        </m:r>
                      </m:den>
                    </m:f>
                  </m:sup>
                </m:sSup>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k</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196.5</m:t>
                </m:r>
              </m:den>
            </m:f>
          </m:e>
        </m:d>
        <m:sSub>
          <m:sSubPr>
            <m:ctrlPr>
              <w:rPr>
                <w:rFonts w:ascii="Cambria Math" w:hAnsi="Book Antiqua"/>
                <w:i/>
                <w:sz w:val="20"/>
                <w:szCs w:val="20"/>
              </w:rPr>
            </m:ctrlPr>
          </m:sSubPr>
          <m:e>
            <m:r>
              <w:rPr>
                <w:rFonts w:ascii="Cambria Math" w:hAnsi="Cambria Math"/>
                <w:sz w:val="20"/>
                <w:szCs w:val="20"/>
              </w:rPr>
              <m:t>g</m:t>
            </m:r>
          </m:e>
          <m:sub>
            <m:r>
              <w:rPr>
                <w:rFonts w:ascii="Cambria Math" w:hAnsi="Cambria Math"/>
                <w:sz w:val="20"/>
                <w:szCs w:val="20"/>
              </w:rPr>
              <m:t>ff</m:t>
            </m:r>
          </m:sub>
        </m:sSub>
        <m:d>
          <m:dPr>
            <m:ctrlPr>
              <w:rPr>
                <w:rFonts w:ascii="Cambria Math" w:hAnsi="Book Antiqua"/>
                <w:i/>
                <w:sz w:val="20"/>
                <w:szCs w:val="20"/>
              </w:rPr>
            </m:ctrlPr>
          </m:dPr>
          <m:e>
            <m:r>
              <w:rPr>
                <w:rFonts w:ascii="Cambria Math" w:hAnsi="Cambria Math"/>
                <w:sz w:val="20"/>
                <w:szCs w:val="20"/>
              </w:rPr>
              <m:t>X</m:t>
            </m:r>
            <m:r>
              <w:rPr>
                <w:rFonts w:ascii="Cambria Math" w:hAnsi="Book Antiqua"/>
                <w:sz w:val="20"/>
                <w:szCs w:val="20"/>
              </w:rPr>
              <m:t>+</m:t>
            </m:r>
            <m:r>
              <w:rPr>
                <w:rFonts w:ascii="Cambria Math" w:hAnsi="Cambria Math"/>
                <w:sz w:val="20"/>
                <w:szCs w:val="20"/>
              </w:rPr>
              <m:t>Y</m:t>
            </m:r>
          </m:e>
        </m:d>
        <m:d>
          <m:dPr>
            <m:ctrlPr>
              <w:rPr>
                <w:rFonts w:ascii="Cambria Math" w:hAnsi="Book Antiqua"/>
                <w:i/>
                <w:sz w:val="20"/>
                <w:szCs w:val="20"/>
              </w:rPr>
            </m:ctrlPr>
          </m:dPr>
          <m:e>
            <m:r>
              <w:rPr>
                <w:rFonts w:ascii="Cambria Math" w:hAnsi="Book Antiqua"/>
                <w:sz w:val="20"/>
                <w:szCs w:val="20"/>
              </w:rPr>
              <m:t>1+</m:t>
            </m:r>
            <m:r>
              <w:rPr>
                <w:rFonts w:ascii="Cambria Math" w:hAnsi="Cambria Math"/>
                <w:sz w:val="20"/>
                <w:szCs w:val="20"/>
              </w:rPr>
              <m:t>X</m:t>
            </m:r>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sSup>
                  <m:sSupPr>
                    <m:ctrlPr>
                      <w:rPr>
                        <w:rFonts w:ascii="Cambria Math" w:hAnsi="Book Antiqua"/>
                        <w:i/>
                        <w:sz w:val="20"/>
                        <w:szCs w:val="20"/>
                      </w:rPr>
                    </m:ctrlPr>
                  </m:sSupPr>
                  <m:e>
                    <m:r>
                      <w:rPr>
                        <w:rFonts w:ascii="Cambria Math" w:hAnsi="Cambria Math"/>
                        <w:sz w:val="20"/>
                        <w:szCs w:val="20"/>
                      </w:rPr>
                      <m:t>T</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(7)</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Comparison with (6) shows the same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eastAsia="Calibri"/>
          <w:i/>
          <w:iCs/>
        </w:rPr>
        <w:t xml:space="preserve"> </w:t>
      </w:r>
      <w:r w:rsidRPr="00C07D41">
        <w:rPr>
          <w:rFonts w:ascii="Book Antiqua" w:hAnsi="Book Antiqua"/>
          <w:sz w:val="20"/>
          <w:szCs w:val="20"/>
        </w:rPr>
        <w:t xml:space="preserve">and hence </w:t>
      </w:r>
      <m:oMath>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xml:space="preserve"> proportionality for free-free opacity results. Even if bound-free and free-free absorptions are less vital than electron scattering in considerations here, it still appears that all stellar opacities are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hence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It can thus be written that the average value for the opacity of the whole star is</w:t>
      </w:r>
    </w:p>
    <w:p w:rsidR="00C80BD4" w:rsidRPr="00C07D41" w:rsidRDefault="00241D2F"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(8)</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lastRenderedPageBreak/>
        <w:t xml:space="preserve">The other factor affecting a star’s luminosity is its rate of burning nuclear fuel. Since nuclear reactions are temperature sensitive, the proton-proton reactions dominate at lower temperatures with the carbon cycle prominent later </w:t>
      </w:r>
      <w:hyperlink r:id="rId1254" w:anchor="2a162" w:history="1">
        <w:r w:rsidRPr="00C07D41">
          <w:rPr>
            <w:rStyle w:val="Hyperlink"/>
            <w:rFonts w:ascii="Book Antiqua" w:hAnsi="Book Antiqua"/>
            <w:sz w:val="20"/>
            <w:szCs w:val="20"/>
          </w:rPr>
          <w:t>[15]</w:t>
        </w:r>
      </w:hyperlink>
      <w:r w:rsidRPr="00C07D41">
        <w:rPr>
          <w:rFonts w:ascii="Book Antiqua" w:hAnsi="Book Antiqua"/>
          <w:sz w:val="20"/>
          <w:szCs w:val="20"/>
        </w:rPr>
        <w:t>. The key reaction needed to get the proton-proton sequence started is given by the equation</w:t>
      </w:r>
      <m:oMath>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D</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m:t>
            </m:r>
          </m:sup>
        </m:sSup>
        <m:r>
          <w:rPr>
            <w:rFonts w:ascii="Cambria Math" w:hAnsi="Book Antiqua"/>
            <w:sz w:val="20"/>
            <w:szCs w:val="20"/>
          </w:rPr>
          <m:t xml:space="preserve"> + </m:t>
        </m:r>
        <m:r>
          <w:rPr>
            <w:rFonts w:ascii="Cambria Math" w:hAnsi="Cambria Math"/>
            <w:sz w:val="20"/>
            <w:szCs w:val="20"/>
          </w:rPr>
          <m:t>ν</m:t>
        </m:r>
        <m:r>
          <w:rPr>
            <w:rFonts w:ascii="Cambria Math" w:hAnsi="Book Antiqua"/>
            <w:sz w:val="20"/>
            <w:szCs w:val="20"/>
          </w:rPr>
          <m:t xml:space="preserve"> </m:t>
        </m:r>
      </m:oMath>
      <w:r w:rsidRPr="00C07D41">
        <w:rPr>
          <w:rFonts w:ascii="Book Antiqua" w:hAnsi="Book Antiqua"/>
          <w:sz w:val="20"/>
          <w:szCs w:val="20"/>
        </w:rPr>
        <w:t xml:space="preserve">. This is a beta process with a mean reaction time for any given particle of 14 billion years </w:t>
      </w:r>
      <w:hyperlink r:id="rId1255" w:anchor="2a162" w:history="1">
        <w:r w:rsidRPr="00C07D41">
          <w:rPr>
            <w:rStyle w:val="Hyperlink"/>
            <w:rFonts w:ascii="Book Antiqua" w:hAnsi="Book Antiqua"/>
            <w:sz w:val="20"/>
            <w:szCs w:val="20"/>
          </w:rPr>
          <w:t>[15]</w:t>
        </w:r>
      </w:hyperlink>
      <w:r w:rsidRPr="00C07D41">
        <w:rPr>
          <w:rFonts w:ascii="Book Antiqua" w:hAnsi="Book Antiqua"/>
          <w:sz w:val="20"/>
          <w:szCs w:val="20"/>
        </w:rPr>
        <w:t xml:space="preserve">. However this reaction rate is proportional to </w:t>
      </w:r>
      <w:r w:rsidRPr="00C07D41">
        <w:rPr>
          <w:rStyle w:val="Emphasis"/>
          <w:rFonts w:ascii="Book Antiqua" w:hAnsi="Book Antiqua"/>
          <w:sz w:val="20"/>
          <w:szCs w:val="20"/>
        </w:rPr>
        <w:t>c</w:t>
      </w:r>
      <w:r w:rsidRPr="00C07D41">
        <w:rPr>
          <w:rFonts w:ascii="Book Antiqua" w:hAnsi="Book Antiqua"/>
          <w:sz w:val="20"/>
          <w:szCs w:val="20"/>
        </w:rPr>
        <w:t xml:space="preserve">, and hence inversely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U</m:t>
        </m:r>
      </m:oMath>
      <w:r w:rsidRPr="00C07D41">
        <w:rPr>
          <w:rFonts w:ascii="Book Antiqua" w:hAnsi="Book Antiqua"/>
          <w:sz w:val="20"/>
          <w:szCs w:val="20"/>
        </w:rPr>
        <w:t xml:space="preserve">, as shown by the treatment of Swihart </w:t>
      </w:r>
      <w:hyperlink r:id="rId1256" w:anchor="2a163" w:history="1">
        <w:r w:rsidRPr="00C07D41">
          <w:rPr>
            <w:rStyle w:val="Hyperlink"/>
            <w:rFonts w:ascii="Book Antiqua" w:hAnsi="Book Antiqua"/>
            <w:sz w:val="20"/>
            <w:szCs w:val="20"/>
          </w:rPr>
          <w:t>[16]</w:t>
        </w:r>
      </w:hyperlink>
      <w:r w:rsidRPr="00C07D41">
        <w:rPr>
          <w:rFonts w:ascii="Book Antiqua" w:hAnsi="Book Antiqua"/>
          <w:sz w:val="20"/>
          <w:szCs w:val="20"/>
        </w:rPr>
        <w:t>. He states that the reaction rate per unit volume is given by</w:t>
      </w:r>
    </w:p>
    <w:p w:rsidR="00C80BD4" w:rsidRPr="00C07D41" w:rsidRDefault="00241D2F"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N</m:t>
            </m:r>
          </m:e>
          <m:sub>
            <m:r>
              <w:rPr>
                <w:rFonts w:ascii="Cambria Math" w:hAnsi="Cambria Math"/>
                <w:sz w:val="20"/>
                <w:szCs w:val="20"/>
              </w:rPr>
              <m:t>r</m:t>
            </m:r>
          </m:sub>
        </m:sSub>
        <m:r>
          <w:rPr>
            <w:rFonts w:ascii="Cambria Math" w:hAnsi="Book Antiqua"/>
            <w:sz w:val="20"/>
            <w:szCs w:val="20"/>
          </w:rPr>
          <m:t xml:space="preserve"> = {4</m:t>
        </m:r>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r>
          <w:rPr>
            <w:rFonts w:ascii="Cambria Math" w:hAnsi="Cambria Math"/>
            <w:sz w:val="20"/>
            <w:szCs w:val="20"/>
          </w:rPr>
          <m:t>D</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1/6</m:t>
            </m:r>
          </m:sup>
        </m:sSup>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1</m:t>
            </m:r>
          </m:sub>
        </m:sSub>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2</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3/2</m:t>
            </m:r>
          </m:sup>
        </m:sSup>
        <m:sSup>
          <m:sSupPr>
            <m:ctrlPr>
              <w:rPr>
                <w:rFonts w:ascii="Cambria Math" w:hAnsi="Book Antiqua"/>
                <w:i/>
                <w:sz w:val="20"/>
                <w:szCs w:val="20"/>
              </w:rPr>
            </m:ctrlPr>
          </m:sSupPr>
          <m:e>
            <m:r>
              <w:rPr>
                <w:rFonts w:ascii="Cambria Math" w:hAnsi="Book Antiqua"/>
                <w:sz w:val="20"/>
                <w:szCs w:val="20"/>
              </w:rPr>
              <m:t>(</m:t>
            </m:r>
            <m:r>
              <w:rPr>
                <w:rFonts w:ascii="Cambria Math" w:hAnsi="Cambria Math"/>
                <w:sz w:val="20"/>
                <w:szCs w:val="20"/>
              </w:rPr>
              <m:t>kT</m:t>
            </m:r>
            <m:r>
              <w:rPr>
                <w:rFonts w:ascii="Cambria Math" w:hAnsi="Book Antiqua"/>
                <w:sz w:val="20"/>
                <w:szCs w:val="20"/>
              </w:rPr>
              <m:t>)</m:t>
            </m:r>
          </m:e>
          <m:sup>
            <m:r>
              <w:rPr>
                <w:rFonts w:ascii="Cambria Math" w:hAnsi="Book Antiqua"/>
                <w:sz w:val="20"/>
                <w:szCs w:val="20"/>
              </w:rPr>
              <m:t>2/3</m:t>
            </m:r>
          </m:sup>
        </m:sSup>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Book Antiqua" w:hAnsi="Book Antiqua"/>
                <w:sz w:val="20"/>
                <w:szCs w:val="20"/>
              </w:rPr>
              <m:t>-</m:t>
            </m:r>
            <m:r>
              <w:rPr>
                <w:rFonts w:ascii="Cambria Math" w:hAnsi="Book Antiqua"/>
                <w:sz w:val="20"/>
                <w:szCs w:val="20"/>
              </w:rPr>
              <m:t>1.89</m:t>
            </m:r>
            <m:sSup>
              <m:sSupPr>
                <m:ctrlPr>
                  <w:rPr>
                    <w:rFonts w:ascii="Cambria Math" w:hAnsi="Book Antiqua"/>
                    <w:i/>
                    <w:sz w:val="20"/>
                    <w:szCs w:val="20"/>
                  </w:rPr>
                </m:ctrlPr>
              </m:sSupPr>
              <m:e>
                <m:d>
                  <m:dPr>
                    <m:begChr m:val="["/>
                    <m:endChr m:val="]"/>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E</m:t>
                        </m:r>
                      </m:num>
                      <m:den>
                        <m:r>
                          <w:rPr>
                            <w:rFonts w:ascii="Cambria Math" w:hAnsi="Cambria Math"/>
                            <w:sz w:val="20"/>
                            <w:szCs w:val="20"/>
                          </w:rPr>
                          <m:t>kT</m:t>
                        </m:r>
                      </m:den>
                    </m:f>
                  </m:e>
                </m:d>
              </m:e>
              <m:sup>
                <m:r>
                  <w:rPr>
                    <w:rFonts w:ascii="Cambria Math" w:hAnsi="Book Antiqua"/>
                    <w:sz w:val="20"/>
                    <w:szCs w:val="20"/>
                  </w:rPr>
                  <m:t>1/3</m:t>
                </m:r>
              </m:sup>
            </m:sSup>
          </m:sup>
        </m:sSup>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 xml:space="preserve"> (9)</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(9) the temperature </w:t>
      </w:r>
      <w:proofErr w:type="gramStart"/>
      <w:r w:rsidRPr="00C07D41">
        <w:rPr>
          <w:rFonts w:ascii="Book Antiqua" w:hAnsi="Book Antiqua"/>
          <w:sz w:val="20"/>
          <w:szCs w:val="20"/>
        </w:rPr>
        <w:t xml:space="preserve">is </w:t>
      </w:r>
      <m:oMath>
        <w:proofErr w:type="gramEnd"/>
        <m:r>
          <w:rPr>
            <w:rStyle w:val="Emphasis"/>
            <w:rFonts w:ascii="Cambria Math" w:hAnsi="Cambria Math"/>
            <w:sz w:val="20"/>
            <w:szCs w:val="20"/>
          </w:rPr>
          <m:t>T</m:t>
        </m:r>
      </m:oMath>
      <w:r w:rsidRPr="00C07D41">
        <w:rPr>
          <w:rFonts w:ascii="Book Antiqua" w:hAnsi="Book Antiqua"/>
          <w:sz w:val="20"/>
          <w:szCs w:val="20"/>
        </w:rPr>
        <w:t xml:space="preserve">, Boltzmann’s constant is </w:t>
      </w:r>
      <m:oMath>
        <m:r>
          <w:rPr>
            <w:rStyle w:val="Emphasis"/>
            <w:rFonts w:ascii="Cambria Math" w:hAnsi="Cambria Math"/>
            <w:sz w:val="20"/>
            <w:szCs w:val="20"/>
          </w:rPr>
          <m:t>k</m:t>
        </m:r>
      </m:oMath>
      <w:r w:rsidRPr="00C07D41">
        <w:rPr>
          <w:rFonts w:ascii="Book Antiqua" w:hAnsi="Book Antiqua"/>
          <w:sz w:val="20"/>
          <w:szCs w:val="20"/>
        </w:rPr>
        <w:t xml:space="preserve">, and Planck’s constant is </w:t>
      </w:r>
      <m:oMath>
        <m:r>
          <w:rPr>
            <w:rStyle w:val="Emphasis"/>
            <w:rFonts w:ascii="Book Antiqua" w:hAnsi="Cambria Math"/>
            <w:sz w:val="20"/>
            <w:szCs w:val="20"/>
          </w:rPr>
          <m:t>h</m:t>
        </m:r>
      </m:oMath>
      <w:r w:rsidRPr="00C07D41">
        <w:rPr>
          <w:rFonts w:ascii="Book Antiqua" w:hAnsi="Book Antiqua"/>
          <w:sz w:val="20"/>
          <w:szCs w:val="20"/>
        </w:rPr>
        <w:t xml:space="preserv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1</m:t>
            </m:r>
          </m:sub>
        </m:sSub>
      </m:oMath>
      <w:r w:rsidRPr="00C07D41">
        <w:rPr>
          <w:rFonts w:ascii="Book Antiqua" w:hAnsi="Book Antiqua"/>
          <w:sz w:val="20"/>
          <w:szCs w:val="20"/>
        </w:rPr>
        <w:t xml:space="preserve"> </w:t>
      </w:r>
      <w:proofErr w:type="gramStart"/>
      <w:r w:rsidRPr="00C07D41">
        <w:rPr>
          <w:rFonts w:ascii="Book Antiqua" w:hAnsi="Book Antiqua"/>
          <w:sz w:val="20"/>
          <w:szCs w:val="20"/>
        </w:rPr>
        <w:t>and</w:t>
      </w:r>
      <w:proofErr w:type="gramEnd"/>
      <w:r w:rsidRPr="00C07D41">
        <w:rPr>
          <w:rFonts w:ascii="Book Antiqua" w:hAnsi="Book Antiqua"/>
          <w:sz w:val="20"/>
          <w:szCs w:val="20"/>
        </w:rPr>
        <w:t xml:space="preserv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2</m:t>
            </m:r>
          </m:sub>
        </m:sSub>
      </m:oMath>
      <w:r w:rsidRPr="00C07D41">
        <w:rPr>
          <w:rStyle w:val="Emphasis"/>
          <w:rFonts w:ascii="Book Antiqua" w:hAnsi="Book Antiqua"/>
          <w:sz w:val="20"/>
          <w:szCs w:val="20"/>
          <w:vertAlign w:val="subscript"/>
        </w:rPr>
        <w:t xml:space="preserve"> </w:t>
      </w:r>
      <w:r w:rsidRPr="00C07D41">
        <w:rPr>
          <w:rFonts w:ascii="Book Antiqua" w:hAnsi="Book Antiqua"/>
          <w:sz w:val="20"/>
          <w:szCs w:val="20"/>
        </w:rPr>
        <w:t xml:space="preserve">are the numbers of interacting particles per unit volume,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reduced mass of the two reacting particles, </w:t>
      </w:r>
      <m:oMath>
        <m:r>
          <w:rPr>
            <w:rStyle w:val="Emphasis"/>
            <w:rFonts w:ascii="Cambria Math" w:hAnsi="Cambria Math"/>
            <w:sz w:val="20"/>
            <w:szCs w:val="20"/>
          </w:rPr>
          <m:t>D</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probability of reaction between nuclei, and </w:t>
      </w:r>
      <m:oMath>
        <m:r>
          <w:rPr>
            <w:rStyle w:val="Emphasis"/>
            <w:rFonts w:ascii="Cambria Math" w:hAnsi="Cambria Math"/>
            <w:sz w:val="20"/>
            <w:szCs w:val="20"/>
          </w:rPr>
          <m:t>E</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energy required to penetrate the Coulomb barrier. In this equation, the only two factors that are c-dependent are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proofErr w:type="gramStart"/>
      <w:r w:rsidRPr="00C07D41">
        <w:rPr>
          <w:rFonts w:ascii="Book Antiqua" w:hAnsi="Book Antiqua"/>
          <w:sz w:val="20"/>
          <w:szCs w:val="20"/>
        </w:rPr>
        <w:t xml:space="preserve">and </w:t>
      </w:r>
      <m:oMath>
        <w:proofErr w:type="gramEnd"/>
        <m:r>
          <w:rPr>
            <w:rStyle w:val="Emphasis"/>
            <w:rFonts w:ascii="Cambria Math" w:hAnsi="Cambria Math"/>
            <w:sz w:val="20"/>
            <w:szCs w:val="20"/>
          </w:rPr>
          <m:t>h</m:t>
        </m:r>
      </m:oMath>
      <w:r w:rsidRPr="00C07D41">
        <w:rPr>
          <w:rFonts w:ascii="Book Antiqua" w:hAnsi="Book Antiqua"/>
          <w:sz w:val="20"/>
          <w:szCs w:val="20"/>
        </w:rPr>
        <w:t>. Their ratio</w:t>
      </w:r>
      <w:proofErr w:type="gramStart"/>
      <w:r w:rsidRPr="00C07D41">
        <w:rPr>
          <w:rFonts w:ascii="Book Antiqua" w:hAnsi="Book Antiqua"/>
          <w:sz w:val="20"/>
          <w:szCs w:val="20"/>
        </w:rPr>
        <w:t xml:space="preserve">, </w:t>
      </w:r>
      <m:oMath>
        <w:proofErr w:type="gramEnd"/>
        <m:sSup>
          <m:sSupPr>
            <m:ctrlPr>
              <w:rPr>
                <w:rStyle w:val="Emphasis"/>
                <w:rFonts w:ascii="Cambria Math" w:hAnsi="Book Antiqua"/>
                <w:i w:val="0"/>
                <w:iCs w:val="0"/>
                <w:sz w:val="20"/>
                <w:szCs w:val="20"/>
              </w:rPr>
            </m:ctrlPr>
          </m:sSupPr>
          <m:e>
            <m:r>
              <w:rPr>
                <w:rStyle w:val="Emphasis"/>
                <w:rFonts w:ascii="Cambria Math" w:hAnsi="Cambria Math"/>
                <w:sz w:val="20"/>
                <w:szCs w:val="20"/>
              </w:rPr>
              <m:t>h</m:t>
            </m:r>
          </m:e>
          <m:sup>
            <m:r>
              <w:rPr>
                <w:rStyle w:val="Emphasis"/>
                <w:rFonts w:ascii="Cambria Math" w:hAnsi="Book Antiqua"/>
                <w:sz w:val="20"/>
                <w:szCs w:val="20"/>
              </w:rPr>
              <m:t>2</m:t>
            </m:r>
          </m:sup>
        </m:sSup>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M</m:t>
            </m:r>
          </m:e>
          <m:sup>
            <m:r>
              <w:rPr>
                <w:rStyle w:val="Emphasis"/>
                <w:rFonts w:ascii="Cambria Math" w:hAnsi="Book Antiqua"/>
                <w:sz w:val="20"/>
                <w:szCs w:val="20"/>
              </w:rPr>
              <m:t>3/2</m:t>
            </m:r>
          </m:sup>
        </m:sSup>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xml:space="preserve">. Stellar nuclear reactions are thereby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c</m:t>
        </m:r>
      </m:oMath>
      <w:r w:rsidRPr="00C07D41">
        <w:rPr>
          <w:rFonts w:ascii="Book Antiqua" w:hAnsi="Book Antiqua"/>
          <w:sz w:val="20"/>
          <w:szCs w:val="20"/>
        </w:rPr>
        <w:t xml:space="preserve">, or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as will be the photon production rate. When photon production rate and opacity are then considered together, the stellar luminosity</w:t>
      </w:r>
      <w:proofErr w:type="gramStart"/>
      <w:r w:rsidRPr="00C07D41">
        <w:rPr>
          <w:rFonts w:ascii="Book Antiqua" w:hAnsi="Book Antiqua"/>
          <w:sz w:val="20"/>
          <w:szCs w:val="20"/>
        </w:rPr>
        <w:t xml:space="preserve">, </w:t>
      </w:r>
      <m:oMath>
        <w:proofErr w:type="gramEnd"/>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oMath>
      <w:r w:rsidRPr="00C07D41">
        <w:rPr>
          <w:rFonts w:ascii="Book Antiqua" w:hAnsi="Book Antiqua"/>
          <w:sz w:val="20"/>
          <w:szCs w:val="20"/>
        </w:rPr>
        <w:t xml:space="preserve">, which is, strictly speaking, the photon emission rate of the star with varying ZPE, can be established. A key formula for this stellar luminosity or photon emission rate is given by Harwit as </w:t>
      </w:r>
      <w:hyperlink r:id="rId1257" w:anchor="2a164" w:history="1">
        <w:r w:rsidRPr="00C07D41">
          <w:rPr>
            <w:rStyle w:val="Hyperlink"/>
            <w:rFonts w:ascii="Book Antiqua" w:hAnsi="Book Antiqua"/>
            <w:sz w:val="20"/>
            <w:szCs w:val="20"/>
          </w:rPr>
          <w:t>[17]</w:t>
        </w:r>
      </w:hyperlink>
      <w:r w:rsidRPr="00C07D41">
        <w:rPr>
          <w:rFonts w:ascii="Book Antiqua" w:hAnsi="Book Antiqua"/>
          <w:sz w:val="20"/>
          <w:szCs w:val="20"/>
        </w:rPr>
        <w:t>:</w:t>
      </w:r>
    </w:p>
    <w:p w:rsidR="00C80BD4" w:rsidRPr="00C07D41" w:rsidRDefault="00241D2F"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16</m:t>
        </m:r>
        <m:r>
          <w:rPr>
            <w:rFonts w:ascii="Cambria Math" w:hAnsi="Cambria Math"/>
            <w:sz w:val="20"/>
            <w:szCs w:val="20"/>
          </w:rPr>
          <m:t>πac</m:t>
        </m:r>
        <m:r>
          <w:rPr>
            <w:rFonts w:ascii="Cambria Math" w:hAnsi="Book Antiqua"/>
            <w:sz w:val="20"/>
            <w:szCs w:val="20"/>
          </w:rPr>
          <m:t xml:space="preserve"> / (3</m:t>
        </m:r>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 xml:space="preserve">) </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(10)</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the term </w:t>
      </w:r>
      <m:oMath>
        <m:r>
          <w:rPr>
            <w:rStyle w:val="Emphasis"/>
            <w:rFonts w:ascii="Cambria Math" w:hAnsi="Cambria Math"/>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given by the formula </w:t>
      </w:r>
      <m:oMath>
        <m:r>
          <w:rPr>
            <w:rStyle w:val="Emphasis"/>
            <w:rFonts w:ascii="Cambria Math" w:hAnsi="Cambria Math"/>
            <w:sz w:val="20"/>
            <w:szCs w:val="20"/>
          </w:rPr>
          <m:t>a</m:t>
        </m:r>
        <m:r>
          <w:rPr>
            <w:rStyle w:val="Emphasis"/>
            <w:rFonts w:ascii="Cambria Math" w:hAnsi="Book Antiqua"/>
            <w:sz w:val="20"/>
            <w:szCs w:val="20"/>
          </w:rPr>
          <m:t xml:space="preserve"> = 8</m:t>
        </m:r>
        <m:sSup>
          <m:sSupPr>
            <m:ctrlPr>
              <w:rPr>
                <w:rStyle w:val="Emphasis"/>
                <w:rFonts w:ascii="Cambria Math" w:hAnsi="Book Antiqua"/>
                <w:i w:val="0"/>
                <w:iCs w:val="0"/>
                <w:sz w:val="20"/>
                <w:szCs w:val="20"/>
              </w:rPr>
            </m:ctrlPr>
          </m:sSupPr>
          <m:e>
            <m:r>
              <w:rPr>
                <w:rStyle w:val="Emphasis"/>
                <w:rFonts w:ascii="Cambria Math" w:hAnsi="Cambria Math"/>
                <w:sz w:val="20"/>
                <w:szCs w:val="20"/>
              </w:rPr>
              <m:t>π</m:t>
            </m:r>
          </m:e>
          <m:sup>
            <m:r>
              <w:rPr>
                <w:rStyle w:val="Emphasis"/>
                <w:rFonts w:ascii="Cambria Math" w:hAnsi="Book Antiqua"/>
                <w:sz w:val="20"/>
                <w:szCs w:val="20"/>
              </w:rPr>
              <m:t>5</m:t>
            </m:r>
          </m:sup>
        </m:sSup>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Cambria Math" w:hAnsi="Book Antiqua"/>
                <w:sz w:val="20"/>
                <w:szCs w:val="20"/>
              </w:rPr>
              <m:t>4</m:t>
            </m:r>
          </m:sup>
        </m:sSup>
        <m:r>
          <w:rPr>
            <w:rStyle w:val="Emphasis"/>
            <w:rFonts w:ascii="Cambria Math" w:hAnsi="Book Antiqua"/>
            <w:sz w:val="20"/>
            <w:szCs w:val="20"/>
          </w:rPr>
          <m:t>/[15</m:t>
        </m:r>
        <m:sSup>
          <m:sSupPr>
            <m:ctrlPr>
              <w:rPr>
                <w:rStyle w:val="Emphasis"/>
                <w:rFonts w:ascii="Cambria Math" w:hAnsi="Book Antiqua"/>
                <w:i w:val="0"/>
                <w:iCs w:val="0"/>
                <w:sz w:val="20"/>
                <w:szCs w:val="20"/>
              </w:rPr>
            </m:ctrlPr>
          </m:sSupPr>
          <m:e>
            <m:r>
              <w:rPr>
                <w:rStyle w:val="Emphasis"/>
                <w:rFonts w:ascii="Cambria Math" w:hAnsi="Book Antiqua"/>
                <w:sz w:val="20"/>
                <w:szCs w:val="20"/>
              </w:rPr>
              <m:t>(</m:t>
            </m:r>
            <m:r>
              <w:rPr>
                <w:rStyle w:val="Emphasis"/>
                <w:rFonts w:ascii="Book Antiqua" w:hAnsi="Cambria Math"/>
                <w:sz w:val="20"/>
                <w:szCs w:val="20"/>
              </w:rPr>
              <m:t>h</m:t>
            </m:r>
            <m:r>
              <w:rPr>
                <w:rStyle w:val="Emphasis"/>
                <w:rFonts w:ascii="Cambria Math" w:hAnsi="Cambria Math"/>
                <w:sz w:val="20"/>
                <w:szCs w:val="20"/>
              </w:rPr>
              <m:t>c</m:t>
            </m:r>
            <m:r>
              <w:rPr>
                <w:rStyle w:val="Emphasis"/>
                <w:rFonts w:ascii="Cambria Math" w:hAnsi="Book Antiqua"/>
                <w:sz w:val="20"/>
                <w:szCs w:val="20"/>
              </w:rPr>
              <m:t>)</m:t>
            </m:r>
          </m:e>
          <m:sup>
            <m:r>
              <w:rPr>
                <w:rStyle w:val="Emphasis"/>
                <w:rFonts w:ascii="Cambria Math" w:hAnsi="Book Antiqua"/>
                <w:sz w:val="20"/>
                <w:szCs w:val="20"/>
              </w:rPr>
              <m:t>3</m:t>
            </m:r>
          </m:sup>
        </m:sSup>
        <m:r>
          <w:rPr>
            <w:rStyle w:val="Emphasis"/>
            <w:rFonts w:ascii="Cambria Math" w:hAnsi="Book Antiqua"/>
            <w:sz w:val="20"/>
            <w:szCs w:val="20"/>
          </w:rPr>
          <m:t>]</m:t>
        </m:r>
      </m:oMath>
      <w:r w:rsidRPr="00C07D41">
        <w:rPr>
          <w:rFonts w:ascii="Book Antiqua" w:hAnsi="Book Antiqua"/>
          <w:sz w:val="20"/>
          <w:szCs w:val="20"/>
        </w:rPr>
        <w:t xml:space="preserve"> which is constant since </w:t>
      </w:r>
      <m:oMath>
        <m:r>
          <w:rPr>
            <w:rStyle w:val="Emphasis"/>
            <w:rFonts w:ascii="Book Antiqua" w:hAnsi="Cambria Math"/>
            <w:sz w:val="20"/>
            <w:szCs w:val="20"/>
          </w:rPr>
          <m:t>h</m:t>
        </m:r>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constant and Boltzmann’s constant </w:t>
      </w:r>
      <m:oMath>
        <m:r>
          <w:rPr>
            <w:rStyle w:val="Emphasis"/>
            <w:rFonts w:ascii="Cambria Math" w:hAnsi="Cambria Math"/>
            <w:sz w:val="20"/>
            <w:szCs w:val="20"/>
          </w:rPr>
          <m:t>k</m:t>
        </m:r>
        <m:r>
          <w:rPr>
            <w:rStyle w:val="Emphasis"/>
            <w:rFonts w:ascii="Cambria Math" w:hAnsi="Book Antiqua"/>
            <w:sz w:val="20"/>
            <w:szCs w:val="20"/>
          </w:rPr>
          <m:t xml:space="preserve"> </m:t>
        </m:r>
      </m:oMath>
      <w:r w:rsidRPr="00C07D41">
        <w:rPr>
          <w:rFonts w:ascii="Book Antiqua" w:hAnsi="Book Antiqua"/>
          <w:sz w:val="20"/>
          <w:szCs w:val="20"/>
        </w:rPr>
        <w:t xml:space="preserve">is invariant. </w:t>
      </w:r>
      <w:proofErr w:type="gramStart"/>
      <w:r w:rsidRPr="00C07D41">
        <w:rPr>
          <w:rFonts w:ascii="Book Antiqua" w:hAnsi="Book Antiqua"/>
          <w:sz w:val="20"/>
          <w:szCs w:val="20"/>
        </w:rPr>
        <w:t xml:space="preserve">Note that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mass-density, so it is proportional to </w:t>
      </w:r>
      <m:oMath>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C07D41">
        <w:rPr>
          <w:rFonts w:ascii="Book Antiqua" w:hAnsi="Book Antiqua"/>
          <w:sz w:val="20"/>
          <w:szCs w:val="20"/>
        </w:rPr>
        <w:t xml:space="preserve"> [from equation (25) in Chapter 4].</w:t>
      </w:r>
      <w:proofErr w:type="gramEnd"/>
      <w:r w:rsidRPr="00C07D41">
        <w:rPr>
          <w:rFonts w:ascii="Book Antiqua" w:hAnsi="Book Antiqua"/>
          <w:sz w:val="20"/>
          <w:szCs w:val="20"/>
        </w:rPr>
        <w:t xml:space="preserve"> Therefore we can state that</w:t>
      </w:r>
    </w:p>
    <w:p w:rsidR="00C80BD4" w:rsidRPr="00C07D41" w:rsidRDefault="00241D2F"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 xml:space="preserve"> = </m:t>
        </m:r>
        <m:r>
          <w:rPr>
            <w:rFonts w:ascii="Cambria Math" w:hAnsi="Cambria Math"/>
            <w:sz w:val="20"/>
            <w:szCs w:val="20"/>
          </w:rPr>
          <m:t>constant</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 xml:space="preserve"> (11)</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w:t>
      </w:r>
      <w:r w:rsidRPr="00C07D41">
        <w:rPr>
          <w:rStyle w:val="Emphasis"/>
          <w:rFonts w:ascii="Book Antiqua" w:hAnsi="Book Antiqua"/>
          <w:sz w:val="20"/>
          <w:szCs w:val="20"/>
        </w:rPr>
        <w:t>Structure and Evolution of the Stars</w:t>
      </w:r>
      <w:r w:rsidRPr="00C07D41">
        <w:rPr>
          <w:rStyle w:val="Emphasis"/>
          <w:rFonts w:ascii="Book Antiqua" w:hAnsi="Book Antiqua"/>
          <w:b/>
          <w:i w:val="0"/>
          <w:sz w:val="20"/>
          <w:szCs w:val="20"/>
        </w:rPr>
        <w:t xml:space="preserve">, </w:t>
      </w:r>
      <w:r w:rsidRPr="00C07D41">
        <w:rPr>
          <w:rFonts w:ascii="Book Antiqua" w:hAnsi="Book Antiqua"/>
          <w:sz w:val="20"/>
          <w:szCs w:val="20"/>
        </w:rPr>
        <w:t xml:space="preserve">Schwarzschild defines the fraction of energy a beam of light loses by scattering/absorption over distance </w:t>
      </w:r>
      <m:oMath>
        <m:r>
          <w:rPr>
            <w:rStyle w:val="Emphasis"/>
            <w:rFonts w:ascii="Cambria Math" w:hAnsi="Cambria Math"/>
            <w:sz w:val="20"/>
            <w:szCs w:val="20"/>
          </w:rPr>
          <m:t>dr</m:t>
        </m:r>
      </m:oMath>
      <w:r w:rsidRPr="00C07D41">
        <w:rPr>
          <w:rFonts w:ascii="Book Antiqua" w:hAnsi="Book Antiqua"/>
          <w:sz w:val="20"/>
          <w:szCs w:val="20"/>
        </w:rPr>
        <w:t xml:space="preserve"> </w:t>
      </w:r>
      <w:hyperlink r:id="rId1258" w:anchor="2a165" w:history="1">
        <w:r w:rsidRPr="00C07D41">
          <w:rPr>
            <w:rStyle w:val="Hyperlink"/>
            <w:rFonts w:ascii="Book Antiqua" w:hAnsi="Book Antiqua"/>
            <w:sz w:val="20"/>
            <w:szCs w:val="20"/>
          </w:rPr>
          <w:t>[18]</w:t>
        </w:r>
      </w:hyperlink>
      <w:r w:rsidRPr="00C07D41">
        <w:rPr>
          <w:rFonts w:ascii="Book Antiqua" w:hAnsi="Book Antiqua"/>
          <w:sz w:val="20"/>
          <w:szCs w:val="20"/>
        </w:rPr>
        <w:t xml:space="preserve">.  This gives </w:t>
      </w:r>
      <m:oMath>
        <m:r>
          <w:rPr>
            <w:rFonts w:ascii="Book Antiqua" w:hAnsi="Book Antiqua"/>
            <w:sz w:val="20"/>
            <w:szCs w:val="20"/>
          </w:rPr>
          <m:t>К'</m:t>
        </m:r>
      </m:oMath>
      <w:r w:rsidRPr="00C07D41">
        <w:rPr>
          <w:rFonts w:ascii="Book Antiqua" w:hAnsi="Book Antiqua"/>
          <w:sz w:val="20"/>
          <w:szCs w:val="20"/>
        </w:rPr>
        <w:t xml:space="preserve"> multiplied by </w:t>
      </w:r>
      <m:oMath>
        <m:r>
          <w:rPr>
            <w:rStyle w:val="Emphasis"/>
            <w:rFonts w:ascii="Cambria Math" w:hAnsi="Cambria Math"/>
            <w:sz w:val="20"/>
            <w:szCs w:val="20"/>
          </w:rPr>
          <m:t>dr</m:t>
        </m:r>
      </m:oMath>
      <w:r w:rsidRPr="00C07D41">
        <w:rPr>
          <w:rStyle w:val="Emphasis"/>
          <w:rFonts w:ascii="Book Antiqua" w:hAnsi="Book Antiqua"/>
          <w:sz w:val="20"/>
          <w:szCs w:val="20"/>
        </w:rPr>
        <w:t xml:space="preserve"> </w:t>
      </w:r>
      <w:r w:rsidRPr="00C07D41">
        <w:rPr>
          <w:rFonts w:ascii="Book Antiqua" w:hAnsi="Book Antiqua"/>
          <w:sz w:val="20"/>
          <w:szCs w:val="20"/>
        </w:rPr>
        <w:t>so that</w:t>
      </w:r>
    </w:p>
    <w:p w:rsidR="00C80BD4" w:rsidRPr="00C07D41" w:rsidRDefault="00241D2F"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Fonts w:ascii="Cambria Math" w:hAnsi="Book Antiqua"/>
            <w:sz w:val="20"/>
            <w:szCs w:val="20"/>
          </w:rPr>
          <m:t>(4</m:t>
        </m:r>
        <m:r>
          <w:rPr>
            <w:rFonts w:ascii="Cambria Math" w:hAnsi="Cambria Math"/>
            <w:sz w:val="20"/>
            <w:szCs w:val="20"/>
          </w:rPr>
          <m:t>ac</m:t>
        </m:r>
        <m:r>
          <w:rPr>
            <w:rFonts w:ascii="Cambria Math" w:hAnsi="Book Antiqua"/>
            <w:sz w:val="20"/>
            <w:szCs w:val="20"/>
          </w:rPr>
          <m:t>/3)(</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Book Antiqua" w:hAnsi="Book Antiqua"/>
            <w:sz w:val="20"/>
            <w:szCs w:val="20"/>
          </w:rPr>
          <m:t>К'</m:t>
        </m:r>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(12)</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In (12), the term </w:t>
      </w:r>
      <m:oMath>
        <m:r>
          <w:rPr>
            <w:rStyle w:val="Emphasis"/>
            <w:rFonts w:ascii="Book Antiqua" w:hAnsi="Book Antiqua"/>
            <w:sz w:val="20"/>
            <w:szCs w:val="20"/>
          </w:rPr>
          <m:t>К'</m:t>
        </m:r>
        <m:r>
          <w:rPr>
            <w:rStyle w:val="Emphasis"/>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Κ</m:t>
            </m:r>
          </m:e>
          <m:sub>
            <m:r>
              <w:rPr>
                <w:rStyle w:val="Emphasis"/>
                <w:rFonts w:ascii="Cambria Math" w:hAnsi="Cambria Math"/>
                <w:sz w:val="20"/>
                <w:szCs w:val="20"/>
              </w:rPr>
              <m:t>A</m:t>
            </m:r>
          </m:sub>
        </m:sSub>
        <m:sSub>
          <m:sSubPr>
            <m:ctrlPr>
              <w:rPr>
                <w:rStyle w:val="style51"/>
                <w:rFonts w:ascii="Cambria Math" w:hAnsi="Book Antiqua"/>
                <w:sz w:val="20"/>
                <w:szCs w:val="20"/>
              </w:rPr>
            </m:ctrlPr>
          </m:sSubPr>
          <m:e>
            <m:r>
              <m:rPr>
                <m:sty m:val="p"/>
              </m:rPr>
              <w:rPr>
                <w:rStyle w:val="style51"/>
                <w:rFonts w:ascii="Book Antiqua" w:hAnsi="Book Antiqua"/>
                <w:sz w:val="20"/>
                <w:szCs w:val="20"/>
              </w:rPr>
              <m:t>ρ</m:t>
            </m:r>
          </m:e>
          <m:sub>
            <m:r>
              <m:rPr>
                <m:sty m:val="p"/>
              </m:rPr>
              <w:rPr>
                <w:rStyle w:val="style51"/>
                <w:rFonts w:ascii="Cambria Math" w:hAnsi="Book Antiqua"/>
                <w:sz w:val="20"/>
                <w:szCs w:val="20"/>
              </w:rPr>
              <m:t>m</m:t>
            </m:r>
          </m:sub>
        </m:sSub>
      </m:oMath>
      <w:r w:rsidRPr="00C07D41">
        <w:rPr>
          <w:rFonts w:ascii="Book Antiqua" w:hAnsi="Book Antiqua"/>
          <w:sz w:val="20"/>
          <w:szCs w:val="20"/>
        </w:rPr>
        <w:t xml:space="preserve"> agrees with Harwit, so the two formulae are basically the same. In view of (11), equations (10) and (12) both contain all the factors involved for photon emission when a variable ZPE is considered:  the opacity, the mass density of atomic particles, and the speed of light which reflects faster burning rate. Thus the luminosity equation, which is really the photon emission rate, at temperature </w:t>
      </w:r>
      <m:oMath>
        <m:r>
          <w:rPr>
            <w:rStyle w:val="Emphasis"/>
            <w:rFonts w:ascii="Cambria Math" w:hAnsi="Cambria Math"/>
            <w:sz w:val="20"/>
            <w:szCs w:val="20"/>
          </w:rPr>
          <m:t>T</m:t>
        </m:r>
        <m:r>
          <m:rPr>
            <m:sty m:val="p"/>
          </m:rPr>
          <w:rPr>
            <w:rFonts w:ascii="Cambria Math" w:hAnsi="Book Antiqua"/>
            <w:sz w:val="20"/>
            <w:szCs w:val="20"/>
          </w:rPr>
          <m:t xml:space="preserve"> </m:t>
        </m:r>
      </m:oMath>
      <w:r w:rsidRPr="00C07D41">
        <w:rPr>
          <w:rFonts w:ascii="Book Antiqua" w:hAnsi="Book Antiqua"/>
          <w:sz w:val="20"/>
          <w:szCs w:val="20"/>
        </w:rPr>
        <w:t>gives us</w:t>
      </w:r>
    </w:p>
    <w:p w:rsidR="00C80BD4" w:rsidRPr="00C07D41" w:rsidRDefault="00241D2F"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Style w:val="style21"/>
            <w:rFonts w:ascii="Cambria Math" w:hAnsi="Cambria Math"/>
            <w:sz w:val="20"/>
            <w:szCs w:val="20"/>
          </w:rPr>
          <m:t>τ</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4</m:t>
                </m:r>
                <m:r>
                  <w:rPr>
                    <w:rFonts w:ascii="Cambria Math" w:hAnsi="Cambria Math"/>
                    <w:sz w:val="20"/>
                    <w:szCs w:val="20"/>
                  </w:rPr>
                  <m:t>ac</m:t>
                </m:r>
              </m:num>
              <m:den>
                <m:r>
                  <w:rPr>
                    <w:rFonts w:ascii="Cambria Math" w:hAnsi="Book Antiqua"/>
                    <w:sz w:val="20"/>
                    <w:szCs w:val="20"/>
                  </w:rPr>
                  <m:t>3</m:t>
                </m:r>
              </m:den>
            </m:f>
          </m:e>
        </m:d>
        <m:d>
          <m:dPr>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num>
              <m:den>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dT</m:t>
                </m:r>
              </m:num>
              <m:den>
                <m:r>
                  <w:rPr>
                    <w:rFonts w:ascii="Cambria Math" w:hAnsi="Cambria Math"/>
                    <w:sz w:val="20"/>
                    <w:szCs w:val="20"/>
                  </w:rPr>
                  <m:t>dr</m:t>
                </m:r>
              </m:den>
            </m:f>
          </m:e>
        </m:d>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m:t>
        </m:r>
        <m:f>
          <m:fPr>
            <m:ctrlPr>
              <w:rPr>
                <w:rFonts w:ascii="Cambria Math" w:hAnsi="Book Antiqua"/>
                <w:i/>
                <w:sz w:val="20"/>
                <w:szCs w:val="20"/>
              </w:rPr>
            </m:ctrlPr>
          </m:fPr>
          <m:num>
            <m:r>
              <w:rPr>
                <w:rFonts w:ascii="Cambria Math" w:hAnsi="Book Antiqua"/>
                <w:sz w:val="20"/>
                <w:szCs w:val="20"/>
              </w:rPr>
              <m:t>1</m:t>
            </m:r>
          </m:num>
          <m:den>
            <m:r>
              <w:rPr>
                <w:rFonts w:ascii="Cambria Math" w:hAnsi="Cambria Math"/>
                <w:sz w:val="20"/>
                <w:szCs w:val="20"/>
              </w:rPr>
              <m:t>U</m:t>
            </m:r>
          </m:den>
        </m:f>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t xml:space="preserve"> </w:t>
      </w:r>
      <w:r w:rsidR="00C80BD4" w:rsidRPr="00C07D41">
        <w:rPr>
          <w:rFonts w:ascii="Book Antiqua" w:hAnsi="Book Antiqua"/>
          <w:sz w:val="20"/>
          <w:szCs w:val="20"/>
        </w:rPr>
        <w:tab/>
      </w:r>
      <w:r w:rsidR="00C80BD4" w:rsidRPr="00C07D41">
        <w:rPr>
          <w:rFonts w:ascii="Book Antiqua" w:hAnsi="Book Antiqua"/>
          <w:i/>
          <w:sz w:val="20"/>
          <w:szCs w:val="20"/>
        </w:rPr>
        <w:t>(13)</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This means stellar photon emission rates are inversely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U</m:t>
        </m:r>
      </m:oMath>
      <w:r w:rsidRPr="00C07D41">
        <w:rPr>
          <w:rFonts w:ascii="Book Antiqua" w:hAnsi="Book Antiqua"/>
          <w:sz w:val="20"/>
          <w:szCs w:val="20"/>
        </w:rPr>
        <w:t xml:space="preserve">. But (3) shows another factor is operating since the energy density of all electromagnetic radiation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quite apart from any redshifting process. The energy density of each photon is thus intrinsically lower,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when the ZPE strength is lower. The final result, then, is that the overall radiation intensity itself, </w:t>
      </w:r>
      <w:r w:rsidRPr="00C07D41">
        <w:rPr>
          <w:rStyle w:val="Emphasis"/>
          <w:rFonts w:ascii="Book Antiqua" w:hAnsi="Book Antiqua"/>
          <w:sz w:val="20"/>
          <w:szCs w:val="20"/>
        </w:rPr>
        <w:t>I</w:t>
      </w:r>
      <w:r w:rsidRPr="00C07D41">
        <w:rPr>
          <w:rFonts w:ascii="Book Antiqua" w:hAnsi="Book Antiqua"/>
          <w:sz w:val="20"/>
          <w:szCs w:val="20"/>
        </w:rPr>
        <w:t>, from a star is unaffected by changes in the ZPE. This is because the increased production rate of electromagnetic waves (or photons) given by (13) is counterbalanced by the fact that each wave (or photon) has a lower energy density given by (3). Since it can be shown that a star’s actual luminosity is proportional to its radiative intensity, we can write the conclusion that the star’s total intensity is such that</w:t>
      </w:r>
    </w:p>
    <w:p w:rsidR="00C80BD4" w:rsidRPr="00C07D41" w:rsidRDefault="00C80BD4" w:rsidP="00C80BD4">
      <w:pPr>
        <w:pStyle w:val="NormalWeb"/>
        <w:jc w:val="right"/>
        <w:rPr>
          <w:rFonts w:ascii="Book Antiqua" w:hAnsi="Book Antiqua"/>
          <w:i/>
          <w:sz w:val="20"/>
          <w:szCs w:val="20"/>
        </w:rPr>
      </w:pPr>
      <m:oMath>
        <m:r>
          <w:rPr>
            <w:rFonts w:ascii="Cambria Math" w:hAnsi="Cambria Math"/>
            <w:sz w:val="20"/>
            <w:szCs w:val="20"/>
          </w:rPr>
          <m:t>I</m:t>
        </m:r>
        <m:r>
          <w:rPr>
            <w:rFonts w:ascii="Cambria Math" w:hAnsi="Book Antiqua"/>
            <w:sz w:val="20"/>
            <w:szCs w:val="20"/>
          </w:rPr>
          <m:t xml:space="preserve"> ~ </m:t>
        </m:r>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Style w:val="style21"/>
            <w:rFonts w:ascii="Cambria Math" w:hAnsi="Cambria Math"/>
            <w:sz w:val="20"/>
            <w:szCs w:val="20"/>
          </w:rPr>
          <m:t>ρ</m:t>
        </m:r>
        <m:r>
          <w:rPr>
            <w:rFonts w:ascii="Cambria Math" w:hAnsi="Book Antiqua"/>
            <w:sz w:val="20"/>
            <w:szCs w:val="20"/>
          </w:rPr>
          <m:t xml:space="preserve"> ~ </m:t>
        </m:r>
        <m:r>
          <w:rPr>
            <w:rFonts w:ascii="Cambria Math" w:hAnsi="Cambria Math"/>
            <w:sz w:val="20"/>
            <w:szCs w:val="20"/>
          </w:rPr>
          <m:t>c</m:t>
        </m:r>
        <m:r>
          <w:rPr>
            <w:rStyle w:val="style21"/>
            <w:rFonts w:ascii="Cambria Math" w:hAnsi="Cambria Math"/>
            <w:sz w:val="20"/>
            <w:szCs w:val="20"/>
          </w:rPr>
          <m:t>ρ</m:t>
        </m:r>
        <m:r>
          <w:rPr>
            <w:rStyle w:val="style21"/>
            <w:rFonts w:ascii="Cambria Math" w:hAnsi="Book Antiqua"/>
            <w:sz w:val="20"/>
            <w:szCs w:val="20"/>
          </w:rPr>
          <m:t xml:space="preserve"> ~ </m:t>
        </m:r>
        <m:r>
          <w:rPr>
            <w:rStyle w:val="style21"/>
            <w:rFonts w:ascii="Cambria Math" w:hAnsi="Cambria Math"/>
            <w:sz w:val="20"/>
            <w:szCs w:val="20"/>
          </w:rPr>
          <m:t>c</m:t>
        </m:r>
        <m:r>
          <w:rPr>
            <w:rStyle w:val="style21"/>
            <w:rFonts w:ascii="Cambria Math" w:hAnsi="Book Antiqua"/>
            <w:sz w:val="20"/>
            <w:szCs w:val="20"/>
          </w:rPr>
          <m:t>(1/</m:t>
        </m:r>
        <m:r>
          <w:rPr>
            <w:rStyle w:val="style21"/>
            <w:rFonts w:ascii="Cambria Math" w:hAnsi="Cambria Math"/>
            <w:sz w:val="20"/>
            <w:szCs w:val="20"/>
          </w:rPr>
          <m:t>c</m:t>
        </m:r>
        <m:r>
          <w:rPr>
            <w:rStyle w:val="style21"/>
            <w:rFonts w:ascii="Cambria Math" w:hAnsi="Book Antiqua"/>
            <w:sz w:val="20"/>
            <w:szCs w:val="20"/>
          </w:rPr>
          <m:t>)</m:t>
        </m:r>
        <m:r>
          <w:rPr>
            <w:rFonts w:ascii="Cambria Math" w:hAnsi="Book Antiqua"/>
            <w:sz w:val="20"/>
            <w:szCs w:val="20"/>
          </w:rPr>
          <m:t xml:space="preserve"> = </m:t>
        </m:r>
        <m:r>
          <w:rPr>
            <w:rFonts w:ascii="Cambria Math" w:hAnsi="Cambria Math"/>
            <w:sz w:val="20"/>
            <w:szCs w:val="20"/>
          </w:rPr>
          <m:t>constant</m:t>
        </m:r>
      </m:oMath>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 xml:space="preserve"> (14)</w:t>
      </w:r>
    </w:p>
    <w:p w:rsidR="007A1DBC" w:rsidRDefault="007A1DBC" w:rsidP="00C80BD4">
      <w:pPr>
        <w:pStyle w:val="NormalWeb"/>
        <w:jc w:val="both"/>
        <w:rPr>
          <w:rFonts w:ascii="Book Antiqua" w:hAnsi="Book Antiqua"/>
          <w:i/>
          <w:sz w:val="20"/>
          <w:szCs w:val="20"/>
        </w:rPr>
      </w:pPr>
    </w:p>
    <w:p w:rsidR="00C80BD4" w:rsidRPr="00C07D41" w:rsidRDefault="00C80BD4" w:rsidP="00C80BD4">
      <w:pPr>
        <w:pStyle w:val="NormalWeb"/>
        <w:jc w:val="both"/>
        <w:rPr>
          <w:rFonts w:ascii="Book Antiqua" w:hAnsi="Book Antiqua"/>
          <w:i/>
          <w:sz w:val="20"/>
          <w:szCs w:val="20"/>
        </w:rPr>
      </w:pPr>
      <w:r w:rsidRPr="00C07D41">
        <w:rPr>
          <w:rFonts w:ascii="Book Antiqua" w:hAnsi="Book Antiqua"/>
          <w:i/>
          <w:sz w:val="20"/>
          <w:szCs w:val="20"/>
        </w:rPr>
        <w:lastRenderedPageBreak/>
        <w:t>2.2 The Plasma - Electric Approach</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This plasma model, as pointed out in Chapter 6, explains that there were intrinsically stronger currents in earlier epochs of the Universe. This has implications for other aspects of cosmology. For our purposes here we simply note that stronger currents result, as well as higher voltage or potential, since voltage</w:t>
      </w:r>
      <w:proofErr w:type="gramStart"/>
      <w:r w:rsidRPr="00C07D41">
        <w:rPr>
          <w:rFonts w:ascii="Book Antiqua" w:hAnsi="Book Antiqua"/>
          <w:sz w:val="20"/>
          <w:szCs w:val="20"/>
        </w:rPr>
        <w:t xml:space="preserve">, </w:t>
      </w:r>
      <m:oMath>
        <w:proofErr w:type="gramEnd"/>
        <m:r>
          <w:rPr>
            <w:rStyle w:val="Emphasis"/>
            <w:rFonts w:ascii="Cambria Math" w:hAnsi="Cambria Math"/>
            <w:sz w:val="20"/>
            <w:szCs w:val="20"/>
          </w:rPr>
          <m:t>V</m:t>
        </m:r>
        <m:r>
          <w:rPr>
            <w:rStyle w:val="Emphasis"/>
            <w:rFonts w:ascii="Cambria Math" w:hAnsi="Book Antiqua"/>
            <w:sz w:val="20"/>
            <w:szCs w:val="20"/>
          </w:rPr>
          <m:t xml:space="preserve"> = </m:t>
        </m:r>
        <m:r>
          <w:rPr>
            <w:rStyle w:val="Emphasis"/>
            <w:rFonts w:ascii="Cambria Math" w:hAnsi="Cambria Math"/>
            <w:sz w:val="20"/>
            <w:szCs w:val="20"/>
          </w:rPr>
          <m:t>IR</m:t>
        </m:r>
      </m:oMath>
      <w:r w:rsidRPr="00C07D41">
        <w:rPr>
          <w:rFonts w:ascii="Book Antiqua" w:hAnsi="Book Antiqua"/>
          <w:sz w:val="20"/>
          <w:szCs w:val="20"/>
        </w:rPr>
        <w:t xml:space="preserve">, where </w:t>
      </w:r>
      <m:oMath>
        <m:r>
          <w:rPr>
            <w:rStyle w:val="Emphasis"/>
            <w:rFonts w:ascii="Cambria Math" w:hAnsi="Cambria Math"/>
            <w:sz w:val="20"/>
            <w:szCs w:val="20"/>
          </w:rPr>
          <m:t>R</m:t>
        </m:r>
      </m:oMath>
      <w:r w:rsidRPr="00C07D41">
        <w:rPr>
          <w:rFonts w:ascii="Book Antiqua" w:hAnsi="Book Antiqua"/>
          <w:sz w:val="20"/>
          <w:szCs w:val="20"/>
        </w:rPr>
        <w:t xml:space="preserve"> is resistance and </w:t>
      </w:r>
      <m:oMath>
        <m:r>
          <w:rPr>
            <w:rStyle w:val="Emphasis"/>
            <w:rFonts w:ascii="Cambria Math" w:hAnsi="Cambria Math"/>
            <w:sz w:val="20"/>
            <w:szCs w:val="20"/>
          </w:rPr>
          <m:t>I</m:t>
        </m:r>
      </m:oMath>
      <w:r w:rsidRPr="00C07D41">
        <w:rPr>
          <w:rFonts w:ascii="Book Antiqua" w:hAnsi="Book Antiqua"/>
          <w:sz w:val="20"/>
          <w:szCs w:val="20"/>
        </w:rPr>
        <w:t xml:space="preserve"> is the electric current. Since it has been established that </w:t>
      </w:r>
      <m:oMath>
        <m:r>
          <w:rPr>
            <w:rStyle w:val="Emphasis"/>
            <w:rFonts w:ascii="Cambria Math" w:hAnsi="Cambria Math"/>
            <w:sz w:val="20"/>
            <w:szCs w:val="20"/>
          </w:rPr>
          <m:t>R</m:t>
        </m:r>
      </m:oMath>
      <w:r w:rsidRPr="00C07D41">
        <w:rPr>
          <w:rFonts w:ascii="Book Antiqua" w:hAnsi="Book Antiqua"/>
          <w:sz w:val="20"/>
          <w:szCs w:val="20"/>
        </w:rPr>
        <w:t xml:space="preserve"> is unchanged with changing ZPE strengths, it then follows that </w:t>
      </w:r>
      <m:oMath>
        <m:r>
          <w:rPr>
            <w:rStyle w:val="Emphasis"/>
            <w:rFonts w:ascii="Cambria Math" w:hAnsi="Cambria Math"/>
            <w:sz w:val="20"/>
            <w:szCs w:val="20"/>
          </w:rPr>
          <m:t>V</m:t>
        </m:r>
        <m:r>
          <m:rPr>
            <m:sty m:val="p"/>
          </m:rPr>
          <w:rPr>
            <w:rFonts w:ascii="Cambria Math" w:hAnsi="Book Antiqua"/>
            <w:sz w:val="20"/>
            <w:szCs w:val="20"/>
          </w:rPr>
          <m:t xml:space="preserve"> </m:t>
        </m:r>
      </m:oMath>
      <w:r w:rsidRPr="00C07D41">
        <w:rPr>
          <w:rFonts w:ascii="Book Antiqua" w:hAnsi="Book Antiqua"/>
          <w:sz w:val="20"/>
          <w:szCs w:val="20"/>
        </w:rPr>
        <w:t xml:space="preserve">is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I</m:t>
        </m:r>
      </m:oMath>
      <w:r w:rsidRPr="00C07D41">
        <w:rPr>
          <w:rFonts w:ascii="Book Antiqua" w:hAnsi="Book Antiqua"/>
          <w:sz w:val="20"/>
          <w:szCs w:val="20"/>
        </w:rPr>
        <w:t xml:space="preserve">. But since </w:t>
      </w:r>
      <m:oMath>
        <m:r>
          <w:rPr>
            <w:rStyle w:val="Emphasis"/>
            <w:rFonts w:ascii="Cambria Math" w:hAnsi="Cambria Math"/>
            <w:sz w:val="20"/>
            <w:szCs w:val="20"/>
          </w:rPr>
          <m:t>I</m:t>
        </m:r>
      </m:oMath>
      <w:r w:rsidRPr="00C07D41">
        <w:rPr>
          <w:rFonts w:ascii="Book Antiqua" w:hAnsi="Book Antiqua"/>
          <w:sz w:val="20"/>
          <w:szCs w:val="20"/>
        </w:rPr>
        <w:t xml:space="preserve"> is proportional </w:t>
      </w:r>
      <w:proofErr w:type="gramStart"/>
      <w:r w:rsidRPr="00C07D41">
        <w:rPr>
          <w:rFonts w:ascii="Book Antiqua" w:hAnsi="Book Antiqua"/>
          <w:sz w:val="20"/>
          <w:szCs w:val="20"/>
        </w:rPr>
        <w:t xml:space="preserve">to </w:t>
      </w:r>
      <m:oMath>
        <w:proofErr w:type="gramEnd"/>
        <m:r>
          <w:rPr>
            <w:rStyle w:val="Emphasis"/>
            <w:rFonts w:ascii="Book Antiqua" w:hAnsi="Book Antiqua"/>
            <w:sz w:val="20"/>
            <w:szCs w:val="20"/>
          </w:rPr>
          <m:t>√</m:t>
        </m:r>
        <m:r>
          <w:rPr>
            <w:rStyle w:val="Emphasis"/>
            <w:rFonts w:ascii="Cambria Math" w:hAnsi="Book Antiqua"/>
            <w:sz w:val="20"/>
            <w:szCs w:val="20"/>
          </w:rPr>
          <m:t>(1/</m:t>
        </m:r>
        <m:r>
          <w:rPr>
            <w:rStyle w:val="Emphasis"/>
            <w:rFonts w:ascii="Cambria Math" w:hAnsi="Cambria Math"/>
            <w:sz w:val="20"/>
            <w:szCs w:val="20"/>
          </w:rPr>
          <m:t>U</m:t>
        </m:r>
        <m:r>
          <w:rPr>
            <w:rStyle w:val="Emphasis"/>
            <w:rFonts w:ascii="Cambria Math" w:hAnsi="Book Antiqua"/>
            <w:sz w:val="20"/>
            <w:szCs w:val="20"/>
          </w:rPr>
          <m:t>)</m:t>
        </m:r>
      </m:oMath>
      <w:r w:rsidRPr="00C07D41">
        <w:rPr>
          <w:rFonts w:ascii="Book Antiqua" w:hAnsi="Book Antiqua"/>
          <w:sz w:val="20"/>
          <w:szCs w:val="20"/>
        </w:rPr>
        <w:t xml:space="preserve">, or the </w:t>
      </w:r>
      <m:oMath>
        <m:r>
          <w:rPr>
            <w:rFonts w:ascii="Book Antiqua"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so too is </w:t>
      </w:r>
      <m:oMath>
        <m:r>
          <w:rPr>
            <w:rFonts w:ascii="Cambria Math" w:hAnsi="Cambria Math"/>
            <w:sz w:val="20"/>
            <w:szCs w:val="20"/>
          </w:rPr>
          <m:t>V</m:t>
        </m:r>
      </m:oMath>
      <w:r w:rsidRPr="00C07D41">
        <w:rPr>
          <w:rFonts w:ascii="Book Antiqua" w:hAnsi="Book Antiqua"/>
          <w:sz w:val="20"/>
          <w:szCs w:val="20"/>
        </w:rPr>
        <w:t>. In addition, since power</w:t>
      </w:r>
      <w:proofErr w:type="gramStart"/>
      <w:r w:rsidRPr="00C07D41">
        <w:rPr>
          <w:rFonts w:ascii="Book Antiqua" w:hAnsi="Book Antiqua"/>
          <w:sz w:val="20"/>
          <w:szCs w:val="20"/>
        </w:rPr>
        <w:t xml:space="preserve">, </w:t>
      </w:r>
      <m:oMath>
        <w:proofErr w:type="gramEnd"/>
        <m:r>
          <w:rPr>
            <w:rStyle w:val="Emphasis"/>
            <w:rFonts w:ascii="Cambria Math" w:hAnsi="Cambria Math"/>
            <w:sz w:val="20"/>
            <w:szCs w:val="20"/>
          </w:rPr>
          <m:t>P</m:t>
        </m:r>
      </m:oMath>
      <w:r w:rsidRPr="00C07D41">
        <w:rPr>
          <w:rFonts w:ascii="Book Antiqua" w:hAnsi="Book Antiqua"/>
          <w:sz w:val="20"/>
          <w:szCs w:val="20"/>
        </w:rPr>
        <w:t xml:space="preserve">, in an electrical circuit is given by the relation </w:t>
      </w:r>
      <m:oMath>
        <m:r>
          <w:rPr>
            <w:rStyle w:val="Emphasis"/>
            <w:rFonts w:ascii="Cambria Math" w:hAnsi="Cambria Math"/>
            <w:sz w:val="20"/>
            <w:szCs w:val="20"/>
          </w:rPr>
          <m:t>P</m:t>
        </m:r>
        <m:r>
          <w:rPr>
            <w:rStyle w:val="Emphasis"/>
            <w:rFonts w:ascii="Cambria Math" w:hAnsi="Book Antiqua"/>
            <w:sz w:val="20"/>
            <w:szCs w:val="20"/>
          </w:rPr>
          <m:t xml:space="preserve"> = </m:t>
        </m:r>
        <m:r>
          <w:rPr>
            <w:rStyle w:val="Emphasis"/>
            <w:rFonts w:ascii="Cambria Math" w:hAnsi="Cambria Math"/>
            <w:sz w:val="20"/>
            <w:szCs w:val="20"/>
          </w:rPr>
          <m:t>IV</m:t>
        </m:r>
      </m:oMath>
      <w:r w:rsidRPr="00C07D41">
        <w:rPr>
          <w:rFonts w:ascii="Book Antiqua" w:hAnsi="Book Antiqua"/>
          <w:sz w:val="20"/>
          <w:szCs w:val="20"/>
        </w:rPr>
        <w:t xml:space="preserve">, it necessarily follows that this power must be proportional to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xml:space="preserve"> or </w:t>
      </w:r>
      <m:oMath>
        <m:r>
          <w:rPr>
            <w:rStyle w:val="Emphasis"/>
            <w:rFonts w:ascii="Cambria Math" w:hAnsi="Cambria Math"/>
            <w:sz w:val="20"/>
            <w:szCs w:val="20"/>
          </w:rPr>
          <m:t>c</m:t>
        </m:r>
      </m:oMath>
      <w:r w:rsidRPr="00C07D41">
        <w:rPr>
          <w:rFonts w:ascii="Book Antiqua" w:hAnsi="Book Antiqua"/>
          <w:sz w:val="20"/>
          <w:szCs w:val="20"/>
        </w:rPr>
        <w:t xml:space="preserve">.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If the plasma model for stars </w:t>
      </w:r>
      <w:r w:rsidRPr="00FF68D6">
        <w:rPr>
          <w:rFonts w:ascii="Book Antiqua" w:hAnsi="Book Antiqua"/>
          <w:sz w:val="20"/>
          <w:szCs w:val="20"/>
        </w:rPr>
        <w:t>is followed</w:t>
      </w:r>
      <w:r>
        <w:rPr>
          <w:rFonts w:ascii="Book Antiqua" w:hAnsi="Book Antiqua"/>
          <w:sz w:val="20"/>
          <w:szCs w:val="20"/>
        </w:rPr>
        <w:t xml:space="preserve">, as described by Scott in </w:t>
      </w:r>
      <w:r w:rsidRPr="00FF68D6">
        <w:rPr>
          <w:rFonts w:ascii="Book Antiqua" w:hAnsi="Book Antiqua"/>
          <w:i/>
          <w:sz w:val="20"/>
          <w:szCs w:val="20"/>
        </w:rPr>
        <w:t>The Electric Sky</w:t>
      </w:r>
      <w:r w:rsidRPr="00C07D41">
        <w:rPr>
          <w:rFonts w:ascii="Book Antiqua" w:hAnsi="Book Antiqua"/>
          <w:i/>
          <w:sz w:val="16"/>
          <w:szCs w:val="16"/>
        </w:rPr>
        <w:t xml:space="preserve"> </w:t>
      </w:r>
      <w:r w:rsidRPr="00FF68D6">
        <w:rPr>
          <w:rFonts w:ascii="Book Antiqua" w:hAnsi="Book Antiqua"/>
          <w:sz w:val="20"/>
          <w:szCs w:val="20"/>
        </w:rPr>
        <w:t xml:space="preserve"> </w:t>
      </w:r>
      <w:hyperlink r:id="rId1259" w:anchor="6a224" w:history="1">
        <w:r w:rsidRPr="00FF68D6">
          <w:rPr>
            <w:rStyle w:val="Hyperlink"/>
            <w:rFonts w:ascii="Book Antiqua" w:hAnsi="Book Antiqua"/>
            <w:sz w:val="20"/>
            <w:szCs w:val="20"/>
          </w:rPr>
          <w:t>[19]</w:t>
        </w:r>
      </w:hyperlink>
      <w:r w:rsidRPr="00C07D41">
        <w:rPr>
          <w:rFonts w:ascii="Book Antiqua" w:hAnsi="Book Antiqua"/>
          <w:sz w:val="20"/>
          <w:szCs w:val="20"/>
        </w:rPr>
        <w:t xml:space="preserve">, then for a Birkeland current, </w:t>
      </w:r>
      <m:oMath>
        <m:r>
          <w:rPr>
            <w:rStyle w:val="Emphasis"/>
            <w:rFonts w:ascii="Cambria Math" w:hAnsi="Cambria Math"/>
            <w:sz w:val="20"/>
            <w:szCs w:val="20"/>
          </w:rPr>
          <m:t>I</m:t>
        </m:r>
      </m:oMath>
      <w:r w:rsidRPr="00C07D41">
        <w:rPr>
          <w:rStyle w:val="Emphasis"/>
          <w:rFonts w:ascii="Book Antiqua" w:hAnsi="Book Antiqua"/>
          <w:sz w:val="20"/>
          <w:szCs w:val="20"/>
        </w:rPr>
        <w:t>,</w:t>
      </w:r>
      <w:r w:rsidRPr="00C07D41">
        <w:rPr>
          <w:rFonts w:ascii="Book Antiqua" w:hAnsi="Book Antiqua"/>
          <w:sz w:val="20"/>
          <w:szCs w:val="20"/>
        </w:rPr>
        <w:t xml:space="preserve"> and potential difference, </w:t>
      </w:r>
      <m:oMath>
        <m:r>
          <w:rPr>
            <w:rStyle w:val="Emphasis"/>
            <w:rFonts w:ascii="Cambria Math" w:hAnsi="Cambria Math"/>
            <w:sz w:val="20"/>
            <w:szCs w:val="20"/>
          </w:rPr>
          <m:t>V</m:t>
        </m:r>
      </m:oMath>
      <w:r w:rsidRPr="00C07D41">
        <w:rPr>
          <w:rFonts w:ascii="Book Antiqua" w:hAnsi="Book Antiqua"/>
          <w:sz w:val="20"/>
          <w:szCs w:val="20"/>
        </w:rPr>
        <w:t xml:space="preserve">, the power output, </w:t>
      </w:r>
      <m:oMath>
        <m:r>
          <w:rPr>
            <w:rStyle w:val="Emphasis"/>
            <w:rFonts w:ascii="Cambria Math" w:hAnsi="Cambria Math"/>
            <w:sz w:val="20"/>
            <w:szCs w:val="20"/>
          </w:rPr>
          <m:t>P</m:t>
        </m:r>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This is the same result as that obtained in the thermonuclear case. Equation (3) points out that the energy density of all radiation</w:t>
      </w:r>
      <w:proofErr w:type="gramStart"/>
      <w:r w:rsidRPr="00C07D41">
        <w:rPr>
          <w:rFonts w:ascii="Book Antiqua" w:hAnsi="Book Antiqua"/>
          <w:sz w:val="20"/>
          <w:szCs w:val="20"/>
        </w:rPr>
        <w:t xml:space="preserve">, </w:t>
      </w:r>
      <m:oMath>
        <w:proofErr w:type="gramEnd"/>
        <m:r>
          <w:rPr>
            <w:rFonts w:ascii="Cambria Math" w:hAnsi="Cambria Math"/>
            <w:sz w:val="20"/>
            <w:szCs w:val="20"/>
          </w:rPr>
          <m:t>ρ</m:t>
        </m:r>
      </m:oMath>
      <w:r w:rsidRPr="00C07D41">
        <w:rPr>
          <w:rFonts w:ascii="Book Antiqua" w:hAnsi="Book Antiqua"/>
          <w:sz w:val="20"/>
          <w:szCs w:val="20"/>
        </w:rPr>
        <w:t xml:space="preserve">,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This remains true. Equation (14) also remains true regarding radiation intensities (and hence stellar luminosities), since they are given by the quantity ρ</w:t>
      </w:r>
      <w:r w:rsidRPr="00C07D41">
        <w:rPr>
          <w:rStyle w:val="Emphasis"/>
          <w:rFonts w:ascii="Book Antiqua" w:hAnsi="Book Antiqua"/>
          <w:sz w:val="20"/>
          <w:szCs w:val="20"/>
        </w:rPr>
        <w:t>c</w:t>
      </w:r>
      <w:r w:rsidRPr="00C07D41">
        <w:rPr>
          <w:rFonts w:ascii="Book Antiqua" w:hAnsi="Book Antiqua"/>
          <w:sz w:val="20"/>
          <w:szCs w:val="20"/>
        </w:rPr>
        <w:t xml:space="preserve"> [</w:t>
      </w:r>
      <w:hyperlink r:id="rId1260" w:anchor="6a148" w:history="1">
        <w:r w:rsidRPr="00C07D41">
          <w:rPr>
            <w:rStyle w:val="Hyperlink"/>
            <w:rFonts w:ascii="Book Antiqua" w:hAnsi="Book Antiqua"/>
            <w:sz w:val="20"/>
            <w:szCs w:val="20"/>
          </w:rPr>
          <w:t>1-3</w:t>
        </w:r>
      </w:hyperlink>
      <w:r w:rsidRPr="00C07D41">
        <w:rPr>
          <w:rFonts w:ascii="Book Antiqua" w:hAnsi="Book Antiqua"/>
          <w:sz w:val="20"/>
          <w:szCs w:val="20"/>
        </w:rPr>
        <w:t xml:space="preserve">]. Since </w:t>
      </w:r>
      <m:oMath>
        <m:r>
          <w:rPr>
            <w:rStyle w:val="Emphasis"/>
            <w:rFonts w:ascii="Cambria Math" w:hAnsi="Cambria Math"/>
            <w:sz w:val="20"/>
            <w:szCs w:val="20"/>
          </w:rPr>
          <m:t>ρc</m:t>
        </m:r>
      </m:oMath>
      <w:r w:rsidRPr="00C07D41">
        <w:rPr>
          <w:rFonts w:ascii="Book Antiqua" w:hAnsi="Book Antiqua"/>
          <w:sz w:val="20"/>
          <w:szCs w:val="20"/>
        </w:rPr>
        <w:t xml:space="preserve"> is constant for changing ZPE strength in both models, stellar luminosities must also be constant for both models, given these conditions. Thus the only two models which have been proposed for a star’s light output, the thermonuclear and the plasma approach, both give the same result. </w:t>
      </w:r>
      <w:r>
        <w:rPr>
          <w:rFonts w:ascii="Book Antiqua" w:hAnsi="Book Antiqua"/>
          <w:sz w:val="20"/>
          <w:szCs w:val="20"/>
        </w:rPr>
        <w:t>Two</w:t>
      </w:r>
      <w:r w:rsidRPr="00C07D41">
        <w:rPr>
          <w:rFonts w:ascii="Book Antiqua" w:hAnsi="Book Antiqua"/>
          <w:sz w:val="20"/>
          <w:szCs w:val="20"/>
        </w:rPr>
        <w:t xml:space="preserve"> example</w:t>
      </w:r>
      <w:r>
        <w:rPr>
          <w:rFonts w:ascii="Book Antiqua" w:hAnsi="Book Antiqua"/>
          <w:sz w:val="20"/>
          <w:szCs w:val="20"/>
        </w:rPr>
        <w:t>s</w:t>
      </w:r>
      <w:r w:rsidRPr="00C07D41">
        <w:rPr>
          <w:rFonts w:ascii="Book Antiqua" w:hAnsi="Book Antiqua"/>
          <w:sz w:val="20"/>
          <w:szCs w:val="20"/>
        </w:rPr>
        <w:t xml:space="preserve"> of what these principles mean in practice is given by a consideration of Cepheid variables and their observation in distant galaxies, and a discussion about supernova 1987A</w:t>
      </w:r>
      <w:r>
        <w:rPr>
          <w:rFonts w:ascii="Book Antiqua" w:hAnsi="Book Antiqua"/>
          <w:sz w:val="20"/>
          <w:szCs w:val="20"/>
        </w:rPr>
        <w:t>.</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B3.   Cepheid Variables</w:t>
      </w:r>
      <w:bookmarkStart w:id="221" w:name="cepheid"/>
      <w:bookmarkEnd w:id="221"/>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layer just under the surface of Cepheid variable stars pulsates in and out like clockwork, and their brightness pulsates inversely with the same period. The more massive the Cepheid, the brighter it shines, and the slower its pulsation rate. This means that there is a direct link between a Cepheid’s period and its intrinsic luminosity.  When the typical light curve of a Cepheid (rapid rise, slow decline – see Figure 1) is seen in a distant galaxy, that Cepheid can then be used as a distance indicator for that galaxy.  </w:t>
      </w:r>
    </w:p>
    <w:p w:rsidR="00C80BD4" w:rsidRDefault="00C80BD4" w:rsidP="00C80BD4">
      <w:pPr>
        <w:pStyle w:val="NormalWeb"/>
        <w:jc w:val="center"/>
        <w:rPr>
          <w:rFonts w:ascii="Book Antiqua" w:hAnsi="Book Antiqua"/>
          <w:sz w:val="18"/>
          <w:szCs w:val="18"/>
        </w:rPr>
      </w:pPr>
      <w:r w:rsidRPr="002E54B6">
        <w:rPr>
          <w:rFonts w:ascii="Book Antiqua" w:hAnsi="Book Antiqua"/>
          <w:noProof/>
          <w:sz w:val="18"/>
          <w:szCs w:val="18"/>
        </w:rPr>
        <w:drawing>
          <wp:inline distT="0" distB="0" distL="0" distR="0">
            <wp:extent cx="4793125" cy="2643308"/>
            <wp:effectExtent l="19050" t="0" r="7475" b="0"/>
            <wp:docPr id="22" name="il_fi" descr="http://www.physics.hku.hk/~nature/CD/regular_e/lectures/images/chap13/vari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hku.hk/~nature/CD/regular_e/lectures/images/chap13/variable.gif"/>
                    <pic:cNvPicPr>
                      <a:picLocks noChangeAspect="1" noChangeArrowheads="1"/>
                    </pic:cNvPicPr>
                  </pic:nvPicPr>
                  <pic:blipFill>
                    <a:blip r:embed="rId1261" cstate="print"/>
                    <a:srcRect/>
                    <a:stretch>
                      <a:fillRect/>
                    </a:stretch>
                  </pic:blipFill>
                  <pic:spPr bwMode="auto">
                    <a:xfrm>
                      <a:off x="0" y="0"/>
                      <a:ext cx="4820254" cy="2658269"/>
                    </a:xfrm>
                    <a:prstGeom prst="rect">
                      <a:avLst/>
                    </a:prstGeom>
                    <a:noFill/>
                    <a:ln w="9525">
                      <a:noFill/>
                      <a:miter lim="800000"/>
                      <a:headEnd/>
                      <a:tailEnd/>
                    </a:ln>
                  </pic:spPr>
                </pic:pic>
              </a:graphicData>
            </a:graphic>
          </wp:inline>
        </w:drawing>
      </w:r>
    </w:p>
    <w:p w:rsidR="00C80BD4" w:rsidRDefault="00C80BD4" w:rsidP="00C80BD4">
      <w:pPr>
        <w:pStyle w:val="NormalWeb"/>
        <w:rPr>
          <w:rFonts w:ascii="Book Antiqua" w:hAnsi="Book Antiqua"/>
          <w:i/>
          <w:sz w:val="18"/>
          <w:szCs w:val="18"/>
        </w:rPr>
      </w:pPr>
      <w:r w:rsidRPr="0092452E">
        <w:rPr>
          <w:rFonts w:ascii="Book Antiqua" w:hAnsi="Book Antiqua"/>
          <w:b/>
          <w:i/>
          <w:sz w:val="18"/>
          <w:szCs w:val="18"/>
        </w:rPr>
        <w:t>Figure 1:</w:t>
      </w:r>
      <w:r w:rsidRPr="0092452E">
        <w:rPr>
          <w:rFonts w:ascii="Book Antiqua" w:hAnsi="Book Antiqua"/>
          <w:i/>
          <w:sz w:val="18"/>
          <w:szCs w:val="18"/>
        </w:rPr>
        <w:t xml:space="preserve"> The variation in brightness (vertically) with time (horizontally) of two Cepheid variable stars. The top star is brighter but has a longer pulsation period than the bottom star. In both the rise time is shorter than the decline. This is often called a “shark-fin” curve.</w:t>
      </w:r>
    </w:p>
    <w:p w:rsidR="000E180B" w:rsidRDefault="000E180B" w:rsidP="000E180B">
      <w:pPr>
        <w:pStyle w:val="NormalWeb"/>
        <w:ind w:firstLine="720"/>
        <w:jc w:val="both"/>
        <w:rPr>
          <w:rFonts w:ascii="Book Antiqua" w:hAnsi="Book Antiqua"/>
          <w:sz w:val="20"/>
          <w:szCs w:val="20"/>
        </w:rPr>
      </w:pPr>
      <w:r w:rsidRPr="00C07D41">
        <w:rPr>
          <w:rFonts w:ascii="Book Antiqua" w:hAnsi="Book Antiqua"/>
          <w:sz w:val="20"/>
          <w:szCs w:val="20"/>
        </w:rPr>
        <w:t xml:space="preserve">Given the observed period, the intrinsic luminosity is known, and, when compared with the observed luminosity, the distance is deduced from the inverse square law </w:t>
      </w:r>
      <w:hyperlink r:id="rId1262" w:anchor="2a166" w:history="1">
        <w:r w:rsidRPr="00C07D41">
          <w:rPr>
            <w:rStyle w:val="Hyperlink"/>
            <w:rFonts w:ascii="Book Antiqua" w:hAnsi="Book Antiqua"/>
            <w:sz w:val="20"/>
            <w:szCs w:val="20"/>
          </w:rPr>
          <w:t>[20]</w:t>
        </w:r>
      </w:hyperlink>
      <w:r w:rsidRPr="00C07D41">
        <w:rPr>
          <w:rFonts w:ascii="Book Antiqua" w:hAnsi="Book Antiqua"/>
          <w:sz w:val="20"/>
          <w:szCs w:val="20"/>
        </w:rPr>
        <w:t xml:space="preserve">. If there has been a change in the ZPE and the speed of light, </w:t>
      </w:r>
      <w:r w:rsidRPr="00C07D41">
        <w:rPr>
          <w:rFonts w:ascii="Book Antiqua" w:hAnsi="Book Antiqua"/>
          <w:sz w:val="20"/>
          <w:szCs w:val="20"/>
        </w:rPr>
        <w:lastRenderedPageBreak/>
        <w:t>what would be the effect on the observed luminosity and the pulsation rate? Let us compare our observations of a distant Cepheid with one near us.</w:t>
      </w:r>
    </w:p>
    <w:p w:rsidR="000E180B" w:rsidRPr="00C07D41" w:rsidRDefault="000E180B" w:rsidP="000E180B">
      <w:pPr>
        <w:pStyle w:val="NormalWeb"/>
        <w:ind w:firstLine="720"/>
        <w:jc w:val="both"/>
        <w:rPr>
          <w:rFonts w:ascii="Book Antiqua" w:hAnsi="Book Antiqua"/>
          <w:sz w:val="20"/>
          <w:szCs w:val="20"/>
        </w:rPr>
      </w:pPr>
      <w:r w:rsidRPr="00C07D41">
        <w:rPr>
          <w:rFonts w:ascii="Book Antiqua" w:hAnsi="Book Antiqua"/>
          <w:b/>
          <w:sz w:val="20"/>
          <w:szCs w:val="20"/>
        </w:rPr>
        <w:t>The Luminosity</w:t>
      </w:r>
      <w:r w:rsidRPr="00C07D41">
        <w:rPr>
          <w:rFonts w:ascii="Book Antiqua" w:hAnsi="Book Antiqua"/>
          <w:sz w:val="20"/>
          <w:szCs w:val="20"/>
        </w:rPr>
        <w:t xml:space="preserve">:  Equation (13) shows that the number of waves, or photons emitted per unit time, from each Cepheid is proportional to </w:t>
      </w:r>
      <w:r w:rsidRPr="00C07D41">
        <w:rPr>
          <w:rStyle w:val="Emphasis"/>
          <w:rFonts w:ascii="Book Antiqua" w:hAnsi="Book Antiqua"/>
          <w:sz w:val="20"/>
          <w:szCs w:val="20"/>
        </w:rPr>
        <w:t>c</w:t>
      </w:r>
      <w:r w:rsidRPr="00C07D41">
        <w:rPr>
          <w:rFonts w:ascii="Book Antiqua" w:hAnsi="Book Antiqua"/>
          <w:sz w:val="20"/>
          <w:szCs w:val="20"/>
        </w:rPr>
        <w:t>. For any planets around the distant Cepheid, (3) coupled with (13) and (14) ensures the intensity of the radiation remains fixed with time as the ZPE varies</w:t>
      </w:r>
      <w:r>
        <w:rPr>
          <w:rFonts w:ascii="Book Antiqua" w:hAnsi="Book Antiqua"/>
          <w:sz w:val="20"/>
          <w:szCs w:val="20"/>
        </w:rPr>
        <w:t>.</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But when we observe the stream of waves or photons from that distant Cepheid, the reception rate is lower than the emission rate. Thus, if the speed of light was 10 times its current value at the time of emission, then the reception rate for the waves or photons now is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that. This reception rate is in exact accord with our local Cepheid, since its wave or photon emission rate has also dropped as the speed of light has dropped. Since ε and μ have also increased by a factor of 10 while the waves were in transit, the energy density of those waves at reception is now 10 times that at emission. Thus, as equation (14) shows, the observed luminosity of distant Cepheids is the same as for those nearby, apart from any dimming due to distance.</w:t>
      </w:r>
    </w:p>
    <w:p w:rsidR="00C80BD4" w:rsidRPr="00C07D41" w:rsidRDefault="00C80BD4" w:rsidP="00C80BD4">
      <w:pPr>
        <w:pStyle w:val="NormalWeb"/>
        <w:jc w:val="center"/>
        <w:rPr>
          <w:rFonts w:ascii="Book Antiqua" w:hAnsi="Book Antiqua"/>
          <w:sz w:val="20"/>
          <w:szCs w:val="20"/>
        </w:rPr>
      </w:pPr>
      <w:r w:rsidRPr="00C07D41">
        <w:rPr>
          <w:rFonts w:ascii="Book Antiqua" w:hAnsi="Book Antiqua"/>
          <w:noProof/>
          <w:sz w:val="20"/>
          <w:szCs w:val="20"/>
        </w:rPr>
        <w:drawing>
          <wp:inline distT="0" distB="0" distL="0" distR="0">
            <wp:extent cx="3961279" cy="2355399"/>
            <wp:effectExtent l="19050" t="0" r="1121" b="0"/>
            <wp:docPr id="772" name="il_fi" descr="http://www.astro.ljmu.ac.uk/courses/phys134/pic/dist/ceph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ljmu.ac.uk/courses/phys134/pic/dist/cepheid.jpg"/>
                    <pic:cNvPicPr>
                      <a:picLocks noChangeAspect="1" noChangeArrowheads="1"/>
                    </pic:cNvPicPr>
                  </pic:nvPicPr>
                  <pic:blipFill>
                    <a:blip r:embed="rId1263" cstate="print"/>
                    <a:srcRect t="2819" r="1226" b="49087"/>
                    <a:stretch>
                      <a:fillRect/>
                    </a:stretch>
                  </pic:blipFill>
                  <pic:spPr bwMode="auto">
                    <a:xfrm>
                      <a:off x="0" y="0"/>
                      <a:ext cx="3966609" cy="2358568"/>
                    </a:xfrm>
                    <a:prstGeom prst="rect">
                      <a:avLst/>
                    </a:prstGeom>
                    <a:noFill/>
                    <a:ln w="9525">
                      <a:noFill/>
                      <a:miter lim="800000"/>
                      <a:headEnd/>
                      <a:tailEnd/>
                    </a:ln>
                  </pic:spPr>
                </pic:pic>
              </a:graphicData>
            </a:graphic>
          </wp:inline>
        </w:drawing>
      </w:r>
    </w:p>
    <w:p w:rsidR="00C80BD4" w:rsidRPr="0092452E" w:rsidRDefault="00C80BD4" w:rsidP="00C80BD4">
      <w:pPr>
        <w:pStyle w:val="NormalWeb"/>
        <w:rPr>
          <w:rFonts w:ascii="Book Antiqua" w:hAnsi="Book Antiqua"/>
          <w:i/>
          <w:sz w:val="18"/>
          <w:szCs w:val="18"/>
        </w:rPr>
      </w:pPr>
      <w:r w:rsidRPr="0092452E">
        <w:rPr>
          <w:rFonts w:ascii="Book Antiqua" w:hAnsi="Book Antiqua"/>
          <w:b/>
          <w:i/>
          <w:sz w:val="18"/>
          <w:szCs w:val="18"/>
        </w:rPr>
        <w:t>Figure 2:</w:t>
      </w:r>
      <w:r w:rsidRPr="0092452E">
        <w:rPr>
          <w:rFonts w:ascii="Book Antiqua" w:hAnsi="Book Antiqua"/>
          <w:i/>
          <w:sz w:val="18"/>
          <w:szCs w:val="18"/>
        </w:rPr>
        <w:t xml:space="preserve"> A Cepheid variable star actually pulsates inwards and outwards and its size changes. As its size changes, the color of the star changes as the amount of radiation it is emitting varies. The figure shows the variation in color and size of an individual Cepheid variable star over one cycle of its brightness or luminosity. These stars are named after their type star, Delta Cephei, whose changes can be seen with the naked eye.</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b/>
          <w:sz w:val="20"/>
          <w:szCs w:val="20"/>
        </w:rPr>
        <w:t>The Pulsation Rate</w:t>
      </w:r>
      <w:r w:rsidRPr="00C07D41">
        <w:rPr>
          <w:rFonts w:ascii="Book Antiqua" w:hAnsi="Book Antiqua"/>
          <w:sz w:val="20"/>
          <w:szCs w:val="20"/>
        </w:rPr>
        <w:t xml:space="preserve">:  To explain the pulsation process, Eddington suggested a </w:t>
      </w:r>
      <w:r w:rsidRPr="00C07D41">
        <w:rPr>
          <w:rFonts w:ascii="Book Antiqua" w:hAnsi="Book Antiqua"/>
          <w:i/>
          <w:sz w:val="20"/>
          <w:szCs w:val="20"/>
        </w:rPr>
        <w:t>‘valve mechanism.</w:t>
      </w:r>
      <w:r w:rsidRPr="00C07D41">
        <w:rPr>
          <w:rFonts w:ascii="Book Antiqua" w:hAnsi="Book Antiqua"/>
          <w:sz w:val="20"/>
          <w:szCs w:val="20"/>
        </w:rPr>
        <w:t xml:space="preserve">’ If a specific layer of a star near the surface became more opaque upon compression, it would block the energy flowing towards the surface and push the surface layers upwards. Then, as this expanding layer became more transparent, trapped radiation would escape and the layer would collapse back down to begin the cycle again. He said </w:t>
      </w:r>
      <w:r w:rsidRPr="00C07D41">
        <w:rPr>
          <w:rStyle w:val="Emphasis"/>
          <w:rFonts w:ascii="Book Antiqua" w:hAnsi="Book Antiqua"/>
          <w:sz w:val="20"/>
          <w:szCs w:val="20"/>
        </w:rPr>
        <w:t xml:space="preserve">“To apply this method we must make the star more heat-tight when compressed than when expanded; in other words, the opacity must increase with compression.” </w:t>
      </w:r>
      <w:hyperlink r:id="rId1264"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The difficulty is that in most regions of a star, the opacity </w:t>
      </w:r>
      <w:r w:rsidRPr="00C07D41">
        <w:rPr>
          <w:rStyle w:val="Emphasis"/>
          <w:rFonts w:ascii="Book Antiqua" w:hAnsi="Book Antiqua"/>
          <w:sz w:val="20"/>
          <w:szCs w:val="20"/>
        </w:rPr>
        <w:t xml:space="preserve">decreases </w:t>
      </w:r>
      <w:r w:rsidRPr="00C07D41">
        <w:rPr>
          <w:rFonts w:ascii="Book Antiqua" w:hAnsi="Book Antiqua"/>
          <w:sz w:val="20"/>
          <w:szCs w:val="20"/>
        </w:rPr>
        <w:t xml:space="preserve">with compression rather than increases.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However, it was found that some stars’ have a partial ionization zone near the surface. When this is present, Eddington’s valve mechanism does operate. There, compression and rarefaction store and extract energy through ionization. As this layer compresses, its density and opacity increase and heat is absorbed. Then, as the layer expands the density and opacity decrease, so heat is released. In this way the opacity of the partial ionization zone modulates the flow of energy through that zone and is the direct cause of stellar pulsations </w:t>
      </w:r>
      <w:hyperlink r:id="rId1265"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The standard relationship has the pulsation period inversely proportional to the square root of the opacity</w:t>
      </w:r>
      <w:proofErr w:type="gramStart"/>
      <w:r w:rsidRPr="00C07D41">
        <w:rPr>
          <w:rFonts w:ascii="Book Antiqua" w:hAnsi="Book Antiqua"/>
          <w:sz w:val="20"/>
          <w:szCs w:val="20"/>
        </w:rPr>
        <w:t xml:space="preserve">, </w:t>
      </w:r>
      <m:oMath>
        <w:proofErr w:type="gramEnd"/>
        <m:r>
          <w:rPr>
            <w:rStyle w:val="Emphasis"/>
            <w:rFonts w:ascii="Book Antiqua" w:hAnsi="Book Antiqua"/>
            <w:sz w:val="20"/>
            <w:szCs w:val="20"/>
          </w:rPr>
          <m:t>К</m:t>
        </m:r>
      </m:oMath>
      <w:r w:rsidRPr="00C07D41">
        <w:rPr>
          <w:rFonts w:ascii="Book Antiqua" w:hAnsi="Book Antiqua"/>
          <w:sz w:val="20"/>
          <w:szCs w:val="20"/>
        </w:rPr>
        <w:t xml:space="preserve">, </w:t>
      </w:r>
      <w:hyperlink r:id="rId1266" w:anchor="2a168" w:history="1">
        <w:r w:rsidRPr="00C07D41">
          <w:rPr>
            <w:rStyle w:val="Hyperlink"/>
            <w:rFonts w:ascii="Book Antiqua" w:hAnsi="Book Antiqua"/>
            <w:sz w:val="20"/>
            <w:szCs w:val="20"/>
          </w:rPr>
          <w:t>[22]</w:t>
        </w:r>
      </w:hyperlink>
      <w:r w:rsidRPr="00C07D41">
        <w:rPr>
          <w:rFonts w:ascii="Book Antiqua" w:hAnsi="Book Antiqua"/>
          <w:sz w:val="20"/>
          <w:szCs w:val="20"/>
        </w:rPr>
        <w:t>. If the results of (8) are used, the stellar pulsation period at the point of emission</w:t>
      </w:r>
      <w:proofErr w:type="gramStart"/>
      <w:r w:rsidRPr="00C07D41">
        <w:rPr>
          <w:rFonts w:ascii="Book Antiqua" w:hAnsi="Book Antiqua"/>
          <w:sz w:val="20"/>
          <w:szCs w:val="20"/>
        </w:rPr>
        <w:t xml:space="preserve">, </w:t>
      </w:r>
      <m:oMath>
        <w:proofErr w:type="gramEnd"/>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oMath>
      <w:r w:rsidRPr="00C07D41">
        <w:rPr>
          <w:rFonts w:ascii="Book Antiqua" w:hAnsi="Book Antiqua"/>
          <w:sz w:val="20"/>
          <w:szCs w:val="20"/>
        </w:rPr>
        <w:t>, is given by</w:t>
      </w:r>
    </w:p>
    <w:p w:rsidR="00C80BD4" w:rsidRPr="00C07D41" w:rsidRDefault="00241D2F"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r>
          <w:rPr>
            <w:rFonts w:ascii="Book Antiqua" w:hAnsi="Book Antiqua"/>
            <w:sz w:val="20"/>
            <w:szCs w:val="20"/>
          </w:rPr>
          <m:t>К</m:t>
        </m:r>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 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U</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t>(15)</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This means that Cepheid periods lengthen as the strength of the ZPE increases. </w:t>
      </w:r>
    </w:p>
    <w:p w:rsidR="00C80BD4" w:rsidRPr="00C07D41" w:rsidRDefault="00C80BD4" w:rsidP="00C80BD4">
      <w:pPr>
        <w:pStyle w:val="NormalWeb"/>
        <w:ind w:firstLine="720"/>
        <w:jc w:val="both"/>
        <w:rPr>
          <w:rFonts w:ascii="Book Antiqua" w:hAnsi="Book Antiqua"/>
          <w:sz w:val="20"/>
          <w:szCs w:val="20"/>
          <w:lang w:val="de-DE"/>
        </w:rPr>
      </w:pPr>
      <w:r w:rsidRPr="00C07D41">
        <w:rPr>
          <w:rFonts w:ascii="Book Antiqua" w:hAnsi="Book Antiqua"/>
          <w:sz w:val="20"/>
          <w:szCs w:val="20"/>
        </w:rPr>
        <w:t xml:space="preserve">In 2010, Eddington’s mechanism for Cepheid pulsations was verified. Observations of a Cepheid in a binary star system in the Large Magellanic Cloud, by the ESO La Silla Observatory in Chile, led to a news release which read in part:  </w:t>
      </w:r>
      <w:r w:rsidRPr="00C07D41">
        <w:rPr>
          <w:rFonts w:ascii="Book Antiqua" w:hAnsi="Book Antiqua"/>
          <w:i/>
          <w:sz w:val="20"/>
          <w:szCs w:val="20"/>
        </w:rPr>
        <w:t>“</w:t>
      </w:r>
      <w:r w:rsidRPr="00C07D41">
        <w:rPr>
          <w:rFonts w:ascii="Book Antiqua" w:hAnsi="Book Antiqua"/>
          <w:i/>
          <w:sz w:val="20"/>
          <w:szCs w:val="20"/>
          <w:lang w:val="de-DE"/>
        </w:rPr>
        <w:t xml:space="preserve">This very complete and detailed data allowed the observers to determine the orbital motion, sizes and masses of the two stars with very high accuracy — far surpassing what had been done before for a Cepheid. The mass of the Cepheid is now known to about 1% and agrees exactly with predictions from the theory of stellar pulsation. However, the larger mass predicted by stellar evolution theory was shown to be significantly in error.“ </w:t>
      </w:r>
      <w:r w:rsidRPr="00C07D41">
        <w:rPr>
          <w:rFonts w:ascii="Book Antiqua" w:hAnsi="Book Antiqua"/>
          <w:sz w:val="20"/>
          <w:szCs w:val="20"/>
          <w:lang w:val="de-DE"/>
        </w:rPr>
        <w:t>[23]. Thus the data agree with the proposed pulsation mechanism.  The data also demonstrate that it is the mass of the star which results in this mechanism. Thus the pulsation mechanism is verified.</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addition, at the time of reception, the wave-train carrying the information from the distant star is traveling more slowly than at the moment of emission, yielding a ‘slow motion’ effect. So the star’s period of variation appears longer at reception than at emission by </w:t>
      </w:r>
      <m:oMath>
        <m:r>
          <w:rPr>
            <w:rStyle w:val="Emphasis"/>
            <w:rFonts w:ascii="Cambria Math" w:hAnsi="Cambria Math"/>
            <w:sz w:val="20"/>
            <w:szCs w:val="20"/>
          </w:rPr>
          <m:t>c</m:t>
        </m:r>
        <m:r>
          <w:rPr>
            <w:rStyle w:val="Emphasis"/>
            <w:rFonts w:ascii="Cambria Math" w:hAnsi="Book Antiqua"/>
            <w:sz w:val="20"/>
            <w:szCs w:val="20"/>
          </w:rPr>
          <m:t xml:space="preserve">, </m:t>
        </m:r>
      </m:oMath>
      <w:r w:rsidRPr="00C07D41">
        <w:rPr>
          <w:rStyle w:val="Emphasis"/>
          <w:rFonts w:ascii="Book Antiqua" w:hAnsi="Book Antiqua"/>
          <w:i w:val="0"/>
          <w:iCs w:val="0"/>
          <w:sz w:val="20"/>
          <w:szCs w:val="20"/>
        </w:rPr>
        <w:t xml:space="preserve"> which is, in effect, a lengthening factor. </w:t>
      </w:r>
      <w:r w:rsidRPr="00C07D41">
        <w:rPr>
          <w:rFonts w:ascii="Book Antiqua" w:hAnsi="Book Antiqua"/>
          <w:sz w:val="20"/>
          <w:szCs w:val="20"/>
        </w:rPr>
        <w:t xml:space="preserve">At the same time, its period will be the same as a local Cepheid, since the local Cepheid’s period of variation has increased in inverse proportion as </w:t>
      </w:r>
      <m:oMath>
        <m:r>
          <w:rPr>
            <w:rFonts w:ascii="Cambria Math" w:hAnsi="Cambria Math"/>
            <w:sz w:val="20"/>
            <w:szCs w:val="20"/>
          </w:rPr>
          <m:t>c</m:t>
        </m:r>
      </m:oMath>
      <w:r w:rsidRPr="00C07D41">
        <w:rPr>
          <w:rFonts w:ascii="Book Antiqua" w:hAnsi="Book Antiqua"/>
          <w:sz w:val="20"/>
          <w:szCs w:val="20"/>
        </w:rPr>
        <w:t xml:space="preserve"> has decreased. Therefore, the period of the Cepheid at reception</w:t>
      </w:r>
      <w:proofErr w:type="gramStart"/>
      <w:r w:rsidRPr="00C07D41">
        <w:rPr>
          <w:rFonts w:ascii="Book Antiqua" w:hAnsi="Book Antiqua"/>
          <w:sz w:val="20"/>
          <w:szCs w:val="20"/>
        </w:rPr>
        <w:t xml:space="preserve">,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r</m:t>
            </m:r>
          </m:sub>
        </m:sSub>
      </m:oMath>
      <w:r w:rsidRPr="00C07D41">
        <w:rPr>
          <w:rFonts w:ascii="Book Antiqua" w:hAnsi="Book Antiqua"/>
          <w:sz w:val="20"/>
          <w:szCs w:val="20"/>
        </w:rPr>
        <w:t xml:space="preserve">, will appear to be the period at emission,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e</m:t>
            </m:r>
          </m:sub>
        </m:sSub>
      </m:oMath>
      <w:r w:rsidRPr="00C07D41">
        <w:rPr>
          <w:rFonts w:ascii="Book Antiqua" w:hAnsi="Book Antiqua"/>
          <w:sz w:val="20"/>
          <w:szCs w:val="20"/>
        </w:rPr>
        <w:t xml:space="preserve">, given in (15), multiplied by the lengthening factor, </w:t>
      </w:r>
      <m:oMath>
        <m:r>
          <w:rPr>
            <w:rStyle w:val="Emphasis"/>
            <w:rFonts w:ascii="Cambria Math" w:hAnsi="Cambria Math"/>
            <w:sz w:val="20"/>
            <w:szCs w:val="20"/>
          </w:rPr>
          <m:t>c</m:t>
        </m:r>
      </m:oMath>
      <w:r w:rsidRPr="00C07D41">
        <w:rPr>
          <w:rFonts w:ascii="Book Antiqua" w:hAnsi="Book Antiqua"/>
          <w:sz w:val="20"/>
          <w:szCs w:val="20"/>
        </w:rPr>
        <w:t xml:space="preserve">. So compared with our local Cepheid we have </w:t>
      </w:r>
    </w:p>
    <w:p w:rsidR="00C80BD4" w:rsidRPr="00C07D41" w:rsidRDefault="00241D2F"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r</m:t>
            </m:r>
          </m:sub>
        </m:sSub>
        <m:r>
          <w:rPr>
            <w:rFonts w:ascii="Cambria Math" w:hAnsi="Book Antiqua"/>
            <w:sz w:val="20"/>
            <w:szCs w:val="20"/>
          </w:rPr>
          <m:t xml:space="preserve"> ~ (1/</m:t>
        </m:r>
        <m:r>
          <w:rPr>
            <w:rFonts w:ascii="Cambria Math" w:hAnsi="Cambria Math"/>
            <w:sz w:val="20"/>
            <w:szCs w:val="20"/>
          </w:rPr>
          <m:t>c</m:t>
        </m:r>
        <m:r>
          <w:rPr>
            <w:rFonts w:ascii="Cambria Math" w:hAnsi="Book Antiqua"/>
            <w:sz w:val="20"/>
            <w:szCs w:val="20"/>
          </w:rPr>
          <m:t>)(</m:t>
        </m:r>
        <m:r>
          <w:rPr>
            <w:rFonts w:ascii="Cambria Math" w:hAnsi="Cambria Math"/>
            <w:sz w:val="20"/>
            <w:szCs w:val="20"/>
          </w:rPr>
          <m:t>c</m:t>
        </m:r>
        <m:r>
          <w:rPr>
            <w:rFonts w:ascii="Cambria Math" w:hAnsi="Book Antiqua"/>
            <w:sz w:val="20"/>
            <w:szCs w:val="20"/>
          </w:rPr>
          <m:t xml:space="preserve">/1) = </m:t>
        </m:r>
        <m:r>
          <w:rPr>
            <w:rFonts w:ascii="Cambria Math" w:hAnsi="Cambria Math"/>
            <w:sz w:val="20"/>
            <w:szCs w:val="20"/>
          </w:rPr>
          <m:t>unc</m:t>
        </m:r>
        <m:r>
          <w:rPr>
            <w:rFonts w:ascii="Book Antiqua" w:hAnsi="Cambria Math"/>
            <w:sz w:val="20"/>
            <w:szCs w:val="20"/>
          </w:rPr>
          <m:t>h</m:t>
        </m:r>
        <m:r>
          <w:rPr>
            <w:rFonts w:ascii="Cambria Math" w:hAnsi="Cambria Math"/>
            <w:sz w:val="20"/>
            <w:szCs w:val="20"/>
          </w:rPr>
          <m:t>anged</m:t>
        </m:r>
        <m:r>
          <w:rPr>
            <w:rFonts w:ascii="Cambria Math" w:hAnsi="Book Antiqua"/>
            <w:sz w:val="20"/>
            <w:szCs w:val="20"/>
          </w:rPr>
          <m:t xml:space="preserve"> </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(16)</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Thus the period of the distant Cepheid will appear to be the same as that for our local Cepheid. The final result is that measurements of distance based on Cepheid variability will be unaffected by ZPE changes. </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B4.   Supernova 1987A</w:t>
      </w:r>
      <w:bookmarkStart w:id="222" w:name="supernova"/>
      <w:bookmarkEnd w:id="222"/>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It has been claimed that two features of supernova SN1987A in the Large Magellanic Cloud (LMC) disprove the idea that there have been any changes in either the ZPE or lightspeed. First was the measured exponential decay of the light intensity curve from the radioactive decay of cobalt 56. Second was the existence of enlarging rings of light from the explosion that illuminated distant sheets of gas and dust. Since both the distance to the LMC and the angular distance of the ring from the supernova are well-known, a simple calculation shows how long it takes light to get from the supernova to the sheets, and how long the peak intensity should take to pass.</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As confirmed in Chapter 6 above, radioactive decay rates were proportionally faster when lightspeed was higher and the ZPE energy density lower. This means that, when the explosion occurred, there was a shorter half-life for cobalt 56 than the light intensity curve reveals. For example, if</w:t>
      </w:r>
      <m:oMath>
        <m:r>
          <w:rPr>
            <w:rFonts w:ascii="Cambria Math" w:hAnsi="Book Antiqua"/>
            <w:sz w:val="20"/>
            <w:szCs w:val="20"/>
          </w:rPr>
          <m:t xml:space="preserve"> </m:t>
        </m:r>
        <m:r>
          <w:rPr>
            <w:rStyle w:val="Emphasis"/>
            <w:rFonts w:ascii="Cambria Math" w:hAnsi="Cambria Math"/>
            <w:sz w:val="20"/>
            <w:szCs w:val="20"/>
          </w:rPr>
          <m:t>c</m:t>
        </m:r>
      </m:oMath>
      <w:r w:rsidRPr="00C07D41">
        <w:rPr>
          <w:rFonts w:ascii="Book Antiqua" w:hAnsi="Book Antiqua"/>
          <w:sz w:val="20"/>
          <w:szCs w:val="20"/>
        </w:rPr>
        <w:t xml:space="preserve"> was 10 times its current value, the half-life would only be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what it is today, so the light intensity curve should decay in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it takes today. In a similar fashion, if </w:t>
      </w:r>
      <m:oMath>
        <m:r>
          <w:rPr>
            <w:rStyle w:val="Emphasis"/>
            <w:rFonts w:ascii="Cambria Math" w:hAnsi="Cambria Math"/>
            <w:sz w:val="20"/>
            <w:szCs w:val="20"/>
          </w:rPr>
          <m:t>c</m:t>
        </m:r>
      </m:oMath>
      <w:r w:rsidRPr="00C07D41">
        <w:rPr>
          <w:rFonts w:ascii="Book Antiqua" w:hAnsi="Book Antiqua"/>
          <w:sz w:val="20"/>
          <w:szCs w:val="20"/>
        </w:rPr>
        <w:t xml:space="preserve"> was 10 times greater at the supernova, the light should have illuminated the sheets and formed the rings in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at today’s speed. Yet both the light intensity decay curve and the timing of the appearance of the rings are in accord with the speed of light today.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This </w:t>
      </w:r>
      <w:r>
        <w:rPr>
          <w:rFonts w:ascii="Book Antiqua" w:hAnsi="Book Antiqua"/>
          <w:sz w:val="20"/>
          <w:szCs w:val="20"/>
        </w:rPr>
        <w:t>happens</w:t>
      </w:r>
      <w:r w:rsidRPr="00C07D41">
        <w:rPr>
          <w:rFonts w:ascii="Book Antiqua" w:hAnsi="Book Antiqua"/>
          <w:sz w:val="20"/>
          <w:szCs w:val="20"/>
        </w:rPr>
        <w:t xml:space="preserve"> because of the slow-down in the speed of light mentioned in Chapter 2 and above, dealing with radiant energy density and Cepheid variables. Since </w:t>
      </w:r>
      <w:r w:rsidRPr="00C07D41">
        <w:rPr>
          <w:rStyle w:val="Emphasis"/>
          <w:rFonts w:ascii="Book Antiqua" w:hAnsi="Book Antiqua"/>
          <w:sz w:val="20"/>
          <w:szCs w:val="20"/>
        </w:rPr>
        <w:t>c</w:t>
      </w:r>
      <w:r w:rsidRPr="00C07D41">
        <w:rPr>
          <w:rFonts w:ascii="Book Antiqua" w:hAnsi="Book Antiqua"/>
          <w:sz w:val="20"/>
          <w:szCs w:val="20"/>
        </w:rPr>
        <w:t xml:space="preserve"> is the same at any instant throughout the universe, light from distant objects always arrives at earth at its current universal value. Barnet et al. proved this in regard to light from distant quasars </w:t>
      </w:r>
      <w:hyperlink r:id="rId1267" w:anchor="2a212" w:history="1">
        <w:r w:rsidRPr="00C07D41">
          <w:rPr>
            <w:rStyle w:val="Hyperlink"/>
            <w:rFonts w:ascii="Book Antiqua" w:hAnsi="Book Antiqua"/>
            <w:sz w:val="20"/>
            <w:szCs w:val="20"/>
          </w:rPr>
          <w:t>[24]</w:t>
        </w:r>
      </w:hyperlink>
      <w:r w:rsidRPr="00C07D41">
        <w:rPr>
          <w:rFonts w:ascii="Book Antiqua" w:hAnsi="Book Antiqua"/>
          <w:sz w:val="20"/>
          <w:szCs w:val="20"/>
        </w:rPr>
        <w:t xml:space="preserve">. So if </w:t>
      </w:r>
      <w:r w:rsidRPr="00C07D41">
        <w:rPr>
          <w:rStyle w:val="Emphasis"/>
          <w:rFonts w:ascii="Book Antiqua" w:hAnsi="Book Antiqua"/>
          <w:sz w:val="20"/>
          <w:szCs w:val="20"/>
        </w:rPr>
        <w:t>c</w:t>
      </w:r>
      <w:r w:rsidRPr="00C07D41">
        <w:rPr>
          <w:rFonts w:ascii="Book Antiqua" w:hAnsi="Book Antiqua"/>
          <w:sz w:val="20"/>
          <w:szCs w:val="20"/>
        </w:rPr>
        <w:t xml:space="preserve"> really was 10 times its current value at the time of the supernova in the LMC, then the photons with the information have slowed in transit to 1/10th of their original speed and so bring us information at 1/10th the rate it happened. In other words we are seeing the entire event being played back in slow motion. The shorter half-life and shorter transit times are lengthened by the slow-down in </w:t>
      </w:r>
      <m:oMath>
        <m:r>
          <w:rPr>
            <w:rStyle w:val="Emphasis"/>
            <w:rFonts w:ascii="Cambria Math" w:hAnsi="Cambria Math"/>
            <w:sz w:val="20"/>
            <w:szCs w:val="20"/>
          </w:rPr>
          <m:t>c</m:t>
        </m:r>
      </m:oMath>
      <w:r w:rsidRPr="00C07D41">
        <w:rPr>
          <w:rFonts w:ascii="Book Antiqua" w:hAnsi="Book Antiqua"/>
          <w:sz w:val="20"/>
          <w:szCs w:val="20"/>
        </w:rPr>
        <w:t xml:space="preserve"> so they appear to run at the same rate as these events do today. Thus these phenomena do not negate changes in the ZPE.</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lastRenderedPageBreak/>
        <w:t>B5.   Chemical Reactions</w:t>
      </w:r>
    </w:p>
    <w:p w:rsidR="00C80BD4" w:rsidRPr="00C07D41" w:rsidRDefault="00C80BD4" w:rsidP="00C80BD4">
      <w:pPr>
        <w:rPr>
          <w:rFonts w:ascii="Book Antiqua" w:hAnsi="Book Antiqua"/>
        </w:rPr>
      </w:pPr>
    </w:p>
    <w:p w:rsidR="00C80BD4" w:rsidRPr="00E7147B" w:rsidRDefault="00C80BD4" w:rsidP="00C80BD4">
      <w:pPr>
        <w:ind w:firstLine="720"/>
        <w:jc w:val="both"/>
        <w:rPr>
          <w:rFonts w:ascii="Book Antiqua" w:hAnsi="Book Antiqua"/>
        </w:rPr>
      </w:pPr>
      <w:r w:rsidRPr="00E7147B">
        <w:rPr>
          <w:rFonts w:ascii="Book Antiqua" w:hAnsi="Book Antiqua"/>
        </w:rPr>
        <w:t xml:space="preserve">Collision theory suggests that chemical reactions could be affected by a changing ZPE and speed of light. In chemical reactions, a series of steps may occur rapidly. But if the old collision theory was correct, </w:t>
      </w:r>
      <w:r w:rsidRPr="00E7147B">
        <w:rPr>
          <w:rFonts w:ascii="Book Antiqua" w:hAnsi="Book Antiqua"/>
          <w:i/>
        </w:rPr>
        <w:t>“all chemical reactions would be completed in a fraction of a second.”</w:t>
      </w:r>
      <w:r w:rsidRPr="00E7147B">
        <w:rPr>
          <w:rFonts w:ascii="Book Antiqua" w:hAnsi="Book Antiqua"/>
        </w:rPr>
        <w:t xml:space="preserve"> [25] It is now known that collision theory </w:t>
      </w:r>
      <w:r w:rsidRPr="00E7147B">
        <w:rPr>
          <w:rFonts w:ascii="Book Antiqua" w:hAnsi="Book Antiqua"/>
          <w:i/>
        </w:rPr>
        <w:t>“is of only limited usefulnesss,”</w:t>
      </w:r>
      <w:r w:rsidRPr="00E7147B">
        <w:rPr>
          <w:rFonts w:ascii="Book Antiqua" w:hAnsi="Book Antiqua"/>
        </w:rPr>
        <w:t xml:space="preserve"> [26] since reaction rates are governed by the slowest step in the reaction series, called the </w:t>
      </w:r>
      <w:r w:rsidRPr="00E7147B">
        <w:rPr>
          <w:rFonts w:ascii="Book Antiqua" w:hAnsi="Book Antiqua"/>
          <w:i/>
        </w:rPr>
        <w:t>“rate determining step.”</w:t>
      </w:r>
      <w:r w:rsidRPr="00E7147B">
        <w:rPr>
          <w:rFonts w:ascii="Book Antiqua" w:hAnsi="Book Antiqua"/>
        </w:rPr>
        <w:t xml:space="preserve"> [27] </w:t>
      </w:r>
      <w:proofErr w:type="gramStart"/>
      <w:r w:rsidRPr="00E7147B">
        <w:rPr>
          <w:rFonts w:ascii="Book Antiqua" w:hAnsi="Book Antiqua"/>
        </w:rPr>
        <w:t>Here</w:t>
      </w:r>
      <w:proofErr w:type="gramEnd"/>
      <w:r w:rsidRPr="00E7147B">
        <w:rPr>
          <w:rFonts w:ascii="Book Antiqua" w:hAnsi="Book Antiqua"/>
        </w:rPr>
        <w:t>, an activated complex forms and disrupts, yielding products for the rest of the reaction series. The key step is the activated complex formation, written mathematically as [28]:</w:t>
      </w:r>
    </w:p>
    <w:p w:rsidR="00C80BD4" w:rsidRPr="00C07D41" w:rsidRDefault="00241D2F" w:rsidP="00C80BD4">
      <w:pPr>
        <w:pStyle w:val="NormalWeb"/>
        <w:jc w:val="right"/>
        <w:rPr>
          <w:rFonts w:ascii="Book Antiqua" w:hAnsi="Book Antiqua"/>
          <w:i/>
          <w:sz w:val="20"/>
          <w:szCs w:val="20"/>
        </w:rPr>
      </w:pPr>
      <m:oMath>
        <w:bookmarkStart w:id="223" w:name="chemical"/>
        <w:bookmarkEnd w:id="223"/>
        <m:sSup>
          <m:sSupPr>
            <m:ctrlPr>
              <w:rPr>
                <w:rFonts w:ascii="Cambria Math" w:hAnsi="Book Antiqua"/>
                <w:i/>
                <w:sz w:val="20"/>
                <w:szCs w:val="20"/>
              </w:rPr>
            </m:ctrlPr>
          </m:sSupPr>
          <m:e>
            <m:r>
              <w:rPr>
                <w:rFonts w:ascii="Cambria Math" w:hAnsi="Cambria Math"/>
                <w:sz w:val="20"/>
                <w:szCs w:val="20"/>
              </w:rPr>
              <m:t>k</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A</m:t>
        </m:r>
        <m:sSup>
          <m:sSupPr>
            <m:ctrlPr>
              <w:rPr>
                <w:rFonts w:ascii="Cambria Math" w:hAnsi="Book Antiqua"/>
                <w:i/>
                <w:sz w:val="20"/>
                <w:szCs w:val="20"/>
              </w:rPr>
            </m:ctrlPr>
          </m:sSupPr>
          <m:e>
            <m:r>
              <w:rPr>
                <w:rFonts w:ascii="Cambria Math" w:hAnsi="Cambria Math"/>
                <w:sz w:val="20"/>
                <w:szCs w:val="20"/>
              </w:rPr>
              <m:t>K</m:t>
            </m:r>
          </m:e>
          <m:sup>
            <m:r>
              <w:rPr>
                <w:rFonts w:ascii="Book Antiqua" w:hAnsi="Book Antiqua"/>
                <w:sz w:val="20"/>
                <w:szCs w:val="20"/>
              </w:rPr>
              <m:t>≠</m:t>
            </m:r>
          </m:sup>
        </m:sSup>
      </m:oMath>
      <w:r w:rsidR="00C80BD4" w:rsidRPr="00C07D41">
        <w:rPr>
          <w:rStyle w:val="superscript1"/>
          <w:rFonts w:eastAsia="Calibri"/>
        </w:rPr>
        <w:t xml:space="preserve"> </w:t>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Fonts w:ascii="Book Antiqua" w:hAnsi="Book Antiqua"/>
          <w:i/>
          <w:sz w:val="20"/>
          <w:szCs w:val="20"/>
        </w:rPr>
        <w:t>(17)</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Cambria Math"/>
                <w:sz w:val="20"/>
                <w:szCs w:val="20"/>
              </w:rPr>
              <m:t>*</m:t>
            </m:r>
          </m:sup>
        </m:sSup>
      </m:oMath>
      <w:r w:rsidRPr="00C07D41">
        <w:rPr>
          <w:rStyle w:val="Emphasis"/>
          <w:rFonts w:ascii="Book Antiqua" w:hAnsi="Book Antiqua"/>
          <w:sz w:val="20"/>
          <w:szCs w:val="20"/>
        </w:rPr>
        <w:t xml:space="preserve"> </w:t>
      </w:r>
      <w:r w:rsidRPr="00C07D41">
        <w:rPr>
          <w:rFonts w:ascii="Book Antiqua" w:hAnsi="Book Antiqua"/>
          <w:sz w:val="20"/>
          <w:szCs w:val="20"/>
        </w:rPr>
        <w:t>is the reaction rate constant, and</w:t>
      </w:r>
      <m:oMath>
        <m:r>
          <w:rPr>
            <w:rFonts w:ascii="Cambria Math" w:hAnsi="Book Antiqua"/>
            <w:sz w:val="20"/>
            <w:szCs w:val="20"/>
          </w:rPr>
          <m:t xml:space="preserve"> </m:t>
        </m:r>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the equilibrium constant for the activated complex.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w:t>
      </w:r>
      <w:proofErr w:type="gramStart"/>
      <w:r w:rsidRPr="00C07D41">
        <w:rPr>
          <w:rFonts w:ascii="Book Antiqua" w:hAnsi="Book Antiqua"/>
          <w:sz w:val="20"/>
          <w:szCs w:val="20"/>
        </w:rPr>
        <w:t>describes</w:t>
      </w:r>
      <w:proofErr w:type="gramEnd"/>
      <w:r w:rsidRPr="00C07D41">
        <w:rPr>
          <w:rFonts w:ascii="Book Antiqua" w:hAnsi="Book Antiqua"/>
          <w:sz w:val="20"/>
          <w:szCs w:val="20"/>
        </w:rPr>
        <w:t xml:space="preserve"> the “equilibrium” between reactants and activated complexes and is unchanged with ZPE variation since temperature and kinetic energy are unchanged. The term </w:t>
      </w:r>
      <m:oMath>
        <m:r>
          <w:rPr>
            <w:rStyle w:val="Emphasis"/>
            <w:rFonts w:ascii="Cambria Math" w:hAnsi="Book Antiqua"/>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reaction probability, or chance of forming the activated complex at any time. In Chapter 4, equations (17) and (19) show that masses and </w:t>
      </w:r>
      <w:proofErr w:type="gramStart"/>
      <w:r w:rsidRPr="00C07D41">
        <w:rPr>
          <w:rFonts w:ascii="Book Antiqua" w:hAnsi="Book Antiqua"/>
          <w:sz w:val="20"/>
          <w:szCs w:val="20"/>
        </w:rPr>
        <w:t>velocities  behave</w:t>
      </w:r>
      <w:proofErr w:type="gramEnd"/>
      <w:r w:rsidRPr="00C07D41">
        <w:rPr>
          <w:rFonts w:ascii="Book Antiqua" w:hAnsi="Book Antiqua"/>
          <w:sz w:val="20"/>
          <w:szCs w:val="20"/>
        </w:rPr>
        <w:t xml:space="preserve"> such that, at constant temperature, the number of approaches per second by ions or charged molecules to a potential reactant is proportional to </w:t>
      </w:r>
      <m:oMath>
        <m:r>
          <w:rPr>
            <w:rStyle w:val="Emphasis"/>
            <w:rFonts w:ascii="Cambria Math" w:hAnsi="Book Antiqua"/>
            <w:sz w:val="20"/>
            <w:szCs w:val="20"/>
          </w:rPr>
          <m:t>c</m:t>
        </m:r>
      </m:oMath>
      <w:r w:rsidRPr="00C07D41">
        <w:rPr>
          <w:rFonts w:ascii="Book Antiqua" w:hAnsi="Book Antiqua"/>
          <w:sz w:val="20"/>
          <w:szCs w:val="20"/>
        </w:rPr>
        <w:t xml:space="preserve">. We call this </w:t>
      </w:r>
      <w:proofErr w:type="gramStart"/>
      <w:r w:rsidRPr="00C07D41">
        <w:rPr>
          <w:rFonts w:ascii="Book Antiqua" w:hAnsi="Book Antiqua"/>
          <w:sz w:val="20"/>
          <w:szCs w:val="20"/>
        </w:rPr>
        <w:t xml:space="preserve">number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The velocity of these approaches is faster when </w:t>
      </w:r>
      <m:oMath>
        <m:r>
          <w:rPr>
            <w:rStyle w:val="Emphasis"/>
            <w:rFonts w:ascii="Cambria Math" w:hAnsi="Book Antiqua"/>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higher. This means the time that each ion or charged molecule is in the vicinity of the potential reactant is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Book Antiqua"/>
            <w:sz w:val="20"/>
            <w:szCs w:val="20"/>
          </w:rPr>
          <m:t>c</m:t>
        </m:r>
      </m:oMath>
      <w:r w:rsidRPr="00C07D41">
        <w:rPr>
          <w:rFonts w:ascii="Book Antiqua" w:hAnsi="Book Antiqua"/>
          <w:sz w:val="20"/>
          <w:szCs w:val="20"/>
        </w:rPr>
        <w:t xml:space="preserve">. Let this amount of time </w:t>
      </w:r>
      <w:proofErr w:type="gramStart"/>
      <w:r w:rsidRPr="00C07D41">
        <w:rPr>
          <w:rFonts w:ascii="Book Antiqua" w:hAnsi="Book Antiqua"/>
          <w:sz w:val="20"/>
          <w:szCs w:val="20"/>
        </w:rPr>
        <w:t xml:space="preserve">be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It can be shown that the chance of forming the activated complex</w:t>
      </w:r>
      <w:proofErr w:type="gramStart"/>
      <w:r w:rsidRPr="00C07D41">
        <w:rPr>
          <w:rFonts w:ascii="Book Antiqua" w:hAnsi="Book Antiqua"/>
          <w:sz w:val="20"/>
          <w:szCs w:val="20"/>
        </w:rPr>
        <w:t xml:space="preserve">, </w:t>
      </w:r>
      <m:oMath>
        <w:proofErr w:type="gramEnd"/>
        <m:r>
          <w:rPr>
            <w:rStyle w:val="Emphasis"/>
            <w:rFonts w:ascii="Cambria Math" w:hAnsi="Book Antiqua"/>
            <w:sz w:val="20"/>
            <w:szCs w:val="20"/>
          </w:rPr>
          <m:t>A</m:t>
        </m:r>
      </m:oMath>
      <w:r w:rsidRPr="00C07D41">
        <w:rPr>
          <w:rFonts w:ascii="Book Antiqua" w:hAnsi="Book Antiqua"/>
          <w:sz w:val="20"/>
          <w:szCs w:val="20"/>
        </w:rPr>
        <w:t xml:space="preserve">, at any instant is the number of ions approaching the reactant per second,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multiplied by the time the ion spends in the vicinity of the reactant,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So that</w:t>
      </w:r>
    </w:p>
    <w:p w:rsidR="00C80BD4" w:rsidRPr="00C07D41" w:rsidRDefault="00C80BD4" w:rsidP="00C80BD4">
      <w:pPr>
        <w:pStyle w:val="NormalWeb"/>
        <w:jc w:val="right"/>
        <w:rPr>
          <w:rFonts w:ascii="Book Antiqua" w:hAnsi="Book Antiqua"/>
          <w:i/>
          <w:sz w:val="20"/>
          <w:szCs w:val="20"/>
        </w:rPr>
      </w:pPr>
      <m:oMath>
        <m:r>
          <w:rPr>
            <w:rFonts w:ascii="Cambria Math" w:hAnsi="Book Antiqua"/>
            <w:sz w:val="20"/>
            <w:szCs w:val="20"/>
          </w:rPr>
          <m:t>A =</m:t>
        </m:r>
        <m:sSup>
          <m:sSupPr>
            <m:ctrlPr>
              <w:rPr>
                <w:rFonts w:ascii="Cambria Math" w:hAnsi="Book Antiqua"/>
                <w:i/>
                <w:sz w:val="20"/>
                <w:szCs w:val="20"/>
              </w:rPr>
            </m:ctrlPr>
          </m:sSupPr>
          <m:e>
            <m:r>
              <w:rPr>
                <w:rFonts w:ascii="Cambria Math" w:hAnsi="Book Antiqua"/>
                <w:sz w:val="20"/>
                <w:szCs w:val="20"/>
              </w:rPr>
              <m:t xml:space="preserve"> Y</m:t>
            </m:r>
          </m:e>
          <m:sup>
            <m:r>
              <w:rPr>
                <w:rFonts w:ascii="Book Antiqua"/>
                <w:sz w:val="20"/>
                <w:szCs w:val="20"/>
              </w:rPr>
              <m:t>*</m:t>
            </m:r>
          </m:sup>
        </m:sSup>
        <m:sSup>
          <m:sSupPr>
            <m:ctrlPr>
              <w:rPr>
                <w:rFonts w:ascii="Cambria Math" w:hAnsi="Book Antiqua"/>
                <w:i/>
                <w:sz w:val="20"/>
                <w:szCs w:val="20"/>
              </w:rPr>
            </m:ctrlPr>
          </m:sSupPr>
          <m:e>
            <m:r>
              <w:rPr>
                <w:rFonts w:ascii="Cambria Math" w:hAnsi="Book Antiqua"/>
                <w:sz w:val="20"/>
                <w:szCs w:val="20"/>
              </w:rPr>
              <m:t>X</m:t>
            </m:r>
          </m:e>
          <m:sup>
            <m:r>
              <w:rPr>
                <w:rFonts w:ascii="Book Antiqua"/>
                <w:sz w:val="20"/>
                <w:szCs w:val="20"/>
              </w:rPr>
              <m:t>*</m:t>
            </m:r>
          </m:sup>
        </m:sSup>
        <m:r>
          <w:rPr>
            <w:rFonts w:ascii="Cambria Math" w:hAnsi="Book Antiqua"/>
            <w:sz w:val="20"/>
            <w:szCs w:val="20"/>
          </w:rPr>
          <m:t xml:space="preserve"> ~ c(1/c) = constant</m:t>
        </m:r>
      </m:oMath>
      <w:r w:rsidRPr="00C07D41">
        <w:rPr>
          <w:rFonts w:ascii="Book Antiqua" w:hAnsi="Book Antiqua"/>
          <w:sz w:val="20"/>
          <w:szCs w:val="20"/>
        </w:rPr>
        <w:t xml:space="preserve"> </w:t>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(18)</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Thus </w:t>
      </w:r>
      <m:oMath>
        <m:r>
          <w:rPr>
            <w:rStyle w:val="Emphasis"/>
            <w:rFonts w:ascii="Cambria Math" w:hAnsi="Book Antiqua"/>
            <w:sz w:val="20"/>
            <w:szCs w:val="20"/>
          </w:rPr>
          <m:t>A</m:t>
        </m:r>
      </m:oMath>
      <w:r w:rsidRPr="00C07D41">
        <w:rPr>
          <w:rFonts w:ascii="Book Antiqua" w:hAnsi="Book Antiqua"/>
          <w:sz w:val="20"/>
          <w:szCs w:val="20"/>
        </w:rPr>
        <w:t xml:space="preserve"> is constant. Since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also constant, the reaction rate</w:t>
      </w:r>
      <w:proofErr w:type="gramStart"/>
      <w:r w:rsidRPr="00C07D41">
        <w:rPr>
          <w:rFonts w:ascii="Book Antiqua" w:hAnsi="Book Antiqua"/>
          <w:sz w:val="20"/>
          <w:szCs w:val="20"/>
        </w:rPr>
        <w:t xml:space="preserve">,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sz w:val="20"/>
                <w:szCs w:val="20"/>
              </w:rPr>
              <m:t>*</m:t>
            </m:r>
          </m:sup>
        </m:sSup>
      </m:oMath>
      <w:r w:rsidRPr="00C07D41">
        <w:rPr>
          <w:rFonts w:ascii="Book Antiqua" w:hAnsi="Book Antiqua"/>
          <w:sz w:val="20"/>
          <w:szCs w:val="20"/>
        </w:rPr>
        <w:t xml:space="preserve">, remains fixed for all </w:t>
      </w:r>
      <m:oMath>
        <m:r>
          <w:rPr>
            <w:rStyle w:val="Emphasis"/>
            <w:rFonts w:ascii="Cambria Math" w:hAnsi="Book Antiqua"/>
            <w:sz w:val="20"/>
            <w:szCs w:val="20"/>
          </w:rPr>
          <m:t>c</m:t>
        </m:r>
      </m:oMath>
      <w:r w:rsidRPr="00C07D41">
        <w:rPr>
          <w:rStyle w:val="Emphasis"/>
          <w:rFonts w:ascii="Book Antiqua" w:hAnsi="Book Antiqua"/>
          <w:i w:val="0"/>
          <w:sz w:val="20"/>
          <w:szCs w:val="20"/>
        </w:rPr>
        <w:t xml:space="preserve"> and hence all strengths of the Zero Point Energy.</w:t>
      </w:r>
      <w:r w:rsidRPr="00C07D41">
        <w:rPr>
          <w:rFonts w:ascii="Book Antiqua" w:hAnsi="Book Antiqua"/>
          <w:sz w:val="20"/>
          <w:szCs w:val="20"/>
        </w:rPr>
        <w:t>.</w:t>
      </w:r>
    </w:p>
    <w:p w:rsidR="00C80BD4" w:rsidRPr="00C07D41" w:rsidRDefault="00C80BD4" w:rsidP="00C80BD4">
      <w:pPr>
        <w:pStyle w:val="NormalWeb"/>
        <w:jc w:val="both"/>
        <w:rPr>
          <w:rFonts w:ascii="Book Antiqua" w:hAnsi="Book Antiqua"/>
          <w:i/>
          <w:sz w:val="20"/>
          <w:szCs w:val="20"/>
        </w:rPr>
      </w:pPr>
      <w:r w:rsidRPr="00C07D41">
        <w:rPr>
          <w:rStyle w:val="Strong"/>
          <w:rFonts w:ascii="Book Antiqua" w:eastAsia="Calibri" w:hAnsi="Book Antiqua"/>
          <w:i/>
          <w:sz w:val="20"/>
          <w:szCs w:val="20"/>
        </w:rPr>
        <w:t>References – All URL’s retrieved 20</w:t>
      </w:r>
      <w:r w:rsidRPr="00C07D41">
        <w:rPr>
          <w:rStyle w:val="Strong"/>
          <w:rFonts w:ascii="Book Antiqua" w:eastAsia="Calibri" w:hAnsi="Book Antiqua"/>
          <w:i/>
          <w:sz w:val="20"/>
          <w:szCs w:val="20"/>
          <w:vertAlign w:val="superscript"/>
        </w:rPr>
        <w:t>th</w:t>
      </w:r>
      <w:r w:rsidRPr="00C07D41">
        <w:rPr>
          <w:rStyle w:val="Strong"/>
          <w:rFonts w:ascii="Book Antiqua" w:eastAsia="Calibri" w:hAnsi="Book Antiqua"/>
          <w:i/>
          <w:sz w:val="20"/>
          <w:szCs w:val="20"/>
        </w:rPr>
        <w:t xml:space="preserve"> September 2012.</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[1]</w:t>
      </w:r>
      <w:bookmarkStart w:id="224" w:name="2a148"/>
      <w:bookmarkEnd w:id="224"/>
      <w:r w:rsidRPr="00C07D41">
        <w:rPr>
          <w:rFonts w:ascii="Book Antiqua" w:hAnsi="Book Antiqua"/>
          <w:sz w:val="16"/>
          <w:szCs w:val="16"/>
        </w:rPr>
        <w:t xml:space="preserve"> F.A. Jenkins &amp; H.E. White, </w:t>
      </w:r>
      <w:r w:rsidRPr="00C07D41">
        <w:rPr>
          <w:rStyle w:val="Emphasis"/>
          <w:rFonts w:ascii="Book Antiqua" w:hAnsi="Book Antiqua"/>
          <w:sz w:val="16"/>
          <w:szCs w:val="16"/>
        </w:rPr>
        <w:t>Fundamentals of Optics</w:t>
      </w:r>
      <w:r w:rsidRPr="00C07D41">
        <w:rPr>
          <w:rFonts w:ascii="Book Antiqua" w:hAnsi="Book Antiqua"/>
          <w:sz w:val="16"/>
          <w:szCs w:val="16"/>
        </w:rPr>
        <w:t xml:space="preserve"> 3rd Edition</w:t>
      </w:r>
      <w:proofErr w:type="gramStart"/>
      <w:r w:rsidRPr="00C07D41">
        <w:rPr>
          <w:rFonts w:ascii="Book Antiqua" w:hAnsi="Book Antiqua"/>
          <w:sz w:val="16"/>
          <w:szCs w:val="16"/>
        </w:rPr>
        <w:t>,  pp</w:t>
      </w:r>
      <w:proofErr w:type="gramEnd"/>
      <w:r w:rsidRPr="00C07D41">
        <w:rPr>
          <w:rFonts w:ascii="Book Antiqua" w:hAnsi="Book Antiqua"/>
          <w:sz w:val="16"/>
          <w:szCs w:val="16"/>
        </w:rPr>
        <w:t>. 412-414, (McGraw-Hill, 1957).</w:t>
      </w:r>
      <w:r w:rsidRPr="00C07D41">
        <w:rPr>
          <w:rFonts w:ascii="Book Antiqua" w:hAnsi="Book Antiqua"/>
          <w:sz w:val="16"/>
          <w:szCs w:val="16"/>
        </w:rPr>
        <w:br/>
        <w:t>[2]</w:t>
      </w:r>
      <w:bookmarkStart w:id="225" w:name="2a149"/>
      <w:bookmarkEnd w:id="225"/>
      <w:r w:rsidRPr="00C07D41">
        <w:rPr>
          <w:rFonts w:ascii="Book Antiqua" w:hAnsi="Book Antiqua"/>
          <w:sz w:val="16"/>
          <w:szCs w:val="16"/>
        </w:rPr>
        <w:t xml:space="preserve"> S. G. Starling &amp; A. J. Woodall, </w:t>
      </w:r>
      <w:r w:rsidRPr="00C07D41">
        <w:rPr>
          <w:rStyle w:val="Emphasis"/>
          <w:rFonts w:ascii="Book Antiqua" w:hAnsi="Book Antiqua"/>
          <w:sz w:val="16"/>
          <w:szCs w:val="16"/>
        </w:rPr>
        <w:t>Physics</w:t>
      </w:r>
      <w:r w:rsidRPr="00C07D41">
        <w:rPr>
          <w:rStyle w:val="Emphasis"/>
          <w:rFonts w:ascii="Book Antiqua" w:hAnsi="Book Antiqua"/>
          <w:i w:val="0"/>
          <w:sz w:val="16"/>
          <w:szCs w:val="16"/>
        </w:rPr>
        <w:t>, p</w:t>
      </w:r>
      <w:r w:rsidRPr="00C07D41">
        <w:rPr>
          <w:rStyle w:val="Emphasis"/>
          <w:rFonts w:ascii="Book Antiqua" w:hAnsi="Book Antiqua"/>
          <w:sz w:val="16"/>
          <w:szCs w:val="16"/>
        </w:rPr>
        <w:t xml:space="preserve">. </w:t>
      </w:r>
      <w:r w:rsidRPr="00C07D41">
        <w:rPr>
          <w:rFonts w:ascii="Book Antiqua" w:hAnsi="Book Antiqua"/>
          <w:sz w:val="16"/>
          <w:szCs w:val="16"/>
        </w:rPr>
        <w:t>1129,</w:t>
      </w:r>
      <w:r w:rsidRPr="00C07D41">
        <w:rPr>
          <w:rStyle w:val="Emphasis"/>
          <w:rFonts w:ascii="Book Antiqua" w:hAnsi="Book Antiqua"/>
          <w:sz w:val="16"/>
          <w:szCs w:val="16"/>
        </w:rPr>
        <w:t xml:space="preserve"> (</w:t>
      </w:r>
      <w:r w:rsidRPr="00C07D41">
        <w:rPr>
          <w:rFonts w:ascii="Book Antiqua" w:hAnsi="Book Antiqua"/>
          <w:sz w:val="16"/>
          <w:szCs w:val="16"/>
        </w:rPr>
        <w:t>Longmans, 1958).</w:t>
      </w:r>
      <w:r w:rsidRPr="00C07D41">
        <w:rPr>
          <w:rFonts w:ascii="Book Antiqua" w:hAnsi="Book Antiqua"/>
          <w:sz w:val="16"/>
          <w:szCs w:val="16"/>
        </w:rPr>
        <w:br/>
        <w:t>[3]</w:t>
      </w:r>
      <w:bookmarkStart w:id="226" w:name="2a150"/>
      <w:bookmarkEnd w:id="226"/>
      <w:proofErr w:type="gramStart"/>
      <w:r w:rsidRPr="00C07D41">
        <w:rPr>
          <w:rFonts w:ascii="Book Antiqua" w:hAnsi="Book Antiqua"/>
          <w:sz w:val="16"/>
          <w:szCs w:val="16"/>
        </w:rPr>
        <w:t xml:space="preserve">A.P. French, </w:t>
      </w:r>
      <w:r w:rsidRPr="00C07D41">
        <w:rPr>
          <w:rFonts w:ascii="Book Antiqua" w:hAnsi="Book Antiqua"/>
          <w:i/>
          <w:sz w:val="16"/>
          <w:szCs w:val="16"/>
        </w:rPr>
        <w:t>Principles of Modern Physics</w:t>
      </w:r>
      <w:r w:rsidRPr="00C07D41">
        <w:rPr>
          <w:rFonts w:ascii="Book Antiqua" w:hAnsi="Book Antiqua"/>
          <w:sz w:val="16"/>
          <w:szCs w:val="16"/>
        </w:rPr>
        <w:t>, p. 40, (Wiley, 1959).</w:t>
      </w:r>
      <w:proofErr w:type="gramEnd"/>
      <w:r w:rsidRPr="00C07D41">
        <w:rPr>
          <w:rFonts w:ascii="Book Antiqua" w:hAnsi="Book Antiqua"/>
          <w:sz w:val="16"/>
          <w:szCs w:val="16"/>
        </w:rPr>
        <w:t xml:space="preserve"> </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[4]</w:t>
      </w:r>
      <w:bookmarkStart w:id="227" w:name="2a151"/>
      <w:bookmarkEnd w:id="227"/>
      <w:r w:rsidRPr="00C07D41">
        <w:rPr>
          <w:rFonts w:ascii="Book Antiqua" w:hAnsi="Book Antiqua"/>
          <w:sz w:val="16"/>
          <w:szCs w:val="16"/>
        </w:rPr>
        <w:t xml:space="preserve"> M. Harwit, </w:t>
      </w:r>
      <w:r w:rsidRPr="00C07D41">
        <w:rPr>
          <w:rFonts w:ascii="Book Antiqua" w:hAnsi="Book Antiqua"/>
          <w:i/>
          <w:sz w:val="16"/>
          <w:szCs w:val="16"/>
        </w:rPr>
        <w:t>Astrophysical Concepts</w:t>
      </w:r>
      <w:r w:rsidRPr="00C07D41">
        <w:rPr>
          <w:rFonts w:ascii="Book Antiqua" w:hAnsi="Book Antiqua"/>
          <w:sz w:val="16"/>
          <w:szCs w:val="16"/>
        </w:rPr>
        <w:t>, p. 322, (Springer-Verlag, 1988).</w:t>
      </w:r>
      <w:r w:rsidRPr="00C07D41">
        <w:rPr>
          <w:rFonts w:ascii="Book Antiqua" w:hAnsi="Book Antiqua"/>
          <w:sz w:val="16"/>
          <w:szCs w:val="16"/>
        </w:rPr>
        <w:br/>
      </w:r>
      <w:proofErr w:type="gramStart"/>
      <w:r w:rsidRPr="00C07D41">
        <w:rPr>
          <w:rFonts w:ascii="Book Antiqua" w:hAnsi="Book Antiqua"/>
          <w:sz w:val="16"/>
          <w:szCs w:val="16"/>
        </w:rPr>
        <w:t>[5]</w:t>
      </w:r>
      <w:bookmarkStart w:id="228" w:name="2a152"/>
      <w:bookmarkEnd w:id="228"/>
      <w:r w:rsidRPr="00C07D41">
        <w:rPr>
          <w:rFonts w:ascii="Book Antiqua" w:hAnsi="Book Antiqua"/>
          <w:sz w:val="16"/>
          <w:szCs w:val="16"/>
        </w:rPr>
        <w:t xml:space="preserve"> J. P. Cox &amp; R.T. Giuli, </w:t>
      </w:r>
      <w:r w:rsidRPr="00C07D41">
        <w:rPr>
          <w:rStyle w:val="Emphasis"/>
          <w:rFonts w:ascii="Book Antiqua" w:hAnsi="Book Antiqua"/>
          <w:sz w:val="16"/>
          <w:szCs w:val="16"/>
        </w:rPr>
        <w:t>Principles of Stellar Structure,</w:t>
      </w:r>
      <w:r w:rsidRPr="00C07D41">
        <w:rPr>
          <w:rStyle w:val="Emphasis"/>
          <w:rFonts w:ascii="Book Antiqua" w:hAnsi="Book Antiqua"/>
          <w:i w:val="0"/>
          <w:sz w:val="16"/>
          <w:szCs w:val="16"/>
        </w:rPr>
        <w:t xml:space="preserve"> p. 383,</w:t>
      </w:r>
      <w:r w:rsidRPr="00C07D41">
        <w:rPr>
          <w:rStyle w:val="Emphasis"/>
          <w:rFonts w:ascii="Book Antiqua" w:hAnsi="Book Antiqua"/>
          <w:sz w:val="16"/>
          <w:szCs w:val="16"/>
        </w:rPr>
        <w:t xml:space="preserve"> </w:t>
      </w:r>
      <w:r w:rsidRPr="00C07D41">
        <w:rPr>
          <w:rFonts w:ascii="Book Antiqua" w:hAnsi="Book Antiqua"/>
          <w:sz w:val="16"/>
          <w:szCs w:val="16"/>
        </w:rPr>
        <w:t>(Gordon &amp; Breach, New York, (1968).</w:t>
      </w:r>
      <w:proofErr w:type="gramEnd"/>
      <w:r w:rsidRPr="00C07D41">
        <w:rPr>
          <w:rFonts w:ascii="Book Antiqua" w:hAnsi="Book Antiqua"/>
          <w:sz w:val="16"/>
          <w:szCs w:val="16"/>
        </w:rPr>
        <w:br/>
        <w:t>[6]</w:t>
      </w:r>
      <w:bookmarkStart w:id="229" w:name="2a153"/>
      <w:bookmarkEnd w:id="229"/>
      <w:r w:rsidRPr="00C07D41">
        <w:rPr>
          <w:rFonts w:ascii="Book Antiqua" w:hAnsi="Book Antiqua"/>
          <w:sz w:val="16"/>
          <w:szCs w:val="16"/>
        </w:rPr>
        <w:t xml:space="preserve"> Ibid, p. 374.</w:t>
      </w:r>
      <w:r w:rsidRPr="00C07D41">
        <w:rPr>
          <w:rFonts w:ascii="Book Antiqua" w:hAnsi="Book Antiqua"/>
          <w:sz w:val="16"/>
          <w:szCs w:val="16"/>
        </w:rPr>
        <w:br/>
        <w:t>[7]</w:t>
      </w:r>
      <w:bookmarkStart w:id="230" w:name="2a154"/>
      <w:bookmarkEnd w:id="230"/>
      <w:r w:rsidRPr="00C07D41">
        <w:rPr>
          <w:rFonts w:ascii="Book Antiqua" w:hAnsi="Book Antiqua"/>
          <w:sz w:val="16"/>
          <w:szCs w:val="16"/>
        </w:rPr>
        <w:t xml:space="preserve"> M. Harwit, op. cit., p. 315.</w:t>
      </w:r>
      <w:r w:rsidRPr="00C07D41">
        <w:rPr>
          <w:rFonts w:ascii="Book Antiqua" w:hAnsi="Book Antiqua"/>
          <w:sz w:val="16"/>
          <w:szCs w:val="16"/>
        </w:rPr>
        <w:br/>
        <w:t>[8]</w:t>
      </w:r>
      <w:bookmarkStart w:id="231" w:name="2a155"/>
      <w:bookmarkEnd w:id="231"/>
      <w:r w:rsidRPr="00C07D41">
        <w:rPr>
          <w:rFonts w:ascii="Book Antiqua" w:hAnsi="Book Antiqua"/>
          <w:sz w:val="16"/>
          <w:szCs w:val="16"/>
        </w:rPr>
        <w:t xml:space="preserve"> Ibid, p. 82.</w:t>
      </w:r>
      <w:r w:rsidRPr="00C07D41">
        <w:rPr>
          <w:rFonts w:ascii="Book Antiqua" w:hAnsi="Book Antiqua"/>
          <w:sz w:val="16"/>
          <w:szCs w:val="16"/>
        </w:rPr>
        <w:br/>
        <w:t>[</w:t>
      </w:r>
      <w:proofErr w:type="gramStart"/>
      <w:r w:rsidRPr="00C07D41">
        <w:rPr>
          <w:rFonts w:ascii="Book Antiqua" w:hAnsi="Book Antiqua"/>
          <w:sz w:val="16"/>
          <w:szCs w:val="16"/>
        </w:rPr>
        <w:t>9 ]</w:t>
      </w:r>
      <w:bookmarkStart w:id="232" w:name="2a156"/>
      <w:bookmarkEnd w:id="232"/>
      <w:proofErr w:type="gramEnd"/>
      <w:r w:rsidRPr="00C07D41">
        <w:rPr>
          <w:rFonts w:ascii="Book Antiqua" w:hAnsi="Book Antiqua"/>
          <w:sz w:val="16"/>
          <w:szCs w:val="16"/>
        </w:rPr>
        <w:t xml:space="preserve"> T. L. Swihart, </w:t>
      </w:r>
      <w:r w:rsidRPr="00C07D41">
        <w:rPr>
          <w:rFonts w:ascii="Book Antiqua" w:hAnsi="Book Antiqua"/>
          <w:i/>
          <w:sz w:val="16"/>
          <w:szCs w:val="16"/>
        </w:rPr>
        <w:t>Physics of Stellar Interiors,</w:t>
      </w:r>
      <w:r w:rsidRPr="00C07D41">
        <w:rPr>
          <w:rFonts w:ascii="Book Antiqua" w:hAnsi="Book Antiqua"/>
          <w:sz w:val="16"/>
          <w:szCs w:val="16"/>
        </w:rPr>
        <w:t xml:space="preserve"> p. 76, (Pachart Publishing House, Tucson, Arizona, 1972).</w:t>
      </w:r>
      <w:r w:rsidRPr="00C07D41">
        <w:rPr>
          <w:rFonts w:ascii="Book Antiqua" w:hAnsi="Book Antiqua"/>
          <w:sz w:val="16"/>
          <w:szCs w:val="16"/>
        </w:rPr>
        <w:br/>
        <w:t>[10]</w:t>
      </w:r>
      <w:bookmarkStart w:id="233" w:name="2a157"/>
      <w:bookmarkEnd w:id="233"/>
      <w:r w:rsidRPr="00C07D41">
        <w:rPr>
          <w:rFonts w:ascii="Book Antiqua" w:hAnsi="Book Antiqua"/>
          <w:sz w:val="16"/>
          <w:szCs w:val="16"/>
        </w:rPr>
        <w:t xml:space="preserve"> Cox and Giuli, op. cit., p. 374 </w:t>
      </w:r>
      <w:r w:rsidRPr="00C07D41">
        <w:rPr>
          <w:rFonts w:ascii="Book Antiqua" w:hAnsi="Book Antiqua"/>
          <w:sz w:val="16"/>
          <w:szCs w:val="16"/>
        </w:rPr>
        <w:br/>
        <w:t>[11]</w:t>
      </w:r>
      <w:bookmarkStart w:id="234" w:name="2a158"/>
      <w:bookmarkEnd w:id="234"/>
      <w:r w:rsidRPr="00C07D41">
        <w:rPr>
          <w:rFonts w:ascii="Book Antiqua" w:hAnsi="Book Antiqua"/>
          <w:sz w:val="16"/>
          <w:szCs w:val="16"/>
        </w:rPr>
        <w:t xml:space="preserve"> M. Harwit, op. cit., p. 323.  </w:t>
      </w:r>
      <w:r w:rsidRPr="00C07D41">
        <w:rPr>
          <w:rFonts w:ascii="Book Antiqua" w:hAnsi="Book Antiqua"/>
          <w:sz w:val="16"/>
          <w:szCs w:val="16"/>
        </w:rPr>
        <w:br/>
        <w:t>[12]</w:t>
      </w:r>
      <w:bookmarkStart w:id="235" w:name="2a159"/>
      <w:bookmarkEnd w:id="235"/>
      <w:r w:rsidRPr="00C07D41">
        <w:rPr>
          <w:rFonts w:ascii="Book Antiqua" w:hAnsi="Book Antiqua"/>
          <w:sz w:val="16"/>
          <w:szCs w:val="16"/>
        </w:rPr>
        <w:t xml:space="preserve"> Ibid, pp. 323-324.</w:t>
      </w:r>
      <w:r w:rsidRPr="00C07D41">
        <w:rPr>
          <w:rFonts w:ascii="Book Antiqua" w:hAnsi="Book Antiqua"/>
          <w:sz w:val="16"/>
          <w:szCs w:val="16"/>
        </w:rPr>
        <w:br/>
        <w:t>[13]</w:t>
      </w:r>
      <w:bookmarkStart w:id="236" w:name="2a160"/>
      <w:bookmarkEnd w:id="236"/>
      <w:r w:rsidRPr="00C07D41">
        <w:rPr>
          <w:rFonts w:ascii="Book Antiqua" w:hAnsi="Book Antiqua"/>
          <w:sz w:val="16"/>
          <w:szCs w:val="16"/>
        </w:rPr>
        <w:t xml:space="preserve"> Ibid, p. 314.</w:t>
      </w:r>
      <w:r w:rsidRPr="00C07D41">
        <w:rPr>
          <w:rFonts w:ascii="Book Antiqua" w:hAnsi="Book Antiqua"/>
          <w:sz w:val="16"/>
          <w:szCs w:val="16"/>
        </w:rPr>
        <w:br/>
      </w:r>
      <w:proofErr w:type="gramStart"/>
      <w:r w:rsidRPr="00C07D41">
        <w:rPr>
          <w:rFonts w:ascii="Book Antiqua" w:hAnsi="Book Antiqua"/>
          <w:sz w:val="16"/>
          <w:szCs w:val="16"/>
        </w:rPr>
        <w:t>[14]</w:t>
      </w:r>
      <w:bookmarkStart w:id="237" w:name="2a161"/>
      <w:bookmarkEnd w:id="237"/>
      <w:r w:rsidRPr="00C07D41">
        <w:rPr>
          <w:rFonts w:ascii="Book Antiqua" w:hAnsi="Book Antiqua"/>
          <w:sz w:val="16"/>
          <w:szCs w:val="16"/>
        </w:rPr>
        <w:t xml:space="preserve"> M. Schwarzschild, </w:t>
      </w:r>
      <w:r w:rsidRPr="00C07D41">
        <w:rPr>
          <w:rStyle w:val="Emphasis"/>
          <w:rFonts w:ascii="Book Antiqua" w:hAnsi="Book Antiqua"/>
          <w:sz w:val="16"/>
          <w:szCs w:val="16"/>
        </w:rPr>
        <w:t xml:space="preserve">Structure and Evolution of the Stars, </w:t>
      </w:r>
      <w:r w:rsidRPr="00C07D41">
        <w:rPr>
          <w:rStyle w:val="Emphasis"/>
          <w:rFonts w:ascii="Book Antiqua" w:hAnsi="Book Antiqua"/>
          <w:i w:val="0"/>
          <w:sz w:val="16"/>
          <w:szCs w:val="16"/>
        </w:rPr>
        <w:t>p. 88,</w:t>
      </w:r>
      <w:r w:rsidRPr="00C07D41">
        <w:rPr>
          <w:rStyle w:val="Emphasis"/>
          <w:rFonts w:ascii="Book Antiqua" w:hAnsi="Book Antiqua"/>
          <w:sz w:val="16"/>
          <w:szCs w:val="16"/>
        </w:rPr>
        <w:t xml:space="preserve"> (</w:t>
      </w:r>
      <w:r w:rsidRPr="00C07D41">
        <w:rPr>
          <w:rFonts w:ascii="Book Antiqua" w:hAnsi="Book Antiqua"/>
          <w:sz w:val="16"/>
          <w:szCs w:val="16"/>
        </w:rPr>
        <w:t>Princeton University Press, Princeton, New Jersey, 1958).</w:t>
      </w:r>
      <w:proofErr w:type="gramEnd"/>
      <w:r w:rsidRPr="00C07D41">
        <w:rPr>
          <w:rFonts w:ascii="Book Antiqua" w:hAnsi="Book Antiqua"/>
          <w:sz w:val="16"/>
          <w:szCs w:val="16"/>
        </w:rPr>
        <w:br/>
        <w:t>[15]</w:t>
      </w:r>
      <w:bookmarkStart w:id="238" w:name="2a162"/>
      <w:bookmarkEnd w:id="238"/>
      <w:r w:rsidRPr="00C07D41">
        <w:rPr>
          <w:rFonts w:ascii="Book Antiqua" w:hAnsi="Book Antiqua"/>
          <w:sz w:val="16"/>
          <w:szCs w:val="16"/>
        </w:rPr>
        <w:t xml:space="preserve"> M. Harwit, op. cit., pp. 336-337 and Fig. 8.7. </w:t>
      </w:r>
      <w:r w:rsidRPr="00C07D41">
        <w:rPr>
          <w:rFonts w:ascii="Book Antiqua" w:hAnsi="Book Antiqua"/>
          <w:sz w:val="16"/>
          <w:szCs w:val="16"/>
        </w:rPr>
        <w:br/>
        <w:t>[16]</w:t>
      </w:r>
      <w:bookmarkStart w:id="239" w:name="2a163"/>
      <w:bookmarkEnd w:id="239"/>
      <w:r w:rsidRPr="00C07D41">
        <w:rPr>
          <w:rFonts w:ascii="Book Antiqua" w:hAnsi="Book Antiqua"/>
          <w:sz w:val="16"/>
          <w:szCs w:val="16"/>
        </w:rPr>
        <w:t xml:space="preserve"> T. L. Swihart, op. cit., p. 82. </w:t>
      </w:r>
      <w:r w:rsidRPr="00C07D41">
        <w:rPr>
          <w:rFonts w:ascii="Book Antiqua" w:hAnsi="Book Antiqua"/>
          <w:sz w:val="16"/>
          <w:szCs w:val="16"/>
        </w:rPr>
        <w:br/>
        <w:t>[17]</w:t>
      </w:r>
      <w:bookmarkStart w:id="240" w:name="2a164"/>
      <w:bookmarkEnd w:id="240"/>
      <w:r w:rsidRPr="00C07D41">
        <w:rPr>
          <w:rFonts w:ascii="Book Antiqua" w:hAnsi="Book Antiqua"/>
          <w:sz w:val="16"/>
          <w:szCs w:val="16"/>
        </w:rPr>
        <w:t xml:space="preserve"> M. Harwit, op. cit., p. 321.  </w:t>
      </w:r>
      <w:r w:rsidRPr="00C07D41">
        <w:rPr>
          <w:rFonts w:ascii="Book Antiqua" w:hAnsi="Book Antiqua"/>
          <w:sz w:val="16"/>
          <w:szCs w:val="16"/>
        </w:rPr>
        <w:br/>
        <w:t>[18]</w:t>
      </w:r>
      <w:bookmarkStart w:id="241" w:name="2a165"/>
      <w:bookmarkEnd w:id="241"/>
      <w:r w:rsidRPr="00C07D41">
        <w:rPr>
          <w:rFonts w:ascii="Book Antiqua" w:hAnsi="Book Antiqua"/>
          <w:sz w:val="16"/>
          <w:szCs w:val="16"/>
        </w:rPr>
        <w:t xml:space="preserve"> M. Schwarzschild, op. cit., p. 42. </w:t>
      </w:r>
      <w:r w:rsidRPr="00C07D41">
        <w:rPr>
          <w:rFonts w:ascii="Book Antiqua" w:hAnsi="Book Antiqua"/>
          <w:sz w:val="16"/>
          <w:szCs w:val="16"/>
        </w:rPr>
        <w:br/>
        <w:t xml:space="preserve">[19] D.E. Scott, </w:t>
      </w:r>
      <w:proofErr w:type="gramStart"/>
      <w:r w:rsidRPr="00C07D41">
        <w:rPr>
          <w:rFonts w:ascii="Book Antiqua" w:hAnsi="Book Antiqua"/>
          <w:i/>
          <w:sz w:val="16"/>
          <w:szCs w:val="16"/>
        </w:rPr>
        <w:t>The</w:t>
      </w:r>
      <w:proofErr w:type="gramEnd"/>
      <w:r w:rsidRPr="00C07D41">
        <w:rPr>
          <w:rFonts w:ascii="Book Antiqua" w:hAnsi="Book Antiqua"/>
          <w:i/>
          <w:sz w:val="16"/>
          <w:szCs w:val="16"/>
        </w:rPr>
        <w:t xml:space="preserve"> Electric Sky, </w:t>
      </w:r>
      <w:r w:rsidRPr="00C07D41">
        <w:rPr>
          <w:rFonts w:ascii="Book Antiqua" w:hAnsi="Book Antiqua"/>
          <w:sz w:val="16"/>
          <w:szCs w:val="16"/>
        </w:rPr>
        <w:t>p. 90, (Mikamar Publishing, 2006).</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[20]</w:t>
      </w:r>
      <w:bookmarkStart w:id="242" w:name="2a166"/>
      <w:bookmarkEnd w:id="242"/>
      <w:r w:rsidRPr="00C07D41">
        <w:rPr>
          <w:rFonts w:ascii="Book Antiqua" w:hAnsi="Book Antiqua"/>
          <w:sz w:val="16"/>
          <w:szCs w:val="16"/>
        </w:rPr>
        <w:t xml:space="preserve"> F. Hoyle, </w:t>
      </w:r>
      <w:r w:rsidRPr="00C07D41">
        <w:rPr>
          <w:rStyle w:val="Emphasis"/>
          <w:rFonts w:ascii="Book Antiqua" w:hAnsi="Book Antiqua"/>
          <w:sz w:val="16"/>
          <w:szCs w:val="16"/>
        </w:rPr>
        <w:t>Frontiers of Astronomy</w:t>
      </w:r>
      <w:r w:rsidRPr="00C07D41">
        <w:rPr>
          <w:rFonts w:ascii="Book Antiqua" w:hAnsi="Book Antiqua"/>
          <w:sz w:val="16"/>
          <w:szCs w:val="16"/>
        </w:rPr>
        <w:t>, pp. 184-188, (William Heinemann Ltd, London, 1956) 184-188.</w:t>
      </w:r>
      <w:r w:rsidRPr="00C07D41">
        <w:rPr>
          <w:rFonts w:ascii="Book Antiqua" w:hAnsi="Book Antiqua"/>
          <w:sz w:val="16"/>
          <w:szCs w:val="16"/>
        </w:rPr>
        <w:br/>
        <w:t>[21]</w:t>
      </w:r>
      <w:bookmarkStart w:id="243" w:name="2a167"/>
      <w:bookmarkEnd w:id="243"/>
      <w:r w:rsidRPr="00C07D41">
        <w:rPr>
          <w:rFonts w:ascii="Book Antiqua" w:hAnsi="Book Antiqua"/>
          <w:sz w:val="16"/>
          <w:szCs w:val="16"/>
        </w:rPr>
        <w:t xml:space="preserve"> D. Ostlie &amp; B. Carroll, </w:t>
      </w:r>
      <w:r w:rsidRPr="00C07D41">
        <w:rPr>
          <w:rStyle w:val="Emphasis"/>
          <w:rFonts w:ascii="Book Antiqua" w:hAnsi="Book Antiqua"/>
          <w:sz w:val="16"/>
          <w:szCs w:val="16"/>
        </w:rPr>
        <w:t xml:space="preserve">An Introduction to Modern Stellar Astrophysics, </w:t>
      </w:r>
      <w:r w:rsidRPr="00C07D41">
        <w:rPr>
          <w:rFonts w:ascii="Book Antiqua" w:hAnsi="Book Antiqua"/>
          <w:sz w:val="16"/>
          <w:szCs w:val="16"/>
        </w:rPr>
        <w:t>Weber State University (Addison-Wesley Publishing Co. Inc., Reading, MA, 1996). Quote available from the AAVSO website at:</w:t>
      </w:r>
    </w:p>
    <w:p w:rsidR="00C80BD4" w:rsidRPr="00C07D41" w:rsidRDefault="00241D2F" w:rsidP="00C80BD4">
      <w:pPr>
        <w:pStyle w:val="NoSpacing"/>
        <w:rPr>
          <w:rFonts w:ascii="Book Antiqua" w:hAnsi="Book Antiqua"/>
          <w:i/>
          <w:sz w:val="16"/>
          <w:szCs w:val="16"/>
        </w:rPr>
      </w:pPr>
      <w:hyperlink r:id="rId1268" w:history="1">
        <w:r w:rsidR="00C80BD4" w:rsidRPr="00C07D41">
          <w:rPr>
            <w:rStyle w:val="Hyperlink"/>
            <w:rFonts w:ascii="Book Antiqua" w:hAnsi="Book Antiqua"/>
            <w:i/>
            <w:szCs w:val="16"/>
          </w:rPr>
          <w:t>http://www.aavso.org/vsots_xzcyg</w:t>
        </w:r>
      </w:hyperlink>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[22]</w:t>
      </w:r>
      <w:bookmarkStart w:id="244" w:name="2a168"/>
      <w:bookmarkEnd w:id="244"/>
      <w:r w:rsidRPr="00C07D41">
        <w:rPr>
          <w:rFonts w:ascii="Book Antiqua" w:hAnsi="Book Antiqua"/>
          <w:sz w:val="16"/>
          <w:szCs w:val="16"/>
        </w:rPr>
        <w:t xml:space="preserve"> P.S. Wesson, </w:t>
      </w:r>
      <w:r w:rsidRPr="00C07D41">
        <w:rPr>
          <w:rStyle w:val="Emphasis"/>
          <w:rFonts w:ascii="Book Antiqua" w:hAnsi="Book Antiqua"/>
          <w:sz w:val="16"/>
          <w:szCs w:val="16"/>
        </w:rPr>
        <w:t>Cosmology and Geophysics: Monographs on Astronomical Subjects,</w:t>
      </w:r>
      <w:r w:rsidRPr="00C07D41">
        <w:rPr>
          <w:rStyle w:val="Emphasis"/>
          <w:rFonts w:ascii="Book Antiqua" w:hAnsi="Book Antiqua"/>
          <w:b/>
          <w:sz w:val="16"/>
          <w:szCs w:val="16"/>
        </w:rPr>
        <w:t xml:space="preserve"> 3</w:t>
      </w:r>
      <w:r w:rsidRPr="00C07D41">
        <w:rPr>
          <w:rFonts w:ascii="Book Antiqua" w:hAnsi="Book Antiqua"/>
          <w:sz w:val="16"/>
          <w:szCs w:val="16"/>
        </w:rPr>
        <w:t>, pp. 62-63, (Adam Hilger Ltd., Bristol, 1978).</w:t>
      </w:r>
      <w:r w:rsidRPr="00C07D41">
        <w:rPr>
          <w:rFonts w:ascii="Book Antiqua" w:hAnsi="Book Antiqua"/>
          <w:sz w:val="16"/>
          <w:szCs w:val="16"/>
        </w:rPr>
        <w:br/>
        <w:t xml:space="preserve">[23] The quote is under the title “Pulsating star mystery solved” here: </w:t>
      </w:r>
      <w:hyperlink r:id="rId1269" w:history="1">
        <w:r w:rsidRPr="00C07D41">
          <w:rPr>
            <w:rStyle w:val="Hyperlink"/>
            <w:rFonts w:ascii="Book Antiqua" w:hAnsi="Book Antiqua"/>
            <w:i/>
            <w:szCs w:val="16"/>
            <w:lang w:val="de-DE"/>
          </w:rPr>
          <w:t>http://www.eso.org/public/news/eso1046/</w:t>
        </w:r>
      </w:hyperlink>
      <w:r w:rsidRPr="00C07D41">
        <w:rPr>
          <w:rFonts w:ascii="Book Antiqua" w:hAnsi="Book Antiqua"/>
          <w:sz w:val="16"/>
          <w:szCs w:val="16"/>
          <w:lang w:val="de-DE"/>
        </w:rPr>
        <w:t>. The paper detailing the research results is titled “The</w:t>
      </w:r>
      <w:r w:rsidRPr="00C07D41">
        <w:rPr>
          <w:rFonts w:ascii="Book Antiqua" w:hAnsi="Book Antiqua"/>
          <w:sz w:val="16"/>
          <w:szCs w:val="16"/>
        </w:rPr>
        <w:t xml:space="preserve"> dynamical mass of a classical </w:t>
      </w:r>
      <w:r w:rsidRPr="00C07D41">
        <w:rPr>
          <w:rFonts w:ascii="Book Antiqua" w:hAnsi="Book Antiqua"/>
          <w:bCs/>
          <w:sz w:val="16"/>
          <w:szCs w:val="16"/>
        </w:rPr>
        <w:t>Cepheid</w:t>
      </w:r>
      <w:r w:rsidRPr="00C07D41">
        <w:rPr>
          <w:rFonts w:ascii="Book Antiqua" w:hAnsi="Book Antiqua"/>
          <w:sz w:val="16"/>
          <w:szCs w:val="16"/>
        </w:rPr>
        <w:t xml:space="preserve"> variable star in an eclipsing binary system,”</w:t>
      </w:r>
      <w:r w:rsidRPr="00C07D41">
        <w:rPr>
          <w:rFonts w:ascii="Book Antiqua" w:hAnsi="Book Antiqua"/>
          <w:sz w:val="16"/>
          <w:szCs w:val="16"/>
          <w:lang w:val="de-DE"/>
        </w:rPr>
        <w:t xml:space="preserve"> by G. Pietrzynski et al., </w:t>
      </w:r>
      <w:r w:rsidRPr="00C07D41">
        <w:rPr>
          <w:rFonts w:ascii="Book Antiqua" w:hAnsi="Book Antiqua"/>
          <w:i/>
          <w:sz w:val="16"/>
          <w:szCs w:val="16"/>
          <w:lang w:val="de-DE"/>
        </w:rPr>
        <w:t>Nature</w:t>
      </w:r>
      <w:r w:rsidRPr="00C07D41">
        <w:rPr>
          <w:rFonts w:ascii="Book Antiqua" w:hAnsi="Book Antiqua"/>
          <w:sz w:val="16"/>
          <w:szCs w:val="16"/>
          <w:lang w:val="de-DE"/>
        </w:rPr>
        <w:t xml:space="preserve">, </w:t>
      </w:r>
      <w:r w:rsidRPr="00C07D41">
        <w:rPr>
          <w:rFonts w:ascii="Book Antiqua" w:hAnsi="Book Antiqua"/>
          <w:b/>
          <w:sz w:val="16"/>
          <w:szCs w:val="16"/>
          <w:lang w:val="de-DE"/>
        </w:rPr>
        <w:t>468</w:t>
      </w:r>
      <w:r w:rsidRPr="00C07D41">
        <w:rPr>
          <w:rFonts w:ascii="Book Antiqua" w:hAnsi="Book Antiqua"/>
          <w:sz w:val="16"/>
          <w:szCs w:val="16"/>
          <w:lang w:val="de-DE"/>
        </w:rPr>
        <w:t xml:space="preserve"> (7323), pp. 542-544, (25 November, 2010).</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[24]</w:t>
      </w:r>
      <w:bookmarkStart w:id="245" w:name="2a212"/>
      <w:bookmarkEnd w:id="245"/>
      <w:r w:rsidRPr="00C07D41">
        <w:rPr>
          <w:rFonts w:ascii="Book Antiqua" w:hAnsi="Book Antiqua"/>
          <w:sz w:val="16"/>
          <w:szCs w:val="16"/>
        </w:rPr>
        <w:t xml:space="preserve"> C. Barnet, R. Davis, and W. L. Sanders, </w:t>
      </w:r>
      <w:r w:rsidRPr="00C07D41">
        <w:rPr>
          <w:rStyle w:val="Emphasis"/>
          <w:rFonts w:ascii="Book Antiqua" w:hAnsi="Book Antiqua"/>
          <w:sz w:val="16"/>
          <w:szCs w:val="16"/>
        </w:rPr>
        <w:t>Ap. J</w:t>
      </w:r>
      <w:r w:rsidRPr="00C07D41">
        <w:rPr>
          <w:rFonts w:ascii="Book Antiqua" w:hAnsi="Book Antiqua"/>
          <w:sz w:val="16"/>
          <w:szCs w:val="16"/>
        </w:rPr>
        <w:t xml:space="preserve">. </w:t>
      </w:r>
      <w:proofErr w:type="gramStart"/>
      <w:r w:rsidRPr="00C07D41">
        <w:rPr>
          <w:rStyle w:val="Strong"/>
          <w:rFonts w:ascii="Book Antiqua" w:eastAsia="Calibri" w:hAnsi="Book Antiqua"/>
          <w:sz w:val="16"/>
          <w:szCs w:val="16"/>
        </w:rPr>
        <w:t>295</w:t>
      </w:r>
      <w:r w:rsidRPr="00C07D41">
        <w:rPr>
          <w:rFonts w:ascii="Book Antiqua" w:hAnsi="Book Antiqua"/>
          <w:sz w:val="16"/>
          <w:szCs w:val="16"/>
        </w:rPr>
        <w:t xml:space="preserve"> ,</w:t>
      </w:r>
      <w:proofErr w:type="gramEnd"/>
      <w:r w:rsidRPr="00C07D41">
        <w:rPr>
          <w:rFonts w:ascii="Book Antiqua" w:hAnsi="Book Antiqua"/>
          <w:sz w:val="16"/>
          <w:szCs w:val="16"/>
        </w:rPr>
        <w:t xml:space="preserve"> p. 24, (1985).</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lastRenderedPageBreak/>
        <w:t>[25]</w:t>
      </w:r>
      <w:bookmarkStart w:id="246" w:name="2a169"/>
      <w:bookmarkEnd w:id="246"/>
      <w:r w:rsidRPr="00C07D41">
        <w:rPr>
          <w:rFonts w:ascii="Book Antiqua" w:hAnsi="Book Antiqua"/>
          <w:sz w:val="16"/>
          <w:szCs w:val="16"/>
        </w:rPr>
        <w:t xml:space="preserve"> W. J. Moore, </w:t>
      </w:r>
      <w:r w:rsidRPr="00C07D41">
        <w:rPr>
          <w:rStyle w:val="Emphasis"/>
          <w:rFonts w:ascii="Book Antiqua" w:hAnsi="Book Antiqua"/>
          <w:sz w:val="16"/>
          <w:szCs w:val="16"/>
        </w:rPr>
        <w:t xml:space="preserve">Physical Chemistry, </w:t>
      </w:r>
      <w:r w:rsidRPr="00C07D41">
        <w:rPr>
          <w:rFonts w:ascii="Book Antiqua" w:hAnsi="Book Antiqua"/>
          <w:sz w:val="16"/>
          <w:szCs w:val="16"/>
        </w:rPr>
        <w:t>3rd ed., p. 548, (Longmans, 1961).</w:t>
      </w:r>
      <w:r w:rsidRPr="00C07D41">
        <w:rPr>
          <w:rFonts w:ascii="Book Antiqua" w:hAnsi="Book Antiqua"/>
          <w:sz w:val="16"/>
          <w:szCs w:val="16"/>
        </w:rPr>
        <w:br/>
        <w:t>[26]</w:t>
      </w:r>
      <w:bookmarkStart w:id="247" w:name="2a170"/>
      <w:bookmarkEnd w:id="247"/>
      <w:r w:rsidRPr="00C07D41">
        <w:rPr>
          <w:rFonts w:ascii="Book Antiqua" w:hAnsi="Book Antiqua"/>
          <w:sz w:val="16"/>
          <w:szCs w:val="16"/>
        </w:rPr>
        <w:t xml:space="preserve"> S. V. Filseth in </w:t>
      </w:r>
      <w:r w:rsidRPr="00C07D41">
        <w:rPr>
          <w:rStyle w:val="Emphasis"/>
          <w:rFonts w:ascii="Book Antiqua" w:hAnsi="Book Antiqua"/>
          <w:sz w:val="16"/>
          <w:szCs w:val="16"/>
        </w:rPr>
        <w:t xml:space="preserve">Chemical Systems: Energetics, Dynamics, Structure, </w:t>
      </w:r>
      <w:r w:rsidRPr="00C07D41">
        <w:rPr>
          <w:rFonts w:ascii="Book Antiqua" w:hAnsi="Book Antiqua"/>
          <w:sz w:val="16"/>
          <w:szCs w:val="16"/>
        </w:rPr>
        <w:t>J. A. Campbell, (Ed.), pp. 555-556, 583, (Freeman and Co., San Francisco, 1970).</w:t>
      </w:r>
      <w:r w:rsidRPr="00C07D41">
        <w:rPr>
          <w:rFonts w:ascii="Book Antiqua" w:hAnsi="Book Antiqua"/>
          <w:sz w:val="16"/>
          <w:szCs w:val="16"/>
        </w:rPr>
        <w:br/>
        <w:t>[27]</w:t>
      </w:r>
      <w:bookmarkStart w:id="248" w:name="2a171"/>
      <w:bookmarkEnd w:id="248"/>
      <w:r w:rsidRPr="00C07D41">
        <w:rPr>
          <w:rFonts w:ascii="Book Antiqua" w:hAnsi="Book Antiqua"/>
          <w:sz w:val="16"/>
          <w:szCs w:val="16"/>
        </w:rPr>
        <w:t xml:space="preserve"> Ibid, pp. 555-556.</w:t>
      </w:r>
      <w:r w:rsidRPr="00C07D41">
        <w:rPr>
          <w:rFonts w:ascii="Book Antiqua" w:hAnsi="Book Antiqua"/>
          <w:sz w:val="16"/>
          <w:szCs w:val="16"/>
        </w:rPr>
        <w:br/>
        <w:t>[28]</w:t>
      </w:r>
      <w:bookmarkStart w:id="249" w:name="2a172"/>
      <w:bookmarkEnd w:id="249"/>
      <w:r w:rsidRPr="00C07D41">
        <w:rPr>
          <w:rFonts w:ascii="Book Antiqua" w:hAnsi="Book Antiqua"/>
          <w:sz w:val="16"/>
          <w:szCs w:val="16"/>
        </w:rPr>
        <w:t xml:space="preserve"> Ibid, p. 588.</w:t>
      </w:r>
    </w:p>
    <w:p w:rsidR="00C80BD4" w:rsidRPr="00C07D41" w:rsidRDefault="00C80BD4" w:rsidP="00C80BD4">
      <w:pPr>
        <w:pStyle w:val="NoSpacing"/>
        <w:rPr>
          <w:rFonts w:ascii="Book Antiqua" w:hAnsi="Book Antiqua"/>
          <w:sz w:val="16"/>
          <w:szCs w:val="16"/>
        </w:rPr>
      </w:pPr>
    </w:p>
    <w:p w:rsidR="00C80BD4" w:rsidRPr="00C07D41" w:rsidRDefault="00C80BD4" w:rsidP="00C80BD4">
      <w:pPr>
        <w:pStyle w:val="NoSpacing"/>
        <w:rPr>
          <w:rFonts w:ascii="Book Antiqua" w:hAnsi="Book Antiqua"/>
          <w:b/>
          <w:sz w:val="20"/>
        </w:rPr>
      </w:pPr>
      <w:r w:rsidRPr="00C07D41">
        <w:rPr>
          <w:rFonts w:ascii="Book Antiqua" w:hAnsi="Book Antiqua"/>
          <w:b/>
          <w:sz w:val="20"/>
        </w:rPr>
        <w:t>Figure References</w:t>
      </w:r>
      <w:r w:rsidRPr="00C07D41">
        <w:rPr>
          <w:rFonts w:ascii="Book Antiqua" w:hAnsi="Book Antiqua"/>
          <w:i/>
          <w:sz w:val="20"/>
        </w:rPr>
        <w:t xml:space="preserve"> – All URL’s retrieved 20</w:t>
      </w:r>
      <w:r w:rsidRPr="00C07D41">
        <w:rPr>
          <w:rFonts w:ascii="Book Antiqua" w:hAnsi="Book Antiqua"/>
          <w:i/>
          <w:sz w:val="20"/>
          <w:vertAlign w:val="superscript"/>
        </w:rPr>
        <w:t>th</w:t>
      </w:r>
      <w:r w:rsidRPr="00C07D41">
        <w:rPr>
          <w:rFonts w:ascii="Book Antiqua" w:hAnsi="Book Antiqua"/>
          <w:i/>
          <w:sz w:val="20"/>
        </w:rPr>
        <w:t xml:space="preserve"> September 2012.</w:t>
      </w:r>
    </w:p>
    <w:p w:rsidR="00C80BD4" w:rsidRPr="00C07D41" w:rsidRDefault="00C80BD4" w:rsidP="00C80BD4">
      <w:pPr>
        <w:pStyle w:val="NoSpacing"/>
        <w:rPr>
          <w:rFonts w:ascii="Book Antiqua" w:hAnsi="Book Antiqua"/>
          <w:sz w:val="16"/>
          <w:szCs w:val="16"/>
        </w:rPr>
      </w:pPr>
    </w:p>
    <w:p w:rsidR="00C80BD4" w:rsidRPr="00C07D41" w:rsidRDefault="00C80BD4" w:rsidP="00C80BD4">
      <w:pPr>
        <w:pStyle w:val="NoSpacing"/>
        <w:rPr>
          <w:rFonts w:ascii="Book Antiqua" w:hAnsi="Book Antiqua"/>
          <w:i/>
          <w:sz w:val="16"/>
          <w:szCs w:val="16"/>
        </w:rPr>
      </w:pPr>
      <w:r w:rsidRPr="00C07D41">
        <w:rPr>
          <w:rFonts w:ascii="Book Antiqua" w:hAnsi="Book Antiqua"/>
          <w:sz w:val="16"/>
          <w:szCs w:val="16"/>
        </w:rPr>
        <w:t xml:space="preserve">Figure 1: The variation in brightness of two Cepheid variable stars:  </w:t>
      </w:r>
      <w:hyperlink r:id="rId1270" w:history="1">
        <w:r w:rsidRPr="00C07D41">
          <w:rPr>
            <w:rStyle w:val="Hyperlink"/>
            <w:rFonts w:ascii="Book Antiqua" w:hAnsi="Book Antiqua"/>
            <w:i/>
            <w:szCs w:val="16"/>
          </w:rPr>
          <w:t>http://www.physics.hku.hk/~nature/notes/lectures/chap13.html</w:t>
        </w:r>
      </w:hyperlink>
    </w:p>
    <w:p w:rsidR="00C80BD4" w:rsidRPr="00C07D41" w:rsidRDefault="00C80BD4" w:rsidP="00C80BD4">
      <w:pPr>
        <w:pStyle w:val="NoSpacing"/>
        <w:rPr>
          <w:rFonts w:ascii="Book Antiqua" w:hAnsi="Book Antiqua"/>
          <w:i/>
          <w:sz w:val="16"/>
          <w:szCs w:val="16"/>
        </w:rPr>
      </w:pPr>
      <w:r w:rsidRPr="00C07D41">
        <w:rPr>
          <w:rFonts w:ascii="Book Antiqua" w:hAnsi="Book Antiqua"/>
          <w:sz w:val="16"/>
          <w:szCs w:val="16"/>
        </w:rPr>
        <w:t xml:space="preserve">Figure 2: Cepheid pulsation and luminosity:  </w:t>
      </w:r>
      <w:hyperlink r:id="rId1271" w:history="1">
        <w:r w:rsidRPr="00C07D41">
          <w:rPr>
            <w:rStyle w:val="Hyperlink"/>
            <w:rFonts w:ascii="Book Antiqua" w:hAnsi="Book Antiqua"/>
            <w:i/>
            <w:szCs w:val="16"/>
          </w:rPr>
          <w:t>http://www.astro.ljmu.ac.uk/courses/phys134/distance.html</w:t>
        </w:r>
      </w:hyperlink>
    </w:p>
    <w:p w:rsidR="00C80BD4" w:rsidRDefault="00C80BD4" w:rsidP="00C80BD4">
      <w:pPr>
        <w:pStyle w:val="NormalWeb"/>
        <w:jc w:val="center"/>
        <w:rPr>
          <w:rFonts w:ascii="Book Antiqua" w:hAnsi="Book Antiqua"/>
          <w:b/>
          <w:sz w:val="28"/>
          <w:szCs w:val="28"/>
        </w:rPr>
      </w:pPr>
      <w:r w:rsidRPr="00CE6BDB">
        <w:rPr>
          <w:rFonts w:ascii="Book Antiqua" w:hAnsi="Book Antiqua"/>
          <w:b/>
          <w:sz w:val="28"/>
          <w:szCs w:val="28"/>
        </w:rPr>
        <w:t>*  *  *  *  *  *</w:t>
      </w:r>
    </w:p>
    <w:p w:rsidR="0060216B" w:rsidRDefault="0060216B">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C96FD7" w:rsidRPr="00AB49F0" w:rsidRDefault="00C96FD7" w:rsidP="00A564E7">
      <w:pPr>
        <w:pStyle w:val="NormalWeb"/>
        <w:jc w:val="center"/>
        <w:rPr>
          <w:rFonts w:ascii="Book Antiqua" w:hAnsi="Book Antiqua"/>
          <w:b/>
          <w:bCs/>
          <w:iCs/>
          <w:color w:val="000000"/>
        </w:rPr>
      </w:pPr>
      <w:r w:rsidRPr="00AB49F0">
        <w:rPr>
          <w:rFonts w:ascii="Book Antiqua" w:hAnsi="Book Antiqua"/>
          <w:b/>
          <w:bCs/>
          <w:iCs/>
          <w:color w:val="000000"/>
        </w:rPr>
        <w:lastRenderedPageBreak/>
        <w:t xml:space="preserve">Appendix C: </w:t>
      </w:r>
      <w:r w:rsidRPr="00AB49F0">
        <w:rPr>
          <w:rFonts w:ascii="Book Antiqua" w:hAnsi="Book Antiqua"/>
          <w:b/>
          <w:bCs/>
          <w:i/>
          <w:iCs/>
          <w:color w:val="000000"/>
        </w:rPr>
        <w:t>Doppler shifts &amp; the ZPE</w:t>
      </w:r>
    </w:p>
    <w:p w:rsidR="00C96FD7" w:rsidRPr="00D112AF" w:rsidRDefault="00C96FD7" w:rsidP="00C96FD7">
      <w:pPr>
        <w:pStyle w:val="NormalWeb"/>
        <w:rPr>
          <w:rFonts w:ascii="Book Antiqua" w:hAnsi="Book Antiqua"/>
          <w:b/>
          <w:bCs/>
          <w:i/>
          <w:iCs/>
          <w:color w:val="000000"/>
          <w:sz w:val="20"/>
          <w:szCs w:val="20"/>
        </w:rPr>
      </w:pPr>
      <w:r w:rsidRPr="00D112AF">
        <w:rPr>
          <w:rStyle w:val="Strong"/>
          <w:rFonts w:ascii="Book Antiqua" w:hAnsi="Book Antiqua"/>
          <w:i/>
          <w:sz w:val="20"/>
          <w:szCs w:val="20"/>
        </w:rPr>
        <w:t xml:space="preserve">C1.    What is </w:t>
      </w:r>
      <w:proofErr w:type="gramStart"/>
      <w:r w:rsidRPr="00D112AF">
        <w:rPr>
          <w:rStyle w:val="Strong"/>
          <w:rFonts w:ascii="Book Antiqua" w:hAnsi="Book Antiqua"/>
          <w:i/>
          <w:sz w:val="20"/>
          <w:szCs w:val="20"/>
        </w:rPr>
        <w:t>Being</w:t>
      </w:r>
      <w:proofErr w:type="gramEnd"/>
      <w:r w:rsidRPr="00D112AF">
        <w:rPr>
          <w:rStyle w:val="Strong"/>
          <w:rFonts w:ascii="Book Antiqua" w:hAnsi="Book Antiqua"/>
          <w:i/>
          <w:sz w:val="20"/>
          <w:szCs w:val="20"/>
        </w:rPr>
        <w:t xml:space="preserve"> Measured?</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As previously shown, the red shift of light coming in from distant galaxies cannot be due to a Doppler shift.  However there are genuine examples of a</w:t>
      </w:r>
      <w:r>
        <w:rPr>
          <w:rFonts w:ascii="Book Antiqua" w:hAnsi="Book Antiqua"/>
          <w:sz w:val="20"/>
          <w:szCs w:val="20"/>
        </w:rPr>
        <w:t>ctual</w:t>
      </w:r>
      <w:r w:rsidRPr="00D112AF">
        <w:rPr>
          <w:rFonts w:ascii="Book Antiqua" w:hAnsi="Book Antiqua"/>
          <w:sz w:val="20"/>
          <w:szCs w:val="20"/>
        </w:rPr>
        <w:t xml:space="preserve"> Doppler shift</w:t>
      </w:r>
      <w:r>
        <w:rPr>
          <w:rFonts w:ascii="Book Antiqua" w:hAnsi="Book Antiqua"/>
          <w:sz w:val="20"/>
          <w:szCs w:val="20"/>
        </w:rPr>
        <w:t>s</w:t>
      </w:r>
      <w:r w:rsidRPr="00D112AF">
        <w:rPr>
          <w:rFonts w:ascii="Book Antiqua" w:hAnsi="Book Antiqua"/>
          <w:sz w:val="20"/>
          <w:szCs w:val="20"/>
        </w:rPr>
        <w:t xml:space="preserve"> in space.  </w:t>
      </w:r>
      <w:r>
        <w:rPr>
          <w:rFonts w:ascii="Book Antiqua" w:hAnsi="Book Antiqua"/>
          <w:sz w:val="20"/>
          <w:szCs w:val="20"/>
        </w:rPr>
        <w:t xml:space="preserve">These can mainly be seen in our Local Group of galaxies, binary stars, and in more distant galaxy rotation rates.  </w:t>
      </w:r>
      <w:r w:rsidRPr="00D112AF">
        <w:rPr>
          <w:rFonts w:ascii="Book Antiqua" w:hAnsi="Book Antiqua"/>
          <w:sz w:val="20"/>
          <w:szCs w:val="20"/>
        </w:rPr>
        <w:t>Are these affected by a varying ZPE or speed of light?  It is expected that these Doppler effects will usually be non-relativistic at their point of origin. Consequently, the basic Doppler formula becomes</w:t>
      </w:r>
    </w:p>
    <w:p w:rsidR="00C96FD7" w:rsidRPr="00D112AF" w:rsidRDefault="00C96FD7" w:rsidP="00C96FD7">
      <w:pPr>
        <w:pStyle w:val="NormalWeb"/>
        <w:jc w:val="right"/>
        <w:rPr>
          <w:rFonts w:ascii="Book Antiqua" w:hAnsi="Book Antiqua"/>
          <w:i/>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w:t>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i/>
          <w:sz w:val="20"/>
          <w:szCs w:val="20"/>
        </w:rPr>
        <w:t>(1)</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Here, </w:t>
      </w:r>
      <m:oMath>
        <m:r>
          <w:rPr>
            <w:rFonts w:ascii="Cambria Math" w:hAnsi="Cambria Math"/>
            <w:sz w:val="20"/>
            <w:szCs w:val="20"/>
          </w:rPr>
          <m:t>λ</m:t>
        </m:r>
      </m:oMath>
      <w:r w:rsidRPr="00D112AF">
        <w:rPr>
          <w:rFonts w:ascii="Book Antiqua" w:hAnsi="Book Antiqua"/>
          <w:sz w:val="20"/>
          <w:szCs w:val="20"/>
        </w:rPr>
        <w:t xml:space="preserve"> is the laboratory wavelength and </w:t>
      </w:r>
      <m:oMath>
        <m:r>
          <w:rPr>
            <w:rFonts w:ascii="Cambria Math" w:hAnsi="Cambria Math"/>
            <w:sz w:val="20"/>
            <w:szCs w:val="20"/>
          </w:rPr>
          <m:t>Δλ</m:t>
        </m:r>
      </m:oMath>
      <w:r w:rsidRPr="00D112AF">
        <w:rPr>
          <w:rFonts w:ascii="Book Antiqua" w:hAnsi="Book Antiqua"/>
          <w:sz w:val="20"/>
          <w:szCs w:val="20"/>
        </w:rPr>
        <w:t xml:space="preserve"> is the observed change in wavelength compared with the laboratory standard. The velocity producing the Doppler shift is given </w:t>
      </w:r>
      <w:proofErr w:type="gramStart"/>
      <w:r w:rsidRPr="00D112AF">
        <w:rPr>
          <w:rFonts w:ascii="Book Antiqua" w:hAnsi="Book Antiqua"/>
          <w:sz w:val="20"/>
          <w:szCs w:val="20"/>
        </w:rPr>
        <w:t xml:space="preserve">by </w:t>
      </w:r>
      <m:oMath>
        <w:proofErr w:type="gramEnd"/>
        <m:r>
          <w:rPr>
            <w:rStyle w:val="Emphasis"/>
            <w:rFonts w:ascii="Cambria Math" w:hAnsi="Cambria Math"/>
            <w:sz w:val="20"/>
            <w:szCs w:val="20"/>
          </w:rPr>
          <m:t>v</m:t>
        </m:r>
      </m:oMath>
      <w:r w:rsidRPr="00D112AF">
        <w:rPr>
          <w:rFonts w:ascii="Book Antiqua" w:hAnsi="Book Antiqua"/>
          <w:sz w:val="20"/>
          <w:szCs w:val="20"/>
        </w:rPr>
        <w:t xml:space="preserve">, while the speed of light is </w:t>
      </w:r>
      <m:oMath>
        <m:r>
          <w:rPr>
            <w:rStyle w:val="Emphasis"/>
            <w:rFonts w:ascii="Cambria Math" w:hAnsi="Cambria Math"/>
            <w:sz w:val="20"/>
            <w:szCs w:val="20"/>
          </w:rPr>
          <m:t>c</m:t>
        </m:r>
      </m:oMath>
      <w:r w:rsidRPr="00D112AF">
        <w:rPr>
          <w:rFonts w:ascii="Book Antiqua" w:hAnsi="Book Antiqua"/>
          <w:sz w:val="20"/>
          <w:szCs w:val="20"/>
        </w:rPr>
        <w:t xml:space="preserve">. The relativistic counterpart can be found in </w:t>
      </w:r>
      <w:r w:rsidRPr="00D112AF">
        <w:rPr>
          <w:rStyle w:val="Emphasis"/>
          <w:rFonts w:ascii="Book Antiqua" w:hAnsi="Book Antiqua"/>
          <w:sz w:val="20"/>
          <w:szCs w:val="20"/>
        </w:rPr>
        <w:t>Fundamentals of Optics</w:t>
      </w:r>
      <w:r w:rsidRPr="00D112AF">
        <w:rPr>
          <w:rFonts w:ascii="Book Antiqua" w:hAnsi="Book Antiqua"/>
          <w:sz w:val="20"/>
          <w:szCs w:val="20"/>
        </w:rPr>
        <w:t xml:space="preserve"> </w:t>
      </w:r>
      <w:hyperlink r:id="rId1272" w:anchor="6a191" w:history="1">
        <w:r w:rsidRPr="00D112AF">
          <w:rPr>
            <w:rStyle w:val="Hyperlink"/>
            <w:rFonts w:ascii="Book Antiqua" w:hAnsi="Book Antiqua"/>
            <w:sz w:val="20"/>
            <w:szCs w:val="20"/>
          </w:rPr>
          <w:t>[1]</w:t>
        </w:r>
      </w:hyperlink>
      <w:r w:rsidRPr="00D112AF">
        <w:rPr>
          <w:rFonts w:ascii="Book Antiqua" w:hAnsi="Book Antiqua"/>
          <w:sz w:val="20"/>
          <w:szCs w:val="20"/>
        </w:rPr>
        <w:t xml:space="preserve">. It has the same primary term </w:t>
      </w:r>
      <m:oMath>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as in (1) but also includes higher order terms. As shown in chapter 2, wavelengths remain unchanged in transit through space as the speed of light drops. The analogy of a locomotive pulling carriages was given. As the locomotive slows down, the carriage length (wavelengths) remains fixed, but the number of carriages passing a given point per second (the frequency) slows down in proportion to the locomotive’s speed.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Therefore, a</w:t>
      </w:r>
      <w:r>
        <w:rPr>
          <w:rFonts w:ascii="Book Antiqua" w:hAnsi="Book Antiqua"/>
          <w:sz w:val="20"/>
          <w:szCs w:val="20"/>
        </w:rPr>
        <w:t>lthough there is</w:t>
      </w:r>
      <w:r w:rsidRPr="00D112AF">
        <w:rPr>
          <w:rFonts w:ascii="Book Antiqua" w:hAnsi="Book Antiqua"/>
          <w:sz w:val="20"/>
          <w:szCs w:val="20"/>
        </w:rPr>
        <w:t xml:space="preserve"> ZPE induced red-shifting</w:t>
      </w:r>
      <w:r>
        <w:rPr>
          <w:rFonts w:ascii="Book Antiqua" w:hAnsi="Book Antiqua"/>
          <w:sz w:val="20"/>
          <w:szCs w:val="20"/>
        </w:rPr>
        <w:t xml:space="preserve"> of the light at the point of emission from atoms</w:t>
      </w:r>
      <w:r w:rsidRPr="00D112AF">
        <w:rPr>
          <w:rFonts w:ascii="Book Antiqua" w:hAnsi="Book Antiqua"/>
          <w:sz w:val="20"/>
          <w:szCs w:val="20"/>
        </w:rPr>
        <w:t xml:space="preserve">, the term </w:t>
      </w:r>
      <m:oMath>
        <m:r>
          <w:rPr>
            <w:rFonts w:ascii="Cambria Math" w:hAnsi="Cambria Math"/>
            <w:sz w:val="20"/>
            <w:szCs w:val="20"/>
          </w:rPr>
          <m:t>Δλ</m:t>
        </m:r>
      </m:oMath>
      <w:r w:rsidRPr="00D112AF">
        <w:rPr>
          <w:rFonts w:ascii="Book Antiqua" w:hAnsi="Book Antiqua"/>
          <w:sz w:val="20"/>
          <w:szCs w:val="20"/>
        </w:rPr>
        <w:t xml:space="preserve"> remains unchanged in transit. The laboratory wavelength</w:t>
      </w:r>
      <w:proofErr w:type="gramStart"/>
      <w:r w:rsidRPr="00D112AF">
        <w:rPr>
          <w:rFonts w:ascii="Book Antiqua" w:hAnsi="Book Antiqua"/>
          <w:sz w:val="20"/>
          <w:szCs w:val="20"/>
        </w:rPr>
        <w:t xml:space="preserve">, </w:t>
      </w:r>
      <m:oMath>
        <w:proofErr w:type="gramEnd"/>
        <m:r>
          <w:rPr>
            <w:rFonts w:ascii="Cambria Math" w:hAnsi="Cambria Math"/>
            <w:sz w:val="20"/>
            <w:szCs w:val="20"/>
          </w:rPr>
          <m:t>λ</m:t>
        </m:r>
      </m:oMath>
      <w:r w:rsidRPr="00D112AF">
        <w:rPr>
          <w:rFonts w:ascii="Book Antiqua" w:hAnsi="Book Antiqua"/>
          <w:sz w:val="20"/>
          <w:szCs w:val="20"/>
        </w:rPr>
        <w:t xml:space="preserve">, also remains unchanged. Thus the left hand side of equation (1) is independent of changing conditions in transit and depends entirely on conditions at the time of emission. If we now designate the speed of light at the time of emission as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and the velocity involved at that time as being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then, retaining </w:t>
      </w:r>
      <m:oMath>
        <m:r>
          <w:rPr>
            <w:rStyle w:val="Emphasis"/>
            <w:rFonts w:ascii="Cambria Math" w:hAnsi="Cambria Math"/>
            <w:sz w:val="20"/>
            <w:szCs w:val="20"/>
          </w:rPr>
          <m:t>c</m:t>
        </m:r>
      </m:oMath>
      <w:r w:rsidRPr="00D112AF">
        <w:rPr>
          <w:rFonts w:ascii="Book Antiqua" w:hAnsi="Book Antiqua"/>
          <w:sz w:val="20"/>
          <w:szCs w:val="20"/>
        </w:rPr>
        <w:t xml:space="preserve"> as the velocity of light now and </w:t>
      </w:r>
      <m:oMath>
        <m:r>
          <w:rPr>
            <w:rStyle w:val="Emphasis"/>
            <w:rFonts w:ascii="Cambria Math" w:hAnsi="Cambria Math"/>
            <w:sz w:val="20"/>
            <w:szCs w:val="20"/>
          </w:rPr>
          <m:t>v</m:t>
        </m:r>
      </m:oMath>
      <w:r w:rsidRPr="00D112AF">
        <w:rPr>
          <w:rFonts w:ascii="Book Antiqua" w:hAnsi="Book Antiqua"/>
          <w:sz w:val="20"/>
          <w:szCs w:val="20"/>
        </w:rPr>
        <w:t xml:space="preserve"> the inferred velocity at reception, we can write (1) as </w:t>
      </w:r>
    </w:p>
    <w:p w:rsidR="00C96FD7" w:rsidRPr="00D112AF" w:rsidRDefault="00C96FD7" w:rsidP="00C96FD7">
      <w:pPr>
        <w:pStyle w:val="NormalWeb"/>
        <w:jc w:val="right"/>
        <w:rPr>
          <w:rFonts w:ascii="Book Antiqua" w:hAnsi="Book Antiqua"/>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p"/>
          </m:rP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 xml:space="preserve"> </m:t>
        </m:r>
        <m:r>
          <m:rPr>
            <m:sty m:val="p"/>
          </m:rPr>
          <w:rPr>
            <w:rFonts w:ascii="Cambria Math" w:hAnsi="Book Antiqua"/>
            <w:sz w:val="20"/>
            <w:szCs w:val="20"/>
          </w:rPr>
          <m:t xml:space="preserve">=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t xml:space="preserve"> </w:t>
      </w:r>
      <w:r w:rsidRPr="00D112AF">
        <w:rPr>
          <w:rFonts w:ascii="Book Antiqua" w:hAnsi="Book Antiqua"/>
          <w:sz w:val="20"/>
          <w:szCs w:val="20"/>
        </w:rPr>
        <w:t xml:space="preserve">(2) </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From (2) it follows that </w:t>
      </w:r>
    </w:p>
    <w:p w:rsidR="00C96FD7" w:rsidRPr="00D112AF" w:rsidRDefault="00241D2F" w:rsidP="00C96FD7">
      <w:pPr>
        <w:pStyle w:val="NormalWeb"/>
        <w:jc w:val="right"/>
        <w:rPr>
          <w:rFonts w:ascii="Book Antiqua" w:hAnsi="Book Antiqua"/>
          <w:sz w:val="20"/>
          <w:szCs w:val="20"/>
        </w:rPr>
      </w:pP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w:rPr>
            <w:rStyle w:val="Emphasis"/>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Fonts w:ascii="Book Antiqua" w:hAnsi="Book Antiqua"/>
          <w:i/>
          <w:sz w:val="20"/>
          <w:szCs w:val="20"/>
        </w:rPr>
        <w:t xml:space="preserve"> (3)</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Therefore, the actual velocity at the point of emission that we are measuring is </w:t>
      </w:r>
      <m:oMath>
        <m:r>
          <w:rPr>
            <w:rStyle w:val="Emphasis"/>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Pr="00D112AF">
        <w:rPr>
          <w:rStyle w:val="Emphasis"/>
          <w:rFonts w:ascii="Book Antiqua" w:hAnsi="Book Antiqua"/>
          <w:sz w:val="20"/>
          <w:szCs w:val="20"/>
        </w:rPr>
        <w:t xml:space="preserve"> </w:t>
      </w:r>
      <w:r w:rsidRPr="00D112AF">
        <w:rPr>
          <w:rFonts w:ascii="Book Antiqua" w:hAnsi="Book Antiqua"/>
          <w:sz w:val="20"/>
          <w:szCs w:val="20"/>
        </w:rPr>
        <w:t>times greater than the velocity</w:t>
      </w:r>
      <m:oMath>
        <m:r>
          <w:rPr>
            <w:rFonts w:ascii="Cambria Math" w:hAnsi="Book Antiqua"/>
            <w:sz w:val="20"/>
            <w:szCs w:val="20"/>
          </w:rPr>
          <m:t xml:space="preserve"> </m:t>
        </m:r>
        <m:r>
          <w:rPr>
            <w:rStyle w:val="Emphasis"/>
            <w:rFonts w:ascii="Cambria Math" w:hAnsi="Cambria Math"/>
            <w:sz w:val="20"/>
            <w:szCs w:val="20"/>
          </w:rPr>
          <m:t>v</m:t>
        </m:r>
        <m:r>
          <w:rPr>
            <w:rFonts w:ascii="Cambria Math" w:hAnsi="Book Antiqua"/>
            <w:sz w:val="20"/>
            <w:szCs w:val="20"/>
          </w:rPr>
          <m:t xml:space="preserve"> </m:t>
        </m:r>
      </m:oMath>
      <w:r w:rsidRPr="00D112AF">
        <w:rPr>
          <w:rFonts w:ascii="Book Antiqua" w:hAnsi="Book Antiqua"/>
          <w:sz w:val="20"/>
          <w:szCs w:val="20"/>
        </w:rPr>
        <w:t>that we are inferring from the measurements. The practical outcome of this conclusion may be demonstrated by two examples.</w:t>
      </w:r>
    </w:p>
    <w:p w:rsidR="00C96FD7" w:rsidRPr="00D112AF" w:rsidRDefault="00C96FD7" w:rsidP="00C96FD7">
      <w:pPr>
        <w:pStyle w:val="NormalWeb"/>
        <w:spacing w:before="0" w:beforeAutospacing="0" w:after="240" w:afterAutospacing="0" w:line="210" w:lineRule="atLeast"/>
        <w:jc w:val="both"/>
        <w:rPr>
          <w:rFonts w:ascii="Book Antiqua" w:hAnsi="Book Antiqua"/>
          <w:b/>
          <w:i/>
          <w:sz w:val="20"/>
          <w:szCs w:val="20"/>
        </w:rPr>
      </w:pPr>
      <w:bookmarkStart w:id="250" w:name="data"/>
      <w:bookmarkEnd w:id="250"/>
      <w:r w:rsidRPr="00D112AF">
        <w:rPr>
          <w:rStyle w:val="Strong"/>
          <w:rFonts w:ascii="Book Antiqua" w:hAnsi="Book Antiqua"/>
          <w:i/>
          <w:sz w:val="20"/>
          <w:szCs w:val="20"/>
        </w:rPr>
        <w:t xml:space="preserve">C2.    Data </w:t>
      </w:r>
      <w:proofErr w:type="gramStart"/>
      <w:r w:rsidRPr="00D112AF">
        <w:rPr>
          <w:rStyle w:val="Strong"/>
          <w:rFonts w:ascii="Book Antiqua" w:hAnsi="Book Antiqua"/>
          <w:i/>
          <w:sz w:val="20"/>
          <w:szCs w:val="20"/>
        </w:rPr>
        <w:t>From</w:t>
      </w:r>
      <w:proofErr w:type="gramEnd"/>
      <w:r w:rsidRPr="00D112AF">
        <w:rPr>
          <w:rStyle w:val="Strong"/>
          <w:rFonts w:ascii="Book Antiqua" w:hAnsi="Book Antiqua"/>
          <w:i/>
          <w:sz w:val="20"/>
          <w:szCs w:val="20"/>
        </w:rPr>
        <w:t xml:space="preserve"> a Supernova</w:t>
      </w:r>
    </w:p>
    <w:p w:rsidR="00C96FD7"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The rate of expansion of the supernova SN 1993J in M81 (NGC 3031) was observed in optical, radio and ultraviolet wavelengths. For example, optical spectroscopy using Doppler shifts of the blue edge of the hydrogen alpha line absorption trough determined the expansion rate based on a constant speed of light. Data from the supernova’s brilliance had given a distance to M81 that closely agreed with the Cepheid data [2-5]. But if </w:t>
      </w:r>
      <m:oMath>
        <m:r>
          <w:rPr>
            <w:rStyle w:val="Emphasis"/>
            <w:rFonts w:ascii="Cambria Math" w:hAnsi="Cambria Math"/>
            <w:sz w:val="20"/>
            <w:szCs w:val="20"/>
          </w:rPr>
          <m:t>c</m:t>
        </m:r>
      </m:oMath>
      <w:r w:rsidRPr="00D112AF">
        <w:rPr>
          <w:rFonts w:ascii="Book Antiqua" w:hAnsi="Book Antiqua"/>
          <w:sz w:val="20"/>
          <w:szCs w:val="20"/>
        </w:rPr>
        <w:t xml:space="preserve"> was higher at emission and slowed in transit, then we, the observers, were seeing those events in slow motion. Nevertheless, the Doppler shift calculated on the current speed of light would exactly correspond with the observed sequence of events. This result is obtained since the actual velocity of expansion</w:t>
      </w:r>
      <w:proofErr w:type="gramStart"/>
      <w:r w:rsidRPr="00D112AF">
        <w:rPr>
          <w:rFonts w:ascii="Book Antiqua" w:hAnsi="Book Antiqua"/>
          <w:sz w:val="20"/>
          <w:szCs w:val="20"/>
        </w:rPr>
        <w:t xml:space="preserve">,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and the actual velocity of light,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were both proportionally greater. Because of this proportionality, the ratio </w:t>
      </w:r>
      <m:oMath>
        <m:r>
          <w:rPr>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bi"/>
          </m:rPr>
          <w:rPr>
            <w:rStyle w:val="Strong"/>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Fonts w:ascii="Cambria Math" w:hAnsi="Book Antiqua"/>
            <w:sz w:val="20"/>
            <w:szCs w:val="20"/>
          </w:rPr>
          <m:t>)</m:t>
        </m:r>
      </m:oMath>
      <w:r w:rsidRPr="00D112AF">
        <w:rPr>
          <w:rFonts w:ascii="Book Antiqua" w:hAnsi="Book Antiqua"/>
          <w:sz w:val="20"/>
          <w:szCs w:val="20"/>
        </w:rPr>
        <w:t xml:space="preserve"> at the point of emission is still the same as the inferred </w:t>
      </w:r>
      <m:oMath>
        <m:r>
          <w:rPr>
            <w:rFonts w:ascii="Cambria Math" w:hAnsi="Book Antiqua"/>
            <w:sz w:val="20"/>
            <w:szCs w:val="20"/>
          </w:rPr>
          <m:t>(</m:t>
        </m:r>
        <m:r>
          <w:rPr>
            <w:rFonts w:ascii="Cambria Math" w:hAnsi="Cambria Math"/>
            <w:sz w:val="20"/>
            <w:szCs w:val="20"/>
          </w:rPr>
          <m:t>v</m:t>
        </m:r>
        <m:r>
          <w:rPr>
            <w:rFonts w:ascii="Cambria Math" w:hAnsi="Book Antiqua"/>
            <w:sz w:val="20"/>
            <w:szCs w:val="20"/>
          </w:rPr>
          <m:t>/</m:t>
        </m:r>
        <m:r>
          <w:rPr>
            <w:rFonts w:ascii="Cambria Math" w:hAnsi="Cambria Math"/>
            <w:sz w:val="20"/>
            <w:szCs w:val="20"/>
          </w:rPr>
          <m:t>c</m:t>
        </m:r>
        <m:r>
          <w:rPr>
            <w:rFonts w:ascii="Cambria Math" w:hAnsi="Book Antiqua"/>
            <w:sz w:val="20"/>
            <w:szCs w:val="20"/>
          </w:rPr>
          <m:t>)</m:t>
        </m:r>
      </m:oMath>
      <w:r w:rsidRPr="00D112AF">
        <w:rPr>
          <w:rFonts w:ascii="Book Antiqua" w:hAnsi="Book Antiqua"/>
          <w:sz w:val="20"/>
          <w:szCs w:val="20"/>
        </w:rPr>
        <w:t xml:space="preserve"> at reception, so velocities measured by Doppler shifts will always be in agreement with observed phenomena under conditions of varying ZPE and lightspeed, </w:t>
      </w:r>
      <m:oMath>
        <m:r>
          <w:rPr>
            <w:rStyle w:val="Emphasis"/>
            <w:rFonts w:ascii="Cambria Math" w:hAnsi="Cambria Math"/>
            <w:sz w:val="20"/>
            <w:szCs w:val="20"/>
          </w:rPr>
          <m:t>c</m:t>
        </m:r>
      </m:oMath>
      <w:r w:rsidRPr="00D112AF">
        <w:rPr>
          <w:rFonts w:ascii="Book Antiqua" w:hAnsi="Book Antiqua"/>
          <w:sz w:val="20"/>
          <w:szCs w:val="20"/>
        </w:rPr>
        <w:t>.</w:t>
      </w:r>
      <w:bookmarkStart w:id="251" w:name="rotation"/>
      <w:bookmarkEnd w:id="251"/>
    </w:p>
    <w:p w:rsidR="00A564E7" w:rsidRDefault="00A564E7" w:rsidP="00C96FD7">
      <w:pPr>
        <w:pStyle w:val="NormalWeb"/>
        <w:ind w:firstLine="720"/>
        <w:jc w:val="both"/>
        <w:rPr>
          <w:rFonts w:ascii="Book Antiqua" w:hAnsi="Book Antiqua"/>
          <w:sz w:val="20"/>
          <w:szCs w:val="20"/>
        </w:rPr>
      </w:pPr>
    </w:p>
    <w:p w:rsidR="00C96FD7" w:rsidRPr="00D112AF" w:rsidRDefault="00C96FD7" w:rsidP="00C96FD7">
      <w:pPr>
        <w:pStyle w:val="NormalWeb"/>
        <w:jc w:val="both"/>
        <w:rPr>
          <w:rFonts w:ascii="Book Antiqua" w:hAnsi="Book Antiqua"/>
          <w:b/>
          <w:i/>
          <w:sz w:val="20"/>
          <w:szCs w:val="20"/>
        </w:rPr>
      </w:pPr>
      <w:r w:rsidRPr="00D112AF">
        <w:rPr>
          <w:rFonts w:ascii="Book Antiqua" w:hAnsi="Book Antiqua"/>
          <w:b/>
          <w:i/>
          <w:sz w:val="20"/>
          <w:szCs w:val="20"/>
        </w:rPr>
        <w:lastRenderedPageBreak/>
        <w:t xml:space="preserve">C3.   </w:t>
      </w:r>
      <w:r w:rsidRPr="00D112AF">
        <w:rPr>
          <w:rStyle w:val="Strong"/>
          <w:rFonts w:ascii="Book Antiqua" w:hAnsi="Book Antiqua"/>
          <w:i/>
          <w:sz w:val="20"/>
          <w:szCs w:val="20"/>
        </w:rPr>
        <w:t>Rotation Rates of Distant Galaxies</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Doppler shifts are used to calculate galaxy rotation rates.  </w:t>
      </w:r>
      <w:r>
        <w:rPr>
          <w:rFonts w:ascii="Book Antiqua" w:hAnsi="Book Antiqua"/>
          <w:sz w:val="20"/>
          <w:szCs w:val="20"/>
        </w:rPr>
        <w:t>However, e</w:t>
      </w:r>
      <w:r w:rsidRPr="00D112AF">
        <w:rPr>
          <w:rFonts w:ascii="Book Antiqua" w:hAnsi="Book Antiqua"/>
          <w:sz w:val="20"/>
          <w:szCs w:val="20"/>
        </w:rPr>
        <w:t xml:space="preserve">quation (3) implies these rates were faster than suspected from a straightforward reading of the Doppler measurements. The problem of the flat rotation curves of galaxies, where stars in the outer parts of galaxies are rotating around the center at the same speed as those closer in, is well-known. It has given rise to the idea of the ‘missing mass’ which it is thought must exist as ‘dark matter’ halos to galaxies. This is the only way the gravitational model can attempt to explain the speed of rotation of the outer arms.  A changing ZPE and Doppler shift seem to make the situation as shown in equation (3) somewhat worse in the eyes of a number of astronomers.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The answer to this comes from the Plasma Model of galaxy formation which was elaborated by Anthony Peratt in two major articles in the IEEE Transaction on Plasma Science [6]. There, Peratt published photographs of experiments in the laboratory with plasma filaments and Birkeland currents. The photographs reveal that every form of galaxy can be reproduced as a sequence starting with a double radio galaxy and a quasar and ending up with a spiral galaxy simply by the interaction of two or more plasma filaments. The interaction time governs the final form of the object </w:t>
      </w:r>
      <w:hyperlink r:id="rId1273" w:anchor="6a220" w:history="1">
        <w:r w:rsidRPr="00D112AF">
          <w:rPr>
            <w:rStyle w:val="Hyperlink"/>
            <w:rFonts w:ascii="Book Antiqua" w:hAnsi="Book Antiqua"/>
            <w:sz w:val="20"/>
            <w:szCs w:val="20"/>
          </w:rPr>
          <w:t>[6]</w:t>
        </w:r>
      </w:hyperlink>
      <w:r w:rsidRPr="00D112AF">
        <w:rPr>
          <w:rFonts w:ascii="Book Antiqua" w:hAnsi="Book Antiqua"/>
          <w:sz w:val="20"/>
          <w:szCs w:val="20"/>
        </w:rPr>
        <w:t>. One of the sequences is reproduced in Figure 1 below.</w:t>
      </w:r>
    </w:p>
    <w:p w:rsidR="00C96FD7" w:rsidRPr="00D112AF" w:rsidRDefault="00C96FD7" w:rsidP="00C96FD7">
      <w:pPr>
        <w:pStyle w:val="NormalWeb"/>
        <w:jc w:val="center"/>
        <w:rPr>
          <w:rFonts w:ascii="Book Antiqua" w:hAnsi="Book Antiqua"/>
          <w:sz w:val="20"/>
          <w:szCs w:val="20"/>
        </w:rPr>
      </w:pPr>
      <w:r w:rsidRPr="00D112AF">
        <w:rPr>
          <w:rFonts w:ascii="Book Antiqua" w:hAnsi="Book Antiqua"/>
          <w:noProof/>
          <w:sz w:val="20"/>
          <w:szCs w:val="20"/>
        </w:rPr>
        <w:drawing>
          <wp:inline distT="0" distB="0" distL="0" distR="0">
            <wp:extent cx="6611435" cy="2676525"/>
            <wp:effectExtent l="19050" t="0" r="0" b="0"/>
            <wp:docPr id="773" name="Picture 10" descr="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b"/>
                    <pic:cNvPicPr>
                      <a:picLocks noChangeAspect="1" noChangeArrowheads="1"/>
                    </pic:cNvPicPr>
                  </pic:nvPicPr>
                  <pic:blipFill>
                    <a:blip r:embed="rId1274" cstate="print"/>
                    <a:srcRect/>
                    <a:stretch>
                      <a:fillRect/>
                    </a:stretch>
                  </pic:blipFill>
                  <pic:spPr bwMode="auto">
                    <a:xfrm>
                      <a:off x="0" y="0"/>
                      <a:ext cx="6615069" cy="2677996"/>
                    </a:xfrm>
                    <a:prstGeom prst="rect">
                      <a:avLst/>
                    </a:prstGeom>
                    <a:noFill/>
                    <a:ln w="9525">
                      <a:noFill/>
                      <a:miter lim="800000"/>
                      <a:headEnd/>
                      <a:tailEnd/>
                    </a:ln>
                  </pic:spPr>
                </pic:pic>
              </a:graphicData>
            </a:graphic>
          </wp:inline>
        </w:drawing>
      </w:r>
    </w:p>
    <w:p w:rsidR="00C96FD7" w:rsidRPr="0092452E" w:rsidRDefault="00C96FD7" w:rsidP="00C96FD7">
      <w:pPr>
        <w:pStyle w:val="NormalWeb"/>
        <w:rPr>
          <w:rFonts w:ascii="Book Antiqua" w:hAnsi="Book Antiqua"/>
          <w:i/>
          <w:sz w:val="18"/>
          <w:szCs w:val="18"/>
        </w:rPr>
      </w:pPr>
      <w:r w:rsidRPr="0092452E">
        <w:rPr>
          <w:rFonts w:ascii="Book Antiqua" w:hAnsi="Book Antiqua"/>
          <w:b/>
          <w:i/>
          <w:sz w:val="18"/>
          <w:szCs w:val="18"/>
        </w:rPr>
        <w:t xml:space="preserve">Figure </w:t>
      </w:r>
      <w:proofErr w:type="gramStart"/>
      <w:r w:rsidRPr="0092452E">
        <w:rPr>
          <w:rFonts w:ascii="Book Antiqua" w:hAnsi="Book Antiqua"/>
          <w:b/>
          <w:i/>
          <w:sz w:val="18"/>
          <w:szCs w:val="18"/>
        </w:rPr>
        <w:t>I</w:t>
      </w:r>
      <w:proofErr w:type="gramEnd"/>
      <w:r w:rsidRPr="0092452E">
        <w:rPr>
          <w:rFonts w:ascii="Book Antiqua" w:hAnsi="Book Antiqua"/>
          <w:b/>
          <w:i/>
          <w:sz w:val="18"/>
          <w:szCs w:val="18"/>
        </w:rPr>
        <w:t>:</w:t>
      </w:r>
      <w:r w:rsidRPr="0092452E">
        <w:rPr>
          <w:rFonts w:ascii="Book Antiqua" w:hAnsi="Book Antiqua"/>
          <w:i/>
          <w:sz w:val="18"/>
          <w:szCs w:val="18"/>
        </w:rPr>
        <w:t xml:space="preserve"> The interaction sequence of two plasma filaments in the laboratory, looking down their length from above</w:t>
      </w:r>
      <w:r>
        <w:rPr>
          <w:rFonts w:ascii="Book Antiqua" w:hAnsi="Book Antiqua"/>
          <w:i/>
          <w:sz w:val="18"/>
          <w:szCs w:val="18"/>
        </w:rPr>
        <w:t xml:space="preserve"> at their point of closest approach</w:t>
      </w:r>
      <w:r w:rsidRPr="0092452E">
        <w:rPr>
          <w:rFonts w:ascii="Book Antiqua" w:hAnsi="Book Antiqua"/>
          <w:i/>
          <w:sz w:val="18"/>
          <w:szCs w:val="18"/>
        </w:rPr>
        <w:t xml:space="preserve">. Every kind of galaxy </w:t>
      </w:r>
      <w:r>
        <w:rPr>
          <w:rFonts w:ascii="Book Antiqua" w:hAnsi="Book Antiqua"/>
          <w:i/>
          <w:sz w:val="18"/>
          <w:szCs w:val="18"/>
        </w:rPr>
        <w:t>has</w:t>
      </w:r>
      <w:r w:rsidRPr="0092452E">
        <w:rPr>
          <w:rFonts w:ascii="Book Antiqua" w:hAnsi="Book Antiqua"/>
          <w:i/>
          <w:sz w:val="18"/>
          <w:szCs w:val="18"/>
        </w:rPr>
        <w:t xml:space="preserve"> be</w:t>
      </w:r>
      <w:r>
        <w:rPr>
          <w:rFonts w:ascii="Book Antiqua" w:hAnsi="Book Antiqua"/>
          <w:i/>
          <w:sz w:val="18"/>
          <w:szCs w:val="18"/>
        </w:rPr>
        <w:t xml:space="preserve">en </w:t>
      </w:r>
      <w:r w:rsidRPr="0092452E">
        <w:rPr>
          <w:rFonts w:ascii="Book Antiqua" w:hAnsi="Book Antiqua"/>
          <w:i/>
          <w:sz w:val="18"/>
          <w:szCs w:val="18"/>
        </w:rPr>
        <w:t>formed in miniature, depending where the interaction stops. Experiments with up to 12 interacting filaments have been performed, but most galaxy types result from the interaction of two or three filaments. See Chapter 6 for more details.</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 The experiments show that the flat rotation curves of the spiral arms in galaxies are reproduced exactly. The spiral arms are not controlled by gravitation, but rather by the strength of the Birkeland current in the plasma filaments which make up the spiral arms </w:t>
      </w:r>
      <w:hyperlink r:id="rId1275" w:anchor="6a221" w:history="1">
        <w:r w:rsidRPr="00D112AF">
          <w:rPr>
            <w:rStyle w:val="Hyperlink"/>
            <w:rFonts w:ascii="Book Antiqua" w:hAnsi="Book Antiqua"/>
            <w:sz w:val="20"/>
            <w:szCs w:val="20"/>
          </w:rPr>
          <w:t>[7]</w:t>
        </w:r>
      </w:hyperlink>
      <w:r w:rsidRPr="00D112AF">
        <w:rPr>
          <w:rFonts w:ascii="Book Antiqua" w:hAnsi="Book Antiqua"/>
          <w:sz w:val="20"/>
          <w:szCs w:val="20"/>
        </w:rPr>
        <w:t xml:space="preserve">. The animated versions of the experimental photographs reveal this clearly. As the current strength drops off, so, too, does the rotation rate of the spiral arms about the galaxy center. It has nothing to do with gravity and orbital mechanics. Thus when the Birkeland current strength is greater, the entire galaxy rotation rate is faster </w:t>
      </w:r>
      <w:hyperlink r:id="rId1276" w:anchor="6a223" w:history="1">
        <w:r w:rsidRPr="009D4E00">
          <w:rPr>
            <w:rStyle w:val="Hyperlink"/>
            <w:rFonts w:ascii="Book Antiqua" w:hAnsi="Book Antiqua"/>
            <w:sz w:val="20"/>
            <w:szCs w:val="20"/>
          </w:rPr>
          <w:t>[7]</w:t>
        </w:r>
      </w:hyperlink>
      <w:r w:rsidRPr="00D112AF">
        <w:rPr>
          <w:rFonts w:ascii="Book Antiqua" w:hAnsi="Book Antiqua"/>
          <w:sz w:val="20"/>
          <w:szCs w:val="20"/>
        </w:rPr>
        <w:t>. This is in accord with plasma theory.</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It might then be expected that the strength of the Birkeland currents would decline with time after the formation of the universe. For this reason alone, it would then be anticipated that actual galaxy rotation rates would be faster the</w:t>
      </w:r>
      <w:r>
        <w:rPr>
          <w:rFonts w:ascii="Book Antiqua" w:hAnsi="Book Antiqua"/>
          <w:sz w:val="20"/>
          <w:szCs w:val="20"/>
        </w:rPr>
        <w:t xml:space="preserve"> farther out they are, or</w:t>
      </w:r>
      <w:r w:rsidRPr="00D112AF">
        <w:rPr>
          <w:rFonts w:ascii="Book Antiqua" w:hAnsi="Book Antiqua"/>
          <w:sz w:val="20"/>
          <w:szCs w:val="20"/>
        </w:rPr>
        <w:t xml:space="preserve"> nearer they are to the inception of the cosmos. This situation closely approximates what we are seeing if the Doppler velocities are corrected for higher lightspeed at the time of emission.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lastRenderedPageBreak/>
        <w:t>Chapter 6 shows that when the ZPE strength is lower, and lightspeed is higher, the electric current strengths will be intrinsically greater. Therefore, using plasma physics, and an initially low ZPE strength, it follows that galaxy rotation rates must necessarily be higher in the past. Rotation rates then drop</w:t>
      </w:r>
      <w:r>
        <w:rPr>
          <w:rFonts w:ascii="Book Antiqua" w:hAnsi="Book Antiqua"/>
          <w:sz w:val="20"/>
          <w:szCs w:val="20"/>
        </w:rPr>
        <w:t>ped</w:t>
      </w:r>
      <w:r w:rsidRPr="00D112AF">
        <w:rPr>
          <w:rFonts w:ascii="Book Antiqua" w:hAnsi="Book Antiqua"/>
          <w:sz w:val="20"/>
          <w:szCs w:val="20"/>
        </w:rPr>
        <w:t xml:space="preserve"> as the ZPE strength increased and currents lessened. This agrees with what we see as well as with the evidence from galaxy Doppler shifts. Equations (1) to (3</w:t>
      </w:r>
      <w:proofErr w:type="gramStart"/>
      <w:r w:rsidRPr="00D112AF">
        <w:rPr>
          <w:rFonts w:ascii="Book Antiqua" w:hAnsi="Book Antiqua"/>
          <w:sz w:val="20"/>
          <w:szCs w:val="20"/>
        </w:rPr>
        <w:t>),</w:t>
      </w:r>
      <w:proofErr w:type="gramEnd"/>
      <w:r w:rsidRPr="00D112AF">
        <w:rPr>
          <w:rFonts w:ascii="Book Antiqua" w:hAnsi="Book Antiqua"/>
          <w:sz w:val="20"/>
          <w:szCs w:val="20"/>
        </w:rPr>
        <w:t xml:space="preserve"> imply that the further out into space we look, the faster the galaxy rotation rates should be.  Plasma physics agrees when it is coupled with an increasing ZPE strength and declining </w:t>
      </w:r>
      <w:r w:rsidRPr="00D112AF">
        <w:rPr>
          <w:rStyle w:val="Emphasis"/>
          <w:rFonts w:ascii="Book Antiqua" w:hAnsi="Book Antiqua"/>
          <w:sz w:val="20"/>
          <w:szCs w:val="20"/>
        </w:rPr>
        <w:t>c</w:t>
      </w:r>
      <w:r w:rsidRPr="00D112AF">
        <w:rPr>
          <w:rFonts w:ascii="Book Antiqua" w:hAnsi="Book Antiqua"/>
          <w:sz w:val="20"/>
          <w:szCs w:val="20"/>
        </w:rPr>
        <w:t xml:space="preserve"> values. </w:t>
      </w:r>
    </w:p>
    <w:p w:rsidR="00C96FD7" w:rsidRPr="00D112AF" w:rsidRDefault="00C96FD7" w:rsidP="00C96FD7">
      <w:pPr>
        <w:pStyle w:val="NormalWeb"/>
        <w:spacing w:before="0" w:beforeAutospacing="0" w:after="240" w:afterAutospacing="0" w:line="210" w:lineRule="atLeast"/>
        <w:jc w:val="both"/>
        <w:rPr>
          <w:rStyle w:val="Strong"/>
          <w:rFonts w:ascii="Book Antiqua" w:hAnsi="Book Antiqua"/>
          <w:b w:val="0"/>
          <w:i/>
          <w:sz w:val="20"/>
          <w:szCs w:val="20"/>
        </w:rPr>
      </w:pPr>
      <w:r w:rsidRPr="00D112AF">
        <w:rPr>
          <w:rStyle w:val="Strong"/>
          <w:rFonts w:ascii="Book Antiqua" w:hAnsi="Book Antiqua"/>
          <w:i/>
          <w:sz w:val="20"/>
          <w:szCs w:val="20"/>
        </w:rPr>
        <w:t>C4.   Binary Stars' Orbit Revolution Rates</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As shown, the Doppler shift information gives us the rotation rates of distant galaxies.  It also gives us similar information regarding binary stars.  These are two</w:t>
      </w:r>
      <w:r w:rsidRPr="00C96FD7">
        <w:rPr>
          <w:rStyle w:val="Strong"/>
          <w:rFonts w:ascii="Book Antiqua" w:hAnsi="Book Antiqua"/>
          <w:b w:val="0"/>
          <w:sz w:val="20"/>
          <w:szCs w:val="20"/>
        </w:rPr>
        <w:softHyphen/>
        <w:t xml:space="preserve">-star systems which orbit around each other.  In some two-star systems, their alignment is such that, as seen from the earth, periodic eclipses occur as one star passes in front of the other. These are known, specifically, as eclipsing binaries.  There have been recorded over 11,000 eclipsing binary stars in our Local Group of galaxies [8]. This includes our own Galaxy (the Milky Way), the Large Magellanic Cloud, the Small Magellanic Cloud, M31 (the great Andromeda galaxy), and M33 (the Triangulum spiral galaxy), as well as some of the associated dwarf galaxies. The times between the eclipses can be measured as one star passes in front of its companion star. This gives us the time it takes for the stars to orbit each other. In addition, the velocity of the two stars involved can be measured by the Doppler </w:t>
      </w:r>
      <w:proofErr w:type="gramStart"/>
      <w:r w:rsidRPr="00C96FD7">
        <w:rPr>
          <w:rStyle w:val="Strong"/>
          <w:rFonts w:ascii="Book Antiqua" w:hAnsi="Book Antiqua"/>
          <w:b w:val="0"/>
          <w:sz w:val="20"/>
          <w:szCs w:val="20"/>
        </w:rPr>
        <w:t>effect</w:t>
      </w:r>
      <w:proofErr w:type="gramEnd"/>
      <w:r w:rsidRPr="00C96FD7">
        <w:rPr>
          <w:rStyle w:val="Strong"/>
          <w:rFonts w:ascii="Book Antiqua" w:hAnsi="Book Antiqua"/>
          <w:b w:val="0"/>
          <w:sz w:val="20"/>
          <w:szCs w:val="20"/>
        </w:rPr>
        <w:t>. The color of the stars supplies additional information. From these data, astronomers try to calculate orbital characteristics, as well as the masses and distances of the stars involved.</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Nevertheless, some feel that there might be a potential problem because of equation (3) in this Appendix. This suspected problem arises because the ZPE was lower in the past, so there was a higher speed of light. Consequently, we are seeing these eclipsing binary star events in slow motion. Thus the orbit times for the stars involved must have been shorter at the time when the light was emitted. This is backed up by equation (3) which indicates that the orbit speed was higher than we are assuming from the Doppler data. Thus the orbit velocity (indicated by the Doppler shift) was higher, in proportion to the speed of light change (as given by equation 3), and the orbital period (from the eclipse timing) was correspondingly shorter. The two effects are synchronous. From gravitational physics, faster orbit times mean either more massive stars and/or much tighter orbits so the two components of the system are closer together. The suspicion is that if this is the case, then unrealistically short distances between the stars would be required and/or unrealistic velocities.  But that is the necessary outcome from gravitational physics.</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 xml:space="preserve">However the explanation is quite clear in the plasma physics model: although some double stars may be formed by stellar fissioning, most double stars are formed from twin plasma filaments. Due to the nature of intertwining plasma filaments, which are a feature of Birkeland currents, the majority of binaries are probably formed from intertwining plasma filaments. Multiple stars could then be formed from multiple filaments. Laboratory experiments with plasma have included up to 12 filaments. Those filaments with parallel currents intertwine and their magnetic fields cause them to approach each other until short-range repulsive forces operate to keep them apart. In space, when the system undergoes a Bennett pinch, plasma stars are formed, each of which has an electric charge. </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Stars bearing an electric charge</w:t>
      </w:r>
      <w:proofErr w:type="gramStart"/>
      <w:r w:rsidRPr="00C96FD7">
        <w:rPr>
          <w:rStyle w:val="Strong"/>
          <w:rFonts w:ascii="Book Antiqua" w:hAnsi="Book Antiqua"/>
          <w:b w:val="0"/>
          <w:sz w:val="20"/>
          <w:szCs w:val="20"/>
        </w:rPr>
        <w:t xml:space="preserve">, </w:t>
      </w:r>
      <m:oMath>
        <w:proofErr w:type="gramEnd"/>
        <m:r>
          <m:rPr>
            <m:sty m:val="bi"/>
          </m:rPr>
          <w:rPr>
            <w:rStyle w:val="Strong"/>
            <w:rFonts w:ascii="Cambria Math" w:hAnsi="Book Antiqua"/>
            <w:sz w:val="20"/>
            <w:szCs w:val="20"/>
          </w:rPr>
          <m:t>+</m:t>
        </m:r>
        <m:r>
          <m:rPr>
            <m:sty m:val="bi"/>
          </m:rPr>
          <w:rPr>
            <w:rStyle w:val="Strong"/>
            <w:rFonts w:ascii="Cambria Math" w:hAnsi="Cambria Math"/>
            <w:sz w:val="20"/>
            <w:szCs w:val="20"/>
          </w:rPr>
          <m:t>q</m:t>
        </m:r>
      </m:oMath>
      <w:r w:rsidRPr="00C96FD7">
        <w:rPr>
          <w:rStyle w:val="Strong"/>
          <w:rFonts w:ascii="Book Antiqua" w:hAnsi="Book Antiqua"/>
          <w:b w:val="0"/>
          <w:sz w:val="20"/>
          <w:szCs w:val="20"/>
        </w:rPr>
        <w:t xml:space="preserve">, are in a classical situation:  in the laboratory, a charged particle in a magnetic field is acted on by a force which gives it a velocity, </w:t>
      </w:r>
      <m:oMath>
        <m:r>
          <m:rPr>
            <m:sty m:val="bi"/>
          </m:rPr>
          <w:rPr>
            <w:rStyle w:val="Strong"/>
            <w:rFonts w:ascii="Cambria Math" w:hAnsi="Cambria Math"/>
            <w:sz w:val="20"/>
            <w:szCs w:val="20"/>
          </w:rPr>
          <m:t>v</m:t>
        </m:r>
      </m:oMath>
      <w:r w:rsidRPr="00C96FD7">
        <w:rPr>
          <w:rStyle w:val="Strong"/>
          <w:rFonts w:ascii="Book Antiqua" w:hAnsi="Book Antiqua"/>
          <w:b w:val="0"/>
          <w:sz w:val="20"/>
          <w:szCs w:val="20"/>
        </w:rPr>
        <w:t>, or angular velocity</w:t>
      </w:r>
      <m:oMath>
        <m:r>
          <m:rPr>
            <m:sty m:val="bi"/>
          </m:rPr>
          <w:rPr>
            <w:rStyle w:val="Strong"/>
            <w:rFonts w:ascii="Cambria Math" w:hAnsi="Book Antiqua"/>
            <w:sz w:val="20"/>
            <w:szCs w:val="20"/>
          </w:rPr>
          <m:t xml:space="preserve"> </m:t>
        </m:r>
        <m:r>
          <m:rPr>
            <m:sty m:val="bi"/>
          </m:rPr>
          <w:rPr>
            <w:rStyle w:val="Strong"/>
            <w:rFonts w:ascii="Cambria Math" w:hAnsi="Cambria Math"/>
            <w:sz w:val="20"/>
            <w:szCs w:val="20"/>
          </w:rPr>
          <m:t>ω</m:t>
        </m:r>
      </m:oMath>
      <w:r w:rsidRPr="00C96FD7">
        <w:rPr>
          <w:rStyle w:val="Strong"/>
          <w:rFonts w:ascii="Book Antiqua" w:hAnsi="Book Antiqua"/>
          <w:b w:val="0"/>
          <w:sz w:val="20"/>
          <w:szCs w:val="20"/>
        </w:rPr>
        <w:t xml:space="preserve"> as it travels in a circle. Both velocities are dependent on the strength of the current. If we substitute the two stars, each carrying a strong electric charge, for the charged particles, they will behave the same way.  They will come to their closest approach distance governed by the operation of short range repulsive forces, which depend on the parameters of the system. Since the ratio </w:t>
      </w:r>
      <m:oMath>
        <m:r>
          <m:rPr>
            <m:sty m:val="bi"/>
          </m:rPr>
          <w:rPr>
            <w:rStyle w:val="Strong"/>
            <w:rFonts w:ascii="Cambria Math" w:hAnsi="Book Antiqua"/>
            <w:sz w:val="20"/>
            <w:szCs w:val="20"/>
          </w:rPr>
          <m:t>(</m:t>
        </m:r>
        <m:sSup>
          <m:sSupPr>
            <m:ctrlPr>
              <w:rPr>
                <w:rStyle w:val="Strong"/>
                <w:rFonts w:ascii="Cambria Math" w:hAnsi="Book Antiqua"/>
                <w:b w:val="0"/>
                <w:bCs w:val="0"/>
                <w:i/>
                <w:sz w:val="20"/>
                <w:szCs w:val="20"/>
              </w:rPr>
            </m:ctrlPr>
          </m:sSupPr>
          <m:e>
            <m:r>
              <m:rPr>
                <m:sty m:val="bi"/>
              </m:rPr>
              <w:rPr>
                <w:rStyle w:val="Strong"/>
                <w:rFonts w:ascii="Cambria Math" w:hAnsi="Cambria Math"/>
                <w:sz w:val="20"/>
                <w:szCs w:val="20"/>
              </w:rPr>
              <m:t>q</m:t>
            </m:r>
          </m:e>
          <m:sup>
            <m:r>
              <m:rPr>
                <m:sty m:val="bi"/>
              </m:rPr>
              <w:rPr>
                <w:rStyle w:val="Strong"/>
                <w:rFonts w:ascii="Cambria Math" w:hAnsi="Cambria Math"/>
                <w:sz w:val="20"/>
                <w:szCs w:val="20"/>
              </w:rPr>
              <m:t>2</m:t>
            </m:r>
          </m:sup>
        </m:sSup>
        <m:r>
          <m:rPr>
            <m:sty m:val="bi"/>
          </m:rPr>
          <w:rPr>
            <w:rStyle w:val="Strong"/>
            <w:rFonts w:ascii="Cambria Math" w:hAnsi="Book Antiqua"/>
            <w:sz w:val="20"/>
            <w:szCs w:val="20"/>
          </w:rPr>
          <m:t>/</m:t>
        </m:r>
        <m:r>
          <m:rPr>
            <m:sty m:val="bi"/>
          </m:rPr>
          <w:rPr>
            <w:rStyle w:val="Strong"/>
            <w:rFonts w:ascii="Cambria Math" w:hAnsi="Cambria Math"/>
            <w:sz w:val="20"/>
            <w:szCs w:val="20"/>
          </w:rPr>
          <m:t>ε</m:t>
        </m:r>
        <m:r>
          <m:rPr>
            <m:sty m:val="bi"/>
          </m:rPr>
          <w:rPr>
            <w:rStyle w:val="Strong"/>
            <w:rFonts w:ascii="Cambria Math" w:hAnsi="Book Antiqua"/>
            <w:sz w:val="20"/>
            <w:szCs w:val="20"/>
          </w:rPr>
          <m:t xml:space="preserve">) </m:t>
        </m:r>
      </m:oMath>
      <w:r w:rsidRPr="00C96FD7">
        <w:rPr>
          <w:rStyle w:val="Strong"/>
          <w:rFonts w:ascii="Book Antiqua" w:hAnsi="Book Antiqua"/>
          <w:b w:val="0"/>
          <w:sz w:val="20"/>
          <w:szCs w:val="20"/>
        </w:rPr>
        <w:t>remains constant for the charges on the stars, then this minimum separation distance will remain fixed as the ZPE varies. However, their velocity, as they circle each other in the magnetic field, can be shown (as in Chapter 6) to be inversely proportional to the strength of the ZPE and so proportional to the speed of light.</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 xml:space="preserve">As demonstrated in Chapter 6, when the ZPE strength was lower, the electric and magnetic forces acting on the stars in a double or multiple systems would have been stronger than gravitational forces. This means the orbiting of stars in these systems was then in response to electromagnetic forces, making orbital velocities were higher, proportional </w:t>
      </w:r>
      <w:proofErr w:type="gramStart"/>
      <w:r w:rsidRPr="00C96FD7">
        <w:rPr>
          <w:rStyle w:val="Strong"/>
          <w:rFonts w:ascii="Book Antiqua" w:hAnsi="Book Antiqua"/>
          <w:b w:val="0"/>
          <w:sz w:val="20"/>
          <w:szCs w:val="20"/>
        </w:rPr>
        <w:t xml:space="preserve">to </w:t>
      </w:r>
      <m:oMath>
        <w:proofErr w:type="gramEnd"/>
        <m:r>
          <m:rPr>
            <m:sty m:val="bi"/>
          </m:rPr>
          <w:rPr>
            <w:rStyle w:val="Strong"/>
            <w:rFonts w:ascii="Cambria Math" w:hAnsi="Cambria Math"/>
            <w:sz w:val="20"/>
            <w:szCs w:val="20"/>
          </w:rPr>
          <m:t>c</m:t>
        </m:r>
      </m:oMath>
      <w:r w:rsidRPr="00C96FD7">
        <w:rPr>
          <w:rStyle w:val="Strong"/>
          <w:rFonts w:ascii="Book Antiqua" w:hAnsi="Book Antiqua"/>
          <w:b w:val="0"/>
          <w:sz w:val="20"/>
          <w:szCs w:val="20"/>
        </w:rPr>
        <w:t xml:space="preserve">. </w:t>
      </w:r>
      <w:r w:rsidRPr="00C96FD7">
        <w:rPr>
          <w:rStyle w:val="Strong"/>
          <w:rFonts w:ascii="Book Antiqua" w:hAnsi="Book Antiqua"/>
          <w:b w:val="0"/>
          <w:sz w:val="20"/>
          <w:szCs w:val="20"/>
        </w:rPr>
        <w:lastRenderedPageBreak/>
        <w:t xml:space="preserve">Orbit times and hence eclipse times were then shorter. Orbit radii, however, remained approximately constant because the action of short-range repulsive forces. As the light emitted from these events slowed in transit, we see these events in slow motion with proportionally longer times between eclipses.  This matches the Doppler orbit velocities. In this way, the orbit times for eclipsing binaries as we view them will remain constant. </w:t>
      </w:r>
    </w:p>
    <w:p w:rsidR="00C96FD7" w:rsidRPr="00D112AF" w:rsidRDefault="00C96FD7" w:rsidP="00C96FD7">
      <w:pPr>
        <w:pStyle w:val="NormalWeb"/>
        <w:ind w:firstLine="720"/>
        <w:jc w:val="both"/>
        <w:rPr>
          <w:rFonts w:ascii="Book Antiqua" w:hAnsi="Book Antiqua"/>
          <w:sz w:val="20"/>
          <w:szCs w:val="20"/>
        </w:rPr>
      </w:pPr>
      <w:r w:rsidRPr="00C96FD7">
        <w:rPr>
          <w:rStyle w:val="Strong"/>
          <w:rFonts w:ascii="Book Antiqua" w:hAnsi="Book Antiqua"/>
          <w:b w:val="0"/>
          <w:sz w:val="20"/>
          <w:szCs w:val="20"/>
        </w:rPr>
        <w:t xml:space="preserve">As we approach our own epoch in time and space, the strength of electromagnetic interactions reduces until eventually gravity takes over. Near the change-over point there will be contributions to orbit parameters from both electromagnetism and gravity. The equation for stars orbiting under the effects of both gravity and electric and magnetic forces was given by </w:t>
      </w:r>
      <w:r w:rsidRPr="00D112AF">
        <w:rPr>
          <w:rFonts w:ascii="Book Antiqua" w:hAnsi="Book Antiqua"/>
          <w:sz w:val="20"/>
          <w:szCs w:val="20"/>
        </w:rPr>
        <w:t xml:space="preserve">Anthony Peratt. The motion of a solid object in such an environment is completely described by his second equation in </w:t>
      </w:r>
      <w:r w:rsidRPr="00D112AF">
        <w:rPr>
          <w:rFonts w:ascii="Book Antiqua" w:hAnsi="Book Antiqua"/>
          <w:i/>
          <w:sz w:val="20"/>
          <w:szCs w:val="20"/>
        </w:rPr>
        <w:t>Evolution of a Plasma Universe</w:t>
      </w:r>
      <w:r w:rsidRPr="00D112AF">
        <w:rPr>
          <w:rFonts w:ascii="Book Antiqua" w:hAnsi="Book Antiqua"/>
          <w:sz w:val="20"/>
          <w:szCs w:val="20"/>
        </w:rPr>
        <w:t xml:space="preserve"> [9]:</w:t>
      </w:r>
    </w:p>
    <w:p w:rsidR="00C96FD7" w:rsidRPr="00D112AF" w:rsidRDefault="00C96FD7" w:rsidP="00C96FD7">
      <w:pPr>
        <w:pStyle w:val="equation"/>
        <w:spacing w:before="80" w:after="80"/>
        <w:jc w:val="right"/>
        <w:rPr>
          <w:color w:val="000000"/>
          <w:sz w:val="20"/>
        </w:rPr>
      </w:pPr>
      <w:r w:rsidRPr="00D112AF">
        <w:rPr>
          <w:color w:val="000000"/>
          <w:sz w:val="20"/>
        </w:rPr>
        <w:tab/>
      </w:r>
      <w:r w:rsidRPr="00D112AF">
        <w:rPr>
          <w:color w:val="000000"/>
          <w:position w:val="-20"/>
          <w:sz w:val="20"/>
        </w:rPr>
        <w:object w:dxaOrig="2600" w:dyaOrig="499">
          <v:shape id="_x0000_i1357" type="#_x0000_t75" style="width:129.5pt;height:24.8pt" o:ole="">
            <v:imagedata r:id="rId925" o:title=""/>
          </v:shape>
          <o:OLEObject Type="Embed" ProgID="Equation.DSMT4" ShapeID="_x0000_i1357" DrawAspect="Content" ObjectID="_1438189170" r:id="rId1277"/>
        </w:object>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i/>
          <w:color w:val="000000"/>
          <w:sz w:val="20"/>
        </w:rPr>
        <w:t>(4)</w:t>
      </w:r>
    </w:p>
    <w:p w:rsidR="00C96FD7" w:rsidRPr="00D112AF" w:rsidRDefault="00C96FD7" w:rsidP="00C96FD7">
      <w:pPr>
        <w:pStyle w:val="NormalWeb"/>
        <w:jc w:val="both"/>
        <w:rPr>
          <w:rStyle w:val="Strong"/>
          <w:rFonts w:ascii="Book Antiqua" w:hAnsi="Book Antiqua"/>
          <w:b w:val="0"/>
          <w:sz w:val="20"/>
          <w:szCs w:val="20"/>
        </w:rPr>
      </w:pPr>
      <w:r w:rsidRPr="00D112AF">
        <w:rPr>
          <w:rFonts w:ascii="Book Antiqua" w:hAnsi="Book Antiqua"/>
          <w:color w:val="000000"/>
          <w:sz w:val="20"/>
          <w:szCs w:val="20"/>
        </w:rPr>
        <w:t xml:space="preserve">In his equation reproduced as (4) here, </w:t>
      </w:r>
      <w:r w:rsidRPr="00D112AF">
        <w:rPr>
          <w:rFonts w:ascii="Book Antiqua" w:hAnsi="Book Antiqua"/>
          <w:color w:val="000000"/>
          <w:position w:val="-6"/>
          <w:sz w:val="20"/>
          <w:szCs w:val="20"/>
        </w:rPr>
        <w:object w:dxaOrig="220" w:dyaOrig="200">
          <v:shape id="_x0000_i1358" type="#_x0000_t75" style="width:10.3pt;height:10.3pt" o:ole="">
            <v:imagedata r:id="rId927" o:title=""/>
          </v:shape>
          <o:OLEObject Type="Embed" ProgID="Equation.DSMT4" ShapeID="_x0000_i1358" DrawAspect="Content" ObjectID="_1438189171" r:id="rId1278"/>
        </w:object>
      </w:r>
      <w:r w:rsidRPr="00D112AF">
        <w:rPr>
          <w:rFonts w:ascii="Book Antiqua" w:hAnsi="Book Antiqua"/>
          <w:color w:val="000000"/>
          <w:sz w:val="20"/>
          <w:szCs w:val="20"/>
        </w:rPr>
        <w:t>is the mass of the object, which has a velocity</w:t>
      </w:r>
      <w:r w:rsidRPr="00D112AF">
        <w:rPr>
          <w:rFonts w:ascii="Book Antiqua" w:hAnsi="Book Antiqua"/>
          <w:color w:val="000000"/>
          <w:position w:val="-6"/>
          <w:sz w:val="20"/>
          <w:szCs w:val="20"/>
        </w:rPr>
        <w:object w:dxaOrig="180" w:dyaOrig="200">
          <v:shape id="_x0000_i1359" type="#_x0000_t75" style="width:9.7pt;height:10.3pt" o:ole="">
            <v:imagedata r:id="rId929" o:title=""/>
          </v:shape>
          <o:OLEObject Type="Embed" ProgID="Equation.DSMT4" ShapeID="_x0000_i1359" DrawAspect="Content" ObjectID="_1438189172" r:id="rId1279"/>
        </w:object>
      </w:r>
      <w:r w:rsidRPr="00D112AF">
        <w:rPr>
          <w:rFonts w:ascii="Book Antiqua" w:hAnsi="Book Antiqua"/>
          <w:color w:val="000000"/>
          <w:sz w:val="20"/>
          <w:szCs w:val="20"/>
        </w:rPr>
        <w:t>and carries an electric charge</w:t>
      </w:r>
      <w:r w:rsidRPr="00D112AF">
        <w:rPr>
          <w:rFonts w:ascii="Book Antiqua" w:hAnsi="Book Antiqua"/>
          <w:color w:val="000000"/>
          <w:position w:val="-10"/>
          <w:sz w:val="20"/>
          <w:szCs w:val="20"/>
        </w:rPr>
        <w:object w:dxaOrig="160" w:dyaOrig="240">
          <v:shape id="_x0000_i1360" type="#_x0000_t75" style="width:7.85pt;height:12.1pt" o:ole="">
            <v:imagedata r:id="rId931" o:title=""/>
          </v:shape>
          <o:OLEObject Type="Embed" ProgID="Equation.DSMT4" ShapeID="_x0000_i1360" DrawAspect="Content" ObjectID="_1438189173" r:id="rId1280"/>
        </w:object>
      </w:r>
      <w:r w:rsidRPr="00D112AF">
        <w:rPr>
          <w:rFonts w:ascii="Book Antiqua" w:hAnsi="Book Antiqua"/>
          <w:color w:val="000000"/>
          <w:sz w:val="20"/>
          <w:szCs w:val="20"/>
        </w:rPr>
        <w:t xml:space="preserve">.  The electric field strength and magnetic induction are </w:t>
      </w:r>
      <w:r w:rsidRPr="00D112AF">
        <w:rPr>
          <w:rFonts w:ascii="Book Antiqua" w:hAnsi="Book Antiqua"/>
          <w:color w:val="000000"/>
          <w:position w:val="-4"/>
          <w:sz w:val="20"/>
          <w:szCs w:val="20"/>
        </w:rPr>
        <w:object w:dxaOrig="180" w:dyaOrig="260">
          <v:shape id="_x0000_i1361" type="#_x0000_t75" style="width:9.7pt;height:12.7pt" o:ole="">
            <v:imagedata r:id="rId933" o:title=""/>
          </v:shape>
          <o:OLEObject Type="Embed" ProgID="Equation.DSMT4" ShapeID="_x0000_i1361" DrawAspect="Content" ObjectID="_1438189174" r:id="rId1281"/>
        </w:object>
      </w:r>
      <w:r w:rsidRPr="00D112AF">
        <w:rPr>
          <w:rFonts w:ascii="Book Antiqua" w:hAnsi="Book Antiqua"/>
          <w:color w:val="000000"/>
          <w:sz w:val="20"/>
          <w:szCs w:val="20"/>
        </w:rPr>
        <w:t xml:space="preserve"> and </w:t>
      </w:r>
      <w:r w:rsidRPr="00D112AF">
        <w:rPr>
          <w:rFonts w:ascii="Book Antiqua" w:hAnsi="Book Antiqua"/>
          <w:color w:val="000000"/>
          <w:position w:val="-4"/>
          <w:sz w:val="20"/>
          <w:szCs w:val="20"/>
        </w:rPr>
        <w:object w:dxaOrig="200" w:dyaOrig="260">
          <v:shape id="_x0000_i1362" type="#_x0000_t75" style="width:10.3pt;height:12.7pt" o:ole="">
            <v:imagedata r:id="rId935" o:title=""/>
          </v:shape>
          <o:OLEObject Type="Embed" ProgID="Equation.DSMT4" ShapeID="_x0000_i1362" DrawAspect="Content" ObjectID="_1438189175" r:id="rId1282"/>
        </w:object>
      </w:r>
      <w:r w:rsidRPr="00D112AF">
        <w:rPr>
          <w:rFonts w:ascii="Book Antiqua" w:hAnsi="Book Antiqua"/>
          <w:color w:val="000000"/>
          <w:sz w:val="20"/>
          <w:szCs w:val="20"/>
        </w:rPr>
        <w:t xml:space="preserve"> respectively.  The term</w:t>
      </w:r>
      <w:r w:rsidRPr="00D112AF">
        <w:rPr>
          <w:rFonts w:ascii="Book Antiqua" w:hAnsi="Book Antiqua"/>
          <w:color w:val="000000"/>
          <w:position w:val="-8"/>
          <w:sz w:val="20"/>
          <w:szCs w:val="20"/>
        </w:rPr>
        <w:object w:dxaOrig="279" w:dyaOrig="220">
          <v:shape id="_x0000_i1363" type="#_x0000_t75" style="width:14.5pt;height:10.3pt" o:ole="">
            <v:imagedata r:id="rId937" o:title=""/>
          </v:shape>
          <o:OLEObject Type="Embed" ProgID="Equation.DSMT4" ShapeID="_x0000_i1363" DrawAspect="Content" ObjectID="_1438189176" r:id="rId1283"/>
        </w:object>
      </w:r>
      <w:r w:rsidRPr="00D112AF">
        <w:rPr>
          <w:rFonts w:ascii="Book Antiqua" w:hAnsi="Book Antiqua"/>
          <w:color w:val="000000"/>
          <w:sz w:val="20"/>
          <w:szCs w:val="20"/>
        </w:rPr>
        <w:t>is due to the viscosity of the medium, and</w:t>
      </w:r>
      <w:r w:rsidRPr="00D112AF">
        <w:rPr>
          <w:rFonts w:ascii="Book Antiqua" w:hAnsi="Book Antiqua"/>
          <w:color w:val="000000"/>
          <w:position w:val="-10"/>
          <w:sz w:val="20"/>
          <w:szCs w:val="20"/>
        </w:rPr>
        <w:object w:dxaOrig="220" w:dyaOrig="279">
          <v:shape id="_x0000_i1364" type="#_x0000_t75" style="width:10.3pt;height:14.5pt" o:ole="">
            <v:imagedata r:id="rId939" o:title=""/>
          </v:shape>
          <o:OLEObject Type="Embed" ProgID="Equation.3" ShapeID="_x0000_i1364" DrawAspect="Content" ObjectID="_1438189177" r:id="rId1284"/>
        </w:object>
      </w:r>
      <w:r w:rsidRPr="00D112AF">
        <w:rPr>
          <w:rFonts w:ascii="Book Antiqua" w:hAnsi="Book Antiqua"/>
          <w:color w:val="000000"/>
          <w:sz w:val="20"/>
          <w:szCs w:val="20"/>
        </w:rPr>
        <w:t xml:space="preserve">is the sum of all other forces acting.  In the case being considered here, </w:t>
      </w:r>
      <w:proofErr w:type="gramStart"/>
      <w:r w:rsidRPr="00D112AF">
        <w:rPr>
          <w:rFonts w:ascii="Book Antiqua" w:hAnsi="Book Antiqua"/>
          <w:color w:val="000000"/>
          <w:sz w:val="20"/>
          <w:szCs w:val="20"/>
        </w:rPr>
        <w:t xml:space="preserve">the </w:t>
      </w:r>
      <w:r w:rsidRPr="00D112AF">
        <w:rPr>
          <w:rFonts w:ascii="Book Antiqua" w:hAnsi="Book Antiqua"/>
          <w:color w:val="000000"/>
          <w:position w:val="-8"/>
          <w:sz w:val="20"/>
          <w:szCs w:val="20"/>
        </w:rPr>
        <w:object w:dxaOrig="279" w:dyaOrig="220">
          <v:shape id="_x0000_i1365" type="#_x0000_t75" style="width:14.5pt;height:10.3pt" o:ole="">
            <v:imagedata r:id="rId941" o:title=""/>
          </v:shape>
          <o:OLEObject Type="Embed" ProgID="Equation.DSMT4" ShapeID="_x0000_i1365" DrawAspect="Content" ObjectID="_1438189178" r:id="rId1285"/>
        </w:object>
      </w:r>
      <w:r w:rsidRPr="00D112AF">
        <w:rPr>
          <w:rFonts w:ascii="Book Antiqua" w:hAnsi="Book Antiqua"/>
          <w:color w:val="000000"/>
          <w:sz w:val="20"/>
          <w:szCs w:val="20"/>
        </w:rPr>
        <w:t>and</w:t>
      </w:r>
      <w:proofErr w:type="gramEnd"/>
      <w:r w:rsidRPr="00D112AF">
        <w:rPr>
          <w:rFonts w:ascii="Book Antiqua" w:hAnsi="Book Antiqua"/>
          <w:color w:val="000000"/>
          <w:sz w:val="20"/>
          <w:szCs w:val="20"/>
        </w:rPr>
        <w:t xml:space="preserve"> </w:t>
      </w:r>
      <w:r w:rsidRPr="00D112AF">
        <w:rPr>
          <w:rFonts w:ascii="Book Antiqua" w:hAnsi="Book Antiqua"/>
          <w:color w:val="000000"/>
          <w:position w:val="-10"/>
          <w:sz w:val="20"/>
          <w:szCs w:val="20"/>
        </w:rPr>
        <w:object w:dxaOrig="200" w:dyaOrig="279">
          <v:shape id="_x0000_i1366" type="#_x0000_t75" style="width:10.3pt;height:14.5pt" o:ole="">
            <v:imagedata r:id="rId943" o:title=""/>
          </v:shape>
          <o:OLEObject Type="Embed" ProgID="Equation.DSMT4" ShapeID="_x0000_i1366" DrawAspect="Content" ObjectID="_1438189179" r:id="rId1286"/>
        </w:object>
      </w:r>
      <w:r w:rsidRPr="00D112AF">
        <w:rPr>
          <w:rFonts w:ascii="Book Antiqua" w:hAnsi="Book Antiqua"/>
          <w:color w:val="000000"/>
          <w:sz w:val="20"/>
          <w:szCs w:val="20"/>
        </w:rPr>
        <w:t>terms may be omitted, and only the gravitational and electromagnetic forces need to be considered.  Initially, the gravitational term is small compared with the electric and magnetic effects. It is only later that it becomes dominant when the ZPE strength has increased to near its present levels.</w:t>
      </w:r>
    </w:p>
    <w:p w:rsid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 xml:space="preserve"> In this way plasma physics gives a consistent picture regarding supernova, distant galaxies </w:t>
      </w:r>
      <w:proofErr w:type="gramStart"/>
      <w:r w:rsidRPr="00C96FD7">
        <w:rPr>
          <w:rStyle w:val="Strong"/>
          <w:rFonts w:ascii="Book Antiqua" w:hAnsi="Book Antiqua"/>
          <w:b w:val="0"/>
          <w:sz w:val="20"/>
          <w:szCs w:val="20"/>
        </w:rPr>
        <w:t>and  eclipsing</w:t>
      </w:r>
      <w:proofErr w:type="gramEnd"/>
      <w:r w:rsidRPr="00C96FD7">
        <w:rPr>
          <w:rStyle w:val="Strong"/>
          <w:rFonts w:ascii="Book Antiqua" w:hAnsi="Book Antiqua"/>
          <w:b w:val="0"/>
          <w:sz w:val="20"/>
          <w:szCs w:val="20"/>
        </w:rPr>
        <w:t xml:space="preserve"> binary stars along with their associated Doppler shifts in a changing ZPE scenario. </w:t>
      </w:r>
    </w:p>
    <w:p w:rsidR="00C96FD7" w:rsidRPr="00D112AF" w:rsidRDefault="00C96FD7" w:rsidP="00C96FD7">
      <w:pPr>
        <w:pStyle w:val="NormalWeb"/>
        <w:jc w:val="both"/>
        <w:rPr>
          <w:rFonts w:ascii="Book Antiqua" w:hAnsi="Book Antiqua"/>
          <w:b/>
          <w:sz w:val="20"/>
          <w:szCs w:val="20"/>
        </w:rPr>
      </w:pPr>
      <w:r w:rsidRPr="00D112AF">
        <w:rPr>
          <w:rFonts w:ascii="Book Antiqua" w:hAnsi="Book Antiqua"/>
          <w:b/>
          <w:sz w:val="20"/>
          <w:szCs w:val="20"/>
        </w:rPr>
        <w:t xml:space="preserve">References </w:t>
      </w:r>
      <w:r w:rsidRPr="00D112AF">
        <w:rPr>
          <w:rFonts w:ascii="Book Antiqua" w:hAnsi="Book Antiqua"/>
          <w:i/>
          <w:sz w:val="20"/>
          <w:szCs w:val="20"/>
        </w:rPr>
        <w:t>– All URL’s retrieved 20</w:t>
      </w:r>
      <w:r w:rsidRPr="00D112AF">
        <w:rPr>
          <w:rFonts w:ascii="Book Antiqua" w:hAnsi="Book Antiqua"/>
          <w:i/>
          <w:sz w:val="20"/>
          <w:szCs w:val="20"/>
          <w:vertAlign w:val="superscript"/>
        </w:rPr>
        <w:t>th</w:t>
      </w:r>
      <w:r w:rsidRPr="00D112AF">
        <w:rPr>
          <w:rFonts w:ascii="Book Antiqua" w:hAnsi="Book Antiqua"/>
          <w:i/>
          <w:sz w:val="20"/>
          <w:szCs w:val="20"/>
        </w:rPr>
        <w:t xml:space="preserve"> September 2012.</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[1]</w:t>
      </w:r>
      <w:bookmarkStart w:id="252" w:name="6a191"/>
      <w:bookmarkEnd w:id="252"/>
      <w:r w:rsidRPr="00D112AF">
        <w:rPr>
          <w:rFonts w:ascii="Book Antiqua" w:hAnsi="Book Antiqua"/>
          <w:sz w:val="16"/>
          <w:szCs w:val="16"/>
        </w:rPr>
        <w:t xml:space="preserve"> F. A. Jenkins &amp; H. E. White, </w:t>
      </w:r>
      <w:r w:rsidRPr="00D112AF">
        <w:rPr>
          <w:rStyle w:val="Emphasis"/>
          <w:rFonts w:ascii="Book Antiqua" w:hAnsi="Book Antiqua"/>
          <w:sz w:val="16"/>
          <w:szCs w:val="16"/>
        </w:rPr>
        <w:t>Fundamentals of Optics,</w:t>
      </w:r>
      <w:r w:rsidRPr="00D112AF">
        <w:rPr>
          <w:rFonts w:ascii="Book Antiqua" w:hAnsi="Book Antiqua"/>
          <w:sz w:val="16"/>
          <w:szCs w:val="16"/>
        </w:rPr>
        <w:t xml:space="preserve"> 3rd Edition, p. 403, (McGraw-Hill, 1957).</w:t>
      </w:r>
      <w:r w:rsidRPr="00D112AF">
        <w:rPr>
          <w:rFonts w:ascii="Book Antiqua" w:hAnsi="Book Antiqua"/>
          <w:sz w:val="16"/>
          <w:szCs w:val="16"/>
        </w:rPr>
        <w:br/>
        <w:t>[2]</w:t>
      </w:r>
      <w:bookmarkStart w:id="253" w:name="6a192"/>
      <w:bookmarkEnd w:id="253"/>
      <w:r w:rsidRPr="00D112AF">
        <w:rPr>
          <w:rFonts w:ascii="Book Antiqua" w:hAnsi="Book Antiqua"/>
          <w:sz w:val="16"/>
          <w:szCs w:val="16"/>
        </w:rPr>
        <w:t xml:space="preserve"> W. L. Freedman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427 (</w:t>
      </w:r>
      <w:r w:rsidRPr="00D112AF">
        <w:rPr>
          <w:rFonts w:ascii="Book Antiqua" w:hAnsi="Book Antiqua"/>
          <w:sz w:val="16"/>
          <w:szCs w:val="16"/>
        </w:rPr>
        <w:t>2)</w:t>
      </w:r>
      <w:proofErr w:type="gramStart"/>
      <w:r w:rsidRPr="00D112AF">
        <w:rPr>
          <w:rFonts w:ascii="Book Antiqua" w:hAnsi="Book Antiqua"/>
          <w:sz w:val="16"/>
          <w:szCs w:val="16"/>
        </w:rPr>
        <w:t>,  pp</w:t>
      </w:r>
      <w:proofErr w:type="gramEnd"/>
      <w:r w:rsidRPr="00D112AF">
        <w:rPr>
          <w:rFonts w:ascii="Book Antiqua" w:hAnsi="Book Antiqua"/>
          <w:sz w:val="16"/>
          <w:szCs w:val="16"/>
        </w:rPr>
        <w:t xml:space="preserve">. 628-655, (1994). </w:t>
      </w:r>
      <w:r w:rsidRPr="00D112AF">
        <w:rPr>
          <w:rFonts w:ascii="Book Antiqua" w:hAnsi="Book Antiqua"/>
          <w:sz w:val="16"/>
          <w:szCs w:val="16"/>
        </w:rPr>
        <w:br/>
      </w:r>
      <w:proofErr w:type="gramStart"/>
      <w:r w:rsidRPr="00D112AF">
        <w:rPr>
          <w:rFonts w:ascii="Book Antiqua" w:hAnsi="Book Antiqua"/>
          <w:sz w:val="16"/>
          <w:szCs w:val="16"/>
        </w:rPr>
        <w:t>[3]</w:t>
      </w:r>
      <w:bookmarkStart w:id="254" w:name="6a193"/>
      <w:bookmarkEnd w:id="254"/>
      <w:r w:rsidRPr="00D112AF">
        <w:rPr>
          <w:rFonts w:ascii="Book Antiqua" w:hAnsi="Book Antiqua"/>
          <w:sz w:val="16"/>
          <w:szCs w:val="16"/>
        </w:rPr>
        <w:t xml:space="preserve"> N. Bartel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368</w:t>
      </w:r>
      <w:r w:rsidRPr="00D112AF">
        <w:rPr>
          <w:rFonts w:ascii="Book Antiqua" w:hAnsi="Book Antiqua"/>
          <w:sz w:val="16"/>
          <w:szCs w:val="16"/>
        </w:rPr>
        <w:t xml:space="preserve"> (No. 6472), pp. 610-613, (1994).</w:t>
      </w:r>
      <w:proofErr w:type="gramEnd"/>
      <w:r w:rsidRPr="00D112AF">
        <w:rPr>
          <w:rFonts w:ascii="Book Antiqua" w:hAnsi="Book Antiqua"/>
          <w:sz w:val="16"/>
          <w:szCs w:val="16"/>
        </w:rPr>
        <w:t xml:space="preserve"> </w:t>
      </w:r>
      <w:r w:rsidRPr="00D112AF">
        <w:rPr>
          <w:rFonts w:ascii="Book Antiqua" w:hAnsi="Book Antiqua"/>
          <w:sz w:val="16"/>
          <w:szCs w:val="16"/>
        </w:rPr>
        <w:br/>
      </w:r>
      <w:proofErr w:type="gramStart"/>
      <w:r w:rsidRPr="00D112AF">
        <w:rPr>
          <w:rFonts w:ascii="Book Antiqua" w:hAnsi="Book Antiqua"/>
          <w:sz w:val="16"/>
          <w:szCs w:val="16"/>
        </w:rPr>
        <w:t>[4]</w:t>
      </w:r>
      <w:bookmarkStart w:id="255" w:name="6a194"/>
      <w:bookmarkEnd w:id="255"/>
      <w:r w:rsidRPr="00D112AF">
        <w:rPr>
          <w:rFonts w:ascii="Book Antiqua" w:hAnsi="Book Antiqua"/>
          <w:sz w:val="16"/>
          <w:szCs w:val="16"/>
        </w:rPr>
        <w:t xml:space="preserve"> J. M. Marcaide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373</w:t>
      </w:r>
      <w:r w:rsidRPr="00D112AF">
        <w:rPr>
          <w:rFonts w:ascii="Book Antiqua" w:hAnsi="Book Antiqua"/>
          <w:sz w:val="16"/>
          <w:szCs w:val="16"/>
        </w:rPr>
        <w:t>(No. 6509), pp. 44-45, (1995).</w:t>
      </w:r>
      <w:proofErr w:type="gramEnd"/>
      <w:r w:rsidRPr="00D112AF">
        <w:rPr>
          <w:rFonts w:ascii="Book Antiqua" w:hAnsi="Book Antiqua"/>
          <w:sz w:val="16"/>
          <w:szCs w:val="16"/>
        </w:rPr>
        <w:br/>
        <w:t>[5]</w:t>
      </w:r>
      <w:bookmarkStart w:id="256" w:name="6a195"/>
      <w:bookmarkEnd w:id="256"/>
      <w:r w:rsidRPr="00D112AF">
        <w:rPr>
          <w:rFonts w:ascii="Book Antiqua" w:hAnsi="Book Antiqua"/>
          <w:sz w:val="16"/>
          <w:szCs w:val="16"/>
        </w:rPr>
        <w:t xml:space="preserve"> J. M. Marcaide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486</w:t>
      </w:r>
      <w:r w:rsidRPr="00D112AF">
        <w:rPr>
          <w:rFonts w:ascii="Book Antiqua" w:hAnsi="Book Antiqua"/>
          <w:sz w:val="16"/>
          <w:szCs w:val="16"/>
        </w:rPr>
        <w:t>, pp. L31-L34, (1997).</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[6]</w:t>
      </w:r>
      <w:bookmarkStart w:id="257" w:name="6a220"/>
      <w:bookmarkEnd w:id="257"/>
      <w:r w:rsidRPr="00D112AF">
        <w:rPr>
          <w:rFonts w:ascii="Book Antiqua" w:hAnsi="Book Antiqua"/>
          <w:sz w:val="16"/>
          <w:szCs w:val="16"/>
        </w:rPr>
        <w:t xml:space="preserve"> A. L. Peratt, </w:t>
      </w:r>
      <w:r w:rsidRPr="00D112AF">
        <w:rPr>
          <w:rStyle w:val="Emphasis"/>
          <w:rFonts w:ascii="Book Antiqua" w:hAnsi="Book Antiqua"/>
          <w:sz w:val="16"/>
          <w:szCs w:val="16"/>
        </w:rPr>
        <w:t>IEEE Transactions on Plasma Science</w:t>
      </w:r>
      <w:r w:rsidRPr="00D112AF">
        <w:rPr>
          <w:rFonts w:ascii="Book Antiqua" w:hAnsi="Book Antiqua"/>
          <w:sz w:val="16"/>
          <w:szCs w:val="16"/>
        </w:rPr>
        <w:t>, Vol. PS-14 No. 6, pp. 639-778, (Dec. 1986).</w:t>
      </w:r>
      <w:r w:rsidRPr="00D112AF">
        <w:rPr>
          <w:rFonts w:ascii="Book Antiqua" w:hAnsi="Book Antiqua"/>
          <w:sz w:val="16"/>
          <w:szCs w:val="16"/>
        </w:rPr>
        <w:br/>
        <w:t>[7]</w:t>
      </w:r>
      <w:bookmarkStart w:id="258" w:name="6a221"/>
      <w:bookmarkEnd w:id="258"/>
      <w:r w:rsidRPr="00D112AF">
        <w:rPr>
          <w:rFonts w:ascii="Book Antiqua" w:hAnsi="Book Antiqua"/>
          <w:sz w:val="16"/>
          <w:szCs w:val="16"/>
        </w:rPr>
        <w:t xml:space="preserve"> Ibid, Figure 14. </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 xml:space="preserve">[8] E. Guinan, IAU Symposium 277, Burkina Faso, Africa, 2010, found here: </w:t>
      </w:r>
      <w:hyperlink r:id="rId1287" w:history="1">
        <w:r w:rsidRPr="00D112AF">
          <w:rPr>
            <w:rStyle w:val="Hyperlink"/>
            <w:rFonts w:ascii="Book Antiqua" w:hAnsi="Book Antiqua"/>
            <w:szCs w:val="16"/>
          </w:rPr>
          <w:t>http://www.iaus277.org/seeabstract.php?id=120</w:t>
        </w:r>
      </w:hyperlink>
      <w:r w:rsidRPr="00D112AF">
        <w:rPr>
          <w:rFonts w:ascii="Book Antiqua" w:hAnsi="Book Antiqua"/>
          <w:sz w:val="16"/>
          <w:szCs w:val="16"/>
        </w:rPr>
        <w:t xml:space="preserve">. Also B. Paczynski et al., </w:t>
      </w:r>
      <w:r w:rsidRPr="00D112AF">
        <w:rPr>
          <w:rFonts w:ascii="Book Antiqua" w:hAnsi="Book Antiqua"/>
          <w:i/>
          <w:sz w:val="16"/>
          <w:szCs w:val="16"/>
        </w:rPr>
        <w:t>Mon.Not.Roy.Astron.Soc.</w:t>
      </w:r>
      <w:r w:rsidRPr="00D112AF">
        <w:rPr>
          <w:rFonts w:ascii="Book Antiqua" w:hAnsi="Book Antiqua"/>
          <w:sz w:val="16"/>
          <w:szCs w:val="16"/>
        </w:rPr>
        <w:t xml:space="preserve"> </w:t>
      </w:r>
      <w:proofErr w:type="gramStart"/>
      <w:r w:rsidRPr="00D112AF">
        <w:rPr>
          <w:rFonts w:ascii="Book Antiqua" w:hAnsi="Book Antiqua"/>
          <w:b/>
          <w:sz w:val="16"/>
          <w:szCs w:val="16"/>
        </w:rPr>
        <w:t>368</w:t>
      </w:r>
      <w:r w:rsidRPr="00D112AF">
        <w:rPr>
          <w:rFonts w:ascii="Book Antiqua" w:hAnsi="Book Antiqua"/>
          <w:sz w:val="16"/>
          <w:szCs w:val="16"/>
        </w:rPr>
        <w:t>, 1311-1318, (2006).</w:t>
      </w:r>
      <w:proofErr w:type="gramEnd"/>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 xml:space="preserve">[9] A. L. Peratt, “Evolution of a Plasma Universe”, </w:t>
      </w:r>
      <w:r w:rsidRPr="00D112AF">
        <w:rPr>
          <w:rFonts w:ascii="Book Antiqua" w:hAnsi="Book Antiqua"/>
          <w:i/>
          <w:sz w:val="16"/>
          <w:szCs w:val="16"/>
        </w:rPr>
        <w:t>IEEE Transactions on Plasma Science</w:t>
      </w:r>
      <w:r w:rsidRPr="00D112AF">
        <w:rPr>
          <w:rFonts w:ascii="Book Antiqua" w:hAnsi="Book Antiqua"/>
          <w:sz w:val="16"/>
          <w:szCs w:val="16"/>
        </w:rPr>
        <w:t xml:space="preserve">, PS </w:t>
      </w:r>
      <w:r w:rsidRPr="00D112AF">
        <w:rPr>
          <w:rFonts w:ascii="Book Antiqua" w:hAnsi="Book Antiqua"/>
          <w:b/>
          <w:sz w:val="16"/>
          <w:szCs w:val="16"/>
        </w:rPr>
        <w:t>14</w:t>
      </w:r>
      <w:r w:rsidRPr="00D112AF">
        <w:rPr>
          <w:rFonts w:ascii="Book Antiqua" w:hAnsi="Book Antiqua"/>
          <w:sz w:val="16"/>
          <w:szCs w:val="16"/>
        </w:rPr>
        <w:t xml:space="preserve"> (6): 639-778 (Dec 1986).</w:t>
      </w:r>
    </w:p>
    <w:p w:rsidR="00C96FD7" w:rsidRPr="00D112AF" w:rsidRDefault="00C96FD7" w:rsidP="00C96FD7">
      <w:pPr>
        <w:pStyle w:val="NoSpacing"/>
        <w:rPr>
          <w:rFonts w:ascii="Book Antiqua" w:hAnsi="Book Antiqua"/>
          <w:sz w:val="20"/>
        </w:rPr>
      </w:pPr>
    </w:p>
    <w:p w:rsidR="00C96FD7" w:rsidRPr="00D112AF" w:rsidRDefault="00C96FD7" w:rsidP="00C96FD7">
      <w:pPr>
        <w:pStyle w:val="NoSpacing"/>
        <w:rPr>
          <w:rFonts w:ascii="Book Antiqua" w:hAnsi="Book Antiqua"/>
          <w:b/>
          <w:sz w:val="20"/>
        </w:rPr>
      </w:pPr>
      <w:r w:rsidRPr="00D112AF">
        <w:rPr>
          <w:rFonts w:ascii="Book Antiqua" w:hAnsi="Book Antiqua"/>
          <w:b/>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C96FD7" w:rsidRPr="00D112AF" w:rsidRDefault="00C96FD7" w:rsidP="00C96FD7">
      <w:pPr>
        <w:pStyle w:val="NoSpacing"/>
        <w:rPr>
          <w:rFonts w:ascii="Book Antiqua" w:hAnsi="Book Antiqua"/>
          <w:sz w:val="20"/>
        </w:rPr>
      </w:pP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Figure 1: Interaction of plasma filaments in lab experiments forming galaxies and their rotation characteristics.</w:t>
      </w:r>
    </w:p>
    <w:p w:rsidR="00C96FD7" w:rsidRPr="00D112AF" w:rsidRDefault="00241D2F" w:rsidP="00C96FD7">
      <w:pPr>
        <w:pStyle w:val="NoSpacing"/>
        <w:jc w:val="both"/>
        <w:rPr>
          <w:rFonts w:ascii="Book Antiqua" w:hAnsi="Book Antiqua"/>
          <w:sz w:val="16"/>
          <w:szCs w:val="16"/>
        </w:rPr>
      </w:pPr>
      <w:hyperlink r:id="rId1288" w:history="1">
        <w:r w:rsidR="00C96FD7" w:rsidRPr="00D112AF">
          <w:rPr>
            <w:rStyle w:val="Hyperlink"/>
            <w:rFonts w:ascii="Book Antiqua" w:hAnsi="Book Antiqua"/>
            <w:i/>
            <w:szCs w:val="16"/>
          </w:rPr>
          <w:t>http://www.thunderbolts.info/wp/2011/12/05/considering-the-electric-sun-part-1/perattsimulations_1/</w:t>
        </w:r>
      </w:hyperlink>
    </w:p>
    <w:p w:rsidR="00C96FD7" w:rsidRPr="00D112AF" w:rsidRDefault="00C96FD7" w:rsidP="00C96FD7">
      <w:pPr>
        <w:pStyle w:val="NoSpacing"/>
        <w:jc w:val="both"/>
        <w:rPr>
          <w:rFonts w:ascii="Book Antiqua" w:hAnsi="Book Antiqua"/>
          <w:sz w:val="16"/>
          <w:szCs w:val="16"/>
        </w:rPr>
      </w:pPr>
    </w:p>
    <w:p w:rsidR="00C96FD7" w:rsidRDefault="00C96FD7" w:rsidP="00C96FD7">
      <w:pPr>
        <w:pStyle w:val="NoSpacing"/>
        <w:jc w:val="center"/>
        <w:rPr>
          <w:rFonts w:ascii="Book Antiqua" w:hAnsi="Book Antiqua"/>
          <w:b/>
          <w:sz w:val="28"/>
          <w:szCs w:val="28"/>
        </w:rPr>
      </w:pPr>
      <w:r w:rsidRPr="00D112AF">
        <w:rPr>
          <w:rFonts w:ascii="Book Antiqua" w:hAnsi="Book Antiqua"/>
          <w:b/>
          <w:sz w:val="28"/>
          <w:szCs w:val="28"/>
        </w:rPr>
        <w:t>*  *  *  *  *  *  *</w:t>
      </w:r>
    </w:p>
    <w:p w:rsidR="009C03A3" w:rsidRDefault="009C03A3">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D966CB" w:rsidRPr="00AB49F0" w:rsidRDefault="00D966CB" w:rsidP="00D966CB">
      <w:pPr>
        <w:pStyle w:val="NoSpacing"/>
        <w:jc w:val="center"/>
        <w:rPr>
          <w:rFonts w:ascii="Book Antiqua" w:hAnsi="Book Antiqua"/>
          <w:b/>
          <w:bCs/>
          <w:i/>
          <w:iCs/>
          <w:color w:val="000000"/>
          <w:szCs w:val="24"/>
        </w:rPr>
      </w:pPr>
      <w:r w:rsidRPr="00AB49F0">
        <w:rPr>
          <w:rFonts w:ascii="Book Antiqua" w:hAnsi="Book Antiqua"/>
          <w:b/>
          <w:bCs/>
          <w:iCs/>
          <w:color w:val="000000"/>
          <w:szCs w:val="24"/>
        </w:rPr>
        <w:lastRenderedPageBreak/>
        <w:t xml:space="preserve">Appendix D: </w:t>
      </w:r>
      <w:r w:rsidRPr="00AB49F0">
        <w:rPr>
          <w:rFonts w:ascii="Book Antiqua" w:hAnsi="Book Antiqua"/>
          <w:b/>
          <w:bCs/>
          <w:i/>
          <w:iCs/>
          <w:color w:val="000000"/>
          <w:szCs w:val="24"/>
        </w:rPr>
        <w:t>Pulsars and the ZPE</w:t>
      </w:r>
    </w:p>
    <w:p w:rsidR="00D966CB" w:rsidRPr="00D112AF" w:rsidRDefault="00D966CB" w:rsidP="00D966CB">
      <w:pPr>
        <w:pStyle w:val="NoSpacing"/>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Pulsars are astronomical objects which send out exceptionally rapid pulses of electromagnetic radiation. Most pulsars are detectable only in the radio wavelengths of the electromagnetic spectrum, but some also have rapid pulses in the visible region of the spectrum. A minority pulse in X-rays or gamma rays, but </w:t>
      </w:r>
      <w:r w:rsidRPr="00C52F61">
        <w:rPr>
          <w:rFonts w:ascii="Book Antiqua" w:hAnsi="Book Antiqua"/>
          <w:sz w:val="20"/>
        </w:rPr>
        <w:t>out of about 2000 or so pulsars discovered to date there are</w:t>
      </w:r>
      <w:r>
        <w:rPr>
          <w:rFonts w:ascii="Book Antiqua" w:hAnsi="Book Antiqua"/>
          <w:sz w:val="20"/>
        </w:rPr>
        <w:t xml:space="preserve"> </w:t>
      </w:r>
      <w:r w:rsidRPr="00D112AF">
        <w:rPr>
          <w:rFonts w:ascii="Book Antiqua" w:hAnsi="Book Antiqua"/>
          <w:sz w:val="20"/>
        </w:rPr>
        <w:t>only about a dozen gamma-ray pulsars known</w:t>
      </w:r>
      <w:r>
        <w:rPr>
          <w:rFonts w:ascii="Book Antiqua" w:hAnsi="Book Antiqua"/>
          <w:sz w:val="20"/>
        </w:rPr>
        <w:t>.</w:t>
      </w:r>
      <w:r w:rsidRPr="00D112AF">
        <w:rPr>
          <w:rFonts w:ascii="Book Antiqua" w:hAnsi="Book Antiqua"/>
          <w:sz w:val="20"/>
        </w:rPr>
        <w:t xml:space="preserve"> The first pulsar was discovered by S. J. Bell Burnell and A. Hewish in November 1967. The precisely timed pulses initially seemed unnatural, and the object was facetiously labeled LGM-1, standing for Little Green Men, or extra-terrestrials!</w:t>
      </w:r>
    </w:p>
    <w:p w:rsidR="00D966CB" w:rsidRPr="00D112AF" w:rsidRDefault="00D966CB" w:rsidP="00D966CB">
      <w:pPr>
        <w:pStyle w:val="NoSpacing"/>
        <w:ind w:firstLine="720"/>
        <w:jc w:val="both"/>
        <w:rPr>
          <w:rFonts w:ascii="Book Antiqua" w:hAnsi="Book Antiqua"/>
          <w:sz w:val="20"/>
        </w:rPr>
      </w:pPr>
    </w:p>
    <w:p w:rsidR="00D966CB" w:rsidRPr="000F5DD1" w:rsidRDefault="00D966CB" w:rsidP="00D966CB">
      <w:pPr>
        <w:pStyle w:val="NoSpacing"/>
        <w:ind w:firstLine="720"/>
        <w:jc w:val="both"/>
        <w:rPr>
          <w:rFonts w:ascii="Book Antiqua" w:hAnsi="Book Antiqua"/>
          <w:sz w:val="20"/>
        </w:rPr>
      </w:pPr>
      <w:r w:rsidRPr="00D112AF">
        <w:rPr>
          <w:rFonts w:ascii="Book Antiqua" w:hAnsi="Book Antiqua"/>
          <w:sz w:val="20"/>
        </w:rPr>
        <w:t xml:space="preserve">The most impressive thing about pulsars is their unbelievably high rate of pulse emission.  Initially, </w:t>
      </w:r>
      <w:proofErr w:type="gramStart"/>
      <w:r w:rsidRPr="00D112AF">
        <w:rPr>
          <w:rFonts w:ascii="Book Antiqua" w:hAnsi="Book Antiqua"/>
          <w:sz w:val="20"/>
        </w:rPr>
        <w:t>It</w:t>
      </w:r>
      <w:proofErr w:type="gramEnd"/>
      <w:r w:rsidRPr="00D112AF">
        <w:rPr>
          <w:rFonts w:ascii="Book Antiqua" w:hAnsi="Book Antiqua"/>
          <w:sz w:val="20"/>
        </w:rPr>
        <w:t xml:space="preserve"> was thought that the star emitting the pulses was rotating very quickly, like a light-house, emitting one pulse per revolution.  A typical statement about this is that </w:t>
      </w:r>
      <w:r w:rsidRPr="00D112AF">
        <w:rPr>
          <w:rFonts w:ascii="Book Antiqua" w:hAnsi="Book Antiqua"/>
          <w:i/>
          <w:sz w:val="20"/>
        </w:rPr>
        <w:t>“Due to their powerful magnetic fields, pulsars emit most of their radiation in tightly focused beams much like a lighthouse</w:t>
      </w:r>
      <w:r w:rsidRPr="000F5DD1">
        <w:rPr>
          <w:rFonts w:ascii="Book Antiqua" w:hAnsi="Book Antiqua"/>
          <w:i/>
          <w:sz w:val="20"/>
        </w:rPr>
        <w:t>.”</w:t>
      </w:r>
      <w:r w:rsidRPr="000F5DD1">
        <w:rPr>
          <w:rFonts w:ascii="Book Antiqua" w:hAnsi="Book Antiqua"/>
          <w:sz w:val="20"/>
        </w:rPr>
        <w:t>[1]</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It is usually accepted that pulsars are remnants of supernova explosions. But caution is needed </w:t>
      </w:r>
      <w:r w:rsidRPr="002B1815">
        <w:rPr>
          <w:rFonts w:ascii="Book Antiqua" w:hAnsi="Book Antiqua"/>
          <w:sz w:val="20"/>
        </w:rPr>
        <w:t>regarding this interpretation</w:t>
      </w:r>
      <w:r>
        <w:rPr>
          <w:rFonts w:ascii="Book Antiqua" w:hAnsi="Book Antiqua"/>
          <w:color w:val="FF0000"/>
          <w:sz w:val="20"/>
        </w:rPr>
        <w:t xml:space="preserve"> </w:t>
      </w:r>
      <w:r w:rsidRPr="00D112AF">
        <w:rPr>
          <w:rFonts w:ascii="Book Antiqua" w:hAnsi="Book Antiqua"/>
          <w:sz w:val="20"/>
        </w:rPr>
        <w:t xml:space="preserve">as a recent study </w:t>
      </w:r>
      <w:r>
        <w:rPr>
          <w:rFonts w:ascii="Book Antiqua" w:hAnsi="Book Antiqua"/>
          <w:sz w:val="20"/>
        </w:rPr>
        <w:t>listed only</w:t>
      </w:r>
      <w:r w:rsidRPr="00D112AF">
        <w:rPr>
          <w:rFonts w:ascii="Book Antiqua" w:hAnsi="Book Antiqua"/>
          <w:sz w:val="20"/>
        </w:rPr>
        <w:t xml:space="preserve"> 46 pulsars associated with supernovas </w:t>
      </w:r>
      <w:r>
        <w:rPr>
          <w:rFonts w:ascii="Book Antiqua" w:hAnsi="Book Antiqua"/>
          <w:sz w:val="20"/>
        </w:rPr>
        <w:t>out of</w:t>
      </w:r>
      <w:r w:rsidRPr="002B1815">
        <w:rPr>
          <w:rFonts w:ascii="Book Antiqua" w:hAnsi="Book Antiqua"/>
          <w:sz w:val="20"/>
        </w:rPr>
        <w:t xml:space="preserve"> a study of over 230 supernovas and 1300 pulsars [3].</w:t>
      </w:r>
      <w:r w:rsidRPr="00D112AF">
        <w:rPr>
          <w:rFonts w:ascii="Book Antiqua" w:hAnsi="Book Antiqua"/>
          <w:sz w:val="20"/>
        </w:rPr>
        <w:t xml:space="preserve"> </w:t>
      </w:r>
      <w:r>
        <w:rPr>
          <w:rFonts w:ascii="Book Antiqua" w:hAnsi="Book Antiqua"/>
          <w:sz w:val="20"/>
        </w:rPr>
        <w:t>Nevertheless,</w:t>
      </w:r>
      <w:r w:rsidRPr="00D112AF">
        <w:rPr>
          <w:rFonts w:ascii="Book Antiqua" w:hAnsi="Book Antiqua"/>
          <w:sz w:val="20"/>
        </w:rPr>
        <w:t xml:space="preserve"> it is standard modeling to assume that the</w:t>
      </w:r>
      <w:r>
        <w:rPr>
          <w:rFonts w:ascii="Book Antiqua" w:hAnsi="Book Antiqua"/>
          <w:sz w:val="20"/>
        </w:rPr>
        <w:t>se</w:t>
      </w:r>
      <w:r w:rsidRPr="00D112AF">
        <w:rPr>
          <w:rFonts w:ascii="Book Antiqua" w:hAnsi="Book Antiqua"/>
          <w:sz w:val="20"/>
        </w:rPr>
        <w:t xml:space="preserve"> supernova </w:t>
      </w:r>
      <w:r w:rsidRPr="002B1815">
        <w:rPr>
          <w:rFonts w:ascii="Book Antiqua" w:hAnsi="Book Antiqua"/>
          <w:sz w:val="20"/>
        </w:rPr>
        <w:t>remnant</w:t>
      </w:r>
      <w:r>
        <w:rPr>
          <w:rFonts w:ascii="Book Antiqua" w:hAnsi="Book Antiqua"/>
          <w:sz w:val="20"/>
        </w:rPr>
        <w:t>s</w:t>
      </w:r>
      <w:r w:rsidRPr="002B1815">
        <w:rPr>
          <w:rFonts w:ascii="Book Antiqua" w:hAnsi="Book Antiqua"/>
          <w:sz w:val="20"/>
        </w:rPr>
        <w:t xml:space="preserve"> </w:t>
      </w:r>
      <w:r>
        <w:rPr>
          <w:rFonts w:ascii="Book Antiqua" w:hAnsi="Book Antiqua"/>
          <w:sz w:val="20"/>
        </w:rPr>
        <w:t>are</w:t>
      </w:r>
      <w:r w:rsidRPr="00D112AF">
        <w:rPr>
          <w:rFonts w:ascii="Book Antiqua" w:hAnsi="Book Antiqua"/>
          <w:sz w:val="20"/>
        </w:rPr>
        <w:t xml:space="preserve"> rapidly spinning neutron star</w:t>
      </w:r>
      <w:r>
        <w:rPr>
          <w:rFonts w:ascii="Book Antiqua" w:hAnsi="Book Antiqua"/>
          <w:sz w:val="20"/>
        </w:rPr>
        <w:t>s</w:t>
      </w:r>
      <w:r w:rsidRPr="00D112AF">
        <w:rPr>
          <w:rFonts w:ascii="Book Antiqua" w:hAnsi="Book Antiqua"/>
          <w:sz w:val="20"/>
        </w:rPr>
        <w:t xml:space="preserve"> with strong magnetic dipole</w:t>
      </w:r>
      <w:r>
        <w:rPr>
          <w:rFonts w:ascii="Book Antiqua" w:hAnsi="Book Antiqua"/>
          <w:sz w:val="20"/>
        </w:rPr>
        <w:t>s</w:t>
      </w:r>
      <w:r w:rsidRPr="00D112AF">
        <w:rPr>
          <w:rFonts w:ascii="Book Antiqua" w:hAnsi="Book Antiqua"/>
          <w:sz w:val="20"/>
        </w:rPr>
        <w:t xml:space="preserve"> off-set from the spin axis as in Figure 1. </w:t>
      </w:r>
      <w:r>
        <w:rPr>
          <w:rFonts w:ascii="Book Antiqua" w:hAnsi="Book Antiqua"/>
          <w:sz w:val="20"/>
        </w:rPr>
        <w:t>A</w:t>
      </w:r>
      <w:r w:rsidRPr="00D112AF">
        <w:rPr>
          <w:rFonts w:ascii="Book Antiqua" w:hAnsi="Book Antiqua"/>
          <w:sz w:val="20"/>
        </w:rPr>
        <w:t xml:space="preserve"> neutron star is assumed to send out a radio, light or X-ray signal that is aligned with the magnetic poles. Thus, as the star spins, observers receive pulses of electromagnetic radiation in the same way that a rotating lighthouse appears to send out pulses. </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drawing>
          <wp:inline distT="0" distB="0" distL="0" distR="0">
            <wp:extent cx="4112458" cy="3190875"/>
            <wp:effectExtent l="19050" t="0" r="2342" b="0"/>
            <wp:docPr id="24" name="il_fi" descr="http://www.atnf.csiro.au/people/pulsar/wwwdev/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nf.csiro.au/people/pulsar/wwwdev/Model.jpg"/>
                    <pic:cNvPicPr>
                      <a:picLocks noChangeAspect="1" noChangeArrowheads="1"/>
                    </pic:cNvPicPr>
                  </pic:nvPicPr>
                  <pic:blipFill>
                    <a:blip r:embed="rId1289" cstate="print"/>
                    <a:srcRect/>
                    <a:stretch>
                      <a:fillRect/>
                    </a:stretch>
                  </pic:blipFill>
                  <pic:spPr bwMode="auto">
                    <a:xfrm>
                      <a:off x="0" y="0"/>
                      <a:ext cx="4115532" cy="3193260"/>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1:</w:t>
      </w:r>
      <w:r w:rsidRPr="0092452E">
        <w:rPr>
          <w:rFonts w:ascii="Book Antiqua" w:hAnsi="Book Antiqua"/>
          <w:i/>
          <w:sz w:val="18"/>
          <w:szCs w:val="18"/>
        </w:rPr>
        <w:t xml:space="preserve"> Typical model of a pulsar – a rapidly rotating neutron star whose magnetic field axis is off-set from the spin-axis. The radio pulses, which are aligned with the magnetic field axis, sweep out once every rotation.</w:t>
      </w:r>
    </w:p>
    <w:p w:rsidR="00D966CB" w:rsidRPr="00D112AF" w:rsidRDefault="00D966CB" w:rsidP="00D966CB">
      <w:pPr>
        <w:pStyle w:val="NoSpacing"/>
        <w:rPr>
          <w:rFonts w:ascii="Book Antiqua" w:hAnsi="Book Antiqua"/>
          <w:sz w:val="18"/>
          <w:szCs w:val="18"/>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However, pulsars </w:t>
      </w:r>
      <w:r>
        <w:rPr>
          <w:rFonts w:ascii="Book Antiqua" w:hAnsi="Book Antiqua"/>
          <w:sz w:val="20"/>
        </w:rPr>
        <w:t>have been</w:t>
      </w:r>
      <w:r w:rsidRPr="00D112AF">
        <w:rPr>
          <w:rFonts w:ascii="Book Antiqua" w:hAnsi="Book Antiqua"/>
          <w:sz w:val="20"/>
        </w:rPr>
        <w:t xml:space="preserve"> discovered </w:t>
      </w:r>
      <w:r>
        <w:rPr>
          <w:rFonts w:ascii="Book Antiqua" w:hAnsi="Book Antiqua"/>
          <w:sz w:val="20"/>
        </w:rPr>
        <w:t>which have</w:t>
      </w:r>
      <w:r w:rsidRPr="00D112AF">
        <w:rPr>
          <w:rFonts w:ascii="Book Antiqua" w:hAnsi="Book Antiqua"/>
          <w:sz w:val="20"/>
        </w:rPr>
        <w:t xml:space="preserve"> pulse rates of less than a second, even though the stars involved were more massive than the sun. It would be impossible for such stars to hold together and not be </w:t>
      </w:r>
      <w:r w:rsidRPr="002B1815">
        <w:rPr>
          <w:rFonts w:ascii="Book Antiqua" w:hAnsi="Book Antiqua"/>
          <w:sz w:val="20"/>
        </w:rPr>
        <w:t>disrupted by</w:t>
      </w:r>
      <w:r w:rsidRPr="00D112AF">
        <w:rPr>
          <w:rFonts w:ascii="Book Antiqua" w:hAnsi="Book Antiqua"/>
          <w:sz w:val="20"/>
        </w:rPr>
        <w:t xml:space="preserve"> such rotation rates. One way out, suggested by Tom Gold in 1968, was that these stars consisted entirely of neutrons closely packed together. Such a star would have a very strong gravitational field which would allow it to hold together during such rapid rotation. It was only once pulsars with flashes occurring thousandths of seconds apart had been found </w:t>
      </w:r>
      <w:r w:rsidRPr="00D112AF">
        <w:rPr>
          <w:rFonts w:ascii="Book Antiqua" w:hAnsi="Book Antiqua"/>
          <w:sz w:val="20"/>
        </w:rPr>
        <w:lastRenderedPageBreak/>
        <w:t>in 1982 that Gold’s suggestion was generally accepted. These millisecond pulsars could only hold together as a rotating object if it was as dense as neutron-star. As a result, this neutron-star model became standard, as shown in Figure 1.</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On the basis of that explanation </w:t>
      </w:r>
      <w:r>
        <w:rPr>
          <w:rFonts w:ascii="Book Antiqua" w:hAnsi="Book Antiqua"/>
          <w:sz w:val="20"/>
        </w:rPr>
        <w:t>regarding</w:t>
      </w:r>
      <w:r w:rsidRPr="00D112AF">
        <w:rPr>
          <w:rFonts w:ascii="Book Antiqua" w:hAnsi="Book Antiqua"/>
          <w:sz w:val="20"/>
        </w:rPr>
        <w:t xml:space="preserve"> the behavior of pulsars, objections have been raised to the idea of the Zero Point Energy increasing over the lifetime of the universe, with a resulting decline in the speed of light and changes in other physical constants. Millisecond pulsars </w:t>
      </w:r>
      <w:r>
        <w:rPr>
          <w:rFonts w:ascii="Book Antiqua" w:hAnsi="Book Antiqua"/>
          <w:sz w:val="20"/>
        </w:rPr>
        <w:t>rotate</w:t>
      </w:r>
      <w:r w:rsidRPr="00D112AF">
        <w:rPr>
          <w:rFonts w:ascii="Book Antiqua" w:hAnsi="Book Antiqua"/>
          <w:sz w:val="20"/>
        </w:rPr>
        <w:t xml:space="preserve"> very rapidly, almost at the limit of what any proposed neutron star pulsar model could allow. If the energy density of the ZPE has increased on a cosmological scale during the time that pulsar signals were in transit, and the speed of light has slowed in inverse proportion, then we are seeing these pulsar events in slow-motion. This means that any proposed neutron star would rotate even more rapidly at the time of emission, </w:t>
      </w:r>
      <w:r>
        <w:rPr>
          <w:rFonts w:ascii="Book Antiqua" w:hAnsi="Book Antiqua"/>
          <w:sz w:val="20"/>
        </w:rPr>
        <w:t>causing it to disrupt, or fly</w:t>
      </w:r>
      <w:r w:rsidRPr="00D112AF">
        <w:rPr>
          <w:rFonts w:ascii="Book Antiqua" w:hAnsi="Book Antiqua"/>
          <w:sz w:val="20"/>
        </w:rPr>
        <w:t xml:space="preserve"> apart</w:t>
      </w:r>
      <w:r>
        <w:rPr>
          <w:rFonts w:ascii="Book Antiqua" w:hAnsi="Book Antiqua"/>
          <w:sz w:val="20"/>
        </w:rPr>
        <w:t>,</w:t>
      </w:r>
      <w:r w:rsidRPr="00D112AF">
        <w:rPr>
          <w:rFonts w:ascii="Book Antiqua" w:hAnsi="Book Antiqua"/>
          <w:sz w:val="20"/>
        </w:rPr>
        <w:t xml:space="preserve"> because of the forces involved. Thus the argument goes that any change in the strength of the ZPE, and hence </w:t>
      </w:r>
      <w:r w:rsidRPr="00D112AF">
        <w:rPr>
          <w:rStyle w:val="Emphasis"/>
          <w:rFonts w:ascii="Book Antiqua" w:hAnsi="Book Antiqua"/>
          <w:sz w:val="20"/>
        </w:rPr>
        <w:t>c</w:t>
      </w:r>
      <w:r w:rsidRPr="00D112AF">
        <w:rPr>
          <w:rFonts w:ascii="Book Antiqua" w:hAnsi="Book Antiqua"/>
          <w:sz w:val="20"/>
        </w:rPr>
        <w:t>, cannot have occurred or distant pulsars would not exist.</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Before answering this challenge, we note that a pulsar recently discovered has the fastest rotation rate known; </w:t>
      </w:r>
      <w:r>
        <w:rPr>
          <w:rFonts w:ascii="Book Antiqua" w:hAnsi="Book Antiqua"/>
          <w:sz w:val="20"/>
        </w:rPr>
        <w:t>almost</w:t>
      </w:r>
      <w:r w:rsidRPr="00D112AF">
        <w:rPr>
          <w:rFonts w:ascii="Book Antiqua" w:hAnsi="Book Antiqua"/>
          <w:sz w:val="20"/>
        </w:rPr>
        <w:t xml:space="preserve"> 43,000 </w:t>
      </w:r>
      <w:r>
        <w:rPr>
          <w:rFonts w:ascii="Book Antiqua" w:hAnsi="Book Antiqua"/>
          <w:sz w:val="20"/>
        </w:rPr>
        <w:t>“</w:t>
      </w:r>
      <w:r w:rsidRPr="002B1815">
        <w:rPr>
          <w:rFonts w:ascii="Book Antiqua" w:hAnsi="Book Antiqua"/>
          <w:sz w:val="20"/>
        </w:rPr>
        <w:t>revolutions</w:t>
      </w:r>
      <w:r>
        <w:rPr>
          <w:rFonts w:ascii="Book Antiqua" w:hAnsi="Book Antiqua"/>
          <w:sz w:val="20"/>
        </w:rPr>
        <w:t>”</w:t>
      </w:r>
      <w:r w:rsidRPr="00D112AF">
        <w:rPr>
          <w:rFonts w:ascii="Book Antiqua" w:hAnsi="Book Antiqua"/>
          <w:sz w:val="20"/>
        </w:rPr>
        <w:t xml:space="preserve"> per minute. It is proving difficult to account for this with any neutron star model.  This indicates that a new explanation for pulsars is needed. In fact, Scott has elaborated why neutron </w:t>
      </w:r>
      <w:r>
        <w:rPr>
          <w:rFonts w:ascii="Book Antiqua" w:hAnsi="Book Antiqua"/>
          <w:sz w:val="20"/>
        </w:rPr>
        <w:t>stars themselves may</w:t>
      </w:r>
      <w:r w:rsidRPr="00D112AF">
        <w:rPr>
          <w:rFonts w:ascii="Book Antiqua" w:hAnsi="Book Antiqua"/>
          <w:sz w:val="20"/>
        </w:rPr>
        <w:t xml:space="preserve"> not even exist in reality </w:t>
      </w:r>
      <w:hyperlink r:id="rId1290" w:anchor="8a213" w:history="1">
        <w:r w:rsidRPr="00D112AF">
          <w:rPr>
            <w:rStyle w:val="Hyperlink"/>
            <w:rFonts w:ascii="Book Antiqua" w:hAnsi="Book Antiqua"/>
            <w:sz w:val="20"/>
          </w:rPr>
          <w:t>[2]</w:t>
        </w:r>
      </w:hyperlink>
      <w:r w:rsidRPr="00D112AF">
        <w:rPr>
          <w:rFonts w:ascii="Book Antiqua" w:hAnsi="Book Antiqua"/>
          <w:sz w:val="20"/>
        </w:rPr>
        <w:t xml:space="preserve">. So the actual data need to be examined along with the options available for explanations.  As of January 2007, the most rapid pulses are those from </w:t>
      </w:r>
      <w:r w:rsidRPr="00D112AF">
        <w:rPr>
          <w:rStyle w:val="Emphasis"/>
          <w:rFonts w:ascii="Book Antiqua" w:hAnsi="Book Antiqua"/>
          <w:sz w:val="20"/>
        </w:rPr>
        <w:t>PSR J1748-2246ad</w:t>
      </w:r>
      <w:r w:rsidRPr="00D112AF">
        <w:rPr>
          <w:rFonts w:ascii="Book Antiqua" w:hAnsi="Book Antiqua"/>
          <w:sz w:val="20"/>
        </w:rPr>
        <w:t xml:space="preserve"> in a globular cluster called Terzan 5 located in the constellation of Sagittarius. This star sends out pulses 716 times per second or 42,960 pulses per minute. It has a companion star that orbits the pulsar once every 26 hours. It eclipses the pulsar for about 40% of the time, presumably because this companion is bloated. All told, 33 pulsars have been detected in this cluster, most of them millisecond pulsars [4].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Orbital companions are observed around millisecond pulsars in about 80% of those studied, although for normal pulsars this drops to about 1%. Currently, about 7% of all known pulsars have companions, some of which include planets. For example </w:t>
      </w:r>
      <w:r w:rsidRPr="00D112AF">
        <w:rPr>
          <w:rStyle w:val="Emphasis"/>
          <w:rFonts w:ascii="Book Antiqua" w:hAnsi="Book Antiqua"/>
          <w:sz w:val="20"/>
        </w:rPr>
        <w:t>PSR B1257+12</w:t>
      </w:r>
      <w:r w:rsidRPr="00D112AF">
        <w:rPr>
          <w:rFonts w:ascii="Book Antiqua" w:hAnsi="Book Antiqua"/>
          <w:sz w:val="20"/>
        </w:rPr>
        <w:t xml:space="preserve"> </w:t>
      </w:r>
      <w:proofErr w:type="gramStart"/>
      <w:r w:rsidRPr="00D112AF">
        <w:rPr>
          <w:rFonts w:ascii="Book Antiqua" w:hAnsi="Book Antiqua"/>
          <w:sz w:val="20"/>
        </w:rPr>
        <w:t>is</w:t>
      </w:r>
      <w:proofErr w:type="gramEnd"/>
      <w:r w:rsidRPr="00D112AF">
        <w:rPr>
          <w:rFonts w:ascii="Book Antiqua" w:hAnsi="Book Antiqua"/>
          <w:sz w:val="20"/>
        </w:rPr>
        <w:t xml:space="preserve"> a 6.2 millisecond pulsar accompanied by at least two planets with earth-like masses [5].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Scott has summarized three characteristics about these pulses.</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 xml:space="preserve">The millisecond pulsars flash like a strobe light so that the duration of each output pulse is much shorter than the time between pulses. In fact, the duty cycle, the duration of each pulse, is typically about 5% of the time between pulses. </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Some individual pulses are quite variable in intensity.</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The polarization of the pulse implies that the origin has a strong magnetic field. Magnetic fields require electric currents.</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jc w:val="both"/>
        <w:rPr>
          <w:rFonts w:ascii="Book Antiqua" w:hAnsi="Book Antiqua"/>
          <w:b/>
          <w:sz w:val="20"/>
        </w:rPr>
      </w:pPr>
      <w:r w:rsidRPr="00D112AF">
        <w:rPr>
          <w:rFonts w:ascii="Book Antiqua" w:hAnsi="Book Antiqua"/>
          <w:sz w:val="20"/>
        </w:rPr>
        <w:t>To these 3 points may be added a fourth which emerged on 10</w:t>
      </w:r>
      <w:r w:rsidRPr="00D112AF">
        <w:rPr>
          <w:rFonts w:ascii="Book Antiqua" w:hAnsi="Book Antiqua"/>
          <w:sz w:val="20"/>
          <w:vertAlign w:val="superscript"/>
        </w:rPr>
        <w:t>th</w:t>
      </w:r>
      <w:r w:rsidRPr="00D112AF">
        <w:rPr>
          <w:rFonts w:ascii="Book Antiqua" w:hAnsi="Book Antiqua"/>
          <w:sz w:val="20"/>
        </w:rPr>
        <w:t xml:space="preserve"> January 2012 from a study performed by the LOFAR installation in Europe. The report of that study is found in “Radio Array Starts to Work,” [6]. The outcome is that</w:t>
      </w:r>
    </w:p>
    <w:p w:rsidR="00D966CB" w:rsidRPr="00D112AF" w:rsidRDefault="00D966CB" w:rsidP="00D966CB">
      <w:pPr>
        <w:pStyle w:val="NoSpacing"/>
        <w:jc w:val="both"/>
        <w:rPr>
          <w:rFonts w:ascii="Book Antiqua" w:hAnsi="Book Antiqua"/>
          <w:b/>
          <w:sz w:val="20"/>
        </w:rPr>
      </w:pP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 xml:space="preserve">The pulsar signal emanates from a very narrow region near the pulsar. This contradicts the standard pulsar models. </w:t>
      </w:r>
    </w:p>
    <w:p w:rsidR="00D966CB" w:rsidRPr="00D112AF" w:rsidRDefault="00D966CB" w:rsidP="00D966CB">
      <w:pPr>
        <w:pStyle w:val="NoSpacing"/>
        <w:ind w:left="1080"/>
        <w:jc w:val="both"/>
        <w:rPr>
          <w:rFonts w:ascii="Book Antiqua" w:hAnsi="Book Antiqua"/>
          <w:sz w:val="20"/>
        </w:rPr>
      </w:pPr>
    </w:p>
    <w:p w:rsidR="00D966CB" w:rsidRDefault="00D966CB" w:rsidP="00D966CB">
      <w:pPr>
        <w:pStyle w:val="NoSpacing"/>
        <w:ind w:firstLine="720"/>
        <w:jc w:val="both"/>
        <w:rPr>
          <w:rFonts w:ascii="Book Antiqua" w:hAnsi="Book Antiqua"/>
          <w:sz w:val="20"/>
        </w:rPr>
      </w:pPr>
      <w:r w:rsidRPr="00D112AF">
        <w:rPr>
          <w:rFonts w:ascii="Book Antiqua" w:hAnsi="Book Antiqua"/>
          <w:sz w:val="20"/>
        </w:rPr>
        <w:t xml:space="preserve">These data are </w:t>
      </w:r>
      <w:r w:rsidRPr="000F5DD1">
        <w:rPr>
          <w:rFonts w:ascii="Book Antiqua" w:hAnsi="Book Antiqua"/>
          <w:sz w:val="20"/>
        </w:rPr>
        <w:t xml:space="preserve">inconsistent with </w:t>
      </w:r>
      <w:r>
        <w:rPr>
          <w:rFonts w:ascii="Book Antiqua" w:hAnsi="Book Antiqua"/>
          <w:sz w:val="20"/>
        </w:rPr>
        <w:t>the</w:t>
      </w:r>
      <w:r w:rsidRPr="000F5DD1">
        <w:rPr>
          <w:rFonts w:ascii="Book Antiqua" w:hAnsi="Book Antiqua"/>
          <w:sz w:val="20"/>
        </w:rPr>
        <w:t xml:space="preserve"> rotating</w:t>
      </w:r>
      <w:r w:rsidRPr="00D112AF">
        <w:rPr>
          <w:rFonts w:ascii="Book Antiqua" w:hAnsi="Book Antiqua"/>
          <w:sz w:val="20"/>
        </w:rPr>
        <w:t xml:space="preserve"> lighthouse model. </w:t>
      </w:r>
      <w:r>
        <w:rPr>
          <w:rFonts w:ascii="Book Antiqua" w:hAnsi="Book Antiqua"/>
          <w:sz w:val="20"/>
        </w:rPr>
        <w:t>There is an alternate idea that these stars or their surfaces are pulsing in and out.  However, this also appears to be inconsistent with the data.</w:t>
      </w:r>
    </w:p>
    <w:p w:rsidR="00D966CB"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r>
        <w:rPr>
          <w:rFonts w:ascii="Book Antiqua" w:hAnsi="Book Antiqua"/>
          <w:sz w:val="20"/>
        </w:rPr>
        <w:t>By way of</w:t>
      </w:r>
      <w:r w:rsidRPr="00D112AF">
        <w:rPr>
          <w:rFonts w:ascii="Book Antiqua" w:hAnsi="Book Antiqua"/>
          <w:sz w:val="20"/>
        </w:rPr>
        <w:t xml:space="preserve"> contrast, Scott shows that all these characteristics are consistent with electric arc (lightning) interaction between two components </w:t>
      </w:r>
      <w:hyperlink r:id="rId1291" w:anchor="8a213" w:history="1">
        <w:r w:rsidRPr="00D112AF">
          <w:rPr>
            <w:rStyle w:val="Hyperlink"/>
            <w:rFonts w:ascii="Book Antiqua" w:hAnsi="Book Antiqua"/>
            <w:sz w:val="20"/>
          </w:rPr>
          <w:t>[2]</w:t>
        </w:r>
      </w:hyperlink>
      <w:r w:rsidRPr="00D112AF">
        <w:rPr>
          <w:rFonts w:ascii="Book Antiqua" w:hAnsi="Book Antiqua"/>
          <w:sz w:val="20"/>
        </w:rPr>
        <w:t xml:space="preserve">. In this respect, millisecond pulsars bear a similarity to the Jupiter-Io system illustrated in Figures 2 and 3.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5236210" cy="2533650"/>
            <wp:effectExtent l="19050" t="0" r="2540" b="0"/>
            <wp:docPr id="774"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92" cstate="print">
                      <a:lum/>
                    </a:blip>
                    <a:srcRect l="3584" t="12028" r="896" b="51049"/>
                    <a:stretch>
                      <a:fillRect/>
                    </a:stretch>
                  </pic:blipFill>
                  <pic:spPr bwMode="auto">
                    <a:xfrm>
                      <a:off x="0" y="0"/>
                      <a:ext cx="5236210" cy="2533650"/>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p>
    <w:p w:rsidR="00D966CB" w:rsidRPr="0092452E" w:rsidRDefault="00D966CB" w:rsidP="00D966CB">
      <w:pPr>
        <w:pStyle w:val="NoSpacing"/>
        <w:jc w:val="both"/>
        <w:rPr>
          <w:rFonts w:ascii="Book Antiqua" w:hAnsi="Book Antiqua"/>
          <w:i/>
          <w:sz w:val="20"/>
        </w:rPr>
      </w:pPr>
      <w:r w:rsidRPr="0092452E">
        <w:rPr>
          <w:rFonts w:ascii="Book Antiqua" w:hAnsi="Book Antiqua"/>
          <w:b/>
          <w:i/>
          <w:sz w:val="18"/>
          <w:szCs w:val="18"/>
        </w:rPr>
        <w:t>Figure 2:</w:t>
      </w:r>
      <w:r w:rsidRPr="0092452E">
        <w:rPr>
          <w:rFonts w:ascii="Book Antiqua" w:hAnsi="Book Antiqua"/>
          <w:i/>
          <w:sz w:val="18"/>
          <w:szCs w:val="18"/>
        </w:rPr>
        <w:t xml:space="preserve"> The Jupiter-Io System (a) Jupiter’s plasmasphere with its intense magnetic field. The inner moon Io traverses the field as it orbits Jupiter.</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drawing>
          <wp:inline distT="0" distB="0" distL="0" distR="0">
            <wp:extent cx="4772935" cy="2838450"/>
            <wp:effectExtent l="19050" t="0" r="8615" b="0"/>
            <wp:docPr id="775"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92" cstate="print"/>
                    <a:srcRect l="31362" t="71864" r="10573" b="1259"/>
                    <a:stretch>
                      <a:fillRect/>
                    </a:stretch>
                  </pic:blipFill>
                  <pic:spPr bwMode="auto">
                    <a:xfrm>
                      <a:off x="0" y="0"/>
                      <a:ext cx="4780547" cy="2842977"/>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3:</w:t>
      </w:r>
      <w:r w:rsidRPr="0092452E">
        <w:rPr>
          <w:rFonts w:ascii="Book Antiqua" w:hAnsi="Book Antiqua"/>
          <w:i/>
          <w:sz w:val="18"/>
          <w:szCs w:val="18"/>
        </w:rPr>
        <w:t xml:space="preserve"> Enlargement of central region showing the orbit of the moon Io and its plasma torus. As Io orbits through Jupiter’s magnetic field, the electric charge builds up on Io </w:t>
      </w:r>
      <w:proofErr w:type="gramStart"/>
      <w:r w:rsidRPr="0092452E">
        <w:rPr>
          <w:rFonts w:ascii="Book Antiqua" w:hAnsi="Book Antiqua"/>
          <w:i/>
          <w:sz w:val="18"/>
          <w:szCs w:val="18"/>
        </w:rPr>
        <w:t>until a discharge current flows</w:t>
      </w:r>
      <w:proofErr w:type="gramEnd"/>
      <w:r w:rsidRPr="0092452E">
        <w:rPr>
          <w:rFonts w:ascii="Book Antiqua" w:hAnsi="Book Antiqua"/>
          <w:i/>
          <w:sz w:val="18"/>
          <w:szCs w:val="18"/>
        </w:rPr>
        <w:t xml:space="preserve"> causing lightning bolts with their radio emissions, and aurorae.</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p>
    <w:p w:rsidR="00D966CB" w:rsidRDefault="00D966CB" w:rsidP="00D966CB">
      <w:pPr>
        <w:pStyle w:val="NoSpacing"/>
        <w:ind w:firstLine="720"/>
        <w:jc w:val="both"/>
        <w:rPr>
          <w:rFonts w:ascii="Book Antiqua" w:hAnsi="Book Antiqua"/>
          <w:sz w:val="20"/>
        </w:rPr>
      </w:pPr>
      <w:r w:rsidRPr="00D112AF">
        <w:rPr>
          <w:rFonts w:ascii="Book Antiqua" w:hAnsi="Book Antiqua"/>
          <w:sz w:val="20"/>
        </w:rPr>
        <w:t xml:space="preserve">A stellar variation of this system as a mechanism for a pulsar is a distinct possibility.  The principles involved in such a system were outlined in 1995 by K. R. Healy and A. L. Peratt </w:t>
      </w:r>
      <w:hyperlink r:id="rId1293" w:anchor="8a214" w:history="1">
        <w:r w:rsidRPr="00D112AF">
          <w:rPr>
            <w:rStyle w:val="Hyperlink"/>
            <w:rFonts w:ascii="Book Antiqua" w:hAnsi="Book Antiqua"/>
            <w:sz w:val="20"/>
          </w:rPr>
          <w:t>[7]</w:t>
        </w:r>
      </w:hyperlink>
      <w:r w:rsidRPr="00D112AF">
        <w:rPr>
          <w:rFonts w:ascii="Book Antiqua" w:hAnsi="Book Antiqua"/>
          <w:sz w:val="20"/>
        </w:rPr>
        <w:t>. They employed a plasma disk electromagnetically coupled to the magnetosphere via field-aligned currents to build up the electric charge.</w:t>
      </w:r>
    </w:p>
    <w:p w:rsidR="00D966CB"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This parallels conditions at the Crab Pulsar in Figure 4.</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4767790" cy="4619625"/>
            <wp:effectExtent l="19050" t="0" r="0" b="0"/>
            <wp:docPr id="776" name="il_fi" descr="http://www.cosmosmagazine.com/files/imagecache/news/files/news/20080604_crab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smosmagazine.com/files/imagecache/news/files/news/20080604_crab_nebula.jpg"/>
                    <pic:cNvPicPr>
                      <a:picLocks noChangeAspect="1" noChangeArrowheads="1"/>
                    </pic:cNvPicPr>
                  </pic:nvPicPr>
                  <pic:blipFill>
                    <a:blip r:embed="rId1294" cstate="print"/>
                    <a:srcRect/>
                    <a:stretch>
                      <a:fillRect/>
                    </a:stretch>
                  </pic:blipFill>
                  <pic:spPr bwMode="auto">
                    <a:xfrm>
                      <a:off x="0" y="0"/>
                      <a:ext cx="4778544" cy="4630045"/>
                    </a:xfrm>
                    <a:prstGeom prst="rect">
                      <a:avLst/>
                    </a:prstGeom>
                    <a:noFill/>
                    <a:ln w="9525">
                      <a:noFill/>
                      <a:miter lim="800000"/>
                      <a:headEnd/>
                      <a:tailEnd/>
                    </a:ln>
                  </pic:spPr>
                </pic:pic>
              </a:graphicData>
            </a:graphic>
          </wp:inline>
        </w:drawing>
      </w:r>
    </w:p>
    <w:p w:rsidR="00D966CB" w:rsidRPr="00D112AF" w:rsidRDefault="00D966CB" w:rsidP="00D966CB">
      <w:pPr>
        <w:pStyle w:val="NoSpacing"/>
        <w:jc w:val="both"/>
        <w:rPr>
          <w:rFonts w:ascii="Book Antiqua" w:hAnsi="Book Antiqua"/>
          <w:sz w:val="20"/>
        </w:rPr>
      </w:pP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4:</w:t>
      </w:r>
      <w:r w:rsidRPr="0092452E">
        <w:rPr>
          <w:rFonts w:ascii="Book Antiqua" w:hAnsi="Book Antiqua"/>
          <w:i/>
          <w:sz w:val="18"/>
          <w:szCs w:val="18"/>
        </w:rPr>
        <w:t xml:space="preserve"> The Crab Pulsar is in this structure with a spinning plasma disk around a central object with the polar jets shown here. Orbital companions have been confirmed for 80% </w:t>
      </w:r>
      <w:r w:rsidRPr="002B1815">
        <w:rPr>
          <w:rFonts w:ascii="Book Antiqua" w:hAnsi="Book Antiqua"/>
          <w:i/>
          <w:sz w:val="18"/>
          <w:szCs w:val="18"/>
        </w:rPr>
        <w:t>of pulsars</w:t>
      </w:r>
      <w:r w:rsidRPr="0092452E">
        <w:rPr>
          <w:rFonts w:ascii="Book Antiqua" w:hAnsi="Book Antiqua"/>
          <w:i/>
          <w:sz w:val="18"/>
          <w:szCs w:val="18"/>
        </w:rPr>
        <w:t>. A planetary companion has been suspected in this case as early as 1970 [12]. If so, this spinning disk in a strong magnetic field would build up a potential difference and periodically discharge. This agrees with models proposed by Healy, Peratt, and Scott.</w:t>
      </w:r>
    </w:p>
    <w:p w:rsidR="00D966CB" w:rsidRPr="00D112AF" w:rsidRDefault="00D966CB" w:rsidP="00D966CB">
      <w:pPr>
        <w:pStyle w:val="NoSpacing"/>
        <w:rPr>
          <w:rFonts w:ascii="Book Antiqua" w:hAnsi="Book Antiqua"/>
          <w:sz w:val="18"/>
          <w:szCs w:val="18"/>
        </w:rPr>
      </w:pPr>
    </w:p>
    <w:p w:rsidR="00D966CB" w:rsidRPr="00D112AF" w:rsidRDefault="00D966CB" w:rsidP="00D966CB">
      <w:pPr>
        <w:pStyle w:val="NoSpacing"/>
        <w:jc w:val="both"/>
        <w:rPr>
          <w:rFonts w:ascii="Book Antiqua" w:hAnsi="Book Antiqua"/>
          <w:sz w:val="20"/>
        </w:rPr>
      </w:pPr>
      <w:r w:rsidRPr="00D112AF">
        <w:rPr>
          <w:rFonts w:ascii="Book Antiqua" w:hAnsi="Book Antiqua"/>
          <w:i/>
          <w:sz w:val="20"/>
        </w:rPr>
        <w:t xml:space="preserve"> </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Variations on this theme of a unipolar inductor mechanism to build up electric charge appeared in 1998 for a white-dwarf/planet pair </w:t>
      </w:r>
      <w:hyperlink r:id="rId1295" w:anchor="8a215" w:history="1">
        <w:r w:rsidRPr="00D112AF">
          <w:rPr>
            <w:rStyle w:val="Hyperlink"/>
            <w:rFonts w:ascii="Book Antiqua" w:hAnsi="Book Antiqua"/>
            <w:sz w:val="20"/>
          </w:rPr>
          <w:t>[8]</w:t>
        </w:r>
      </w:hyperlink>
      <w:r w:rsidRPr="00D112AF">
        <w:rPr>
          <w:rFonts w:ascii="Book Antiqua" w:hAnsi="Book Antiqua"/>
          <w:sz w:val="20"/>
        </w:rPr>
        <w:t xml:space="preserve">, and, around 2002, for a magnetic and non-magnetic white dwarf pair </w:t>
      </w:r>
      <w:hyperlink r:id="rId1296" w:anchor="8a216" w:history="1">
        <w:r w:rsidRPr="00D112AF">
          <w:rPr>
            <w:rStyle w:val="Hyperlink"/>
            <w:rFonts w:ascii="Book Antiqua" w:hAnsi="Book Antiqua"/>
            <w:sz w:val="20"/>
          </w:rPr>
          <w:t>[9, 10]</w:t>
        </w:r>
      </w:hyperlink>
      <w:r w:rsidRPr="00D112AF">
        <w:rPr>
          <w:rFonts w:ascii="Book Antiqua" w:hAnsi="Book Antiqua"/>
          <w:sz w:val="20"/>
        </w:rPr>
        <w:t xml:space="preserve">. Scott himself proposed a related mechanism in 2006 whereby two stars acting as capacitors, with plasma between them acting as a resistor, would build up voltage between them and then discharge in the same way as a relaxation oscillator </w:t>
      </w:r>
      <w:hyperlink r:id="rId1297" w:anchor="8a218" w:history="1">
        <w:r w:rsidRPr="00D112AF">
          <w:rPr>
            <w:rStyle w:val="Hyperlink"/>
            <w:rFonts w:ascii="Book Antiqua" w:hAnsi="Book Antiqua"/>
            <w:sz w:val="20"/>
          </w:rPr>
          <w:t>[11]</w:t>
        </w:r>
      </w:hyperlink>
      <w:r w:rsidRPr="00D112AF">
        <w:rPr>
          <w:rFonts w:ascii="Book Antiqua" w:hAnsi="Book Antiqua"/>
          <w:sz w:val="20"/>
        </w:rPr>
        <w:t>. Thus, it is perfectly possible that pulsars are not rapidly spinning neutron stars, but rather stars with spinning plasma disks. These disks build up a potential difference via the magnetic field and then periodically discharge. In some cases a visible or invisible companion may be involved as well as the disk. The star’s spin rate is then independent of the rate of discharge</w:t>
      </w:r>
      <w:r>
        <w:rPr>
          <w:rFonts w:ascii="Book Antiqua" w:hAnsi="Book Antiqua"/>
          <w:sz w:val="20"/>
        </w:rPr>
        <w:t>.</w:t>
      </w:r>
      <w:r w:rsidRPr="00D112AF">
        <w:rPr>
          <w:rFonts w:ascii="Book Antiqua" w:hAnsi="Book Antiqua"/>
          <w:sz w:val="20"/>
        </w:rPr>
        <w:t xml:space="preserve"> </w:t>
      </w:r>
    </w:p>
    <w:p w:rsidR="00D966CB" w:rsidRPr="00D112AF" w:rsidRDefault="00D966CB" w:rsidP="00D966CB">
      <w:pPr>
        <w:pStyle w:val="NoSpacing"/>
        <w:ind w:firstLine="720"/>
        <w:jc w:val="both"/>
        <w:rPr>
          <w:rFonts w:ascii="Book Antiqua" w:hAnsi="Book Antiqua"/>
          <w:sz w:val="20"/>
        </w:rPr>
      </w:pPr>
    </w:p>
    <w:p w:rsidR="00D966CB" w:rsidRPr="002B1815" w:rsidRDefault="00D966CB" w:rsidP="00D966CB">
      <w:pPr>
        <w:pStyle w:val="NoSpacing"/>
        <w:ind w:firstLine="720"/>
        <w:jc w:val="both"/>
        <w:rPr>
          <w:rFonts w:ascii="Book Antiqua" w:hAnsi="Book Antiqua"/>
          <w:sz w:val="20"/>
        </w:rPr>
      </w:pPr>
      <w:r w:rsidRPr="00D112AF">
        <w:rPr>
          <w:rFonts w:ascii="Book Antiqua" w:hAnsi="Book Antiqua"/>
          <w:sz w:val="20"/>
        </w:rPr>
        <w:t xml:space="preserve">The outcome is that pulsars may well be acting on the basis of plasma physics with a charging/discharging capacitor-like system in operation. Since capacitances, currents and voltages are ZPE-dependent, any systematic changes in the ZPE will result in similar systematic changes in the charge rate of the capacitor and hence the pulse emission rate, as shown in Chapter 6. The end result is that, even with changes in the ZPE and the slow-down in light travel time from the point of emission to the observer, the pulses will still arrive at precise intervals. A more reasonable pulsar model thus </w:t>
      </w:r>
      <w:r w:rsidRPr="00D112AF">
        <w:rPr>
          <w:rFonts w:ascii="Book Antiqua" w:hAnsi="Book Antiqua"/>
          <w:sz w:val="20"/>
        </w:rPr>
        <w:lastRenderedPageBreak/>
        <w:t>removes an objection to a varying ZPE that the changing speed of light might otherwise produce</w:t>
      </w:r>
      <w:r>
        <w:rPr>
          <w:rFonts w:ascii="Book Antiqua" w:hAnsi="Book Antiqua"/>
          <w:sz w:val="20"/>
        </w:rPr>
        <w:t xml:space="preserve">, </w:t>
      </w:r>
      <w:r w:rsidRPr="002B1815">
        <w:rPr>
          <w:rFonts w:ascii="Book Antiqua" w:hAnsi="Book Antiqua"/>
          <w:sz w:val="20"/>
        </w:rPr>
        <w:t xml:space="preserve">as well as removing the impossibilities involved with anything spinning that rapidly and holding together. </w:t>
      </w:r>
    </w:p>
    <w:p w:rsidR="00D966CB" w:rsidRPr="00D112AF" w:rsidRDefault="00D966CB" w:rsidP="00D966CB">
      <w:pPr>
        <w:pStyle w:val="NoSpacing"/>
        <w:ind w:firstLine="720"/>
        <w:jc w:val="both"/>
        <w:rPr>
          <w:rFonts w:ascii="Book Antiqua" w:hAnsi="Book Antiqua"/>
          <w:sz w:val="20"/>
        </w:rPr>
      </w:pPr>
    </w:p>
    <w:p w:rsidR="00D966CB" w:rsidRPr="00D966CB" w:rsidRDefault="00D966CB" w:rsidP="00D966CB">
      <w:pPr>
        <w:pStyle w:val="NoSpacing"/>
        <w:rPr>
          <w:rStyle w:val="Strong"/>
          <w:rFonts w:ascii="Book Antiqua" w:hAnsi="Book Antiqua"/>
          <w:b w:val="0"/>
          <w:i/>
          <w:sz w:val="20"/>
        </w:rPr>
      </w:pPr>
      <w:r w:rsidRPr="00D112AF">
        <w:rPr>
          <w:rStyle w:val="Strong"/>
          <w:rFonts w:ascii="Book Antiqua" w:hAnsi="Book Antiqua"/>
          <w:sz w:val="20"/>
        </w:rPr>
        <w:t>References</w:t>
      </w:r>
      <w:r w:rsidRPr="00D112AF">
        <w:rPr>
          <w:rStyle w:val="Strong"/>
          <w:rFonts w:ascii="Book Antiqua" w:hAnsi="Book Antiqua"/>
          <w:i/>
          <w:sz w:val="20"/>
        </w:rPr>
        <w:t xml:space="preserve"> </w:t>
      </w:r>
      <w:r w:rsidRPr="00D966CB">
        <w:rPr>
          <w:rStyle w:val="Strong"/>
          <w:rFonts w:ascii="Book Antiqua" w:hAnsi="Book Antiqua"/>
          <w:b w:val="0"/>
          <w:i/>
          <w:sz w:val="20"/>
        </w:rPr>
        <w:t>– All URL’s retrieved 20</w:t>
      </w:r>
      <w:r w:rsidRPr="00D966CB">
        <w:rPr>
          <w:rStyle w:val="Strong"/>
          <w:rFonts w:ascii="Book Antiqua" w:hAnsi="Book Antiqua"/>
          <w:b w:val="0"/>
          <w:i/>
          <w:sz w:val="20"/>
          <w:vertAlign w:val="superscript"/>
        </w:rPr>
        <w:t>th</w:t>
      </w:r>
      <w:r w:rsidRPr="00D966CB">
        <w:rPr>
          <w:rStyle w:val="Strong"/>
          <w:rFonts w:ascii="Book Antiqua" w:hAnsi="Book Antiqua"/>
          <w:b w:val="0"/>
          <w:i/>
          <w:sz w:val="20"/>
        </w:rPr>
        <w:t xml:space="preserve"> September, 2012.</w:t>
      </w:r>
    </w:p>
    <w:p w:rsidR="00D966CB" w:rsidRPr="00D112AF" w:rsidRDefault="00D966CB" w:rsidP="00D966CB">
      <w:pPr>
        <w:pStyle w:val="NoSpacing"/>
        <w:rPr>
          <w:rStyle w:val="Strong"/>
          <w:rFonts w:ascii="Book Antiqua" w:hAnsi="Book Antiqua"/>
          <w:sz w:val="16"/>
          <w:szCs w:val="16"/>
        </w:rPr>
      </w:pPr>
    </w:p>
    <w:p w:rsidR="00D966CB" w:rsidRPr="00D966CB" w:rsidRDefault="00D966CB" w:rsidP="00D966CB">
      <w:pPr>
        <w:pStyle w:val="NoSpacing"/>
        <w:rPr>
          <w:rFonts w:ascii="Book Antiqua" w:hAnsi="Book Antiqua"/>
          <w:b/>
          <w:sz w:val="16"/>
          <w:szCs w:val="16"/>
        </w:rPr>
      </w:pPr>
      <w:r w:rsidRPr="00D966CB">
        <w:rPr>
          <w:rStyle w:val="Strong"/>
          <w:rFonts w:ascii="Book Antiqua" w:hAnsi="Book Antiqua"/>
          <w:b w:val="0"/>
          <w:sz w:val="16"/>
          <w:szCs w:val="16"/>
        </w:rPr>
        <w:t xml:space="preserve">[1] R. Anderson, “New Pulsar Clocks Will Aid Gravitational Wave Detection,” </w:t>
      </w:r>
      <w:r w:rsidRPr="00D966CB">
        <w:rPr>
          <w:rStyle w:val="Strong"/>
          <w:rFonts w:ascii="Book Antiqua" w:hAnsi="Book Antiqua"/>
          <w:b w:val="0"/>
          <w:i/>
          <w:sz w:val="16"/>
          <w:szCs w:val="16"/>
        </w:rPr>
        <w:t>Universe Today</w:t>
      </w:r>
      <w:r w:rsidRPr="00D966CB">
        <w:rPr>
          <w:rStyle w:val="Strong"/>
          <w:rFonts w:ascii="Book Antiqua" w:hAnsi="Book Antiqua"/>
          <w:b w:val="0"/>
          <w:sz w:val="16"/>
          <w:szCs w:val="16"/>
        </w:rPr>
        <w:t xml:space="preserve">, 5 January, 2010. </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[2]</w:t>
      </w:r>
      <w:bookmarkStart w:id="259" w:name="8a213"/>
      <w:bookmarkEnd w:id="259"/>
      <w:r w:rsidRPr="00D112AF">
        <w:rPr>
          <w:rFonts w:ascii="Book Antiqua" w:hAnsi="Book Antiqua"/>
          <w:sz w:val="16"/>
          <w:szCs w:val="16"/>
        </w:rPr>
        <w:t xml:space="preserve"> D. E. Scott, </w:t>
      </w:r>
      <w:r w:rsidRPr="00D112AF">
        <w:rPr>
          <w:rFonts w:ascii="Book Antiqua" w:hAnsi="Book Antiqua"/>
          <w:i/>
          <w:sz w:val="16"/>
          <w:szCs w:val="16"/>
        </w:rPr>
        <w:t>The Electric Sky,</w:t>
      </w:r>
      <w:r w:rsidRPr="00D112AF">
        <w:rPr>
          <w:rFonts w:ascii="Book Antiqua" w:hAnsi="Book Antiqua"/>
          <w:sz w:val="16"/>
          <w:szCs w:val="16"/>
        </w:rPr>
        <w:t xml:space="preserve"> pp.176-177, (Mikamar Publishing, 2006). </w:t>
      </w:r>
    </w:p>
    <w:p w:rsidR="00D966CB" w:rsidRPr="00D112AF" w:rsidRDefault="00D966CB" w:rsidP="00D966CB">
      <w:pPr>
        <w:pStyle w:val="NoSpacing"/>
        <w:rPr>
          <w:rFonts w:ascii="Book Antiqua" w:hAnsi="Book Antiqua"/>
          <w:i/>
          <w:sz w:val="16"/>
          <w:szCs w:val="16"/>
        </w:rPr>
      </w:pPr>
      <w:r w:rsidRPr="00D112AF">
        <w:rPr>
          <w:rFonts w:ascii="Book Antiqua" w:hAnsi="Book Antiqua"/>
          <w:sz w:val="16"/>
          <w:szCs w:val="16"/>
        </w:rPr>
        <w:t xml:space="preserve">[3] D. A. Leahy, W. Tian, “A New Sample of Candidate for Pulsar/Supernova Remnant Association,” </w:t>
      </w:r>
      <w:r w:rsidRPr="00D112AF">
        <w:rPr>
          <w:rFonts w:ascii="Book Antiqua" w:hAnsi="Book Antiqua"/>
          <w:i/>
          <w:sz w:val="16"/>
          <w:szCs w:val="16"/>
        </w:rPr>
        <w:t>Bulletin of the American Astronomical Society</w:t>
      </w:r>
      <w:r w:rsidRPr="00D112AF">
        <w:rPr>
          <w:rFonts w:ascii="Book Antiqua" w:hAnsi="Book Antiqua"/>
          <w:sz w:val="16"/>
          <w:szCs w:val="16"/>
        </w:rPr>
        <w:t xml:space="preserve">, </w:t>
      </w:r>
      <w:r w:rsidRPr="00D112AF">
        <w:rPr>
          <w:rFonts w:ascii="Book Antiqua" w:hAnsi="Book Antiqua"/>
          <w:b/>
          <w:sz w:val="16"/>
          <w:szCs w:val="16"/>
        </w:rPr>
        <w:t>35</w:t>
      </w:r>
      <w:r w:rsidRPr="00D112AF">
        <w:rPr>
          <w:rFonts w:ascii="Book Antiqua" w:hAnsi="Book Antiqua"/>
          <w:sz w:val="16"/>
          <w:szCs w:val="16"/>
        </w:rPr>
        <w:t xml:space="preserve">, p.612, (March, 2003). </w:t>
      </w:r>
      <w:proofErr w:type="gramStart"/>
      <w:r w:rsidRPr="00D112AF">
        <w:rPr>
          <w:rFonts w:ascii="Book Antiqua" w:hAnsi="Book Antiqua"/>
          <w:sz w:val="16"/>
          <w:szCs w:val="16"/>
        </w:rPr>
        <w:t>Abstract  available</w:t>
      </w:r>
      <w:proofErr w:type="gramEnd"/>
      <w:r w:rsidRPr="00D112AF">
        <w:rPr>
          <w:rFonts w:ascii="Book Antiqua" w:hAnsi="Book Antiqua"/>
          <w:sz w:val="16"/>
          <w:szCs w:val="16"/>
        </w:rPr>
        <w:t xml:space="preserve"> at: </w:t>
      </w:r>
      <w:hyperlink r:id="rId1298" w:history="1">
        <w:r w:rsidRPr="00D112AF">
          <w:rPr>
            <w:rStyle w:val="Hyperlink"/>
            <w:rFonts w:ascii="Book Antiqua" w:hAnsi="Book Antiqua"/>
            <w:i/>
            <w:szCs w:val="16"/>
          </w:rPr>
          <w:t>http://adsabs.harvard.edu/abs/2003HEAD....7.1009L</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[4] See National Radio Astronomy Observatory news release titled “Astronomers discover fastest spinning pulsar,” at: </w:t>
      </w:r>
    </w:p>
    <w:p w:rsidR="00D966CB" w:rsidRPr="00D112AF" w:rsidRDefault="00241D2F" w:rsidP="00D966CB">
      <w:pPr>
        <w:pStyle w:val="NoSpacing"/>
        <w:rPr>
          <w:rFonts w:ascii="Book Antiqua" w:hAnsi="Book Antiqua"/>
          <w:sz w:val="16"/>
          <w:szCs w:val="16"/>
        </w:rPr>
      </w:pPr>
      <w:hyperlink r:id="rId1299" w:history="1">
        <w:r w:rsidR="00D966CB" w:rsidRPr="00D112AF">
          <w:rPr>
            <w:rStyle w:val="Hyperlink"/>
            <w:rFonts w:ascii="Book Antiqua" w:hAnsi="Book Antiqua"/>
            <w:szCs w:val="16"/>
          </w:rPr>
          <w:t>http://www.nrao.edu/pr/2006/mspulsar/</w:t>
        </w:r>
      </w:hyperlink>
    </w:p>
    <w:p w:rsidR="00D966CB" w:rsidRPr="00D112AF" w:rsidRDefault="00D966CB" w:rsidP="00D966CB">
      <w:pPr>
        <w:pStyle w:val="NoSpacing"/>
        <w:rPr>
          <w:rFonts w:ascii="Book Antiqua" w:hAnsi="Book Antiqua"/>
          <w:sz w:val="16"/>
          <w:szCs w:val="16"/>
        </w:rPr>
      </w:pPr>
      <w:proofErr w:type="gramStart"/>
      <w:r w:rsidRPr="00D112AF">
        <w:rPr>
          <w:rFonts w:ascii="Book Antiqua" w:hAnsi="Book Antiqua"/>
          <w:sz w:val="16"/>
          <w:szCs w:val="16"/>
        </w:rPr>
        <w:t>[5] M. Konacki, A. Wolczcan, “Masses and orbital inclinations of planets in the PSR B1257+12 system,”</w:t>
      </w:r>
      <w:r w:rsidRPr="00D112AF">
        <w:rPr>
          <w:rFonts w:ascii="Book Antiqua" w:hAnsi="Book Antiqua"/>
          <w:i/>
          <w:sz w:val="16"/>
          <w:szCs w:val="16"/>
        </w:rPr>
        <w:t>Astrophys.J.</w:t>
      </w:r>
      <w:proofErr w:type="gramEnd"/>
      <w:r w:rsidRPr="00D112AF">
        <w:rPr>
          <w:rFonts w:ascii="Book Antiqua" w:hAnsi="Book Antiqua"/>
          <w:sz w:val="16"/>
          <w:szCs w:val="16"/>
        </w:rPr>
        <w:t xml:space="preserve"> </w:t>
      </w:r>
      <w:proofErr w:type="gramStart"/>
      <w:r w:rsidRPr="00D112AF">
        <w:rPr>
          <w:rFonts w:ascii="Book Antiqua" w:hAnsi="Book Antiqua"/>
          <w:b/>
          <w:sz w:val="16"/>
          <w:szCs w:val="16"/>
        </w:rPr>
        <w:t>591,</w:t>
      </w:r>
      <w:r w:rsidRPr="00D112AF">
        <w:rPr>
          <w:rFonts w:ascii="Book Antiqua" w:hAnsi="Book Antiqua"/>
          <w:sz w:val="16"/>
          <w:szCs w:val="16"/>
        </w:rPr>
        <w:t xml:space="preserve"> L147-L150, (2003).</w:t>
      </w:r>
      <w:proofErr w:type="gramEnd"/>
      <w:r w:rsidRPr="00D112AF">
        <w:rPr>
          <w:rFonts w:ascii="Book Antiqua" w:hAnsi="Book Antiqua"/>
          <w:sz w:val="16"/>
          <w:szCs w:val="16"/>
        </w:rPr>
        <w:t xml:space="preserve"> Abstract available online at: </w:t>
      </w:r>
      <w:hyperlink r:id="rId1300" w:history="1">
        <w:r w:rsidRPr="00D112AF">
          <w:rPr>
            <w:rStyle w:val="Hyperlink"/>
            <w:rFonts w:ascii="Book Antiqua" w:hAnsi="Book Antiqua"/>
            <w:szCs w:val="16"/>
          </w:rPr>
          <w:t>http://arxiv.org/abs/astro-ph/0305536</w:t>
        </w:r>
      </w:hyperlink>
      <w:r w:rsidRPr="00D112AF">
        <w:rPr>
          <w:rFonts w:ascii="Book Antiqua" w:hAnsi="Book Antiqua"/>
          <w:sz w:val="16"/>
          <w:szCs w:val="16"/>
        </w:rPr>
        <w:t xml:space="preserve"> </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[6] </w:t>
      </w:r>
      <w:hyperlink r:id="rId1301" w:history="1">
        <w:r w:rsidRPr="00D112AF">
          <w:rPr>
            <w:rStyle w:val="Hyperlink"/>
            <w:rFonts w:ascii="Book Antiqua" w:hAnsi="Book Antiqua"/>
            <w:szCs w:val="16"/>
          </w:rPr>
          <w:t>http://www.nature.com/news/radio-array-starts-work-1.9762</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This links to a Nature News article entitled “Radio Array Starts to Work,” authored by Eric Hand on 10 January 2012.</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[7]</w:t>
      </w:r>
      <w:bookmarkStart w:id="260" w:name="8a214"/>
      <w:bookmarkEnd w:id="260"/>
      <w:r w:rsidRPr="00D112AF">
        <w:rPr>
          <w:rFonts w:ascii="Book Antiqua" w:hAnsi="Book Antiqua"/>
          <w:sz w:val="16"/>
          <w:szCs w:val="16"/>
        </w:rPr>
        <w:t xml:space="preserve"> K. R. Healy &amp; A. L Peratt, </w:t>
      </w:r>
      <w:r w:rsidRPr="00D112AF">
        <w:rPr>
          <w:rStyle w:val="Emphasis"/>
          <w:rFonts w:ascii="Book Antiqua" w:hAnsi="Book Antiqua"/>
          <w:sz w:val="16"/>
          <w:szCs w:val="16"/>
        </w:rPr>
        <w:t>Astrophysics and Space Science</w:t>
      </w:r>
      <w:r w:rsidRPr="00D112AF">
        <w:rPr>
          <w:rFonts w:ascii="Book Antiqua" w:hAnsi="Book Antiqua"/>
          <w:sz w:val="16"/>
          <w:szCs w:val="16"/>
        </w:rPr>
        <w:t xml:space="preserve"> </w:t>
      </w:r>
      <w:r w:rsidRPr="00D112AF">
        <w:rPr>
          <w:rStyle w:val="Strong"/>
          <w:rFonts w:ascii="Book Antiqua" w:hAnsi="Book Antiqua"/>
          <w:sz w:val="16"/>
          <w:szCs w:val="16"/>
        </w:rPr>
        <w:t>227</w:t>
      </w:r>
      <w:r w:rsidRPr="00D112AF">
        <w:rPr>
          <w:rFonts w:ascii="Book Antiqua" w:hAnsi="Book Antiqua"/>
          <w:sz w:val="16"/>
          <w:szCs w:val="16"/>
        </w:rPr>
        <w:t xml:space="preserve"> (1995), pp.229-253</w:t>
      </w:r>
      <w:r w:rsidRPr="00D112AF">
        <w:rPr>
          <w:rFonts w:ascii="Book Antiqua" w:hAnsi="Book Antiqua"/>
          <w:sz w:val="16"/>
          <w:szCs w:val="16"/>
        </w:rPr>
        <w:br/>
        <w:t>[8]</w:t>
      </w:r>
      <w:bookmarkStart w:id="261" w:name="8a215"/>
      <w:bookmarkEnd w:id="261"/>
      <w:r w:rsidRPr="00D112AF">
        <w:rPr>
          <w:rFonts w:ascii="Book Antiqua" w:hAnsi="Book Antiqua"/>
          <w:sz w:val="16"/>
          <w:szCs w:val="16"/>
        </w:rPr>
        <w:t xml:space="preserve"> J. Li, L. Ferrario &amp; D. Wickramasinghe,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503</w:t>
      </w:r>
      <w:r w:rsidRPr="00D112AF">
        <w:rPr>
          <w:rFonts w:ascii="Book Antiqua" w:hAnsi="Book Antiqua"/>
          <w:sz w:val="16"/>
          <w:szCs w:val="16"/>
        </w:rPr>
        <w:t xml:space="preserve">, L151-L154, (1998). </w:t>
      </w:r>
      <w:r w:rsidRPr="00D112AF">
        <w:rPr>
          <w:rFonts w:ascii="Book Antiqua" w:hAnsi="Book Antiqua"/>
          <w:sz w:val="16"/>
          <w:szCs w:val="16"/>
        </w:rPr>
        <w:br/>
      </w:r>
      <w:proofErr w:type="gramStart"/>
      <w:r w:rsidRPr="00D112AF">
        <w:rPr>
          <w:rFonts w:ascii="Book Antiqua" w:hAnsi="Book Antiqua"/>
          <w:sz w:val="16"/>
          <w:szCs w:val="16"/>
        </w:rPr>
        <w:t>[9]</w:t>
      </w:r>
      <w:bookmarkStart w:id="262" w:name="8a216"/>
      <w:bookmarkEnd w:id="262"/>
      <w:r w:rsidRPr="00D112AF">
        <w:rPr>
          <w:rFonts w:ascii="Book Antiqua" w:hAnsi="Book Antiqua"/>
          <w:sz w:val="16"/>
          <w:szCs w:val="16"/>
        </w:rPr>
        <w:t xml:space="preserve"> A. Bhardwaj, G. R. Gladstone &amp; P. Zarka, </w:t>
      </w:r>
      <w:r w:rsidRPr="00D112AF">
        <w:rPr>
          <w:rStyle w:val="Emphasis"/>
          <w:rFonts w:ascii="Book Antiqua" w:hAnsi="Book Antiqua"/>
          <w:sz w:val="16"/>
          <w:szCs w:val="16"/>
        </w:rPr>
        <w:t>Advances in Space Research</w:t>
      </w:r>
      <w:r w:rsidRPr="00D112AF">
        <w:rPr>
          <w:rFonts w:ascii="Book Antiqua" w:hAnsi="Book Antiqua"/>
          <w:sz w:val="16"/>
          <w:szCs w:val="16"/>
        </w:rPr>
        <w:t xml:space="preserve"> </w:t>
      </w:r>
      <w:r w:rsidRPr="00D112AF">
        <w:rPr>
          <w:rStyle w:val="Strong"/>
          <w:rFonts w:ascii="Book Antiqua" w:hAnsi="Book Antiqua"/>
          <w:sz w:val="16"/>
          <w:szCs w:val="16"/>
        </w:rPr>
        <w:t>27</w:t>
      </w:r>
      <w:r w:rsidRPr="00D112AF">
        <w:rPr>
          <w:rFonts w:ascii="Book Antiqua" w:hAnsi="Book Antiqua"/>
          <w:sz w:val="16"/>
          <w:szCs w:val="16"/>
        </w:rPr>
        <w:t>:11, pp.1915-1922, (2001).</w:t>
      </w:r>
      <w:proofErr w:type="gramEnd"/>
      <w:r w:rsidRPr="00D112AF">
        <w:rPr>
          <w:rFonts w:ascii="Book Antiqua" w:hAnsi="Book Antiqua"/>
          <w:sz w:val="16"/>
          <w:szCs w:val="16"/>
        </w:rPr>
        <w:br/>
        <w:t>[10</w:t>
      </w:r>
      <w:proofErr w:type="gramStart"/>
      <w:r w:rsidRPr="00D112AF">
        <w:rPr>
          <w:rFonts w:ascii="Book Antiqua" w:hAnsi="Book Antiqua"/>
          <w:sz w:val="16"/>
          <w:szCs w:val="16"/>
        </w:rPr>
        <w:t>]</w:t>
      </w:r>
      <w:bookmarkStart w:id="263" w:name="8a217"/>
      <w:bookmarkEnd w:id="263"/>
      <w:r w:rsidRPr="00D112AF">
        <w:rPr>
          <w:rFonts w:ascii="Book Antiqua" w:hAnsi="Book Antiqua"/>
          <w:sz w:val="16"/>
          <w:szCs w:val="16"/>
        </w:rPr>
        <w:t xml:space="preserve">  A</w:t>
      </w:r>
      <w:proofErr w:type="gramEnd"/>
      <w:r w:rsidRPr="00D112AF">
        <w:rPr>
          <w:rFonts w:ascii="Book Antiqua" w:hAnsi="Book Antiqua"/>
          <w:sz w:val="16"/>
          <w:szCs w:val="16"/>
        </w:rPr>
        <w:t xml:space="preserve">. Bhardwaj &amp; M. Michael (2002) online at: </w:t>
      </w:r>
    </w:p>
    <w:p w:rsidR="00D966CB" w:rsidRPr="00D112AF" w:rsidRDefault="00241D2F" w:rsidP="00D966CB">
      <w:pPr>
        <w:pStyle w:val="NoSpacing"/>
        <w:rPr>
          <w:rFonts w:ascii="Book Antiqua" w:hAnsi="Book Antiqua"/>
          <w:sz w:val="16"/>
          <w:szCs w:val="16"/>
        </w:rPr>
      </w:pPr>
      <w:hyperlink r:id="rId1302" w:history="1">
        <w:r w:rsidR="00D966CB" w:rsidRPr="00D112AF">
          <w:rPr>
            <w:rStyle w:val="Hyperlink"/>
            <w:rFonts w:ascii="Book Antiqua" w:hAnsi="Book Antiqua"/>
            <w:szCs w:val="16"/>
          </w:rPr>
          <w:t>http://arxiv.org/ftp/astro-ph/papers/0209/0209070.pdf</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[11]</w:t>
      </w:r>
      <w:bookmarkStart w:id="264" w:name="8a218"/>
      <w:bookmarkEnd w:id="264"/>
      <w:r w:rsidRPr="00D112AF">
        <w:rPr>
          <w:rFonts w:ascii="Book Antiqua" w:hAnsi="Book Antiqua"/>
          <w:sz w:val="16"/>
          <w:szCs w:val="16"/>
        </w:rPr>
        <w:t xml:space="preserve"> D. E. Scott, op. cit., p.178.</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[12] M. F. Curtis “Pulsar Planetary Systems,” </w:t>
      </w:r>
      <w:r w:rsidRPr="00D112AF">
        <w:rPr>
          <w:rFonts w:ascii="Book Antiqua" w:hAnsi="Book Antiqua"/>
          <w:i/>
          <w:sz w:val="16"/>
          <w:szCs w:val="16"/>
        </w:rPr>
        <w:t>Astrophysical Journal Letters</w:t>
      </w:r>
      <w:r w:rsidRPr="00D112AF">
        <w:rPr>
          <w:rFonts w:ascii="Book Antiqua" w:hAnsi="Book Antiqua"/>
          <w:sz w:val="16"/>
          <w:szCs w:val="16"/>
        </w:rPr>
        <w:t xml:space="preserve">, </w:t>
      </w:r>
      <w:r w:rsidRPr="00D112AF">
        <w:rPr>
          <w:rFonts w:ascii="Book Antiqua" w:hAnsi="Book Antiqua"/>
          <w:b/>
          <w:sz w:val="16"/>
          <w:szCs w:val="16"/>
        </w:rPr>
        <w:t>159</w:t>
      </w:r>
      <w:r w:rsidRPr="00D112AF">
        <w:rPr>
          <w:rFonts w:ascii="Book Antiqua" w:hAnsi="Book Antiqua"/>
          <w:sz w:val="16"/>
          <w:szCs w:val="16"/>
        </w:rPr>
        <w:t>, pp. 25-28, (1970).</w:t>
      </w:r>
    </w:p>
    <w:p w:rsidR="00D966CB" w:rsidRPr="00D112AF" w:rsidRDefault="00D966CB" w:rsidP="00D966CB">
      <w:pPr>
        <w:pStyle w:val="NoSpacing"/>
        <w:rPr>
          <w:rFonts w:ascii="Book Antiqua" w:hAnsi="Book Antiqua"/>
          <w:b/>
          <w:i/>
          <w:sz w:val="16"/>
          <w:szCs w:val="16"/>
        </w:rPr>
      </w:pPr>
    </w:p>
    <w:p w:rsidR="00D966CB" w:rsidRPr="00D112AF" w:rsidRDefault="00D966CB" w:rsidP="00D966CB">
      <w:pPr>
        <w:pStyle w:val="NoSpacing"/>
        <w:rPr>
          <w:rFonts w:ascii="Book Antiqua" w:hAnsi="Book Antiqua"/>
          <w:b/>
          <w:i/>
          <w:sz w:val="20"/>
        </w:rPr>
      </w:pPr>
      <w:r w:rsidRPr="00D112AF">
        <w:rPr>
          <w:rFonts w:ascii="Book Antiqua" w:hAnsi="Book Antiqua"/>
          <w:b/>
          <w:i/>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D966CB" w:rsidRPr="00D112AF" w:rsidRDefault="00D966CB" w:rsidP="00D966CB">
      <w:pPr>
        <w:pStyle w:val="NoSpacing"/>
        <w:rPr>
          <w:rFonts w:ascii="Book Antiqua" w:hAnsi="Book Antiqua"/>
          <w:sz w:val="16"/>
          <w:szCs w:val="16"/>
        </w:rPr>
      </w:pPr>
    </w:p>
    <w:p w:rsidR="00D966CB" w:rsidRPr="00D112AF" w:rsidRDefault="00D966CB" w:rsidP="00D966CB">
      <w:pPr>
        <w:pStyle w:val="NoSpacing"/>
        <w:rPr>
          <w:rFonts w:ascii="Book Antiqua" w:hAnsi="Book Antiqua"/>
          <w:i/>
          <w:color w:val="FF0000"/>
          <w:sz w:val="16"/>
          <w:szCs w:val="16"/>
        </w:rPr>
      </w:pPr>
      <w:r w:rsidRPr="00D112AF">
        <w:rPr>
          <w:rFonts w:ascii="Book Antiqua" w:hAnsi="Book Antiqua"/>
          <w:sz w:val="16"/>
          <w:szCs w:val="16"/>
        </w:rPr>
        <w:t xml:space="preserve">Figure 1: Typical model of a pulsar. </w:t>
      </w:r>
      <w:hyperlink r:id="rId1303" w:history="1">
        <w:r w:rsidRPr="00D112AF">
          <w:rPr>
            <w:rStyle w:val="Hyperlink"/>
            <w:rFonts w:ascii="Book Antiqua" w:hAnsi="Book Antiqua"/>
            <w:i/>
            <w:szCs w:val="16"/>
          </w:rPr>
          <w:t>http://www.atnf.csiro.au/people/pulsar/wwwdev/Education_page.html</w:t>
        </w:r>
      </w:hyperlink>
    </w:p>
    <w:p w:rsidR="00D966CB" w:rsidRPr="00D112AF" w:rsidRDefault="00D966CB" w:rsidP="00D966CB">
      <w:pPr>
        <w:pStyle w:val="NoSpacing"/>
        <w:rPr>
          <w:rFonts w:ascii="Book Antiqua" w:hAnsi="Book Antiqua"/>
          <w:i/>
          <w:sz w:val="16"/>
          <w:szCs w:val="16"/>
        </w:rPr>
      </w:pPr>
      <w:r w:rsidRPr="00D112AF">
        <w:rPr>
          <w:rFonts w:ascii="Book Antiqua" w:hAnsi="Book Antiqua"/>
          <w:sz w:val="16"/>
          <w:szCs w:val="16"/>
        </w:rPr>
        <w:t>Figure 2 &amp; 3: The Jupiter-Io System.</w:t>
      </w:r>
      <w:r w:rsidRPr="00D112AF">
        <w:rPr>
          <w:rFonts w:ascii="Book Antiqua" w:hAnsi="Book Antiqua"/>
          <w:i/>
          <w:sz w:val="16"/>
          <w:szCs w:val="16"/>
        </w:rPr>
        <w:t xml:space="preserve"> </w:t>
      </w:r>
      <w:hyperlink r:id="rId1304" w:history="1">
        <w:r w:rsidRPr="00D112AF">
          <w:rPr>
            <w:rStyle w:val="Hyperlink"/>
            <w:rFonts w:ascii="Book Antiqua" w:hAnsi="Book Antiqua"/>
            <w:i/>
            <w:szCs w:val="16"/>
          </w:rPr>
          <w:t>http://www.thunderbolts.info/forum/phpBB3/viewtopic.php?p=1999</w:t>
        </w:r>
      </w:hyperlink>
    </w:p>
    <w:p w:rsidR="00D966CB" w:rsidRPr="00D112AF" w:rsidRDefault="00D966CB" w:rsidP="00D966CB">
      <w:pPr>
        <w:pStyle w:val="NoSpacing"/>
        <w:rPr>
          <w:rFonts w:ascii="Book Antiqua" w:hAnsi="Book Antiqua"/>
          <w:i/>
          <w:color w:val="FF0000"/>
          <w:sz w:val="16"/>
          <w:szCs w:val="16"/>
        </w:rPr>
      </w:pPr>
      <w:r w:rsidRPr="00D112AF">
        <w:rPr>
          <w:rFonts w:ascii="Book Antiqua" w:hAnsi="Book Antiqua"/>
          <w:sz w:val="16"/>
          <w:szCs w:val="16"/>
        </w:rPr>
        <w:t xml:space="preserve">Figure 4: The Crab Pulsar with a spinning disk and polar jets. </w:t>
      </w:r>
      <w:hyperlink r:id="rId1305" w:history="1">
        <w:r w:rsidRPr="00D112AF">
          <w:rPr>
            <w:rStyle w:val="Hyperlink"/>
            <w:rFonts w:ascii="Book Antiqua" w:hAnsi="Book Antiqua"/>
            <w:i/>
            <w:szCs w:val="16"/>
          </w:rPr>
          <w:t>http://en.wikipedia.org/wiki/Crab_Pulsar</w:t>
        </w:r>
      </w:hyperlink>
    </w:p>
    <w:p w:rsidR="00D966CB" w:rsidRPr="00D112AF" w:rsidRDefault="00D966CB" w:rsidP="00D966CB">
      <w:pPr>
        <w:pStyle w:val="NoSpacing"/>
        <w:rPr>
          <w:rFonts w:ascii="Book Antiqua" w:hAnsi="Book Antiqua"/>
          <w:sz w:val="16"/>
          <w:szCs w:val="16"/>
        </w:rPr>
      </w:pPr>
    </w:p>
    <w:p w:rsidR="00D966CB" w:rsidRDefault="00D966CB" w:rsidP="00D966CB">
      <w:pPr>
        <w:pStyle w:val="NoSpacing"/>
        <w:jc w:val="center"/>
        <w:rPr>
          <w:rFonts w:ascii="Book Antiqua" w:hAnsi="Book Antiqua"/>
          <w:b/>
          <w:sz w:val="28"/>
          <w:szCs w:val="28"/>
        </w:rPr>
      </w:pPr>
      <w:r w:rsidRPr="00D112AF">
        <w:rPr>
          <w:rFonts w:ascii="Book Antiqua" w:hAnsi="Book Antiqua"/>
          <w:b/>
          <w:sz w:val="28"/>
          <w:szCs w:val="28"/>
        </w:rPr>
        <w:t>*  *  *  *  *  *  *</w:t>
      </w:r>
    </w:p>
    <w:p w:rsidR="00BA5C34" w:rsidRDefault="00BA5C34">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CA4909" w:rsidRPr="00AB49F0" w:rsidRDefault="00CA4909" w:rsidP="00CA4909">
      <w:pPr>
        <w:pStyle w:val="NoSpacing"/>
        <w:jc w:val="center"/>
        <w:rPr>
          <w:rFonts w:ascii="Book Antiqua" w:hAnsi="Book Antiqua"/>
          <w:szCs w:val="24"/>
        </w:rPr>
      </w:pPr>
      <w:r w:rsidRPr="00AB49F0">
        <w:rPr>
          <w:rFonts w:ascii="Book Antiqua" w:hAnsi="Book Antiqua"/>
          <w:b/>
          <w:bCs/>
          <w:iCs/>
          <w:color w:val="000000"/>
          <w:szCs w:val="24"/>
        </w:rPr>
        <w:lastRenderedPageBreak/>
        <w:t xml:space="preserve">Appendix E: </w:t>
      </w:r>
      <w:r w:rsidRPr="00AB49F0">
        <w:rPr>
          <w:rFonts w:ascii="Book Antiqua" w:hAnsi="Book Antiqua"/>
          <w:b/>
          <w:bCs/>
          <w:i/>
          <w:iCs/>
          <w:color w:val="000000"/>
          <w:szCs w:val="24"/>
        </w:rPr>
        <w:t xml:space="preserve">The Origins of Craters </w:t>
      </w:r>
      <w:proofErr w:type="gramStart"/>
      <w:r w:rsidRPr="00AB49F0">
        <w:rPr>
          <w:rFonts w:ascii="Book Antiqua" w:hAnsi="Book Antiqua"/>
          <w:b/>
          <w:bCs/>
          <w:i/>
          <w:iCs/>
          <w:color w:val="000000"/>
          <w:szCs w:val="24"/>
        </w:rPr>
        <w:t>Throughout</w:t>
      </w:r>
      <w:proofErr w:type="gramEnd"/>
      <w:r w:rsidRPr="00AB49F0">
        <w:rPr>
          <w:rFonts w:ascii="Book Antiqua" w:hAnsi="Book Antiqua"/>
          <w:b/>
          <w:bCs/>
          <w:i/>
          <w:iCs/>
          <w:color w:val="000000"/>
          <w:szCs w:val="24"/>
        </w:rPr>
        <w:t xml:space="preserve"> the Solar System.</w:t>
      </w:r>
    </w:p>
    <w:p w:rsidR="00CA4909" w:rsidRPr="004E2F1C" w:rsidRDefault="00CA4909" w:rsidP="00CA4909">
      <w:pPr>
        <w:pStyle w:val="NoSpacing"/>
        <w:rPr>
          <w:rFonts w:ascii="Book Antiqua" w:hAnsi="Book Antiqua"/>
          <w:b/>
          <w:bCs/>
          <w:iCs/>
          <w:color w:val="000000"/>
          <w:sz w:val="20"/>
          <w:u w:val="single"/>
        </w:rPr>
      </w:pPr>
    </w:p>
    <w:p w:rsidR="00CA4909" w:rsidRPr="002D2F7A" w:rsidRDefault="00CA4909" w:rsidP="00CA4909">
      <w:pPr>
        <w:pStyle w:val="NoSpacing"/>
        <w:ind w:firstLine="720"/>
        <w:jc w:val="both"/>
        <w:rPr>
          <w:rFonts w:ascii="Book Antiqua" w:hAnsi="Book Antiqua"/>
          <w:i/>
          <w:sz w:val="20"/>
        </w:rPr>
      </w:pPr>
      <w:r>
        <w:rPr>
          <w:rFonts w:ascii="Book Antiqua" w:hAnsi="Book Antiqua"/>
          <w:i/>
          <w:sz w:val="20"/>
        </w:rPr>
        <w:t xml:space="preserve">E1. </w:t>
      </w:r>
      <w:r w:rsidRPr="002D2F7A">
        <w:rPr>
          <w:rFonts w:ascii="Book Antiqua" w:hAnsi="Book Antiqua"/>
          <w:i/>
          <w:sz w:val="20"/>
        </w:rPr>
        <w:t>Types of Craters</w:t>
      </w:r>
    </w:p>
    <w:p w:rsidR="00CA4909" w:rsidRDefault="00CA4909"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Craters come in three main types; simple, complex and peaked ring craters. Simple craters are generally bowl-shaped with an uplifted rim. Complex craters have central peaks and terraced walls. These two are illustrated in Figure 1. In the third type, a “peaked ring” replaces the central peak complex and it may be called a “multi-ringed” crater. Actual examples of all three types are shown in Figure 2.</w:t>
      </w:r>
    </w:p>
    <w:p w:rsidR="00CA4909" w:rsidRPr="004E2F1C" w:rsidRDefault="00CA4909" w:rsidP="00CA4909">
      <w:pPr>
        <w:jc w:val="both"/>
        <w:rPr>
          <w:rFonts w:ascii="Book Antiqua" w:hAnsi="Book Antiqua"/>
          <w:b/>
        </w:rPr>
      </w:pPr>
    </w:p>
    <w:p w:rsidR="00CA4909" w:rsidRPr="004E2F1C" w:rsidRDefault="00CA4909" w:rsidP="00CA4909">
      <w:pPr>
        <w:jc w:val="center"/>
        <w:rPr>
          <w:rFonts w:ascii="Book Antiqua" w:hAnsi="Book Antiqua"/>
          <w:b/>
        </w:rPr>
      </w:pPr>
      <w:r w:rsidRPr="004E2F1C">
        <w:rPr>
          <w:rFonts w:ascii="Book Antiqua" w:hAnsi="Book Antiqua"/>
          <w:b/>
          <w:noProof/>
          <w:lang w:val="en-US"/>
        </w:rPr>
        <w:drawing>
          <wp:inline distT="0" distB="0" distL="0" distR="0">
            <wp:extent cx="3992015" cy="2650992"/>
            <wp:effectExtent l="19050" t="0" r="8485" b="0"/>
            <wp:docPr id="780" name="il_fi" descr="http://www.scienceclarified.com/landforms/images/ueol_02_img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clarified.com/landforms/images/ueol_02_img0081.jpg"/>
                    <pic:cNvPicPr>
                      <a:picLocks noChangeAspect="1" noChangeArrowheads="1"/>
                    </pic:cNvPicPr>
                  </pic:nvPicPr>
                  <pic:blipFill>
                    <a:blip r:embed="rId1306" cstate="print">
                      <a:lum contrast="30000"/>
                    </a:blip>
                    <a:srcRect/>
                    <a:stretch>
                      <a:fillRect/>
                    </a:stretch>
                  </pic:blipFill>
                  <pic:spPr bwMode="auto">
                    <a:xfrm>
                      <a:off x="0" y="0"/>
                      <a:ext cx="4007336" cy="2661166"/>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Figure 1:</w:t>
      </w:r>
      <w:r w:rsidRPr="00147F66">
        <w:rPr>
          <w:rFonts w:ascii="Book Antiqua" w:hAnsi="Book Antiqua"/>
          <w:i/>
          <w:sz w:val="18"/>
          <w:szCs w:val="18"/>
        </w:rPr>
        <w:t xml:space="preserve"> The difference between simple and complex craters. The complex crater has a terraced ringwall and a central peak complex. In addition, the heat from the impact results in partial liquefaction of the pulverized material which then covers the bottom of the bowl as a flat area.</w:t>
      </w:r>
    </w:p>
    <w:p w:rsidR="00CA4909" w:rsidRPr="004E2F1C" w:rsidRDefault="00CA4909" w:rsidP="00CA4909">
      <w:pPr>
        <w:jc w:val="both"/>
        <w:rPr>
          <w:rFonts w:ascii="Book Antiqua" w:hAnsi="Book Antiqua"/>
          <w:i/>
        </w:rPr>
      </w:pPr>
    </w:p>
    <w:p w:rsidR="00CA4909" w:rsidRPr="004E2F1C" w:rsidRDefault="00CA4909" w:rsidP="00CA4909">
      <w:pPr>
        <w:jc w:val="center"/>
        <w:rPr>
          <w:rFonts w:ascii="Book Antiqua" w:hAnsi="Book Antiqua"/>
          <w:color w:val="FFFFFF"/>
        </w:rPr>
      </w:pPr>
      <w:r w:rsidRPr="004E2F1C">
        <w:rPr>
          <w:rFonts w:ascii="Book Antiqua" w:hAnsi="Book Antiqua"/>
          <w:noProof/>
          <w:color w:val="FFFFFF"/>
          <w:lang w:val="en-US"/>
        </w:rPr>
        <w:drawing>
          <wp:inline distT="0" distB="0" distL="0" distR="0">
            <wp:extent cx="4124083" cy="2752725"/>
            <wp:effectExtent l="19050" t="0" r="0" b="0"/>
            <wp:docPr id="1515" name="Picture 22" descr="http://amcg.ese.ic.ac.uk/~gsc/research/collapse/figs/sizep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mcg.ese.ic.ac.uk/~gsc/research/collapse/figs/sizeprog.jpg"/>
                    <pic:cNvPicPr>
                      <a:picLocks noChangeAspect="1" noChangeArrowheads="1"/>
                    </pic:cNvPicPr>
                  </pic:nvPicPr>
                  <pic:blipFill>
                    <a:blip r:embed="rId1307" cstate="print">
                      <a:lum contrast="40000"/>
                    </a:blip>
                    <a:srcRect t="9572" r="-20" b="10076"/>
                    <a:stretch>
                      <a:fillRect/>
                    </a:stretch>
                  </pic:blipFill>
                  <pic:spPr bwMode="auto">
                    <a:xfrm>
                      <a:off x="0" y="0"/>
                      <a:ext cx="4128691" cy="2755801"/>
                    </a:xfrm>
                    <a:prstGeom prst="rect">
                      <a:avLst/>
                    </a:prstGeom>
                    <a:noFill/>
                    <a:ln w="9525">
                      <a:noFill/>
                      <a:miter lim="800000"/>
                      <a:headEnd/>
                      <a:tailEnd/>
                    </a:ln>
                  </pic:spPr>
                </pic:pic>
              </a:graphicData>
            </a:graphic>
          </wp:inline>
        </w:drawing>
      </w:r>
    </w:p>
    <w:p w:rsidR="00CA4909" w:rsidRPr="00302B7A" w:rsidRDefault="00CA4909" w:rsidP="00CA4909">
      <w:pPr>
        <w:jc w:val="both"/>
        <w:rPr>
          <w:rFonts w:ascii="Book Antiqua" w:hAnsi="Book Antiqua"/>
          <w:b/>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Figure 2:</w:t>
      </w:r>
      <w:r w:rsidRPr="00147F66">
        <w:rPr>
          <w:rFonts w:ascii="Book Antiqua" w:hAnsi="Book Antiqua"/>
          <w:i/>
          <w:sz w:val="18"/>
          <w:szCs w:val="18"/>
        </w:rPr>
        <w:t xml:space="preserve"> Photograph of Mercury illustrating simple craters, complex craters with central peaks, and complex craters with a ‘peaked ring,’which is sometimes called a “multi-ringed” crater. This crater type has broad, flat floors and vertical walls. Some of these features are replicated in Fig. 21.  </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As crater sizes increase, there is a geometric mean diameter when the form of the crater tends to change from one type into another. In other words, a larger impactor can change the resulting crater type.</w:t>
      </w:r>
    </w:p>
    <w:p w:rsidR="00CA4909" w:rsidRPr="00D06D49" w:rsidRDefault="00CA4909" w:rsidP="00CA4909">
      <w:pPr>
        <w:pStyle w:val="NoSpacing"/>
        <w:ind w:firstLine="720"/>
        <w:jc w:val="both"/>
        <w:rPr>
          <w:rFonts w:ascii="Book Antiqua" w:hAnsi="Book Antiqua"/>
          <w:i/>
          <w:sz w:val="20"/>
        </w:rPr>
      </w:pPr>
    </w:p>
    <w:p w:rsidR="00CA4909" w:rsidRDefault="00CA4909" w:rsidP="00CA4909">
      <w:pPr>
        <w:pStyle w:val="NoSpacing"/>
        <w:ind w:firstLine="720"/>
        <w:jc w:val="both"/>
        <w:rPr>
          <w:rFonts w:ascii="Book Antiqua" w:hAnsi="Book Antiqua"/>
          <w:i/>
          <w:sz w:val="20"/>
        </w:rPr>
      </w:pPr>
      <w:r>
        <w:rPr>
          <w:rFonts w:ascii="Book Antiqua" w:hAnsi="Book Antiqua"/>
          <w:i/>
          <w:sz w:val="20"/>
        </w:rPr>
        <w:t>E2.</w:t>
      </w:r>
      <w:r w:rsidRPr="00D06D49">
        <w:rPr>
          <w:rFonts w:ascii="Book Antiqua" w:hAnsi="Book Antiqua"/>
          <w:i/>
          <w:sz w:val="20"/>
        </w:rPr>
        <w:t xml:space="preserve">  Two Processes Forming Craters </w:t>
      </w:r>
    </w:p>
    <w:p w:rsidR="00CA4909" w:rsidRPr="00D06D49" w:rsidRDefault="00CA4909" w:rsidP="00CA4909">
      <w:pPr>
        <w:pStyle w:val="NoSpacing"/>
        <w:jc w:val="both"/>
        <w:rPr>
          <w:rFonts w:ascii="Book Antiqua" w:hAnsi="Book Antiqua"/>
          <w:i/>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Apart from volcanism, there are two processes whereby craters can be formed.  The best known is from the impact of asteroids or comets. The </w:t>
      </w:r>
      <w:r w:rsidR="00197BB5">
        <w:rPr>
          <w:rFonts w:ascii="Book Antiqua" w:hAnsi="Book Antiqua"/>
          <w:sz w:val="20"/>
        </w:rPr>
        <w:t xml:space="preserve">alternative </w:t>
      </w:r>
      <w:r w:rsidRPr="00D06D49">
        <w:rPr>
          <w:rFonts w:ascii="Book Antiqua" w:hAnsi="Book Antiqua"/>
          <w:sz w:val="20"/>
        </w:rPr>
        <w:t xml:space="preserve">that is currently under a lot of </w:t>
      </w:r>
      <w:proofErr w:type="gramStart"/>
      <w:r w:rsidRPr="00D06D49">
        <w:rPr>
          <w:rFonts w:ascii="Book Antiqua" w:hAnsi="Book Antiqua"/>
          <w:sz w:val="20"/>
        </w:rPr>
        <w:t>study,</w:t>
      </w:r>
      <w:proofErr w:type="gramEnd"/>
      <w:r w:rsidRPr="00D06D49">
        <w:rPr>
          <w:rFonts w:ascii="Book Antiqua" w:hAnsi="Book Antiqua"/>
          <w:sz w:val="20"/>
        </w:rPr>
        <w:t xml:space="preserve"> is Electric Discharge Machining (EDM). Experimental work done in the lab can help distinguish the difference in the craters formed by the two methods. </w:t>
      </w:r>
    </w:p>
    <w:p w:rsidR="00197BB5" w:rsidRDefault="00197BB5" w:rsidP="00CA4909">
      <w:pPr>
        <w:pStyle w:val="NoSpacing"/>
        <w:ind w:firstLine="720"/>
        <w:jc w:val="both"/>
        <w:rPr>
          <w:rFonts w:ascii="Book Antiqua" w:hAnsi="Book Antiqua"/>
          <w:sz w:val="20"/>
        </w:rPr>
      </w:pPr>
    </w:p>
    <w:p w:rsidR="00197BB5" w:rsidRPr="00D06D49" w:rsidRDefault="00197BB5" w:rsidP="00CA4909">
      <w:pPr>
        <w:pStyle w:val="NoSpacing"/>
        <w:ind w:firstLine="720"/>
        <w:jc w:val="both"/>
        <w:rPr>
          <w:rFonts w:ascii="Book Antiqua" w:hAnsi="Book Antiqua"/>
          <w:sz w:val="20"/>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2936902" cy="2259105"/>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8" cstate="print"/>
                    <a:srcRect t="9471" r="1180"/>
                    <a:stretch>
                      <a:fillRect/>
                    </a:stretch>
                  </pic:blipFill>
                  <pic:spPr bwMode="auto">
                    <a:xfrm>
                      <a:off x="0" y="0"/>
                      <a:ext cx="2942218" cy="226319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E2F1C" w:rsidRDefault="00CA4909" w:rsidP="00197BB5">
      <w:pPr>
        <w:jc w:val="center"/>
        <w:rPr>
          <w:rFonts w:ascii="Book Antiqua" w:hAnsi="Book Antiqua"/>
          <w:sz w:val="18"/>
          <w:szCs w:val="18"/>
        </w:rPr>
      </w:pPr>
      <w:r w:rsidRPr="003A64C2">
        <w:rPr>
          <w:rFonts w:ascii="Book Antiqua" w:hAnsi="Book Antiqua"/>
          <w:b/>
          <w:i/>
          <w:sz w:val="18"/>
          <w:szCs w:val="18"/>
        </w:rPr>
        <w:t xml:space="preserve">Figure </w:t>
      </w:r>
      <w:r w:rsidR="00E64A1F">
        <w:rPr>
          <w:rFonts w:ascii="Book Antiqua" w:hAnsi="Book Antiqua"/>
          <w:b/>
          <w:i/>
          <w:sz w:val="18"/>
          <w:szCs w:val="18"/>
        </w:rPr>
        <w:t>3</w:t>
      </w:r>
      <w:r w:rsidRPr="003A64C2">
        <w:rPr>
          <w:rFonts w:ascii="Book Antiqua" w:hAnsi="Book Antiqua"/>
          <w:b/>
          <w:i/>
          <w:sz w:val="18"/>
          <w:szCs w:val="18"/>
        </w:rPr>
        <w:t>:</w:t>
      </w:r>
      <w:r w:rsidRPr="003A64C2">
        <w:rPr>
          <w:rFonts w:ascii="Book Antiqua" w:hAnsi="Book Antiqua"/>
          <w:i/>
          <w:sz w:val="18"/>
          <w:szCs w:val="18"/>
        </w:rPr>
        <w:t xml:space="preserve"> Crater formed by Electric Discharge Machining with a flat floor and vertical walls. A rim of debris is evident [1</w:t>
      </w:r>
      <w:r w:rsidRPr="004E2F1C">
        <w:rPr>
          <w:rFonts w:ascii="Book Antiqua" w:hAnsi="Book Antiqua"/>
          <w:sz w:val="18"/>
          <w:szCs w:val="18"/>
        </w:rPr>
        <w: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046879" cy="2996773"/>
            <wp:effectExtent l="19050" t="0" r="1121" b="0"/>
            <wp:docPr id="66" name="Picture 181" descr="http://academic.pgcc.edu/~bgage/Planetary_images/Activity%202/mars_craters.jpg"/>
            <wp:cNvGraphicFramePr/>
            <a:graphic xmlns:a="http://schemas.openxmlformats.org/drawingml/2006/main">
              <a:graphicData uri="http://schemas.openxmlformats.org/drawingml/2006/picture">
                <pic:pic xmlns:pic="http://schemas.openxmlformats.org/drawingml/2006/picture">
                  <pic:nvPicPr>
                    <pic:cNvPr id="4" name="irc_mi" descr="http://academic.pgcc.edu/~bgage/Planetary_images/Activity%202/mars_craters.jpg"/>
                    <pic:cNvPicPr/>
                  </pic:nvPicPr>
                  <pic:blipFill>
                    <a:blip r:embed="rId1309" cstate="print">
                      <a:lum contrast="40000"/>
                    </a:blip>
                    <a:srcRect/>
                    <a:stretch>
                      <a:fillRect/>
                    </a:stretch>
                  </pic:blipFill>
                  <pic:spPr bwMode="auto">
                    <a:xfrm>
                      <a:off x="0" y="0"/>
                      <a:ext cx="3045294" cy="2995214"/>
                    </a:xfrm>
                    <a:prstGeom prst="rect">
                      <a:avLst/>
                    </a:prstGeom>
                    <a:noFill/>
                    <a:ln w="9525">
                      <a:noFill/>
                      <a:miter lim="800000"/>
                      <a:headEnd/>
                      <a:tailEnd/>
                    </a:ln>
                  </pic:spPr>
                </pic:pic>
              </a:graphicData>
            </a:graphic>
          </wp:inline>
        </w:drawing>
      </w:r>
    </w:p>
    <w:p w:rsidR="00CA4909" w:rsidRPr="004E2F1C" w:rsidRDefault="00CA4909" w:rsidP="00CA4909">
      <w:pPr>
        <w:rPr>
          <w:rFonts w:ascii="Book Antiqua" w:hAnsi="Book Antiqua"/>
          <w:b/>
          <w:i/>
          <w:sz w:val="18"/>
          <w:szCs w:val="18"/>
        </w:rPr>
      </w:pPr>
    </w:p>
    <w:p w:rsidR="00CA4909" w:rsidRPr="003A64C2" w:rsidRDefault="00CA4909" w:rsidP="00197BB5">
      <w:pPr>
        <w:jc w:val="center"/>
        <w:rPr>
          <w:rFonts w:ascii="Book Antiqua" w:hAnsi="Book Antiqua"/>
          <w:i/>
          <w:sz w:val="18"/>
          <w:szCs w:val="18"/>
        </w:rPr>
      </w:pPr>
      <w:r w:rsidRPr="003A64C2">
        <w:rPr>
          <w:rFonts w:ascii="Book Antiqua" w:hAnsi="Book Antiqua"/>
          <w:b/>
          <w:i/>
          <w:sz w:val="18"/>
          <w:szCs w:val="18"/>
        </w:rPr>
        <w:t xml:space="preserve">Figure </w:t>
      </w:r>
      <w:r w:rsidR="00E64A1F">
        <w:rPr>
          <w:rFonts w:ascii="Book Antiqua" w:hAnsi="Book Antiqua"/>
          <w:b/>
          <w:i/>
          <w:sz w:val="18"/>
          <w:szCs w:val="18"/>
        </w:rPr>
        <w:t>4</w:t>
      </w:r>
      <w:r w:rsidRPr="003A64C2">
        <w:rPr>
          <w:rFonts w:ascii="Book Antiqua" w:hAnsi="Book Antiqua"/>
          <w:b/>
          <w:i/>
          <w:sz w:val="18"/>
          <w:szCs w:val="18"/>
        </w:rPr>
        <w:t>:</w:t>
      </w:r>
      <w:r w:rsidRPr="003A64C2">
        <w:rPr>
          <w:rFonts w:ascii="Book Antiqua" w:hAnsi="Book Antiqua"/>
          <w:i/>
          <w:sz w:val="18"/>
          <w:szCs w:val="18"/>
        </w:rPr>
        <w:t xml:space="preserve"> Craters on Mars with characteristics very similar to those formed in the laboratory by electrical means.</w:t>
      </w:r>
    </w:p>
    <w:p w:rsidR="00DC3CA0" w:rsidRDefault="00DC3CA0"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Cj Ransom of the Vemasat Laboratories has produced a variety of craters formed electrically. These experimental, electrically machined, craters tend to have flat floors and more or less vertical walls, which may or may not have a rim </w:t>
      </w:r>
      <w:r w:rsidRPr="00D06D49">
        <w:rPr>
          <w:rFonts w:ascii="Book Antiqua" w:hAnsi="Book Antiqua"/>
          <w:sz w:val="20"/>
        </w:rPr>
        <w:lastRenderedPageBreak/>
        <w:t xml:space="preserve">made up of debris. The Fig. </w:t>
      </w:r>
      <w:r w:rsidR="007471B6">
        <w:rPr>
          <w:rFonts w:ascii="Book Antiqua" w:hAnsi="Book Antiqua"/>
          <w:sz w:val="20"/>
        </w:rPr>
        <w:t>3</w:t>
      </w:r>
      <w:r w:rsidRPr="00D06D49">
        <w:rPr>
          <w:rFonts w:ascii="Book Antiqua" w:hAnsi="Book Antiqua"/>
          <w:sz w:val="20"/>
        </w:rPr>
        <w:t xml:space="preserve"> example is similar to many craters on Mars (Figure </w:t>
      </w:r>
      <w:r w:rsidR="007471B6">
        <w:rPr>
          <w:rFonts w:ascii="Book Antiqua" w:hAnsi="Book Antiqua"/>
          <w:sz w:val="20"/>
        </w:rPr>
        <w:t>4</w:t>
      </w:r>
      <w:r w:rsidRPr="00D06D49">
        <w:rPr>
          <w:rFonts w:ascii="Book Antiqua" w:hAnsi="Book Antiqua"/>
          <w:sz w:val="20"/>
        </w:rPr>
        <w:t xml:space="preserve">), or Mercury (Fig. </w:t>
      </w:r>
      <w:r w:rsidR="007471B6">
        <w:rPr>
          <w:rFonts w:ascii="Book Antiqua" w:hAnsi="Book Antiqua"/>
          <w:sz w:val="20"/>
        </w:rPr>
        <w:t>5</w:t>
      </w:r>
      <w:r w:rsidRPr="00D06D49">
        <w:rPr>
          <w:rFonts w:ascii="Book Antiqua" w:hAnsi="Book Antiqua"/>
          <w:sz w:val="20"/>
        </w:rPr>
        <w:t xml:space="preserve">). Figures </w:t>
      </w:r>
      <w:r w:rsidR="007471B6">
        <w:rPr>
          <w:rFonts w:ascii="Book Antiqua" w:hAnsi="Book Antiqua"/>
          <w:sz w:val="20"/>
        </w:rPr>
        <w:t>5</w:t>
      </w:r>
      <w:r w:rsidRPr="00D06D49">
        <w:rPr>
          <w:rFonts w:ascii="Book Antiqua" w:hAnsi="Book Antiqua"/>
          <w:sz w:val="20"/>
        </w:rPr>
        <w:t xml:space="preserve"> and </w:t>
      </w:r>
      <w:r w:rsidR="007471B6">
        <w:rPr>
          <w:rFonts w:ascii="Book Antiqua" w:hAnsi="Book Antiqua"/>
          <w:sz w:val="20"/>
        </w:rPr>
        <w:t>6</w:t>
      </w:r>
      <w:r w:rsidRPr="00D06D49">
        <w:rPr>
          <w:rFonts w:ascii="Book Antiqua" w:hAnsi="Book Antiqua"/>
          <w:sz w:val="20"/>
        </w:rPr>
        <w:t xml:space="preserve"> also provide examples of craters formed by the EDM process. Similar craters exist on the inner planets. </w:t>
      </w:r>
    </w:p>
    <w:p w:rsidR="00197BB5" w:rsidRDefault="00197BB5"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p>
    <w:p w:rsidR="00CA4909" w:rsidRDefault="00CA4909" w:rsidP="00CA4909">
      <w:pPr>
        <w:jc w:val="center"/>
        <w:rPr>
          <w:rFonts w:ascii="Book Antiqua" w:hAnsi="Book Antiqua"/>
          <w:i/>
        </w:rPr>
      </w:pPr>
      <w:r w:rsidRPr="004E2F1C">
        <w:rPr>
          <w:rFonts w:ascii="Book Antiqua" w:hAnsi="Book Antiqua"/>
          <w:noProof/>
          <w:lang w:val="en-US"/>
        </w:rPr>
        <w:drawing>
          <wp:inline distT="0" distB="0" distL="0" distR="0">
            <wp:extent cx="3152014" cy="2904565"/>
            <wp:effectExtent l="19050" t="0" r="0" b="0"/>
            <wp:docPr id="68" name="il_fi" descr="http://i.dailymail.co.uk/i/pix/2011/03/31/article-1371402-0B69F91000000578-346_634x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dailymail.co.uk/i/pix/2011/03/31/article-1371402-0B69F91000000578-346_634x625.jpg"/>
                    <pic:cNvPicPr>
                      <a:picLocks noChangeAspect="1" noChangeArrowheads="1"/>
                    </pic:cNvPicPr>
                  </pic:nvPicPr>
                  <pic:blipFill>
                    <a:blip r:embed="rId1310" cstate="print">
                      <a:lum contrast="10000"/>
                    </a:blip>
                    <a:srcRect t="10151" r="-213" b="3240"/>
                    <a:stretch>
                      <a:fillRect/>
                    </a:stretch>
                  </pic:blipFill>
                  <pic:spPr bwMode="auto">
                    <a:xfrm>
                      <a:off x="0" y="0"/>
                      <a:ext cx="3158567" cy="2910603"/>
                    </a:xfrm>
                    <a:prstGeom prst="rect">
                      <a:avLst/>
                    </a:prstGeom>
                    <a:noFill/>
                    <a:ln w="9525">
                      <a:noFill/>
                      <a:miter lim="800000"/>
                      <a:headEnd/>
                      <a:tailEnd/>
                    </a:ln>
                  </pic:spPr>
                </pic:pic>
              </a:graphicData>
            </a:graphic>
          </wp:inline>
        </w:drawing>
      </w:r>
    </w:p>
    <w:p w:rsidR="00197BB5" w:rsidRPr="004E2F1C" w:rsidRDefault="00197BB5" w:rsidP="00CA4909">
      <w:pPr>
        <w:jc w:val="center"/>
        <w:rPr>
          <w:rFonts w:ascii="Book Antiqua" w:hAnsi="Book Antiqua"/>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E64A1F" w:rsidRPr="00147F66">
        <w:rPr>
          <w:rFonts w:ascii="Book Antiqua" w:hAnsi="Book Antiqua"/>
          <w:b/>
          <w:i/>
          <w:sz w:val="18"/>
          <w:szCs w:val="18"/>
        </w:rPr>
        <w:t>5</w:t>
      </w:r>
      <w:r w:rsidRPr="00147F66">
        <w:rPr>
          <w:rFonts w:ascii="Book Antiqua" w:hAnsi="Book Antiqua"/>
          <w:b/>
          <w:i/>
          <w:sz w:val="18"/>
          <w:szCs w:val="18"/>
        </w:rPr>
        <w:t>:</w:t>
      </w:r>
      <w:r w:rsidRPr="00147F66">
        <w:rPr>
          <w:rFonts w:ascii="Book Antiqua" w:hAnsi="Book Antiqua"/>
          <w:i/>
          <w:sz w:val="18"/>
          <w:szCs w:val="18"/>
        </w:rPr>
        <w:t xml:space="preserve"> Flat-floored craters on Mercury. The crater walls tend to be more or less vertical. These characteristics are thought to be typical of craters formed by Electric Discharge Machining (EDM) since they can be reproduced this way in plasma laboratories.</w:t>
      </w:r>
    </w:p>
    <w:p w:rsidR="00CA4909" w:rsidRPr="004E2F1C" w:rsidRDefault="00CA4909" w:rsidP="00CA4909">
      <w:pPr>
        <w:ind w:firstLine="720"/>
        <w:jc w:val="both"/>
        <w:rPr>
          <w:rFonts w:ascii="Book Antiqua" w:hAnsi="Book Antiqua"/>
        </w:rPr>
      </w:pPr>
    </w:p>
    <w:p w:rsidR="00CA4909" w:rsidRPr="004E2F1C" w:rsidRDefault="00CA4909" w:rsidP="00CA4909">
      <w:pPr>
        <w:ind w:firstLine="720"/>
        <w:jc w:val="both"/>
        <w:rPr>
          <w:rFonts w:ascii="Book Antiqua" w:hAnsi="Book Antiqua"/>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16"/>
        <w:gridCol w:w="4986"/>
      </w:tblGrid>
      <w:tr w:rsidR="00CA4909" w:rsidRPr="004E2F1C" w:rsidTr="00197BB5">
        <w:trPr>
          <w:jc w:val="center"/>
        </w:trPr>
        <w:tc>
          <w:tcPr>
            <w:tcW w:w="2671"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sz w:val="20"/>
              </w:rPr>
              <w:drawing>
                <wp:inline distT="0" distB="0" distL="0" distR="0">
                  <wp:extent cx="3019425" cy="2847975"/>
                  <wp:effectExtent l="19050" t="0" r="9525" b="0"/>
                  <wp:docPr id="70"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23" cstate="print">
                            <a:lum contrast="10000"/>
                          </a:blip>
                          <a:srcRect r="9574"/>
                          <a:stretch>
                            <a:fillRect/>
                          </a:stretch>
                        </pic:blipFill>
                        <pic:spPr bwMode="auto">
                          <a:xfrm>
                            <a:off x="0" y="0"/>
                            <a:ext cx="3019425" cy="2847975"/>
                          </a:xfrm>
                          <a:prstGeom prst="rect">
                            <a:avLst/>
                          </a:prstGeom>
                          <a:noFill/>
                          <a:ln w="9525">
                            <a:noFill/>
                            <a:miter lim="800000"/>
                            <a:headEnd/>
                            <a:tailEnd/>
                          </a:ln>
                        </pic:spPr>
                      </pic:pic>
                    </a:graphicData>
                  </a:graphic>
                </wp:inline>
              </w:drawing>
            </w:r>
          </w:p>
        </w:tc>
        <w:tc>
          <w:tcPr>
            <w:tcW w:w="2585"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sz w:val="20"/>
              </w:rPr>
              <w:drawing>
                <wp:inline distT="0" distB="0" distL="0" distR="0">
                  <wp:extent cx="3000375" cy="2847975"/>
                  <wp:effectExtent l="19050" t="0" r="9525" b="0"/>
                  <wp:docPr id="71"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24" cstate="print"/>
                          <a:srcRect/>
                          <a:stretch>
                            <a:fillRect/>
                          </a:stretch>
                        </pic:blipFill>
                        <pic:spPr bwMode="auto">
                          <a:xfrm>
                            <a:off x="0" y="0"/>
                            <a:ext cx="3000375" cy="2847975"/>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sz w:val="20"/>
        </w:rPr>
      </w:pPr>
    </w:p>
    <w:p w:rsidR="00CA4909" w:rsidRPr="003A64C2" w:rsidRDefault="00CA4909" w:rsidP="00CA4909">
      <w:pPr>
        <w:pStyle w:val="NoSpacing"/>
        <w:rPr>
          <w:rFonts w:ascii="Book Antiqua" w:hAnsi="Book Antiqua"/>
          <w:i/>
          <w:sz w:val="18"/>
          <w:szCs w:val="18"/>
        </w:rPr>
      </w:pPr>
      <w:proofErr w:type="gramStart"/>
      <w:r w:rsidRPr="003A64C2">
        <w:rPr>
          <w:rFonts w:ascii="Book Antiqua" w:hAnsi="Book Antiqua"/>
          <w:b/>
          <w:i/>
          <w:sz w:val="18"/>
          <w:szCs w:val="18"/>
        </w:rPr>
        <w:t xml:space="preserve">Figure  </w:t>
      </w:r>
      <w:r w:rsidR="008551DC">
        <w:rPr>
          <w:rFonts w:ascii="Book Antiqua" w:hAnsi="Book Antiqua"/>
          <w:b/>
          <w:i/>
          <w:sz w:val="18"/>
          <w:szCs w:val="18"/>
        </w:rPr>
        <w:t>6</w:t>
      </w:r>
      <w:proofErr w:type="gramEnd"/>
      <w:r w:rsidRPr="003A64C2">
        <w:rPr>
          <w:rFonts w:ascii="Book Antiqua" w:hAnsi="Book Antiqua"/>
          <w:b/>
          <w:i/>
          <w:sz w:val="18"/>
          <w:szCs w:val="18"/>
        </w:rPr>
        <w:t>: Left –</w:t>
      </w:r>
      <w:r w:rsidRPr="003A64C2">
        <w:rPr>
          <w:rFonts w:ascii="Book Antiqua" w:hAnsi="Book Antiqua"/>
          <w:i/>
          <w:sz w:val="18"/>
          <w:szCs w:val="18"/>
        </w:rPr>
        <w:t xml:space="preserve"> laboratory craters (some with central peaks) from electric discharge machining. Note that the ground is discolored where the discharge was strongest. </w:t>
      </w:r>
      <w:r w:rsidRPr="003A64C2">
        <w:rPr>
          <w:rFonts w:ascii="Book Antiqua" w:hAnsi="Book Antiqua"/>
          <w:b/>
          <w:i/>
          <w:sz w:val="18"/>
          <w:szCs w:val="18"/>
        </w:rPr>
        <w:t>Right –</w:t>
      </w:r>
      <w:r w:rsidRPr="003A64C2">
        <w:rPr>
          <w:rFonts w:ascii="Book Antiqua" w:hAnsi="Book Antiqua"/>
          <w:i/>
          <w:sz w:val="18"/>
          <w:szCs w:val="18"/>
        </w:rPr>
        <w:t xml:space="preserve"> Similar craters on Mars: many with flat floors.  </w:t>
      </w:r>
    </w:p>
    <w:p w:rsidR="00CA4909" w:rsidRPr="004E2F1C" w:rsidRDefault="00CA4909" w:rsidP="00CA49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6"/>
        <w:gridCol w:w="4536"/>
      </w:tblGrid>
      <w:tr w:rsidR="00CA4909" w:rsidRPr="004E2F1C" w:rsidTr="00A15BD0">
        <w:trPr>
          <w:jc w:val="center"/>
        </w:trPr>
        <w:tc>
          <w:tcPr>
            <w:tcW w:w="2628"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color w:val="000000"/>
                <w:sz w:val="20"/>
              </w:rPr>
              <w:lastRenderedPageBreak/>
              <w:drawing>
                <wp:inline distT="0" distB="0" distL="0" distR="0">
                  <wp:extent cx="3177540" cy="2647950"/>
                  <wp:effectExtent l="19050" t="0" r="3810" b="0"/>
                  <wp:docPr id="81"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25" cstate="print"/>
                          <a:srcRect/>
                          <a:stretch>
                            <a:fillRect/>
                          </a:stretch>
                        </pic:blipFill>
                        <pic:spPr bwMode="auto">
                          <a:xfrm>
                            <a:off x="0" y="0"/>
                            <a:ext cx="3184947" cy="265412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color w:val="000000"/>
                <w:sz w:val="20"/>
              </w:rPr>
              <w:drawing>
                <wp:inline distT="0" distB="0" distL="0" distR="0">
                  <wp:extent cx="2721847" cy="2647950"/>
                  <wp:effectExtent l="19050" t="0" r="2303" b="0"/>
                  <wp:docPr id="82"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26" cstate="print"/>
                          <a:srcRect/>
                          <a:stretch>
                            <a:fillRect/>
                          </a:stretch>
                        </pic:blipFill>
                        <pic:spPr bwMode="auto">
                          <a:xfrm>
                            <a:off x="0" y="0"/>
                            <a:ext cx="2733511" cy="265929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sz w:val="20"/>
        </w:rPr>
      </w:pPr>
    </w:p>
    <w:p w:rsidR="00CA4909" w:rsidRPr="003A64C2" w:rsidRDefault="00CA4909" w:rsidP="00A15BD0">
      <w:pPr>
        <w:pStyle w:val="NoSpacing"/>
        <w:jc w:val="center"/>
        <w:rPr>
          <w:rFonts w:ascii="Book Antiqua" w:hAnsi="Book Antiqua"/>
          <w:i/>
          <w:sz w:val="18"/>
          <w:szCs w:val="18"/>
        </w:rPr>
      </w:pPr>
      <w:r w:rsidRPr="003A64C2">
        <w:rPr>
          <w:rFonts w:ascii="Book Antiqua" w:hAnsi="Book Antiqua"/>
          <w:b/>
          <w:i/>
          <w:sz w:val="18"/>
          <w:szCs w:val="18"/>
        </w:rPr>
        <w:t xml:space="preserve">Figure </w:t>
      </w:r>
      <w:r w:rsidR="008551DC">
        <w:rPr>
          <w:rFonts w:ascii="Book Antiqua" w:hAnsi="Book Antiqua"/>
          <w:b/>
          <w:i/>
          <w:sz w:val="18"/>
          <w:szCs w:val="18"/>
        </w:rPr>
        <w:t>7</w:t>
      </w:r>
      <w:r w:rsidRPr="003A64C2">
        <w:rPr>
          <w:rFonts w:ascii="Book Antiqua" w:hAnsi="Book Antiqua"/>
          <w:b/>
          <w:i/>
          <w:sz w:val="18"/>
          <w:szCs w:val="18"/>
        </w:rPr>
        <w:t>: Left</w:t>
      </w:r>
      <w:r w:rsidRPr="003A64C2">
        <w:rPr>
          <w:rFonts w:ascii="Book Antiqua" w:hAnsi="Book Antiqua"/>
          <w:i/>
          <w:sz w:val="18"/>
          <w:szCs w:val="18"/>
        </w:rPr>
        <w:t xml:space="preserve"> - Electric discharge craters in sand with both flat and bowl-shaped floors. </w:t>
      </w:r>
      <w:r w:rsidRPr="003A64C2">
        <w:rPr>
          <w:rFonts w:ascii="Book Antiqua" w:hAnsi="Book Antiqua"/>
          <w:b/>
          <w:i/>
          <w:sz w:val="18"/>
          <w:szCs w:val="18"/>
        </w:rPr>
        <w:t>Right –</w:t>
      </w:r>
      <w:r w:rsidRPr="003A64C2">
        <w:rPr>
          <w:rFonts w:ascii="Book Antiqua" w:hAnsi="Book Antiqua"/>
          <w:i/>
          <w:sz w:val="18"/>
          <w:szCs w:val="18"/>
        </w:rPr>
        <w:t xml:space="preserve"> EDM crater in steel, which also has a central peak.</w:t>
      </w:r>
    </w:p>
    <w:p w:rsidR="00CA4909" w:rsidRPr="004E2F1C" w:rsidRDefault="00CA4909" w:rsidP="00CA4909">
      <w:pPr>
        <w:ind w:firstLine="720"/>
        <w:jc w:val="both"/>
        <w:rPr>
          <w:rFonts w:ascii="Book Antiqua" w:hAnsi="Book Antiqua"/>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Craters which have been formed by electrical methods can occur singly or in multiples and can often overlap. However, fragmentation of an asteroid before it hits will also reproduce some of these features.  So, too, will a swarm of smaller bodies accompanying the larger asteroid on its path to destruction. These swarms of asteroidal material are common in space. Their impact conditions can be reproduced in laboratory experiments using a “meteorite” that comprises a dessert-spoon or table-spoon of slightly compressed, dry cement dust. It is dropped from a height of 4 feet into a pan of dry, unconsolidated, cement dust about 6 inches deep whose surface has been very lightly tooled with a cement worker’s metal float.  Figure </w:t>
      </w:r>
      <w:r w:rsidR="007471B6">
        <w:rPr>
          <w:rFonts w:ascii="Book Antiqua" w:hAnsi="Book Antiqua"/>
          <w:sz w:val="20"/>
        </w:rPr>
        <w:t>8</w:t>
      </w:r>
      <w:r w:rsidRPr="00D06D49">
        <w:rPr>
          <w:rFonts w:ascii="Book Antiqua" w:hAnsi="Book Antiqua"/>
          <w:sz w:val="20"/>
        </w:rPr>
        <w:t xml:space="preserve"> gives shows craters left by a cement dust “meteorite” which broke up in flight.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486150" cy="2815204"/>
            <wp:effectExtent l="19050" t="0" r="0" b="0"/>
            <wp:docPr id="83" name="Picture 1" descr="C:\Users\Barry\Pictures\2012-07-26 craters 2\craters 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2\craters 2 004.JPG"/>
                    <pic:cNvPicPr>
                      <a:picLocks noChangeAspect="1" noChangeArrowheads="1"/>
                    </pic:cNvPicPr>
                  </pic:nvPicPr>
                  <pic:blipFill>
                    <a:blip r:embed="rId1311" cstate="print">
                      <a:lum contrast="30000"/>
                    </a:blip>
                    <a:srcRect l="16667" t="16386"/>
                    <a:stretch>
                      <a:fillRect/>
                    </a:stretch>
                  </pic:blipFill>
                  <pic:spPr bwMode="auto">
                    <a:xfrm>
                      <a:off x="0" y="0"/>
                      <a:ext cx="3495147" cy="282246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8551DC" w:rsidRPr="00147F66">
        <w:rPr>
          <w:rFonts w:ascii="Book Antiqua" w:hAnsi="Book Antiqua"/>
          <w:b/>
          <w:i/>
          <w:sz w:val="18"/>
          <w:szCs w:val="18"/>
        </w:rPr>
        <w:t>8</w:t>
      </w:r>
      <w:r w:rsidRPr="00147F66">
        <w:rPr>
          <w:rFonts w:ascii="Book Antiqua" w:hAnsi="Book Antiqua"/>
          <w:b/>
          <w:i/>
          <w:sz w:val="18"/>
          <w:szCs w:val="18"/>
        </w:rPr>
        <w:t>:</w:t>
      </w:r>
      <w:r w:rsidRPr="00147F66">
        <w:rPr>
          <w:rFonts w:ascii="Book Antiqua" w:hAnsi="Book Antiqua"/>
          <w:i/>
          <w:sz w:val="18"/>
          <w:szCs w:val="18"/>
        </w:rPr>
        <w:t xml:space="preserve"> An example of a cement dust impact crater in which the cement dust “meteorite” broke up before it hit the pan of cement dust. Splash craters and rays formed by the “impact” are also in evidence [2].</w:t>
      </w:r>
    </w:p>
    <w:p w:rsidR="00DC3CA0" w:rsidRDefault="00DC3CA0"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Cement dust is used to simulate impact craters because in any such collision, with speeds of up to 45 miles per second, any material is going to be pulverized whether it be soft pumice or alloy steel. So what is needed to reproduce </w:t>
      </w:r>
      <w:r w:rsidRPr="00D06D49">
        <w:rPr>
          <w:rFonts w:ascii="Book Antiqua" w:hAnsi="Book Antiqua"/>
          <w:sz w:val="20"/>
        </w:rPr>
        <w:lastRenderedPageBreak/>
        <w:t>these conditions is a material which has no tensile strength. Dust is such a material. And for practical reasons, cement dust can be used as it comes in uniform quality after all lumps have been screened out. All that is needed is one slightly consolidated “meteorite” of cement dust in a spoon, dropped into the pan of cement dust, and these are the results.</w:t>
      </w:r>
    </w:p>
    <w:p w:rsidR="00CA4909" w:rsidRPr="00D06D49" w:rsidRDefault="00CA4909"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In these experiments, for both the electrically produced and the cement dust impact craters we get the single, the multiple, and the overlapping craters. Splash craters formed as a result of impact also have their counterparts in EDM (electrically machined) craters. Figure </w:t>
      </w:r>
      <w:r w:rsidR="00150E15">
        <w:rPr>
          <w:rFonts w:ascii="Book Antiqua" w:hAnsi="Book Antiqua"/>
          <w:sz w:val="20"/>
        </w:rPr>
        <w:t>9</w:t>
      </w:r>
      <w:r w:rsidRPr="00D06D49">
        <w:rPr>
          <w:rFonts w:ascii="Book Antiqua" w:hAnsi="Book Antiqua"/>
          <w:sz w:val="20"/>
        </w:rPr>
        <w:t xml:space="preserve"> shows a typical bowl-shaped crater, formed in the cement dust experiments. It is accompanied by the usual radiating ridges, rays and a suite of secondary splash craters.</w:t>
      </w:r>
    </w:p>
    <w:p w:rsidR="00CA4909" w:rsidRPr="00D06D49"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Using cement dust, it frequently happens that limited chains of craters form along with the main crater. This can be seen in Figures </w:t>
      </w:r>
      <w:r w:rsidR="007425C8">
        <w:rPr>
          <w:rFonts w:ascii="Book Antiqua" w:hAnsi="Book Antiqua"/>
          <w:sz w:val="20"/>
        </w:rPr>
        <w:t>8</w:t>
      </w:r>
      <w:r w:rsidRPr="00D06D49">
        <w:rPr>
          <w:rFonts w:ascii="Book Antiqua" w:hAnsi="Book Antiqua"/>
          <w:sz w:val="20"/>
        </w:rPr>
        <w:t xml:space="preserve"> and </w:t>
      </w:r>
      <w:r w:rsidR="007425C8">
        <w:rPr>
          <w:rFonts w:ascii="Book Antiqua" w:hAnsi="Book Antiqua"/>
          <w:sz w:val="20"/>
        </w:rPr>
        <w:t>9</w:t>
      </w:r>
      <w:r w:rsidRPr="00D06D49">
        <w:rPr>
          <w:rFonts w:ascii="Book Antiqua" w:hAnsi="Book Antiqua"/>
          <w:sz w:val="20"/>
        </w:rPr>
        <w:t xml:space="preserve">. It is also possible to have smaller craters form on the wall of the larger one, as in Figure </w:t>
      </w:r>
      <w:r w:rsidR="007425C8">
        <w:rPr>
          <w:rFonts w:ascii="Book Antiqua" w:hAnsi="Book Antiqua"/>
          <w:sz w:val="20"/>
        </w:rPr>
        <w:t>10</w:t>
      </w:r>
      <w:r w:rsidRPr="00D06D49">
        <w:rPr>
          <w:rFonts w:ascii="Book Antiqua" w:hAnsi="Book Antiqua"/>
          <w:sz w:val="20"/>
        </w:rPr>
        <w:t>.</w:t>
      </w:r>
    </w:p>
    <w:p w:rsidR="00A15BD0" w:rsidRPr="00D06D49" w:rsidRDefault="00A15BD0" w:rsidP="00CA4909">
      <w:pPr>
        <w:pStyle w:val="NoSpacing"/>
        <w:ind w:firstLine="720"/>
        <w:jc w:val="both"/>
        <w:rPr>
          <w:rFonts w:ascii="Book Antiqua" w:hAnsi="Book Antiqua"/>
          <w:sz w:val="20"/>
        </w:rPr>
      </w:pP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931288" cy="4857750"/>
            <wp:effectExtent l="19050" t="0" r="0" b="0"/>
            <wp:docPr id="90" name="Picture 7" descr="C:\Users\Barry\Pictures\2012-07-26 Craters 3\Craters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6 Craters 3\Craters 3 001.JPG"/>
                    <pic:cNvPicPr>
                      <a:picLocks noChangeAspect="1" noChangeArrowheads="1"/>
                    </pic:cNvPicPr>
                  </pic:nvPicPr>
                  <pic:blipFill>
                    <a:blip r:embed="rId1312" cstate="print">
                      <a:lum contrast="30000"/>
                    </a:blip>
                    <a:srcRect t="7386" b="5114"/>
                    <a:stretch>
                      <a:fillRect/>
                    </a:stretch>
                  </pic:blipFill>
                  <pic:spPr bwMode="auto">
                    <a:xfrm>
                      <a:off x="0" y="0"/>
                      <a:ext cx="5948474" cy="4871825"/>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7425C8" w:rsidRPr="00147F66">
        <w:rPr>
          <w:rFonts w:ascii="Book Antiqua" w:hAnsi="Book Antiqua"/>
          <w:b/>
          <w:i/>
          <w:sz w:val="18"/>
          <w:szCs w:val="18"/>
        </w:rPr>
        <w:t>9</w:t>
      </w:r>
      <w:r w:rsidRPr="00147F66">
        <w:rPr>
          <w:rFonts w:ascii="Book Antiqua" w:hAnsi="Book Antiqua"/>
          <w:b/>
          <w:i/>
          <w:sz w:val="18"/>
          <w:szCs w:val="18"/>
        </w:rPr>
        <w:t>:</w:t>
      </w:r>
      <w:r w:rsidRPr="00147F66">
        <w:rPr>
          <w:rFonts w:ascii="Book Antiqua" w:hAnsi="Book Antiqua"/>
          <w:i/>
          <w:sz w:val="18"/>
          <w:szCs w:val="18"/>
        </w:rPr>
        <w:t xml:space="preserve"> A typical bowl-shaped impact crater in the cement dust experiments. The usual entourage of radiating ridges, splash craters and rays has formed. The “meteorite” is a table-spoon of slightly consolidated cement dust. It is dropped from a height of about 4 feet into a pan of dry cement dust lightly tooled with a metal float. The ridge running down the middle is caused by the edge of the float.</w:t>
      </w: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4152900" cy="3114958"/>
            <wp:effectExtent l="19050" t="0" r="0" b="0"/>
            <wp:docPr id="93" name="Picture 6" descr="C:\Users\Barry\Pictures\2012-07-26 Craters 3\Craters 3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ry\Pictures\2012-07-26 Craters 3\Craters 3 008.JPG"/>
                    <pic:cNvPicPr>
                      <a:picLocks noChangeAspect="1" noChangeArrowheads="1"/>
                    </pic:cNvPicPr>
                  </pic:nvPicPr>
                  <pic:blipFill>
                    <a:blip r:embed="rId1313" cstate="print">
                      <a:lum contrast="40000"/>
                    </a:blip>
                    <a:srcRect/>
                    <a:stretch>
                      <a:fillRect/>
                    </a:stretch>
                  </pic:blipFill>
                  <pic:spPr bwMode="auto">
                    <a:xfrm>
                      <a:off x="0" y="0"/>
                      <a:ext cx="4153277" cy="3115241"/>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7425C8" w:rsidRPr="00147F66">
        <w:rPr>
          <w:rFonts w:ascii="Book Antiqua" w:hAnsi="Book Antiqua"/>
          <w:b/>
          <w:i/>
          <w:sz w:val="18"/>
          <w:szCs w:val="18"/>
        </w:rPr>
        <w:t>10</w:t>
      </w:r>
      <w:r w:rsidRPr="00147F66">
        <w:rPr>
          <w:rFonts w:ascii="Book Antiqua" w:hAnsi="Book Antiqua"/>
          <w:b/>
          <w:i/>
          <w:sz w:val="18"/>
          <w:szCs w:val="18"/>
        </w:rPr>
        <w:t>:</w:t>
      </w:r>
      <w:r w:rsidRPr="00147F66">
        <w:rPr>
          <w:rFonts w:ascii="Book Antiqua" w:hAnsi="Book Antiqua"/>
          <w:i/>
          <w:sz w:val="18"/>
          <w:szCs w:val="18"/>
        </w:rPr>
        <w:t xml:space="preserve"> Rays, splash craters and short crater chains are in evidence in this cement dust experiment. Importantly, so is a secondary crater on the bottom left part of the wall of the main </w:t>
      </w:r>
      <w:proofErr w:type="gramStart"/>
      <w:r w:rsidRPr="00147F66">
        <w:rPr>
          <w:rFonts w:ascii="Book Antiqua" w:hAnsi="Book Antiqua"/>
          <w:i/>
          <w:sz w:val="18"/>
          <w:szCs w:val="18"/>
        </w:rPr>
        <w:t>crater.</w:t>
      </w:r>
      <w:proofErr w:type="gramEnd"/>
      <w:r w:rsidRPr="00147F66">
        <w:rPr>
          <w:rFonts w:ascii="Book Antiqua" w:hAnsi="Book Antiqua"/>
          <w:i/>
          <w:sz w:val="18"/>
          <w:szCs w:val="18"/>
        </w:rPr>
        <w:t xml:space="preserve"> This secondary crater has a central peak. Again the ridge was left by the float. </w:t>
      </w:r>
    </w:p>
    <w:p w:rsidR="00A15BD0" w:rsidRPr="003A64C2" w:rsidRDefault="00A15BD0" w:rsidP="00CA4909">
      <w:pPr>
        <w:rPr>
          <w:rFonts w:ascii="Book Antiqua" w:hAnsi="Book Antiqua"/>
          <w:i/>
          <w:sz w:val="18"/>
          <w:szCs w:val="18"/>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Central peaks are obtained in cement dust experiments where there is an unyielding layer about 3 inches below the surface. This is achieved by using a flat tile or something similar. The typical results are in Figure </w:t>
      </w:r>
      <w:r w:rsidR="00CC272B">
        <w:rPr>
          <w:rFonts w:ascii="Book Antiqua" w:hAnsi="Book Antiqua"/>
          <w:sz w:val="20"/>
        </w:rPr>
        <w:t>11</w:t>
      </w:r>
      <w:r w:rsidRPr="00D06D49">
        <w:rPr>
          <w:rFonts w:ascii="Book Antiqua" w:hAnsi="Book Antiqua"/>
          <w:sz w:val="20"/>
        </w:rPr>
        <w:t xml:space="preserve"> which should be compared with the craters on the Moon in Figure 1</w:t>
      </w:r>
      <w:r w:rsidR="00CC272B">
        <w:rPr>
          <w:rFonts w:ascii="Book Antiqua" w:hAnsi="Book Antiqua"/>
          <w:sz w:val="20"/>
        </w:rPr>
        <w:t>2</w:t>
      </w:r>
      <w:r w:rsidRPr="00D06D49">
        <w:rPr>
          <w:rFonts w:ascii="Book Antiqua" w:hAnsi="Book Antiqua"/>
          <w:sz w:val="20"/>
        </w:rPr>
        <w: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371975" cy="2670818"/>
            <wp:effectExtent l="19050" t="0" r="9525" b="0"/>
            <wp:docPr id="96" name="Picture 1" descr="C:\Users\Barry\Pictures\2012-07-26 Craters 3\Craters 3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3\Craters 3 012.JPG"/>
                    <pic:cNvPicPr>
                      <a:picLocks noChangeAspect="1" noChangeArrowheads="1"/>
                    </pic:cNvPicPr>
                  </pic:nvPicPr>
                  <pic:blipFill>
                    <a:blip r:embed="rId1314" cstate="print">
                      <a:lum contrast="40000"/>
                    </a:blip>
                    <a:srcRect t="12404" r="319" b="9355"/>
                    <a:stretch>
                      <a:fillRect/>
                    </a:stretch>
                  </pic:blipFill>
                  <pic:spPr bwMode="auto">
                    <a:xfrm>
                      <a:off x="0" y="0"/>
                      <a:ext cx="4377203" cy="2674012"/>
                    </a:xfrm>
                    <a:prstGeom prst="rect">
                      <a:avLst/>
                    </a:prstGeom>
                    <a:noFill/>
                    <a:ln w="9525">
                      <a:noFill/>
                      <a:miter lim="800000"/>
                      <a:headEnd/>
                      <a:tailEnd/>
                    </a:ln>
                  </pic:spPr>
                </pic:pic>
              </a:graphicData>
            </a:graphic>
          </wp:inline>
        </w:drawing>
      </w:r>
    </w:p>
    <w:p w:rsidR="00CA4909" w:rsidRPr="003A64C2"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CC272B" w:rsidRPr="00147F66">
        <w:rPr>
          <w:rFonts w:ascii="Book Antiqua" w:hAnsi="Book Antiqua"/>
          <w:b/>
          <w:i/>
          <w:sz w:val="18"/>
          <w:szCs w:val="18"/>
        </w:rPr>
        <w:t>11</w:t>
      </w:r>
      <w:r w:rsidRPr="00147F66">
        <w:rPr>
          <w:rFonts w:ascii="Book Antiqua" w:hAnsi="Book Antiqua"/>
          <w:b/>
          <w:i/>
          <w:sz w:val="18"/>
          <w:szCs w:val="18"/>
        </w:rPr>
        <w:t>:</w:t>
      </w:r>
      <w:r w:rsidRPr="00147F66">
        <w:rPr>
          <w:rFonts w:ascii="Book Antiqua" w:hAnsi="Book Antiqua"/>
          <w:i/>
          <w:sz w:val="18"/>
          <w:szCs w:val="18"/>
        </w:rPr>
        <w:t xml:space="preserve"> A cement dust crater with a prominent central peak, terraced walls, ridges and rays, plus some large splash craters.  This crater should be compared with the two examples on the Moon in Figure 1</w:t>
      </w:r>
      <w:r w:rsidR="00CC272B" w:rsidRPr="00147F66">
        <w:rPr>
          <w:rFonts w:ascii="Book Antiqua" w:hAnsi="Book Antiqua"/>
          <w:i/>
          <w:sz w:val="18"/>
          <w:szCs w:val="18"/>
        </w:rPr>
        <w:t>2</w:t>
      </w:r>
      <w:r w:rsidRPr="00147F66">
        <w:rPr>
          <w:rFonts w:ascii="Book Antiqua" w:hAnsi="Book Antiqua"/>
          <w:i/>
          <w:sz w:val="18"/>
          <w:szCs w:val="18"/>
        </w:rPr>
        <w:t xml:space="preserve"> below.</w:t>
      </w:r>
    </w:p>
    <w:p w:rsidR="00DC3CA0" w:rsidRDefault="00DC3CA0"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From these examples, it can be seen both impacts and electrical machining can form </w:t>
      </w:r>
      <w:proofErr w:type="gramStart"/>
      <w:r w:rsidRPr="00D06D49">
        <w:rPr>
          <w:rFonts w:ascii="Book Antiqua" w:hAnsi="Book Antiqua"/>
          <w:sz w:val="20"/>
        </w:rPr>
        <w:t>bowl-shaped,</w:t>
      </w:r>
      <w:proofErr w:type="gramEnd"/>
      <w:r w:rsidRPr="00D06D49">
        <w:rPr>
          <w:rFonts w:ascii="Book Antiqua" w:hAnsi="Book Antiqua"/>
          <w:sz w:val="20"/>
        </w:rPr>
        <w:t xml:space="preserve"> or ‘simple’ craters, as well as ‘complex’ craters with central peaks and terraces, along with accompanying splash craters and secondary craters on the ring wall.   </w:t>
      </w:r>
    </w:p>
    <w:p w:rsidR="00F81911" w:rsidRPr="00D06D49" w:rsidRDefault="00F81911"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669977" cy="3373291"/>
            <wp:effectExtent l="19050" t="0" r="6923" b="0"/>
            <wp:docPr id="98" name="il_fi" descr="http://yellowmagpie.com/wp-content/uploads/2010/02/Far-Side-Of-The-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yellowmagpie.com/wp-content/uploads/2010/02/Far-Side-Of-The-Moon.jpg"/>
                    <pic:cNvPicPr>
                      <a:picLocks noChangeAspect="1" noChangeArrowheads="1"/>
                    </pic:cNvPicPr>
                  </pic:nvPicPr>
                  <pic:blipFill>
                    <a:blip r:embed="rId1315" cstate="print"/>
                    <a:srcRect t="7808" r="-213" b="8108"/>
                    <a:stretch>
                      <a:fillRect/>
                    </a:stretch>
                  </pic:blipFill>
                  <pic:spPr bwMode="auto">
                    <a:xfrm>
                      <a:off x="0" y="0"/>
                      <a:ext cx="5675626" cy="3376652"/>
                    </a:xfrm>
                    <a:prstGeom prst="rect">
                      <a:avLst/>
                    </a:prstGeom>
                    <a:noFill/>
                    <a:ln w="9525">
                      <a:noFill/>
                      <a:miter lim="800000"/>
                      <a:headEnd/>
                      <a:tailEnd/>
                    </a:ln>
                  </pic:spPr>
                </pic:pic>
              </a:graphicData>
            </a:graphic>
          </wp:inline>
        </w:drawing>
      </w: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638937" cy="3642232"/>
            <wp:effectExtent l="19050" t="0" r="0" b="0"/>
            <wp:docPr id="99" name="Picture 10" descr="http://moontag.files.wordpress.com/2009/05/lunar_crater_daed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oontag.files.wordpress.com/2009/05/lunar_crater_daedalus.jpg"/>
                    <pic:cNvPicPr>
                      <a:picLocks noChangeAspect="1" noChangeArrowheads="1"/>
                    </pic:cNvPicPr>
                  </pic:nvPicPr>
                  <pic:blipFill>
                    <a:blip r:embed="rId1316" cstate="print"/>
                    <a:srcRect t="15065" r="201" b="18559"/>
                    <a:stretch>
                      <a:fillRect/>
                    </a:stretch>
                  </pic:blipFill>
                  <pic:spPr bwMode="auto">
                    <a:xfrm>
                      <a:off x="0" y="0"/>
                      <a:ext cx="5650825" cy="3649910"/>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D6396" w:rsidRDefault="00CA4909" w:rsidP="004D6396">
      <w:pPr>
        <w:pStyle w:val="NoSpacing"/>
        <w:rPr>
          <w:rFonts w:ascii="Book Antiqua" w:hAnsi="Book Antiqua"/>
          <w:i/>
          <w:sz w:val="18"/>
          <w:szCs w:val="18"/>
        </w:rPr>
      </w:pPr>
      <w:r w:rsidRPr="004D6396">
        <w:rPr>
          <w:rFonts w:ascii="Book Antiqua" w:hAnsi="Book Antiqua"/>
          <w:b/>
          <w:i/>
          <w:sz w:val="18"/>
          <w:szCs w:val="18"/>
        </w:rPr>
        <w:t>Figure 1</w:t>
      </w:r>
      <w:r w:rsidR="00CC272B" w:rsidRPr="004D6396">
        <w:rPr>
          <w:rFonts w:ascii="Book Antiqua" w:hAnsi="Book Antiqua"/>
          <w:b/>
          <w:i/>
          <w:sz w:val="18"/>
          <w:szCs w:val="18"/>
        </w:rPr>
        <w:t>2</w:t>
      </w:r>
      <w:r w:rsidRPr="004D6396">
        <w:rPr>
          <w:rFonts w:ascii="Book Antiqua" w:hAnsi="Book Antiqua"/>
          <w:b/>
          <w:i/>
          <w:sz w:val="18"/>
          <w:szCs w:val="18"/>
        </w:rPr>
        <w:t>:</w:t>
      </w:r>
      <w:r w:rsidRPr="004D6396">
        <w:rPr>
          <w:rFonts w:ascii="Book Antiqua" w:hAnsi="Book Antiqua"/>
          <w:i/>
          <w:sz w:val="18"/>
          <w:szCs w:val="18"/>
        </w:rPr>
        <w:t xml:space="preserve"> Two views of the far side of the Moon. Top is a general view of ancient craters with many splash craters, and smaller, more recent craters. Bottom is the crater Daedalus about 58 miles across with its wide ringwall showing clearly on its right hand side, along with terraces and a central peak complex.</w:t>
      </w:r>
    </w:p>
    <w:p w:rsidR="00CA4909"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color w:val="000000"/>
          <w:sz w:val="20"/>
        </w:rPr>
      </w:pPr>
      <w:r w:rsidRPr="004E2F1C">
        <w:rPr>
          <w:rFonts w:ascii="Book Antiqua" w:hAnsi="Book Antiqua"/>
          <w:sz w:val="20"/>
        </w:rPr>
        <w:lastRenderedPageBreak/>
        <w:t>One of the important characteristics of craters is their depth</w:t>
      </w:r>
      <w:proofErr w:type="gramStart"/>
      <w:r w:rsidRPr="004E2F1C">
        <w:rPr>
          <w:rFonts w:ascii="Book Antiqua" w:hAnsi="Book Antiqua"/>
          <w:sz w:val="20"/>
        </w:rPr>
        <w:t xml:space="preserve">, </w:t>
      </w:r>
      <m:oMath>
        <w:proofErr w:type="gramEnd"/>
        <m:r>
          <w:rPr>
            <w:rFonts w:ascii="Cambria Math" w:hAnsi="Cambria Math"/>
            <w:sz w:val="20"/>
          </w:rPr>
          <m:t>d</m:t>
        </m:r>
      </m:oMath>
      <w:r w:rsidRPr="004E2F1C">
        <w:rPr>
          <w:rFonts w:ascii="Book Antiqua" w:hAnsi="Book Antiqua"/>
          <w:sz w:val="20"/>
        </w:rPr>
        <w:t xml:space="preserve">, from the top of the rim to the bottom of the crater and the diameter, </w:t>
      </w:r>
      <m:oMath>
        <m:r>
          <w:rPr>
            <w:rFonts w:ascii="Cambria Math" w:hAnsi="Cambria Math"/>
            <w:sz w:val="20"/>
          </w:rPr>
          <m:t>D</m:t>
        </m:r>
      </m:oMath>
      <w:r w:rsidRPr="004E2F1C">
        <w:rPr>
          <w:rFonts w:ascii="Book Antiqua" w:hAnsi="Book Antiqua"/>
          <w:sz w:val="20"/>
        </w:rPr>
        <w:t xml:space="preserve">, from rim-crest to rim-crest. The </w:t>
      </w:r>
      <w:proofErr w:type="gramStart"/>
      <w:r w:rsidRPr="004E2F1C">
        <w:rPr>
          <w:rFonts w:ascii="Book Antiqua" w:hAnsi="Book Antiqua"/>
          <w:sz w:val="20"/>
        </w:rPr>
        <w:t xml:space="preserve">ratio </w:t>
      </w:r>
      <m:oMath>
        <w:proofErr w:type="gramEnd"/>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or depth/diameter is a feature about which there is much discussion. In these initial experiments, </w:t>
      </w:r>
      <w:r w:rsidRPr="004E2F1C">
        <w:rPr>
          <w:rFonts w:ascii="Book Antiqua" w:hAnsi="Book Antiqua"/>
          <w:color w:val="000000"/>
          <w:sz w:val="20"/>
        </w:rPr>
        <w:t xml:space="preserve">ratios were found to vary between </w:t>
      </w:r>
      <m:oMath>
        <m:r>
          <w:rPr>
            <w:rFonts w:ascii="Cambria Math" w:hAnsi="Book Antiqua"/>
            <w:color w:val="000000"/>
            <w:sz w:val="20"/>
          </w:rPr>
          <m:t>1:5 = 0.2</m:t>
        </m:r>
      </m:oMath>
      <w:r w:rsidRPr="004E2F1C">
        <w:rPr>
          <w:rFonts w:ascii="Book Antiqua" w:hAnsi="Book Antiqua"/>
          <w:color w:val="000000"/>
          <w:sz w:val="20"/>
        </w:rPr>
        <w:t xml:space="preserve"> to </w:t>
      </w:r>
      <m:oMath>
        <m:r>
          <w:rPr>
            <w:rFonts w:ascii="Cambria Math" w:hAnsi="Book Antiqua"/>
            <w:color w:val="000000"/>
            <w:sz w:val="20"/>
          </w:rPr>
          <m:t>1:2.5 = 0.4</m:t>
        </m:r>
      </m:oMath>
      <w:r w:rsidRPr="004E2F1C">
        <w:rPr>
          <w:rFonts w:ascii="Book Antiqua" w:hAnsi="Book Antiqua"/>
          <w:color w:val="000000"/>
          <w:sz w:val="20"/>
        </w:rPr>
        <w:t xml:space="preserve"> with the average </w:t>
      </w:r>
      <w:proofErr w:type="gramStart"/>
      <w:r w:rsidRPr="004E2F1C">
        <w:rPr>
          <w:rFonts w:ascii="Book Antiqua" w:hAnsi="Book Antiqua"/>
          <w:color w:val="000000"/>
          <w:sz w:val="20"/>
        </w:rPr>
        <w:t xml:space="preserve">around </w:t>
      </w:r>
      <m:oMath>
        <w:proofErr w:type="gramEnd"/>
        <m:r>
          <w:rPr>
            <w:rFonts w:ascii="Cambria Math" w:hAnsi="Book Antiqua"/>
            <w:color w:val="000000"/>
            <w:sz w:val="20"/>
          </w:rPr>
          <m:t>1:3.3 = 0.3</m:t>
        </m:r>
      </m:oMath>
      <w:r w:rsidRPr="004E2F1C">
        <w:rPr>
          <w:rFonts w:ascii="Book Antiqua" w:hAnsi="Book Antiqua"/>
          <w:color w:val="000000"/>
          <w:sz w:val="20"/>
        </w:rPr>
        <w:t>. This is strictly in the range of what is achieved on earth with explosion pits and is found to hold generally on the Moon for small craters.</w:t>
      </w:r>
    </w:p>
    <w:p w:rsidR="00CA4909" w:rsidRPr="004E2F1C" w:rsidRDefault="00CA4909" w:rsidP="00CA4909">
      <w:pPr>
        <w:pStyle w:val="NoSpacing"/>
        <w:jc w:val="both"/>
        <w:rPr>
          <w:rFonts w:ascii="Book Antiqua" w:hAnsi="Book Antiqua"/>
          <w:color w:val="000000"/>
          <w:sz w:val="20"/>
        </w:rPr>
      </w:pPr>
    </w:p>
    <w:p w:rsidR="00CA4909" w:rsidRDefault="00CA4909" w:rsidP="00CA4909">
      <w:pPr>
        <w:pStyle w:val="NoSpacing"/>
        <w:ind w:firstLine="720"/>
        <w:jc w:val="both"/>
        <w:rPr>
          <w:rFonts w:ascii="Book Antiqua" w:hAnsi="Book Antiqua"/>
          <w:sz w:val="20"/>
        </w:rPr>
      </w:pPr>
      <w:r w:rsidRPr="00910192">
        <w:rPr>
          <w:rFonts w:ascii="Book Antiqua" w:hAnsi="Book Antiqua"/>
          <w:color w:val="000000"/>
          <w:sz w:val="20"/>
        </w:rPr>
        <w:t>One article from Feb 2005 said that "</w:t>
      </w:r>
      <w:r w:rsidRPr="00910192">
        <w:rPr>
          <w:rFonts w:ascii="Book Antiqua" w:hAnsi="Book Antiqua"/>
          <w:sz w:val="20"/>
        </w:rPr>
        <w:t xml:space="preserve">The initial product of an impact is ... a bowl-shaped cavity with a depth to diameter ratio between </w:t>
      </w:r>
      <m:oMath>
        <m:r>
          <m:rPr>
            <m:sty m:val="p"/>
          </m:rPr>
          <w:rPr>
            <w:rFonts w:ascii="Cambria Math" w:hAnsi="Book Antiqua"/>
            <w:sz w:val="20"/>
          </w:rPr>
          <m:t>1:4</m:t>
        </m:r>
      </m:oMath>
      <w:r w:rsidRPr="00910192">
        <w:rPr>
          <w:rFonts w:ascii="Book Antiqua" w:hAnsi="Book Antiqua"/>
          <w:sz w:val="20"/>
        </w:rPr>
        <w:t xml:space="preserve"> </w:t>
      </w:r>
      <w:proofErr w:type="gramStart"/>
      <w:r w:rsidRPr="00910192">
        <w:rPr>
          <w:rFonts w:ascii="Book Antiqua" w:hAnsi="Book Antiqua"/>
          <w:sz w:val="20"/>
        </w:rPr>
        <w:t xml:space="preserve">and </w:t>
      </w:r>
      <m:oMath>
        <w:proofErr w:type="gramEnd"/>
        <m:r>
          <m:rPr>
            <m:sty m:val="p"/>
          </m:rPr>
          <w:rPr>
            <w:rFonts w:ascii="Cambria Math" w:hAnsi="Book Antiqua"/>
            <w:sz w:val="20"/>
          </w:rPr>
          <m:t>1:3</m:t>
        </m:r>
      </m:oMath>
      <w:r w:rsidRPr="00910192">
        <w:rPr>
          <w:rFonts w:ascii="Book Antiqua" w:hAnsi="Book Antiqua"/>
          <w:sz w:val="20"/>
        </w:rPr>
        <w:t xml:space="preserve">. ... Complex craters have a </w:t>
      </w:r>
      <m:oMath>
        <m:r>
          <w:rPr>
            <w:rFonts w:ascii="Cambria Math" w:hAnsi="Cambria Math"/>
            <w:sz w:val="20"/>
          </w:rPr>
          <m:t>d</m:t>
        </m:r>
        <m:r>
          <m:rPr>
            <m:sty m:val="p"/>
          </m:rPr>
          <w:rPr>
            <w:rFonts w:ascii="Cambria Math" w:hAnsi="Book Antiqua"/>
            <w:sz w:val="20"/>
          </w:rPr>
          <m:t>/</m:t>
        </m:r>
        <m:r>
          <w:rPr>
            <w:rFonts w:ascii="Cambria Math" w:hAnsi="Cambria Math"/>
            <w:sz w:val="20"/>
          </w:rPr>
          <m:t>D</m:t>
        </m:r>
      </m:oMath>
      <w:r w:rsidRPr="00910192">
        <w:rPr>
          <w:rFonts w:ascii="Book Antiqua" w:hAnsi="Book Antiqua"/>
          <w:sz w:val="20"/>
        </w:rPr>
        <w:t xml:space="preserve"> ratio which varies widely from </w:t>
      </w:r>
      <m:oMath>
        <m:r>
          <m:rPr>
            <m:sty m:val="p"/>
          </m:rPr>
          <w:rPr>
            <w:rFonts w:ascii="Cambria Math" w:hAnsi="Book Antiqua"/>
            <w:sz w:val="20"/>
          </w:rPr>
          <m:t>1:5</m:t>
        </m:r>
      </m:oMath>
      <w:r w:rsidRPr="00910192">
        <w:rPr>
          <w:rFonts w:ascii="Book Antiqua" w:hAnsi="Book Antiqua"/>
          <w:sz w:val="20"/>
        </w:rPr>
        <w:t xml:space="preserve"> for small fresh complex craters up to </w:t>
      </w:r>
      <m:oMath>
        <m:r>
          <m:rPr>
            <m:sty m:val="p"/>
          </m:rPr>
          <w:rPr>
            <w:rFonts w:ascii="Cambria Math" w:hAnsi="Book Antiqua"/>
            <w:sz w:val="20"/>
          </w:rPr>
          <m:t>1:150</m:t>
        </m:r>
      </m:oMath>
      <w:r w:rsidRPr="00910192">
        <w:rPr>
          <w:rFonts w:ascii="Book Antiqua" w:hAnsi="Book Antiqua"/>
          <w:sz w:val="20"/>
        </w:rPr>
        <w:t xml:space="preserve"> for large craters." [3] The ratios from </w:t>
      </w:r>
      <m:oMath>
        <m:r>
          <m:rPr>
            <m:sty m:val="p"/>
          </m:rPr>
          <w:rPr>
            <w:rFonts w:ascii="Cambria Math" w:hAnsi="Book Antiqua"/>
            <w:sz w:val="20"/>
          </w:rPr>
          <m:t>1:3</m:t>
        </m:r>
      </m:oMath>
      <w:r w:rsidRPr="00910192">
        <w:rPr>
          <w:rFonts w:ascii="Book Antiqua" w:hAnsi="Book Antiqua"/>
          <w:sz w:val="20"/>
        </w:rPr>
        <w:t xml:space="preserve"> to </w:t>
      </w:r>
      <m:oMath>
        <m:r>
          <m:rPr>
            <m:sty m:val="p"/>
          </m:rPr>
          <w:rPr>
            <w:rFonts w:ascii="Cambria Math" w:hAnsi="Book Antiqua"/>
            <w:sz w:val="20"/>
          </w:rPr>
          <m:t>1:5</m:t>
        </m:r>
      </m:oMath>
      <w:r w:rsidRPr="00910192">
        <w:rPr>
          <w:rFonts w:ascii="Book Antiqua" w:hAnsi="Book Antiqua"/>
          <w:sz w:val="20"/>
        </w:rPr>
        <w:t xml:space="preserve"> have been achieved in these initial experiments. Craters with less depth for a given diameter now need to be produced.</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 </w:t>
      </w: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It is at this point that a characteristic of complex craters needs discussion. Many actual craters have </w:t>
      </w:r>
      <m:oMath>
        <m:r>
          <w:rPr>
            <w:rFonts w:ascii="Cambria Math" w:hAnsi="Cambria Math"/>
            <w:sz w:val="20"/>
          </w:rPr>
          <m:t>d</m:t>
        </m:r>
        <m:r>
          <m:rPr>
            <m:sty m:val="p"/>
          </m:rPr>
          <w:rPr>
            <w:rFonts w:ascii="Cambria Math" w:hAnsi="Book Antiqua"/>
            <w:sz w:val="20"/>
          </w:rPr>
          <m:t>/</m:t>
        </m:r>
        <m:r>
          <w:rPr>
            <w:rFonts w:ascii="Cambria Math" w:hAnsi="Cambria Math"/>
            <w:sz w:val="20"/>
          </w:rPr>
          <m:t>D</m:t>
        </m:r>
      </m:oMath>
      <w:r w:rsidRPr="00910192">
        <w:rPr>
          <w:rFonts w:ascii="Book Antiqua" w:hAnsi="Book Antiqua"/>
          <w:sz w:val="20"/>
        </w:rPr>
        <w:t xml:space="preserve"> ratios which are lower than 0.2. Thus on the asteroid (4) Vesta, J.-B Vincent et al., have found craters range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0.4</m:t>
        </m:r>
      </m:oMath>
      <w:r w:rsidRPr="00910192">
        <w:rPr>
          <w:rFonts w:ascii="Book Antiqua" w:hAnsi="Book Antiqua"/>
          <w:sz w:val="20"/>
        </w:rPr>
        <w:t xml:space="preserve"> down </w:t>
      </w:r>
      <w:proofErr w:type="gramStart"/>
      <w:r w:rsidRPr="00910192">
        <w:rPr>
          <w:rFonts w:ascii="Book Antiqua" w:hAnsi="Book Antiqua"/>
          <w:sz w:val="20"/>
        </w:rPr>
        <w:t xml:space="preserve">to </w:t>
      </w:r>
      <m:oMath>
        <w:proofErr w:type="gramEnd"/>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0.05</m:t>
        </m:r>
      </m:oMath>
      <w:r w:rsidRPr="00910192">
        <w:rPr>
          <w:rFonts w:ascii="Book Antiqua" w:hAnsi="Book Antiqua"/>
          <w:sz w:val="20"/>
        </w:rPr>
        <w:t xml:space="preserve">. Similarly, for asteroid (21) Lutetia, the ratios went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0.35</m:t>
        </m:r>
      </m:oMath>
      <w:r w:rsidRPr="00910192">
        <w:rPr>
          <w:rFonts w:ascii="Book Antiqua" w:hAnsi="Book Antiqua"/>
          <w:sz w:val="20"/>
        </w:rPr>
        <w:t xml:space="preserve"> down to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0.05</m:t>
        </m:r>
      </m:oMath>
      <w:r w:rsidRPr="00910192">
        <w:rPr>
          <w:rFonts w:ascii="Book Antiqua" w:hAnsi="Book Antiqua"/>
          <w:sz w:val="20"/>
        </w:rPr>
        <w:t xml:space="preserve"> [4]. Similarly, the craters on Mercury have been found, using the MESSENGER probe, to range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0.102</m:t>
        </m:r>
      </m:oMath>
      <w:r w:rsidRPr="00910192">
        <w:rPr>
          <w:rFonts w:ascii="Book Antiqua" w:hAnsi="Book Antiqua"/>
          <w:sz w:val="20"/>
        </w:rPr>
        <w:t xml:space="preserve"> down to</w:t>
      </w:r>
      <m:oMath>
        <m:r>
          <m:rPr>
            <m:sty m:val="p"/>
          </m:rPr>
          <w:rPr>
            <w:rFonts w:ascii="Cambria Math" w:hAnsi="Book Antiqua"/>
            <w:sz w:val="20"/>
          </w:rPr>
          <m:t xml:space="preserve"> </m:t>
        </m:r>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0.042</m:t>
        </m:r>
      </m:oMath>
      <w:r w:rsidRPr="00910192">
        <w:rPr>
          <w:rFonts w:ascii="Book Antiqua" w:hAnsi="Book Antiqua"/>
          <w:sz w:val="20"/>
        </w:rPr>
        <w:t xml:space="preserve"> with a mean of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0.066</m:t>
        </m:r>
      </m:oMath>
      <w:r w:rsidRPr="00910192">
        <w:rPr>
          <w:rFonts w:ascii="Book Antiqua" w:hAnsi="Book Antiqua"/>
          <w:sz w:val="20"/>
        </w:rPr>
        <w:t xml:space="preserve"> [5]. </w:t>
      </w:r>
    </w:p>
    <w:p w:rsidR="00CA4909" w:rsidRPr="00910192"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In other words, these craters with the lower ratios were not as deep for any given diameter as initially expected. As a result, they tended to have flatter floors rather than being bowl-shaped. It has been claimed that these characteristics suggest an electrical machining (EDM) mode of origin. However, Paul De Schutter in reference [3]</w:t>
      </w:r>
      <w:r w:rsidRPr="004E2F1C">
        <w:rPr>
          <w:rFonts w:ascii="Book Antiqua" w:hAnsi="Book Antiqua"/>
          <w:color w:val="000000"/>
          <w:sz w:val="20"/>
        </w:rPr>
        <w:t xml:space="preserve"> states that the lithology of the target area also influences the </w:t>
      </w:r>
      <m:oMath>
        <m:r>
          <w:rPr>
            <w:rFonts w:ascii="Cambria Math" w:hAnsi="Cambria Math"/>
            <w:color w:val="000000"/>
            <w:sz w:val="20"/>
          </w:rPr>
          <m:t>d</m:t>
        </m:r>
        <m:r>
          <w:rPr>
            <w:rFonts w:ascii="Cambria Math" w:hAnsi="Book Antiqua"/>
            <w:color w:val="000000"/>
            <w:sz w:val="20"/>
          </w:rPr>
          <m:t>/</m:t>
        </m:r>
        <m:r>
          <w:rPr>
            <w:rFonts w:ascii="Cambria Math" w:hAnsi="Cambria Math"/>
            <w:color w:val="000000"/>
            <w:sz w:val="20"/>
          </w:rPr>
          <m:t>D</m:t>
        </m:r>
      </m:oMath>
      <w:r w:rsidRPr="004E2F1C">
        <w:rPr>
          <w:rFonts w:ascii="Book Antiqua" w:hAnsi="Book Antiqua"/>
          <w:color w:val="000000"/>
          <w:sz w:val="20"/>
        </w:rPr>
        <w:t xml:space="preserve"> ratio in the case of impact. So, for example, </w:t>
      </w:r>
      <w:r w:rsidRPr="004E2F1C">
        <w:rPr>
          <w:rFonts w:ascii="Book Antiqua" w:hAnsi="Book Antiqua"/>
          <w:i/>
          <w:color w:val="000000"/>
          <w:sz w:val="20"/>
        </w:rPr>
        <w:t xml:space="preserve">“An impact of a given energy will excavate a larger cavity in soft rock, while there is evidence that complex craters develop more </w:t>
      </w:r>
      <w:r w:rsidRPr="004E2F1C">
        <w:rPr>
          <w:rFonts w:ascii="Book Antiqua" w:hAnsi="Book Antiqua"/>
          <w:i/>
          <w:sz w:val="20"/>
        </w:rPr>
        <w:t>readily in stratified rocks.”</w:t>
      </w:r>
      <w:r w:rsidRPr="004E2F1C">
        <w:rPr>
          <w:rFonts w:ascii="Book Antiqua" w:hAnsi="Book Antiqua"/>
          <w:sz w:val="20"/>
        </w:rPr>
        <w:t xml:space="preserve"> [3] </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This may be </w:t>
      </w:r>
      <w:r>
        <w:rPr>
          <w:rFonts w:ascii="Book Antiqua" w:hAnsi="Book Antiqua"/>
          <w:sz w:val="20"/>
        </w:rPr>
        <w:t>tested</w:t>
      </w:r>
      <w:r w:rsidRPr="004E2F1C">
        <w:rPr>
          <w:rFonts w:ascii="Book Antiqua" w:hAnsi="Book Antiqua"/>
          <w:sz w:val="20"/>
        </w:rPr>
        <w:t xml:space="preserve">. For example, we have seen that asteroid (4) Vesta has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But it also has a nickel-iron core, olivine mantle and basaltic crust [6]. Therefore its surface is composed of layers of heavy and dense rock, so the low ratios are expected.  Similarly, the Rosetta probe has confirmed that the M class asteroid (21) Lutetia is of high density and composed of metal rich rock [7]. It also has the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In like manner, the planet Mercury has a very large metal core and surface rock with high metal content. In these cases, it would be expected that, if denser rock produces complex craters with shallower depths, then these objects would also have more of these flat-floored craters. </w:t>
      </w:r>
    </w:p>
    <w:p w:rsidR="00CA4909" w:rsidRPr="004E2F1C"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4E2F1C">
        <w:rPr>
          <w:rFonts w:ascii="Book Antiqua" w:hAnsi="Book Antiqua"/>
          <w:sz w:val="20"/>
        </w:rPr>
        <w:t xml:space="preserve">This is testable in the cement dust experiments. All that is needed is a more solid surface. In order to produce this, the cement dust in the pan was compressed. A large metal plate was placed on the surface of the unconsolidated cement dust and weights placed on it. The plate was then removed and the cement dust meteorite dropped as usual. This procedure did make a difference to the resulting craters. </w:t>
      </w:r>
    </w:p>
    <w:p w:rsidR="00CA4909" w:rsidRDefault="00CA4909"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4E2F1C">
        <w:rPr>
          <w:rFonts w:ascii="Book Antiqua" w:hAnsi="Book Antiqua"/>
          <w:sz w:val="20"/>
        </w:rPr>
        <w:t xml:space="preserve"> In the case of the two craters in Figure 1</w:t>
      </w:r>
      <w:r w:rsidR="00CE1404">
        <w:rPr>
          <w:rFonts w:ascii="Book Antiqua" w:hAnsi="Book Antiqua"/>
          <w:sz w:val="20"/>
        </w:rPr>
        <w:t>3</w:t>
      </w:r>
      <w:r w:rsidRPr="004E2F1C">
        <w:rPr>
          <w:rFonts w:ascii="Book Antiqua" w:hAnsi="Book Antiqua"/>
          <w:sz w:val="20"/>
        </w:rPr>
        <w:t>, the surface was partly consolidated. The resulting craters can be multi-sided rather than exactly circular. So the top crater in Figure 1</w:t>
      </w:r>
      <w:r w:rsidR="00CE1404">
        <w:rPr>
          <w:rFonts w:ascii="Book Antiqua" w:hAnsi="Book Antiqua"/>
          <w:sz w:val="20"/>
        </w:rPr>
        <w:t>3</w:t>
      </w:r>
      <w:r w:rsidRPr="004E2F1C">
        <w:rPr>
          <w:rFonts w:ascii="Book Antiqua" w:hAnsi="Book Antiqua"/>
          <w:sz w:val="20"/>
        </w:rPr>
        <w:t xml:space="preserve"> is slightly square while the bottom one is somewhat hexagonal. The top had a 5.5” diameter and 0.9” depth </w:t>
      </w:r>
      <w:proofErr w:type="gramStart"/>
      <w:r w:rsidRPr="004E2F1C">
        <w:rPr>
          <w:rFonts w:ascii="Book Antiqua" w:hAnsi="Book Antiqua"/>
          <w:sz w:val="20"/>
        </w:rPr>
        <w:t xml:space="preserve">giving </w:t>
      </w:r>
      <m:oMath>
        <w:proofErr w:type="gramEnd"/>
        <m:f>
          <m:fPr>
            <m:ctrlPr>
              <w:rPr>
                <w:rFonts w:ascii="Cambria Math" w:hAnsi="Book Antiqua"/>
                <w:i/>
                <w:sz w:val="20"/>
              </w:rPr>
            </m:ctrlPr>
          </m:fPr>
          <m:num>
            <m:r>
              <w:rPr>
                <w:rFonts w:ascii="Cambria Math" w:hAnsi="Cambria Math"/>
                <w:sz w:val="20"/>
              </w:rPr>
              <m:t>d</m:t>
            </m:r>
          </m:num>
          <m:den>
            <m:r>
              <w:rPr>
                <w:rFonts w:ascii="Cambria Math" w:hAnsi="Cambria Math"/>
                <w:sz w:val="20"/>
              </w:rPr>
              <m:t>D</m:t>
            </m:r>
          </m:den>
        </m:f>
        <m:r>
          <w:rPr>
            <w:rFonts w:ascii="Cambria Math" w:hAnsi="Book Antiqua"/>
            <w:sz w:val="20"/>
          </w:rPr>
          <m:t>= 0.16</m:t>
        </m:r>
      </m:oMath>
      <w:r w:rsidRPr="004E2F1C">
        <w:rPr>
          <w:rFonts w:ascii="Book Antiqua" w:hAnsi="Book Antiqua"/>
          <w:sz w:val="20"/>
        </w:rPr>
        <w:t xml:space="preserve">. The bottom crater had a 6” diameter with a maximum depth of 0.8”. This </w:t>
      </w:r>
      <w:proofErr w:type="gramStart"/>
      <w:r w:rsidRPr="004E2F1C">
        <w:rPr>
          <w:rFonts w:ascii="Book Antiqua" w:hAnsi="Book Antiqua"/>
          <w:sz w:val="20"/>
        </w:rPr>
        <w:t xml:space="preserve">gives </w:t>
      </w:r>
      <m:oMath>
        <w:proofErr w:type="gramEnd"/>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0.13 = 1/7.7</m:t>
        </m:r>
      </m:oMath>
      <w:r w:rsidRPr="004E2F1C">
        <w:rPr>
          <w:rFonts w:ascii="Book Antiqua" w:hAnsi="Book Antiqua"/>
          <w:sz w:val="20"/>
        </w:rPr>
        <w:t xml:space="preserve">. </w:t>
      </w:r>
    </w:p>
    <w:p w:rsidR="00CA4909"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When the surface is further compressed</w:t>
      </w:r>
      <w:r>
        <w:rPr>
          <w:rFonts w:ascii="Book Antiqua" w:hAnsi="Book Antiqua"/>
          <w:sz w:val="20"/>
        </w:rPr>
        <w:t>,</w:t>
      </w:r>
      <w:r w:rsidRPr="004E2F1C">
        <w:rPr>
          <w:rFonts w:ascii="Book Antiqua" w:hAnsi="Book Antiqua"/>
          <w:sz w:val="20"/>
        </w:rPr>
        <w:t xml:space="preserve"> the crater shown in Figure </w:t>
      </w:r>
      <w:r>
        <w:rPr>
          <w:rFonts w:ascii="Book Antiqua" w:hAnsi="Book Antiqua"/>
          <w:sz w:val="20"/>
        </w:rPr>
        <w:t>1</w:t>
      </w:r>
      <w:r w:rsidR="00CE1404">
        <w:rPr>
          <w:rFonts w:ascii="Book Antiqua" w:hAnsi="Book Antiqua"/>
          <w:sz w:val="20"/>
        </w:rPr>
        <w:t>4</w:t>
      </w:r>
      <w:r w:rsidRPr="004E2F1C">
        <w:rPr>
          <w:rFonts w:ascii="Book Antiqua" w:hAnsi="Book Antiqua"/>
          <w:sz w:val="20"/>
        </w:rPr>
        <w:t xml:space="preserve"> resulted, complete with a collapsed wall. In this case the diameter was 4.5 “, and a maximum depth 0.3”. Thus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0.066 = 1/15.</m:t>
        </m:r>
      </m:oMath>
      <w:r w:rsidRPr="004E2F1C">
        <w:rPr>
          <w:rFonts w:ascii="Book Antiqua" w:hAnsi="Book Antiqua"/>
          <w:sz w:val="20"/>
        </w:rPr>
        <w:t xml:space="preserve"> This is also the mean result for the craters on Mercury [5].</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4649524" cy="3438525"/>
            <wp:effectExtent l="19050" t="0" r="0" b="0"/>
            <wp:docPr id="100"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27" cstate="print">
                      <a:lum contrast="40000"/>
                    </a:blip>
                    <a:srcRect l="15715" t="3512" r="11726" b="24793"/>
                    <a:stretch>
                      <a:fillRect/>
                    </a:stretch>
                  </pic:blipFill>
                  <pic:spPr bwMode="auto">
                    <a:xfrm>
                      <a:off x="0" y="0"/>
                      <a:ext cx="4656883" cy="3443967"/>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rPr>
          <w:rFonts w:ascii="Book Antiqua" w:hAnsi="Book Antiqua"/>
          <w:sz w:val="18"/>
          <w:szCs w:val="18"/>
        </w:rPr>
      </w:pPr>
      <w:r w:rsidRPr="003A64C2">
        <w:rPr>
          <w:rFonts w:ascii="Book Antiqua" w:hAnsi="Book Antiqua"/>
          <w:b/>
          <w:i/>
          <w:sz w:val="18"/>
          <w:szCs w:val="18"/>
        </w:rPr>
        <w:t>Figure 1</w:t>
      </w:r>
      <w:r w:rsidR="00CE1404">
        <w:rPr>
          <w:rFonts w:ascii="Book Antiqua" w:hAnsi="Book Antiqua"/>
          <w:b/>
          <w:i/>
          <w:sz w:val="18"/>
          <w:szCs w:val="18"/>
        </w:rPr>
        <w:t>3</w:t>
      </w:r>
      <w:r w:rsidRPr="003A64C2">
        <w:rPr>
          <w:rFonts w:ascii="Book Antiqua" w:hAnsi="Book Antiqua"/>
          <w:b/>
          <w:i/>
          <w:sz w:val="18"/>
          <w:szCs w:val="18"/>
        </w:rPr>
        <w:t>:</w:t>
      </w:r>
      <w:r w:rsidRPr="003A64C2">
        <w:rPr>
          <w:rFonts w:ascii="Book Antiqua" w:hAnsi="Book Antiqua"/>
          <w:i/>
          <w:sz w:val="18"/>
          <w:szCs w:val="18"/>
        </w:rPr>
        <w:t xml:space="preserve"> </w:t>
      </w:r>
      <w:r w:rsidRPr="003A64C2">
        <w:rPr>
          <w:rFonts w:ascii="Book Antiqua" w:hAnsi="Book Antiqua"/>
          <w:b/>
          <w:i/>
          <w:sz w:val="18"/>
          <w:szCs w:val="18"/>
        </w:rPr>
        <w:t>Top and Bottom</w:t>
      </w:r>
      <w:r w:rsidRPr="003A64C2">
        <w:rPr>
          <w:rFonts w:ascii="Book Antiqua" w:hAnsi="Book Antiqua"/>
          <w:i/>
          <w:sz w:val="18"/>
          <w:szCs w:val="18"/>
        </w:rPr>
        <w:t>.Using a partly consolidated cement dust in the pan with an unchanged meteorite, both crater rims are “sharper” or narrower and drop to the crater floor more steeply. The floors are flatter, but hummocky, with a sign of a central uplift. The top crater is slightly square, while the bottom crater is slightly hexagonal, but 3 and 5 sided craters also formed.  The depth/diameter ratio drops to 0.16 for the top crater and 0.13 for the bottom. In both cases, this indicates a shallower crater results from a denser surface layer. Note splash craters in the upper example, with one directly on the wall</w:t>
      </w:r>
      <w:r w:rsidRPr="004E2F1C">
        <w:rPr>
          <w:rFonts w:ascii="Book Antiqua" w:hAnsi="Book Antiqua"/>
          <w:sz w:val="18"/>
          <w:szCs w:val="18"/>
        </w:rPr>
        <w: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drawing>
          <wp:inline distT="0" distB="0" distL="0" distR="0">
            <wp:extent cx="5042961" cy="3181350"/>
            <wp:effectExtent l="19050" t="0" r="5289" b="0"/>
            <wp:docPr id="101" name="Picture 2" descr="C:\Users\Barry\Pictures\2012-08-04 Craters session 6\Craters session 6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04 Craters session 6\Craters session 6 008.JPG"/>
                    <pic:cNvPicPr>
                      <a:picLocks noChangeAspect="1" noChangeArrowheads="1"/>
                    </pic:cNvPicPr>
                  </pic:nvPicPr>
                  <pic:blipFill>
                    <a:blip r:embed="rId1317" cstate="print">
                      <a:lum contrast="40000"/>
                    </a:blip>
                    <a:srcRect t="4808" r="513" b="11476"/>
                    <a:stretch>
                      <a:fillRect/>
                    </a:stretch>
                  </pic:blipFill>
                  <pic:spPr bwMode="auto">
                    <a:xfrm>
                      <a:off x="0" y="0"/>
                      <a:ext cx="5045202" cy="3182764"/>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i/>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3869690" cy="2366552"/>
            <wp:effectExtent l="19050" t="0" r="0" b="0"/>
            <wp:docPr id="103" name="Picture 4" descr="C:\Users\Barry\Pictures\2012-08-04 Craters session 6\Craters session 6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2012-08-04 Craters session 6\Craters session 6 011.JPG"/>
                    <pic:cNvPicPr>
                      <a:picLocks noChangeAspect="1" noChangeArrowheads="1"/>
                    </pic:cNvPicPr>
                  </pic:nvPicPr>
                  <pic:blipFill>
                    <a:blip r:embed="rId1318" cstate="print">
                      <a:lum contrast="40000"/>
                    </a:blip>
                    <a:srcRect l="3241" t="24450" b="4396"/>
                    <a:stretch>
                      <a:fillRect/>
                    </a:stretch>
                  </pic:blipFill>
                  <pic:spPr bwMode="auto">
                    <a:xfrm>
                      <a:off x="0" y="0"/>
                      <a:ext cx="3893380" cy="2381040"/>
                    </a:xfrm>
                    <a:prstGeom prst="rect">
                      <a:avLst/>
                    </a:prstGeom>
                    <a:noFill/>
                    <a:ln w="9525">
                      <a:noFill/>
                      <a:miter lim="800000"/>
                      <a:headEnd/>
                      <a:tailEnd/>
                    </a:ln>
                  </pic:spPr>
                </pic:pic>
              </a:graphicData>
            </a:graphic>
          </wp:inline>
        </w:drawing>
      </w:r>
    </w:p>
    <w:p w:rsidR="00CA4909" w:rsidRPr="003A64C2" w:rsidRDefault="00CA4909" w:rsidP="00CA4909">
      <w:pPr>
        <w:pStyle w:val="NoSpacing"/>
        <w:jc w:val="both"/>
        <w:rPr>
          <w:rFonts w:ascii="Book Antiqua" w:hAnsi="Book Antiqua"/>
          <w:b/>
          <w:sz w:val="20"/>
        </w:rPr>
      </w:pPr>
    </w:p>
    <w:p w:rsidR="00CA4909" w:rsidRPr="003A64C2" w:rsidRDefault="00CA4909" w:rsidP="00CA4909">
      <w:pPr>
        <w:pStyle w:val="NoSpacing"/>
        <w:rPr>
          <w:rFonts w:ascii="Book Antiqua" w:hAnsi="Book Antiqua"/>
          <w:i/>
          <w:sz w:val="18"/>
          <w:szCs w:val="18"/>
        </w:rPr>
      </w:pPr>
      <w:r w:rsidRPr="003A64C2">
        <w:rPr>
          <w:rFonts w:ascii="Book Antiqua" w:hAnsi="Book Antiqua"/>
          <w:b/>
          <w:i/>
          <w:sz w:val="18"/>
          <w:szCs w:val="18"/>
        </w:rPr>
        <w:t>Figure 1</w:t>
      </w:r>
      <w:r w:rsidR="00CE1404">
        <w:rPr>
          <w:rFonts w:ascii="Book Antiqua" w:hAnsi="Book Antiqua"/>
          <w:b/>
          <w:i/>
          <w:sz w:val="18"/>
          <w:szCs w:val="18"/>
        </w:rPr>
        <w:t>4</w:t>
      </w:r>
      <w:r w:rsidRPr="003A64C2">
        <w:rPr>
          <w:rFonts w:ascii="Book Antiqua" w:hAnsi="Book Antiqua"/>
          <w:b/>
          <w:i/>
          <w:sz w:val="18"/>
          <w:szCs w:val="18"/>
        </w:rPr>
        <w:t>:</w:t>
      </w:r>
      <w:r w:rsidRPr="003A64C2">
        <w:rPr>
          <w:rFonts w:ascii="Book Antiqua" w:hAnsi="Book Antiqua"/>
          <w:i/>
          <w:sz w:val="18"/>
          <w:szCs w:val="18"/>
        </w:rPr>
        <w:t xml:space="preserve"> Consolidated surface with meteorite unchanged. A flatter floor, sharper rim, and steeper drop from the rim-top to the crater floor are evident. Part of the wall has collapsed in a landslide-like way across the floor. Rays and splash craters are still apparent, as are splash craters on the crater floor.</w:t>
      </w:r>
    </w:p>
    <w:p w:rsidR="00CA4909" w:rsidRPr="004E2F1C" w:rsidRDefault="00CA4909" w:rsidP="00CA4909">
      <w:pPr>
        <w:pStyle w:val="NoSpacing"/>
        <w:jc w:val="both"/>
        <w:rPr>
          <w:rFonts w:ascii="Book Antiqua" w:hAnsi="Book Antiqua"/>
          <w:i/>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However there are ways in which bolide, or impact, craters and EDM craters can be distinguished from each other.  Electrically machined craters tend to have straight or vertical walls, flat floors and ejecta blankets which may be multiple or overlapping. Some examples of craters from Mars show the multiple ejecta blankets well, such as the Mars crater in Figure 1</w:t>
      </w:r>
      <w:r w:rsidR="00CE1404">
        <w:rPr>
          <w:rFonts w:ascii="Book Antiqua" w:hAnsi="Book Antiqua"/>
          <w:sz w:val="20"/>
        </w:rPr>
        <w:t>5</w:t>
      </w:r>
      <w:r w:rsidRPr="00910192">
        <w:rPr>
          <w:rFonts w:ascii="Book Antiqua" w:hAnsi="Book Antiqua"/>
          <w:sz w:val="20"/>
        </w:rPr>
        <w:t xml:space="preserve">. A single impact event cannot produce this.  However EDM can spread many layers of material while the process of forming the crater is in operation. Ejecta blankets are therefore evidence of electrical machining. </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sz w:val="27"/>
          <w:szCs w:val="27"/>
          <w:lang w:val="en-US"/>
        </w:rPr>
        <w:drawing>
          <wp:inline distT="0" distB="0" distL="0" distR="0">
            <wp:extent cx="5189120" cy="2366239"/>
            <wp:effectExtent l="19050" t="0" r="0" b="0"/>
            <wp:docPr id="106" name="Picture 1403" descr="Ma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Mars3"/>
                    <pic:cNvPicPr>
                      <a:picLocks noChangeAspect="1" noChangeArrowheads="1"/>
                    </pic:cNvPicPr>
                  </pic:nvPicPr>
                  <pic:blipFill>
                    <a:blip r:embed="rId1319" cstate="print"/>
                    <a:srcRect b="8800"/>
                    <a:stretch>
                      <a:fillRect/>
                    </a:stretch>
                  </pic:blipFill>
                  <pic:spPr bwMode="auto">
                    <a:xfrm>
                      <a:off x="0" y="0"/>
                      <a:ext cx="5189120" cy="236623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7F16FF" w:rsidRDefault="00CA4909" w:rsidP="007F16FF">
      <w:pPr>
        <w:pStyle w:val="NoSpacing"/>
        <w:rPr>
          <w:rFonts w:ascii="Book Antiqua" w:hAnsi="Book Antiqua"/>
          <w:i/>
          <w:sz w:val="18"/>
          <w:szCs w:val="18"/>
        </w:rPr>
      </w:pPr>
      <w:r w:rsidRPr="007F16FF">
        <w:rPr>
          <w:rFonts w:ascii="Book Antiqua" w:hAnsi="Book Antiqua"/>
          <w:b/>
          <w:i/>
          <w:sz w:val="18"/>
          <w:szCs w:val="18"/>
        </w:rPr>
        <w:t>Figure 1</w:t>
      </w:r>
      <w:r w:rsidR="00CE1404" w:rsidRPr="007F16FF">
        <w:rPr>
          <w:rFonts w:ascii="Book Antiqua" w:hAnsi="Book Antiqua"/>
          <w:b/>
          <w:i/>
          <w:sz w:val="18"/>
          <w:szCs w:val="18"/>
        </w:rPr>
        <w:t>5</w:t>
      </w:r>
      <w:r w:rsidRPr="007F16FF">
        <w:rPr>
          <w:rFonts w:ascii="Book Antiqua" w:hAnsi="Book Antiqua"/>
          <w:b/>
          <w:i/>
          <w:sz w:val="18"/>
          <w:szCs w:val="18"/>
        </w:rPr>
        <w:t>:</w:t>
      </w:r>
      <w:r w:rsidRPr="007F16FF">
        <w:rPr>
          <w:rFonts w:ascii="Book Antiqua" w:hAnsi="Book Antiqua"/>
          <w:i/>
          <w:sz w:val="18"/>
          <w:szCs w:val="18"/>
        </w:rPr>
        <w:t xml:space="preserve"> Un-named crater in Arabia Terra on Mars with multiple ejecta blankets. Ongoing EDM activity that formed the crater easily allows several blankets to form.  This is not possible in an instantaneous explosive impact.</w:t>
      </w:r>
    </w:p>
    <w:p w:rsidR="00F81911" w:rsidRPr="003A64C2" w:rsidRDefault="00F81911" w:rsidP="00CA4909">
      <w:pPr>
        <w:rPr>
          <w:rFonts w:ascii="Book Antiqua" w:hAnsi="Book Antiqua"/>
          <w:i/>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A contrast thus exists between impact and EDM craters: the latter have ejecta blankets – the former have complex ridge and ray systems as an intrinsic feature of impact. If a meteorite of compressed plaster of Paris powder is used, it is possible to discern where the rays and splash craters come from. Figure 1</w:t>
      </w:r>
      <w:r w:rsidR="00CE1404">
        <w:rPr>
          <w:rFonts w:ascii="Book Antiqua" w:hAnsi="Book Antiqua"/>
          <w:sz w:val="20"/>
        </w:rPr>
        <w:t>6</w:t>
      </w:r>
      <w:r w:rsidRPr="00910192">
        <w:rPr>
          <w:rFonts w:ascii="Book Antiqua" w:hAnsi="Book Antiqua"/>
          <w:sz w:val="20"/>
        </w:rPr>
        <w:t xml:space="preserve"> shows the result and allows an understanding of what happens to a meteorite on impact. The remains of the “meteorite” are concentrated under the rim of the crater where the pieces have been exploded into position. </w:t>
      </w:r>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6543817" cy="3752850"/>
            <wp:effectExtent l="19050" t="0" r="9383" b="0"/>
            <wp:docPr id="107" name="Picture 7" descr="C:\Users\Barry\Pictures\2012-07-27 Craters 4\Craters 4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7 Craters 4\Craters 4 021.JPG"/>
                    <pic:cNvPicPr>
                      <a:picLocks noChangeAspect="1" noChangeArrowheads="1"/>
                    </pic:cNvPicPr>
                  </pic:nvPicPr>
                  <pic:blipFill>
                    <a:blip r:embed="rId1320" cstate="print">
                      <a:lum contrast="40000"/>
                    </a:blip>
                    <a:srcRect t="7957" r="-31" b="15573"/>
                    <a:stretch>
                      <a:fillRect/>
                    </a:stretch>
                  </pic:blipFill>
                  <pic:spPr bwMode="auto">
                    <a:xfrm>
                      <a:off x="0" y="0"/>
                      <a:ext cx="6557381" cy="376062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7F16FF" w:rsidRDefault="00CA4909" w:rsidP="007F16FF">
      <w:pPr>
        <w:pStyle w:val="NoSpacing"/>
        <w:rPr>
          <w:rFonts w:ascii="Book Antiqua" w:hAnsi="Book Antiqua"/>
          <w:i/>
          <w:sz w:val="18"/>
          <w:szCs w:val="18"/>
        </w:rPr>
      </w:pPr>
      <w:r w:rsidRPr="007F16FF">
        <w:rPr>
          <w:rFonts w:ascii="Book Antiqua" w:hAnsi="Book Antiqua"/>
          <w:b/>
          <w:i/>
          <w:sz w:val="18"/>
          <w:szCs w:val="18"/>
        </w:rPr>
        <w:t>Figure 1</w:t>
      </w:r>
      <w:r w:rsidR="00CE1404" w:rsidRPr="007F16FF">
        <w:rPr>
          <w:rFonts w:ascii="Book Antiqua" w:hAnsi="Book Antiqua"/>
          <w:b/>
          <w:i/>
          <w:sz w:val="18"/>
          <w:szCs w:val="18"/>
        </w:rPr>
        <w:t>6</w:t>
      </w:r>
      <w:r w:rsidRPr="007F16FF">
        <w:rPr>
          <w:rFonts w:ascii="Book Antiqua" w:hAnsi="Book Antiqua"/>
          <w:b/>
          <w:i/>
          <w:sz w:val="18"/>
          <w:szCs w:val="18"/>
        </w:rPr>
        <w:t>:</w:t>
      </w:r>
      <w:r w:rsidRPr="007F16FF">
        <w:rPr>
          <w:rFonts w:ascii="Book Antiqua" w:hAnsi="Book Antiqua"/>
          <w:i/>
          <w:sz w:val="18"/>
          <w:szCs w:val="18"/>
        </w:rPr>
        <w:t xml:space="preserve"> A white, Plaster of Paris meteorite is used to show the distribution of material. While some fragments of the meteorite are exploded out, the majority is concentrated under the crater rim. Note radiating ridges. </w:t>
      </w:r>
    </w:p>
    <w:p w:rsidR="00F81911" w:rsidRPr="003A64C2" w:rsidRDefault="00F81911" w:rsidP="00CA4909">
      <w:pPr>
        <w:rPr>
          <w:rFonts w:ascii="Book Antiqua" w:hAnsi="Book Antiqua"/>
          <w:i/>
          <w:sz w:val="18"/>
          <w:szCs w:val="18"/>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Therefore, when nickel-iron bodies and an iridium anomaly are found under a crater rim, it is an impact structure. The evidence that comes from the presence of shocked quartz may be ambivalent. It is true that it forms under impact conditions, but EDM or electromagnetic pulses may also have produced the pressure required. In contrast, the presence of iridium or osmiridium and nickel-iron are positively associated with meteorites. </w:t>
      </w:r>
    </w:p>
    <w:p w:rsidR="00CA4909" w:rsidRPr="00910192"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While it is true that an EDM can be accompanied by fusion, experiments have not shown these elements to be consistently formed in the cratering process. The weight of evidence then points to the presence of nickel-iron and an iridium anomaly as implying that the crater involved is an impact structure. The results in Figure 1</w:t>
      </w:r>
      <w:r w:rsidR="00CE1404">
        <w:rPr>
          <w:rFonts w:ascii="Book Antiqua" w:hAnsi="Book Antiqua"/>
          <w:sz w:val="20"/>
        </w:rPr>
        <w:t>6</w:t>
      </w:r>
      <w:r w:rsidRPr="00910192">
        <w:rPr>
          <w:rFonts w:ascii="Book Antiqua" w:hAnsi="Book Antiqua"/>
          <w:sz w:val="20"/>
        </w:rPr>
        <w:t xml:space="preserve"> show that it is the debris from the material at the explosion site that forms rays and splash craters; it is not the meteorite.</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 </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The splash craters which formed as a result of the explosion on the impact model only have a small component of meteorite material. This is evident from Figure 1</w:t>
      </w:r>
      <w:r w:rsidR="00CE1404">
        <w:rPr>
          <w:rFonts w:ascii="Book Antiqua" w:hAnsi="Book Antiqua"/>
          <w:sz w:val="20"/>
        </w:rPr>
        <w:t>7</w:t>
      </w:r>
      <w:r w:rsidRPr="00910192">
        <w:rPr>
          <w:rFonts w:ascii="Book Antiqua" w:hAnsi="Book Antiqua"/>
          <w:sz w:val="20"/>
        </w:rPr>
        <w:t xml:space="preserve"> left where a Plaster of Paris meteorite was again used and a close-up of one group of splash craters is given.</w:t>
      </w:r>
    </w:p>
    <w:p w:rsidR="00CA4909" w:rsidRPr="00910192" w:rsidRDefault="00CA4909" w:rsidP="00CA4909">
      <w:pPr>
        <w:pStyle w:val="NoSpacing"/>
        <w:jc w:val="both"/>
        <w:rPr>
          <w:rFonts w:ascii="Book Antiqua" w:hAnsi="Book Antiqua"/>
          <w:sz w:val="20"/>
        </w:rPr>
      </w:pPr>
    </w:p>
    <w:p w:rsidR="00CA4909" w:rsidRPr="00910192" w:rsidRDefault="00CA4909" w:rsidP="00CA4909">
      <w:pPr>
        <w:pStyle w:val="NoSpacing"/>
        <w:jc w:val="both"/>
        <w:rPr>
          <w:rFonts w:ascii="Book Antiqua" w:hAnsi="Book Antiqua"/>
          <w:sz w:val="20"/>
        </w:rPr>
      </w:pPr>
      <w:r w:rsidRPr="00910192">
        <w:rPr>
          <w:rFonts w:ascii="Book Antiqua" w:hAnsi="Book Antiqua"/>
          <w:sz w:val="20"/>
        </w:rPr>
        <w:t xml:space="preserve"> </w:t>
      </w:r>
      <w:r>
        <w:rPr>
          <w:rFonts w:ascii="Book Antiqua" w:hAnsi="Book Antiqua"/>
          <w:sz w:val="20"/>
        </w:rPr>
        <w:tab/>
      </w:r>
      <w:r w:rsidRPr="00910192">
        <w:rPr>
          <w:rFonts w:ascii="Book Antiqua" w:hAnsi="Book Antiqua"/>
          <w:sz w:val="20"/>
        </w:rPr>
        <w:t>Figure 1</w:t>
      </w:r>
      <w:r w:rsidR="00CE1404">
        <w:rPr>
          <w:rFonts w:ascii="Book Antiqua" w:hAnsi="Book Antiqua"/>
          <w:sz w:val="20"/>
        </w:rPr>
        <w:t>7</w:t>
      </w:r>
      <w:r w:rsidRPr="00910192">
        <w:rPr>
          <w:rFonts w:ascii="Book Antiqua" w:hAnsi="Book Antiqua"/>
          <w:sz w:val="20"/>
        </w:rPr>
        <w:t xml:space="preserve"> right is a group of splash craters on a cement-dust surface that had not been smoothed. The formation of splash craters by impact seen in Figure 1</w:t>
      </w:r>
      <w:r w:rsidR="00CE1404">
        <w:rPr>
          <w:rFonts w:ascii="Book Antiqua" w:hAnsi="Book Antiqua"/>
          <w:sz w:val="20"/>
        </w:rPr>
        <w:t>7</w:t>
      </w:r>
      <w:r w:rsidRPr="00910192">
        <w:rPr>
          <w:rFonts w:ascii="Book Antiqua" w:hAnsi="Book Antiqua"/>
          <w:sz w:val="20"/>
        </w:rPr>
        <w:t xml:space="preserve"> is similar to those seen on the Moon and Mercury. This impact feature can be reproduced by EDM methods, the concurrent formation of radiating ridge and ray systems indicates impact;  electric discharge machining tends to form a more uniform ejecta blanket. Let us examine these ray systems for a moment.</w:t>
      </w:r>
    </w:p>
    <w:p w:rsidR="00CA4909" w:rsidRPr="004E2F1C" w:rsidRDefault="00CA4909" w:rsidP="00CA4909">
      <w:pPr>
        <w:ind w:firstLine="720"/>
        <w:jc w:val="both"/>
        <w:rPr>
          <w:rFonts w:ascii="Book Antiqua" w:hAnsi="Book Antiqua"/>
        </w:rPr>
      </w:pPr>
    </w:p>
    <w:p w:rsidR="00CA4909" w:rsidRPr="004E2F1C" w:rsidRDefault="00CA4909" w:rsidP="00CA4909">
      <w:pPr>
        <w:ind w:firstLine="720"/>
        <w:jc w:val="both"/>
        <w:rPr>
          <w:rFonts w:ascii="Book Antiqua" w:hAnsi="Book Antiqua"/>
        </w:rPr>
      </w:pPr>
    </w:p>
    <w:tbl>
      <w:tblPr>
        <w:tblStyle w:val="TableGrid"/>
        <w:tblW w:w="0" w:type="auto"/>
        <w:jc w:val="center"/>
        <w:tblLook w:val="04A0"/>
      </w:tblPr>
      <w:tblGrid>
        <w:gridCol w:w="4866"/>
        <w:gridCol w:w="4396"/>
      </w:tblGrid>
      <w:tr w:rsidR="00CA4909" w:rsidRPr="004E2F1C" w:rsidTr="00F81911">
        <w:trPr>
          <w:jc w:val="center"/>
        </w:trPr>
        <w:tc>
          <w:tcPr>
            <w:tcW w:w="2830" w:type="dxa"/>
          </w:tcPr>
          <w:p w:rsidR="00CA4909" w:rsidRPr="004E2F1C" w:rsidRDefault="00CA4909" w:rsidP="00DA58EE">
            <w:pPr>
              <w:jc w:val="both"/>
              <w:rPr>
                <w:rFonts w:ascii="Book Antiqua" w:hAnsi="Book Antiqua"/>
                <w:i/>
              </w:rPr>
            </w:pPr>
            <w:r w:rsidRPr="004E2F1C">
              <w:rPr>
                <w:rFonts w:ascii="Book Antiqua" w:hAnsi="Book Antiqua"/>
                <w:i/>
                <w:noProof/>
                <w:lang w:val="en-US"/>
              </w:rPr>
              <w:lastRenderedPageBreak/>
              <w:drawing>
                <wp:inline distT="0" distB="0" distL="0" distR="0">
                  <wp:extent cx="2933700" cy="2864750"/>
                  <wp:effectExtent l="19050" t="0" r="0" b="0"/>
                  <wp:docPr id="111" name="Picture 3" descr="C:\Users\Barry\Pictures\2012-07-27 Craters 4\Craters 4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7-27 Craters 4\Craters 4 012.JPG"/>
                          <pic:cNvPicPr>
                            <a:picLocks noChangeAspect="1" noChangeArrowheads="1"/>
                          </pic:cNvPicPr>
                        </pic:nvPicPr>
                        <pic:blipFill>
                          <a:blip r:embed="rId1321" cstate="print">
                            <a:lum contrast="40000"/>
                          </a:blip>
                          <a:srcRect l="40251" t="38050" r="6891" b="13182"/>
                          <a:stretch>
                            <a:fillRect/>
                          </a:stretch>
                        </pic:blipFill>
                        <pic:spPr bwMode="auto">
                          <a:xfrm>
                            <a:off x="0" y="0"/>
                            <a:ext cx="2936074" cy="2867068"/>
                          </a:xfrm>
                          <a:prstGeom prst="rect">
                            <a:avLst/>
                          </a:prstGeom>
                          <a:noFill/>
                          <a:ln w="9525">
                            <a:noFill/>
                            <a:miter lim="800000"/>
                            <a:headEnd/>
                            <a:tailEnd/>
                          </a:ln>
                        </pic:spPr>
                      </pic:pic>
                    </a:graphicData>
                  </a:graphic>
                </wp:inline>
              </w:drawing>
            </w:r>
          </w:p>
        </w:tc>
        <w:tc>
          <w:tcPr>
            <w:tcW w:w="2426" w:type="dxa"/>
          </w:tcPr>
          <w:p w:rsidR="00CA4909" w:rsidRPr="004E2F1C" w:rsidRDefault="00CA4909" w:rsidP="00DA58EE">
            <w:pPr>
              <w:jc w:val="both"/>
              <w:rPr>
                <w:rFonts w:ascii="Book Antiqua" w:hAnsi="Book Antiqua"/>
                <w:i/>
              </w:rPr>
            </w:pPr>
            <w:r w:rsidRPr="004E2F1C">
              <w:rPr>
                <w:rFonts w:ascii="Book Antiqua" w:hAnsi="Book Antiqua"/>
                <w:i/>
                <w:noProof/>
                <w:lang w:val="en-US"/>
              </w:rPr>
              <w:drawing>
                <wp:inline distT="0" distB="0" distL="0" distR="0">
                  <wp:extent cx="2635128" cy="2867025"/>
                  <wp:effectExtent l="19050" t="0" r="0" b="0"/>
                  <wp:docPr id="112" name="Picture 8" descr="C:\Users\Barry\Pictures\2012-07-27 Craters 4\Craters 4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rry\Pictures\2012-07-27 Craters 4\Craters 4 023.JPG"/>
                          <pic:cNvPicPr>
                            <a:picLocks noChangeAspect="1" noChangeArrowheads="1"/>
                          </pic:cNvPicPr>
                        </pic:nvPicPr>
                        <pic:blipFill>
                          <a:blip r:embed="rId1322" cstate="print">
                            <a:lum bright="-10000" contrast="40000"/>
                          </a:blip>
                          <a:srcRect t="17110" r="67999" b="17495"/>
                          <a:stretch>
                            <a:fillRect/>
                          </a:stretch>
                        </pic:blipFill>
                        <pic:spPr bwMode="auto">
                          <a:xfrm>
                            <a:off x="0" y="0"/>
                            <a:ext cx="2632702" cy="2864386"/>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b/>
          <w:i/>
          <w:sz w:val="20"/>
        </w:rPr>
      </w:pPr>
    </w:p>
    <w:p w:rsidR="00CA4909" w:rsidRPr="003A64C2" w:rsidRDefault="00CA4909" w:rsidP="00CA4909">
      <w:pPr>
        <w:pStyle w:val="NoSpacing"/>
        <w:rPr>
          <w:rFonts w:ascii="Book Antiqua" w:hAnsi="Book Antiqua"/>
          <w:i/>
          <w:sz w:val="18"/>
          <w:szCs w:val="18"/>
        </w:rPr>
      </w:pPr>
      <w:r w:rsidRPr="003A64C2">
        <w:rPr>
          <w:rFonts w:ascii="Book Antiqua" w:hAnsi="Book Antiqua"/>
          <w:b/>
          <w:i/>
          <w:sz w:val="18"/>
          <w:szCs w:val="18"/>
        </w:rPr>
        <w:t>Figure 1</w:t>
      </w:r>
      <w:r w:rsidR="00CE1404">
        <w:rPr>
          <w:rFonts w:ascii="Book Antiqua" w:hAnsi="Book Antiqua"/>
          <w:b/>
          <w:i/>
          <w:sz w:val="18"/>
          <w:szCs w:val="18"/>
        </w:rPr>
        <w:t>7</w:t>
      </w:r>
      <w:r w:rsidRPr="003A64C2">
        <w:rPr>
          <w:rFonts w:ascii="Book Antiqua" w:hAnsi="Book Antiqua"/>
          <w:b/>
          <w:i/>
          <w:sz w:val="18"/>
          <w:szCs w:val="18"/>
        </w:rPr>
        <w:t>:</w:t>
      </w:r>
      <w:r w:rsidRPr="003A64C2">
        <w:rPr>
          <w:rFonts w:ascii="Book Antiqua" w:hAnsi="Book Antiqua"/>
          <w:i/>
          <w:sz w:val="18"/>
          <w:szCs w:val="18"/>
        </w:rPr>
        <w:t xml:space="preserve"> Splash craters from the impact experiments. On the left, a white Plaster-of-Paris ‘meteorite’ was used. It seems that the meteorite had little to do with the formation of the splash craters which largely resulted from the material expelled from the impact site. On the right, a cement dust meteorite was used on a surface that was not tooled smooth. Both scenes are typical of Lunar and Mercurian formations.</w:t>
      </w:r>
    </w:p>
    <w:p w:rsidR="00CA4909" w:rsidRPr="004E2F1C" w:rsidRDefault="00CA4909" w:rsidP="00CA4909">
      <w:pPr>
        <w:pStyle w:val="NoSpacing"/>
        <w:ind w:firstLine="720"/>
        <w:jc w:val="both"/>
        <w:rPr>
          <w:rFonts w:ascii="Book Antiqua" w:hAnsi="Book Antiqua"/>
          <w:sz w:val="20"/>
        </w:rPr>
      </w:pPr>
    </w:p>
    <w:p w:rsidR="00CA4909" w:rsidRDefault="00CA4909" w:rsidP="00CA4909">
      <w:pPr>
        <w:ind w:firstLine="720"/>
        <w:jc w:val="both"/>
        <w:rPr>
          <w:rFonts w:ascii="Book Antiqua" w:hAnsi="Book Antiqua"/>
          <w:i/>
        </w:rPr>
      </w:pPr>
      <w:r w:rsidRPr="004E2F1C">
        <w:rPr>
          <w:rFonts w:ascii="Book Antiqua" w:hAnsi="Book Antiqua"/>
          <w:i/>
        </w:rPr>
        <w:t>E</w:t>
      </w:r>
      <w:r>
        <w:rPr>
          <w:rFonts w:ascii="Book Antiqua" w:hAnsi="Book Antiqua"/>
          <w:i/>
        </w:rPr>
        <w:t>3</w:t>
      </w:r>
      <w:r w:rsidRPr="004E2F1C">
        <w:rPr>
          <w:rFonts w:ascii="Book Antiqua" w:hAnsi="Book Antiqua"/>
          <w:i/>
        </w:rPr>
        <w:t>.  Crater Ray Systems</w:t>
      </w:r>
    </w:p>
    <w:p w:rsidR="00F81911" w:rsidRPr="004E2F1C" w:rsidRDefault="00F81911" w:rsidP="00CA4909">
      <w:pPr>
        <w:ind w:firstLine="720"/>
        <w:jc w:val="both"/>
        <w:rPr>
          <w:rFonts w:ascii="Book Antiqua" w:hAnsi="Book Antiqua"/>
          <w:i/>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There are many ray systems on the Moon, such as those emanating from the craters Tycho and Copernicus. These ray systems are also present elsewhere in the solar system. (We do not have the ability yet to see if any are visibly present on Venus, as most work has been done with radar which penetrates the clouds.) These ray systems have a bilateral symmetry typical of man-made explosion pits on Earth. The cement dust experiments also exhibit this bilateral symmetry. However, many radiating channels or grooves can also be produced around craters by EDM with bilateral symmetry. Basically they are forms of Lichtenberg figures. These radial channels or grooves are associated with craters on both Mars and Venus, and probably Mercury (Figs. 1</w:t>
      </w:r>
      <w:r w:rsidR="007011BB">
        <w:rPr>
          <w:rFonts w:ascii="Book Antiqua" w:hAnsi="Book Antiqua"/>
          <w:sz w:val="20"/>
        </w:rPr>
        <w:t>8</w:t>
      </w:r>
      <w:r w:rsidRPr="004E2F1C">
        <w:rPr>
          <w:rFonts w:ascii="Book Antiqua" w:hAnsi="Book Antiqua"/>
          <w:sz w:val="20"/>
        </w:rPr>
        <w:t>, 1</w:t>
      </w:r>
      <w:r w:rsidR="007011BB">
        <w:rPr>
          <w:rFonts w:ascii="Book Antiqua" w:hAnsi="Book Antiqua"/>
          <w:sz w:val="20"/>
        </w:rPr>
        <w:t>9</w:t>
      </w:r>
      <w:r w:rsidRPr="004E2F1C">
        <w:rPr>
          <w:rFonts w:ascii="Book Antiqua" w:hAnsi="Book Antiqua"/>
          <w:sz w:val="20"/>
        </w:rPr>
        <w:t>).</w:t>
      </w:r>
    </w:p>
    <w:p w:rsidR="00CA4909" w:rsidRPr="004E2F1C" w:rsidRDefault="00CA4909" w:rsidP="00CA4909">
      <w:pPr>
        <w:pStyle w:val="NoSpacing"/>
        <w:jc w:val="both"/>
        <w:rPr>
          <w:rFonts w:ascii="Book Antiqua" w:hAnsi="Book Antiqua"/>
          <w:sz w:val="20"/>
        </w:rPr>
      </w:pPr>
    </w:p>
    <w:tbl>
      <w:tblPr>
        <w:tblStyle w:val="TableGrid"/>
        <w:tblW w:w="0" w:type="auto"/>
        <w:jc w:val="center"/>
        <w:tblLook w:val="04A0"/>
      </w:tblPr>
      <w:tblGrid>
        <w:gridCol w:w="4149"/>
        <w:gridCol w:w="3736"/>
      </w:tblGrid>
      <w:tr w:rsidR="00CA4909" w:rsidRPr="004E2F1C" w:rsidTr="00F81911">
        <w:trPr>
          <w:jc w:val="center"/>
        </w:trPr>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478261" cy="2062920"/>
                  <wp:effectExtent l="19050" t="0" r="0" b="0"/>
                  <wp:docPr id="115" name="il_fi" descr="http://lh4.google.com/mgmirkin/R2HmDd8FUxI/AAAAAAAAC0Q/GLqi_GdCbPE/s288/LichtenbergInAcrylic(SpiderCompa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4.google.com/mgmirkin/R2HmDd8FUxI/AAAAAAAAC0Q/GLqi_GdCbPE/s288/LichtenbergInAcrylic(SpiderComparison).jpg"/>
                          <pic:cNvPicPr>
                            <a:picLocks noChangeAspect="1" noChangeArrowheads="1"/>
                          </pic:cNvPicPr>
                        </pic:nvPicPr>
                        <pic:blipFill>
                          <a:blip r:embed="rId1323" cstate="print"/>
                          <a:srcRect t="18269" r="-124" b="5288"/>
                          <a:stretch>
                            <a:fillRect/>
                          </a:stretch>
                        </pic:blipFill>
                        <pic:spPr bwMode="auto">
                          <a:xfrm>
                            <a:off x="0" y="0"/>
                            <a:ext cx="2481379" cy="2065516"/>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216115" cy="2059321"/>
                  <wp:effectExtent l="19050" t="0" r="0" b="0"/>
                  <wp:docPr id="149" name="Picture 4" descr="http://www.dil.univ-mrs.fr/~gispert/enseignement/astronomie/2eme_partie/planetes/Venus_img/no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il.univ-mrs.fr/~gispert/enseignement/astronomie/2eme_partie/planetes/Venus_img/nova.gif"/>
                          <pic:cNvPicPr>
                            <a:picLocks noChangeAspect="1" noChangeArrowheads="1"/>
                          </pic:cNvPicPr>
                        </pic:nvPicPr>
                        <pic:blipFill>
                          <a:blip r:embed="rId1324" cstate="print"/>
                          <a:srcRect l="3948" b="23512"/>
                          <a:stretch>
                            <a:fillRect/>
                          </a:stretch>
                        </pic:blipFill>
                        <pic:spPr bwMode="auto">
                          <a:xfrm>
                            <a:off x="0" y="0"/>
                            <a:ext cx="2225871" cy="206838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D27652" w:rsidRDefault="00CA4909" w:rsidP="00D27652">
      <w:pPr>
        <w:pStyle w:val="NoSpacing"/>
        <w:rPr>
          <w:rFonts w:ascii="Book Antiqua" w:hAnsi="Book Antiqua"/>
          <w:i/>
          <w:sz w:val="18"/>
          <w:szCs w:val="18"/>
        </w:rPr>
      </w:pPr>
      <w:r w:rsidRPr="00D27652">
        <w:rPr>
          <w:rFonts w:ascii="Book Antiqua" w:hAnsi="Book Antiqua"/>
          <w:b/>
          <w:i/>
          <w:sz w:val="18"/>
          <w:szCs w:val="18"/>
        </w:rPr>
        <w:t>Figure 1</w:t>
      </w:r>
      <w:r w:rsidR="007011BB" w:rsidRPr="00D27652">
        <w:rPr>
          <w:rFonts w:ascii="Book Antiqua" w:hAnsi="Book Antiqua"/>
          <w:b/>
          <w:i/>
          <w:sz w:val="18"/>
          <w:szCs w:val="18"/>
        </w:rPr>
        <w:t>8</w:t>
      </w:r>
      <w:r w:rsidRPr="00D27652">
        <w:rPr>
          <w:rFonts w:ascii="Book Antiqua" w:hAnsi="Book Antiqua"/>
          <w:b/>
          <w:i/>
          <w:sz w:val="18"/>
          <w:szCs w:val="18"/>
        </w:rPr>
        <w:t>:</w:t>
      </w:r>
      <w:r w:rsidRPr="00D27652">
        <w:rPr>
          <w:rFonts w:ascii="Book Antiqua" w:hAnsi="Book Antiqua"/>
          <w:i/>
          <w:sz w:val="18"/>
          <w:szCs w:val="18"/>
        </w:rPr>
        <w:t xml:space="preserve"> Lichtenberg figures formed by electrical interaction. </w:t>
      </w:r>
      <w:proofErr w:type="gramStart"/>
      <w:r w:rsidRPr="00D27652">
        <w:rPr>
          <w:rFonts w:ascii="Book Antiqua" w:hAnsi="Book Antiqua"/>
          <w:i/>
          <w:sz w:val="18"/>
          <w:szCs w:val="18"/>
        </w:rPr>
        <w:t>Left – Lichtenberg figure in an acrylic sheet.</w:t>
      </w:r>
      <w:proofErr w:type="gramEnd"/>
      <w:r w:rsidRPr="00D27652">
        <w:rPr>
          <w:rFonts w:ascii="Book Antiqua" w:hAnsi="Book Antiqua"/>
          <w:i/>
          <w:sz w:val="18"/>
          <w:szCs w:val="18"/>
        </w:rPr>
        <w:t xml:space="preserve"> Right – A radial Lichtenberg figure on Venus in the form of grooves which originate from a central object initially known as Mokos Nova but which is now called Ts’an Nu Mons.</w:t>
      </w:r>
    </w:p>
    <w:p w:rsidR="00CA4909" w:rsidRPr="004E2F1C" w:rsidRDefault="00CA4909" w:rsidP="00CA4909">
      <w:pPr>
        <w:rPr>
          <w:rFonts w:ascii="Book Antiqua" w:hAnsi="Book Antiqua"/>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It is apparent from Figures 1</w:t>
      </w:r>
      <w:r w:rsidR="007011BB">
        <w:rPr>
          <w:rFonts w:ascii="Book Antiqua" w:hAnsi="Book Antiqua"/>
          <w:sz w:val="20"/>
        </w:rPr>
        <w:t>8</w:t>
      </w:r>
      <w:r w:rsidRPr="00910192">
        <w:rPr>
          <w:rFonts w:ascii="Book Antiqua" w:hAnsi="Book Antiqua"/>
          <w:sz w:val="20"/>
        </w:rPr>
        <w:t xml:space="preserve"> and 1</w:t>
      </w:r>
      <w:r w:rsidR="007011BB">
        <w:rPr>
          <w:rFonts w:ascii="Book Antiqua" w:hAnsi="Book Antiqua"/>
          <w:sz w:val="20"/>
        </w:rPr>
        <w:t>9</w:t>
      </w:r>
      <w:r w:rsidRPr="00910192">
        <w:rPr>
          <w:rFonts w:ascii="Book Antiqua" w:hAnsi="Book Antiqua"/>
          <w:sz w:val="20"/>
        </w:rPr>
        <w:t xml:space="preserve"> that radial channels and grooves are made by EDM processes when the craters or other objects at their center are formed. But these radial channels or grooves are different from the fine lines of </w:t>
      </w:r>
      <w:r w:rsidRPr="00910192">
        <w:rPr>
          <w:rFonts w:ascii="Book Antiqua" w:hAnsi="Book Antiqua"/>
          <w:sz w:val="20"/>
        </w:rPr>
        <w:lastRenderedPageBreak/>
        <w:t>powdery material thrown out in the</w:t>
      </w:r>
      <w:r w:rsidRPr="00910192">
        <w:rPr>
          <w:rFonts w:ascii="Book Antiqua" w:hAnsi="Book Antiqua"/>
          <w:color w:val="FF0000"/>
          <w:sz w:val="20"/>
        </w:rPr>
        <w:t xml:space="preserve"> </w:t>
      </w:r>
      <w:r w:rsidRPr="00910192">
        <w:rPr>
          <w:rFonts w:ascii="Book Antiqua" w:hAnsi="Book Antiqua"/>
          <w:sz w:val="20"/>
        </w:rPr>
        <w:t xml:space="preserve">narrow trajectories which comprise the ray systems of impact craters. While the system of radial grooves or channels must be caused by the processes associated with electric discharge machining, the ray systems are associated with impacts. Indeed, ray systems are a consistent feature of the cement dust experiments, as well as being very obvious on the Moon, as in the case of the crater Tycho seen in Figure </w:t>
      </w:r>
      <w:r w:rsidR="007011BB">
        <w:rPr>
          <w:rFonts w:ascii="Book Antiqua" w:hAnsi="Book Antiqua"/>
          <w:sz w:val="20"/>
        </w:rPr>
        <w:t>20</w:t>
      </w:r>
      <w:r w:rsidRPr="00910192">
        <w:rPr>
          <w:rFonts w:ascii="Book Antiqua" w:hAnsi="Book Antiqua"/>
          <w:sz w:val="20"/>
        </w:rPr>
        <w:t>.</w:t>
      </w:r>
    </w:p>
    <w:p w:rsidR="00CA4909" w:rsidRPr="004E2F1C" w:rsidRDefault="00CA4909" w:rsidP="00CA4909">
      <w:pPr>
        <w:rPr>
          <w:rFonts w:ascii="Book Antiqua" w:hAnsi="Book Antiqua"/>
          <w:i/>
        </w:rPr>
      </w:pPr>
      <w:r w:rsidRPr="004E2F1C">
        <w:rPr>
          <w:rFonts w:ascii="Book Antiqua" w:hAnsi="Book Antiqua"/>
          <w:i/>
        </w:rPr>
        <w:t xml:space="preserve"> </w:t>
      </w:r>
    </w:p>
    <w:tbl>
      <w:tblPr>
        <w:tblStyle w:val="TableGrid"/>
        <w:tblW w:w="0" w:type="auto"/>
        <w:jc w:val="center"/>
        <w:tblLook w:val="04A0"/>
      </w:tblPr>
      <w:tblGrid>
        <w:gridCol w:w="4386"/>
        <w:gridCol w:w="4326"/>
      </w:tblGrid>
      <w:tr w:rsidR="00CA4909" w:rsidRPr="004E2F1C" w:rsidTr="009B7DE1">
        <w:trPr>
          <w:jc w:val="center"/>
        </w:trPr>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626268" cy="1847850"/>
                  <wp:effectExtent l="19050" t="0" r="2632" b="0"/>
                  <wp:docPr id="167" name="il_fi" descr="http://fti.neep.wisc.edu/neep602/FALL97/LEC15/Fus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ti.neep.wisc.edu/neep602/FALL97/LEC15/Fusion-15.JPG"/>
                          <pic:cNvPicPr>
                            <a:picLocks noChangeAspect="1" noChangeArrowheads="1"/>
                          </pic:cNvPicPr>
                        </pic:nvPicPr>
                        <pic:blipFill>
                          <a:blip r:embed="rId1325" cstate="print"/>
                          <a:srcRect t="36905" r="-188"/>
                          <a:stretch>
                            <a:fillRect/>
                          </a:stretch>
                        </pic:blipFill>
                        <pic:spPr bwMode="auto">
                          <a:xfrm>
                            <a:off x="0" y="0"/>
                            <a:ext cx="2625660" cy="184742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581275" cy="1848961"/>
                  <wp:effectExtent l="19050" t="0" r="9525" b="0"/>
                  <wp:docPr id="171" name="Picture 13" descr="http://www.thunderbolts.info/tpod/2005/images05/051108rad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hunderbolts.info/tpod/2005/images05/051108radials.jpg"/>
                          <pic:cNvPicPr>
                            <a:picLocks noChangeAspect="1" noChangeArrowheads="1"/>
                          </pic:cNvPicPr>
                        </pic:nvPicPr>
                        <pic:blipFill>
                          <a:blip r:embed="rId1326" cstate="print"/>
                          <a:srcRect l="888" t="11616" r="-46" b="7576"/>
                          <a:stretch>
                            <a:fillRect/>
                          </a:stretch>
                        </pic:blipFill>
                        <pic:spPr bwMode="auto">
                          <a:xfrm>
                            <a:off x="0" y="0"/>
                            <a:ext cx="2581707" cy="1849270"/>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3A64C2" w:rsidRDefault="00CA4909" w:rsidP="003159BE">
      <w:pPr>
        <w:pStyle w:val="NoSpacing"/>
      </w:pPr>
      <w:r w:rsidRPr="003159BE">
        <w:rPr>
          <w:rFonts w:ascii="Book Antiqua" w:hAnsi="Book Antiqua"/>
          <w:b/>
          <w:i/>
          <w:sz w:val="18"/>
          <w:szCs w:val="18"/>
        </w:rPr>
        <w:t>Figure 1</w:t>
      </w:r>
      <w:r w:rsidR="007011BB" w:rsidRPr="003159BE">
        <w:rPr>
          <w:rFonts w:ascii="Book Antiqua" w:hAnsi="Book Antiqua"/>
          <w:b/>
          <w:i/>
          <w:sz w:val="18"/>
          <w:szCs w:val="18"/>
        </w:rPr>
        <w:t>9</w:t>
      </w:r>
      <w:r w:rsidRPr="003159BE">
        <w:rPr>
          <w:rFonts w:ascii="Book Antiqua" w:hAnsi="Book Antiqua"/>
          <w:b/>
          <w:i/>
          <w:sz w:val="18"/>
          <w:szCs w:val="18"/>
        </w:rPr>
        <w:t>: Left -</w:t>
      </w:r>
      <w:r w:rsidRPr="003159BE">
        <w:rPr>
          <w:rFonts w:ascii="Book Antiqua" w:hAnsi="Book Antiqua"/>
          <w:i/>
          <w:sz w:val="18"/>
          <w:szCs w:val="18"/>
        </w:rPr>
        <w:t xml:space="preserve"> Lichtenberg figure on Mars the Tyrrhena Patera. There are a number of paterae in the Martian highlands. </w:t>
      </w:r>
      <w:r w:rsidRPr="003159BE">
        <w:rPr>
          <w:rFonts w:ascii="Book Antiqua" w:hAnsi="Book Antiqua"/>
          <w:b/>
          <w:i/>
          <w:sz w:val="18"/>
          <w:szCs w:val="18"/>
        </w:rPr>
        <w:t>Right –</w:t>
      </w:r>
      <w:r w:rsidRPr="003159BE">
        <w:rPr>
          <w:rFonts w:ascii="Book Antiqua" w:hAnsi="Book Antiqua"/>
          <w:i/>
          <w:sz w:val="18"/>
          <w:szCs w:val="18"/>
        </w:rPr>
        <w:t xml:space="preserve"> similar figure produced by an electric discharge at the Vemasat Laboratories, Fort Worth, by C.J. Ransom. These are not impact related despite their symmetry</w:t>
      </w:r>
      <w:r w:rsidRPr="003A64C2">
        <w:t>.</w:t>
      </w:r>
    </w:p>
    <w:p w:rsidR="00CA4909" w:rsidRPr="004E2F1C" w:rsidRDefault="00CA4909" w:rsidP="00CA4909">
      <w:pPr>
        <w:ind w:firstLine="720"/>
        <w:jc w:val="both"/>
        <w:rPr>
          <w:rFonts w:ascii="Book Antiqua" w:hAnsi="Book Antiqua"/>
        </w:rPr>
      </w:pPr>
      <w:r w:rsidRPr="004E2F1C">
        <w:rPr>
          <w:rFonts w:ascii="Book Antiqua" w:hAnsi="Book Antiqua"/>
        </w:rPr>
        <w:t xml:space="preserve"> </w:t>
      </w: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128422" cy="3095625"/>
            <wp:effectExtent l="19050" t="0" r="5428" b="0"/>
            <wp:docPr id="173" name="il_fi" descr="http://apod.nasa.gov/apod/image/0108/moon8_man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pod.nasa.gov/apod/image/0108/moon8_mandel.jpg"/>
                    <pic:cNvPicPr>
                      <a:picLocks noChangeAspect="1" noChangeArrowheads="1"/>
                    </pic:cNvPicPr>
                  </pic:nvPicPr>
                  <pic:blipFill>
                    <a:blip r:embed="rId1327" cstate="print">
                      <a:lum contrast="40000"/>
                    </a:blip>
                    <a:srcRect t="8964" r="-99"/>
                    <a:stretch>
                      <a:fillRect/>
                    </a:stretch>
                  </pic:blipFill>
                  <pic:spPr bwMode="auto">
                    <a:xfrm>
                      <a:off x="0" y="0"/>
                      <a:ext cx="4128422" cy="3095625"/>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3159BE" w:rsidRDefault="00CA4909" w:rsidP="003159BE">
      <w:pPr>
        <w:pStyle w:val="NoSpacing"/>
        <w:rPr>
          <w:rFonts w:ascii="Book Antiqua" w:hAnsi="Book Antiqua"/>
          <w:i/>
          <w:sz w:val="18"/>
          <w:szCs w:val="18"/>
        </w:rPr>
      </w:pPr>
      <w:r w:rsidRPr="003159BE">
        <w:rPr>
          <w:rFonts w:ascii="Book Antiqua" w:hAnsi="Book Antiqua"/>
          <w:b/>
          <w:i/>
          <w:sz w:val="18"/>
          <w:szCs w:val="18"/>
        </w:rPr>
        <w:t xml:space="preserve">Figure </w:t>
      </w:r>
      <w:r w:rsidR="007011BB" w:rsidRPr="003159BE">
        <w:rPr>
          <w:rFonts w:ascii="Book Antiqua" w:hAnsi="Book Antiqua"/>
          <w:b/>
          <w:i/>
          <w:sz w:val="18"/>
          <w:szCs w:val="18"/>
        </w:rPr>
        <w:t>20</w:t>
      </w:r>
      <w:r w:rsidRPr="003159BE">
        <w:rPr>
          <w:rFonts w:ascii="Book Antiqua" w:hAnsi="Book Antiqua"/>
          <w:b/>
          <w:i/>
          <w:sz w:val="18"/>
          <w:szCs w:val="18"/>
        </w:rPr>
        <w:t>:</w:t>
      </w:r>
      <w:r w:rsidRPr="003159BE">
        <w:rPr>
          <w:rFonts w:ascii="Book Antiqua" w:hAnsi="Book Antiqua"/>
          <w:i/>
          <w:sz w:val="18"/>
          <w:szCs w:val="18"/>
        </w:rPr>
        <w:t xml:space="preserve"> The ray crater Tycho at bottom right with Copernicus at upper left. Tycho has the most prominent ray system on the Moon. Notice the crater itself is bright, but there is a dark, ray-free area circling the crater. This indicates an explosive origin for the rays. The ray material generated by the explosion had to clear the walls of the pit which created a shadow or ray-free area around the outside. If the crater had been electrically machined, the explanation for both the ray-shadow and the rays becomes difficult.</w:t>
      </w:r>
    </w:p>
    <w:p w:rsidR="00CA4909" w:rsidRPr="00910192" w:rsidRDefault="00CA4909" w:rsidP="00CA4909">
      <w:pPr>
        <w:pStyle w:val="NoSpacing"/>
        <w:jc w:val="both"/>
        <w:rPr>
          <w:rFonts w:ascii="Book Antiqua" w:hAnsi="Book Antiqua"/>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 crater Tycho, on our moon, gives evidence that the ray material was explosively expelled, just as in the cement dust experiments. First, there is the ray-free area around Tycho as discussed in the caption for Figure </w:t>
      </w:r>
      <w:r w:rsidR="007011BB">
        <w:rPr>
          <w:rFonts w:ascii="Book Antiqua" w:hAnsi="Book Antiqua"/>
          <w:sz w:val="20"/>
        </w:rPr>
        <w:t>20</w:t>
      </w:r>
      <w:r w:rsidRPr="00910192">
        <w:rPr>
          <w:rFonts w:ascii="Book Antiqua" w:hAnsi="Book Antiqua"/>
          <w:sz w:val="20"/>
        </w:rPr>
        <w:t xml:space="preserve">.  Second, one stream of ejecta appears to have partly gone into orbit, forming a ray which can be traced completely around the Moon. As it did so, the Moon rotated underneath the sub-orbital spray of ray material. Since the Moon was rotating on its axis during the time the ray was being formed, Tycho was displaced from the orbital plane of the material by 50 miles. </w:t>
      </w:r>
      <w:r w:rsidRPr="00910192">
        <w:rPr>
          <w:rFonts w:ascii="Book Antiqua" w:hAnsi="Book Antiqua"/>
          <w:sz w:val="20"/>
        </w:rPr>
        <w:lastRenderedPageBreak/>
        <w:t>This is the precise distance at which we find the end of the ray passing the crater itself.  EDM has not reproduced anything like this.</w:t>
      </w:r>
    </w:p>
    <w:p w:rsidR="00CA4909" w:rsidRPr="00910192" w:rsidRDefault="00CA4909" w:rsidP="00CA4909">
      <w:pPr>
        <w:pStyle w:val="NoSpacing"/>
        <w:ind w:firstLine="720"/>
        <w:jc w:val="both"/>
        <w:rPr>
          <w:rFonts w:ascii="Book Antiqua" w:hAnsi="Book Antiqua"/>
          <w:sz w:val="20"/>
        </w:rPr>
      </w:pPr>
    </w:p>
    <w:p w:rsidR="00CA4909" w:rsidRPr="00910192" w:rsidRDefault="00CA4909" w:rsidP="00CA4909">
      <w:pPr>
        <w:pStyle w:val="NoSpacing"/>
        <w:ind w:firstLine="720"/>
        <w:jc w:val="both"/>
        <w:rPr>
          <w:rFonts w:ascii="Book Antiqua" w:hAnsi="Book Antiqua"/>
          <w:i/>
          <w:sz w:val="20"/>
        </w:rPr>
      </w:pPr>
      <w:r>
        <w:rPr>
          <w:rFonts w:ascii="Book Antiqua" w:hAnsi="Book Antiqua"/>
          <w:i/>
          <w:sz w:val="20"/>
        </w:rPr>
        <w:t xml:space="preserve">E4. </w:t>
      </w:r>
      <w:r w:rsidRPr="00910192">
        <w:rPr>
          <w:rFonts w:ascii="Book Antiqua" w:hAnsi="Book Antiqua"/>
          <w:i/>
          <w:sz w:val="20"/>
        </w:rPr>
        <w:t>Depth to Diameter Ratios</w:t>
      </w:r>
    </w:p>
    <w:p w:rsidR="00CA4909" w:rsidRDefault="00CA4909"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Pr>
          <w:rFonts w:ascii="Book Antiqua" w:hAnsi="Book Antiqua"/>
          <w:sz w:val="20"/>
        </w:rPr>
        <w:t xml:space="preserve">As mentioned before the size of the impactor will result in crater type.  Different sizes produce different types.  </w:t>
      </w:r>
    </w:p>
    <w:p w:rsidR="00CA4909" w:rsidRPr="004E2F1C" w:rsidRDefault="00CA4909" w:rsidP="00CA4909">
      <w:pPr>
        <w:pStyle w:val="NoSpacing"/>
        <w:jc w:val="both"/>
        <w:rPr>
          <w:rFonts w:ascii="Book Antiqua" w:hAnsi="Book Antiqua"/>
          <w:sz w:val="20"/>
        </w:rPr>
      </w:pPr>
      <w:r w:rsidRPr="004E2F1C">
        <w:rPr>
          <w:rFonts w:ascii="Book Antiqua" w:hAnsi="Book Antiqua"/>
          <w:sz w:val="20"/>
        </w:rPr>
        <w:t xml:space="preserve">This can be adjusted for in the cement dust experiments. An illustration of this is Figure 21. </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drawing>
          <wp:inline distT="0" distB="0" distL="0" distR="0">
            <wp:extent cx="3924343" cy="2943225"/>
            <wp:effectExtent l="19050" t="0" r="0" b="0"/>
            <wp:docPr id="174" name="Picture 3" descr="C:\Users\Barry\Pictures\2012-08-08 Craters session 8\Craters session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8-08 Craters session 8\Craters session 8 004.JPG"/>
                    <pic:cNvPicPr>
                      <a:picLocks noChangeAspect="1" noChangeArrowheads="1"/>
                    </pic:cNvPicPr>
                  </pic:nvPicPr>
                  <pic:blipFill>
                    <a:blip r:embed="rId1328" cstate="print">
                      <a:lum contrast="40000"/>
                    </a:blip>
                    <a:srcRect/>
                    <a:stretch>
                      <a:fillRect/>
                    </a:stretch>
                  </pic:blipFill>
                  <pic:spPr bwMode="auto">
                    <a:xfrm>
                      <a:off x="0" y="0"/>
                      <a:ext cx="3924343" cy="2943225"/>
                    </a:xfrm>
                    <a:prstGeom prst="rect">
                      <a:avLst/>
                    </a:prstGeom>
                    <a:noFill/>
                    <a:ln w="9525">
                      <a:noFill/>
                      <a:miter lim="800000"/>
                      <a:headEnd/>
                      <a:tailEnd/>
                    </a:ln>
                  </pic:spPr>
                </pic:pic>
              </a:graphicData>
            </a:graphic>
          </wp:inline>
        </w:drawing>
      </w:r>
    </w:p>
    <w:p w:rsidR="00CA4909" w:rsidRPr="004E2F1C" w:rsidRDefault="00CA4909" w:rsidP="00CA4909">
      <w:pPr>
        <w:pStyle w:val="NoSpacing"/>
        <w:ind w:firstLine="720"/>
        <w:jc w:val="both"/>
        <w:rPr>
          <w:rFonts w:ascii="Book Antiqua" w:hAnsi="Book Antiqua"/>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21:</w:t>
      </w:r>
      <w:r w:rsidRPr="00302B7A">
        <w:rPr>
          <w:rFonts w:ascii="Book Antiqua" w:hAnsi="Book Antiqua"/>
          <w:i/>
          <w:sz w:val="18"/>
          <w:szCs w:val="18"/>
        </w:rPr>
        <w:t xml:space="preserve"> A larger “impactor” gives a different class of crater. In this case, a narrow ringwall, vertical walls and a flat, hummocky floor plus rays and splash craters have been replicated. These are thus features intrinsic to impact. This crater is intermediate between a complex and peaked ring type.</w:t>
      </w:r>
    </w:p>
    <w:p w:rsidR="00CA4909" w:rsidRPr="004E2F1C" w:rsidRDefault="00CA4909" w:rsidP="00CA4909">
      <w:pPr>
        <w:pStyle w:val="NoSpacing"/>
        <w:rPr>
          <w:rFonts w:ascii="Book Antiqua" w:hAnsi="Book Antiqua"/>
          <w:sz w:val="18"/>
          <w:szCs w:val="18"/>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In Figure 21, the crater from the large “impactor” is of a different type</w:t>
      </w:r>
      <w:r>
        <w:rPr>
          <w:rFonts w:ascii="Book Antiqua" w:hAnsi="Book Antiqua"/>
          <w:sz w:val="20"/>
        </w:rPr>
        <w:t xml:space="preserve"> than the cement dust craters produced with smaller impactors.</w:t>
      </w:r>
      <w:r w:rsidRPr="004E2F1C">
        <w:rPr>
          <w:rFonts w:ascii="Book Antiqua" w:hAnsi="Book Antiqua"/>
          <w:sz w:val="20"/>
        </w:rPr>
        <w:t xml:space="preserve"> It has narrow, vertical walls and a large, flat, slightly hummocky floor, typical of what are sometimes called a “walled plain.” In this case, it may be a transition form between a complex </w:t>
      </w:r>
      <w:proofErr w:type="gramStart"/>
      <w:r w:rsidRPr="004E2F1C">
        <w:rPr>
          <w:rFonts w:ascii="Book Antiqua" w:hAnsi="Book Antiqua"/>
          <w:sz w:val="20"/>
        </w:rPr>
        <w:t>crater</w:t>
      </w:r>
      <w:proofErr w:type="gramEnd"/>
      <w:r w:rsidRPr="004E2F1C">
        <w:rPr>
          <w:rFonts w:ascii="Book Antiqua" w:hAnsi="Book Antiqua"/>
          <w:sz w:val="20"/>
        </w:rPr>
        <w:t xml:space="preserve"> to a peaked ring type. This can be stated since the outer limit of the hummocky terrain on the floor in Figure 21 is where the outer edge of the peaked ring would occur if the central hummocky area was suppressed. Unfortunately it was not possible to experiment with a</w:t>
      </w:r>
      <w:r>
        <w:rPr>
          <w:rFonts w:ascii="Book Antiqua" w:hAnsi="Book Antiqua"/>
          <w:sz w:val="20"/>
        </w:rPr>
        <w:t>n even</w:t>
      </w:r>
      <w:r w:rsidRPr="004E2F1C">
        <w:rPr>
          <w:rFonts w:ascii="Book Antiqua" w:hAnsi="Book Antiqua"/>
          <w:sz w:val="20"/>
        </w:rPr>
        <w:t xml:space="preserve"> larger impactor for this series, which might have settled the question.</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 Nevertheless, in Figure 21, the crater diameter</w:t>
      </w:r>
      <w:proofErr w:type="gramStart"/>
      <w:r w:rsidRPr="004E2F1C">
        <w:rPr>
          <w:rFonts w:ascii="Book Antiqua" w:hAnsi="Book Antiqua"/>
          <w:sz w:val="20"/>
        </w:rPr>
        <w:t xml:space="preserve">, </w:t>
      </w:r>
      <m:oMath>
        <w:proofErr w:type="gramEnd"/>
        <m:r>
          <w:rPr>
            <w:rFonts w:ascii="Cambria Math" w:hAnsi="Cambria Math"/>
            <w:sz w:val="20"/>
          </w:rPr>
          <m:t>D</m:t>
        </m:r>
      </m:oMath>
      <w:r w:rsidRPr="004E2F1C">
        <w:rPr>
          <w:rFonts w:ascii="Book Antiqua" w:hAnsi="Book Antiqua"/>
          <w:sz w:val="20"/>
        </w:rPr>
        <w:t xml:space="preserve">, is 9.6”, while its depth, </w:t>
      </w:r>
      <m:oMath>
        <m:r>
          <w:rPr>
            <w:rFonts w:ascii="Cambria Math" w:hAnsi="Cambria Math"/>
            <w:sz w:val="20"/>
          </w:rPr>
          <m:t>d</m:t>
        </m:r>
      </m:oMath>
      <w:r w:rsidRPr="004E2F1C">
        <w:rPr>
          <w:rFonts w:ascii="Book Antiqua" w:hAnsi="Book Antiqua"/>
          <w:sz w:val="20"/>
        </w:rPr>
        <w:t xml:space="preserve">, is 0.3”. This gives a depth/diameter ratio </w:t>
      </w:r>
      <w:proofErr w:type="gramStart"/>
      <w:r w:rsidRPr="004E2F1C">
        <w:rPr>
          <w:rFonts w:ascii="Book Antiqua" w:hAnsi="Book Antiqua"/>
          <w:sz w:val="20"/>
        </w:rPr>
        <w:t xml:space="preserve">of </w:t>
      </w:r>
      <m:oMath>
        <w:proofErr w:type="gramEnd"/>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0.03125 = 1/32</m:t>
        </m:r>
      </m:oMath>
      <w:r w:rsidRPr="004E2F1C">
        <w:rPr>
          <w:rFonts w:ascii="Book Antiqua" w:hAnsi="Book Antiqua"/>
          <w:sz w:val="20"/>
        </w:rPr>
        <w:t xml:space="preserve">. This ratio is even more extreme than the craters studied on Mercury.  There, the sample investigated had a limiting ratio of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0.042</m:t>
        </m:r>
      </m:oMath>
      <w:r w:rsidRPr="004E2F1C">
        <w:rPr>
          <w:rFonts w:ascii="Book Antiqua" w:hAnsi="Book Antiqua"/>
          <w:sz w:val="20"/>
        </w:rPr>
        <w:t xml:space="preserve"> [5]. As a result of this experiment with a larger impactor, coupled with the earlier results in Figures 11 and 12, it can be stated that a narrow ringwall, vertical walls, a flat floor, and a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 does not necessarily imply that a crater is of EDM origin. These characteristics are also reproducible by impact.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However, the geometric mean size for the change-over between crater types is not just a function of the size of the impactor as was done in the experiment. It is also influenced by two additional factors: gravity and the lithology of the target rocks. It has been stated that</w:t>
      </w:r>
      <w:r w:rsidRPr="004E2F1C">
        <w:rPr>
          <w:rFonts w:ascii="Book Antiqua" w:hAnsi="Book Antiqua"/>
          <w:i/>
          <w:sz w:val="20"/>
        </w:rPr>
        <w:t xml:space="preserve"> “The transition from one crater form to the next is inversely proportional to a planet's gravity, so while only the largest craters on the moon are peak-ring craters, moderate-sized craters on the earth can be. The larger of the Clearwater Lakes craters in Quebec (below) is an example.” </w:t>
      </w:r>
      <w:r w:rsidRPr="004E2F1C">
        <w:rPr>
          <w:rFonts w:ascii="Book Antiqua" w:hAnsi="Book Antiqua"/>
          <w:sz w:val="20"/>
        </w:rPr>
        <w:t xml:space="preserve">[8] </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lastRenderedPageBreak/>
        <w:t xml:space="preserve">Figure 22 has the Clearwater Lakes craters on the </w:t>
      </w:r>
      <w:proofErr w:type="gramStart"/>
      <w:r w:rsidRPr="004E2F1C">
        <w:rPr>
          <w:rFonts w:ascii="Book Antiqua" w:hAnsi="Book Antiqua"/>
          <w:sz w:val="20"/>
        </w:rPr>
        <w:t>left,</w:t>
      </w:r>
      <w:proofErr w:type="gramEnd"/>
      <w:r w:rsidRPr="004E2F1C">
        <w:rPr>
          <w:rFonts w:ascii="Book Antiqua" w:hAnsi="Book Antiqua"/>
          <w:sz w:val="20"/>
        </w:rPr>
        <w:t xml:space="preserve"> with the Lunar crater Schrodinger on the right with its peaked-ring. Schrodinger is 195 miles (312 km) across, while the largest Clearwater Lake crater with the peaked-ring is only 22 miles (36 km) across. Since the Moon’s gravity is only 1/6</w:t>
      </w:r>
      <w:r w:rsidRPr="004E2F1C">
        <w:rPr>
          <w:rFonts w:ascii="Book Antiqua" w:hAnsi="Book Antiqua"/>
          <w:sz w:val="20"/>
          <w:vertAlign w:val="superscript"/>
        </w:rPr>
        <w:t>th</w:t>
      </w:r>
      <w:r w:rsidRPr="004E2F1C">
        <w:rPr>
          <w:rFonts w:ascii="Book Antiqua" w:hAnsi="Book Antiqua"/>
          <w:sz w:val="20"/>
        </w:rPr>
        <w:t xml:space="preserve"> of the Earth’s, then the equivalent peaked-ring crater on the Moon would have to be at least </w:t>
      </w:r>
      <m:oMath>
        <m:r>
          <w:rPr>
            <w:rFonts w:ascii="Cambria Math" w:hAnsi="Book Antiqua"/>
            <w:sz w:val="20"/>
          </w:rPr>
          <m:t xml:space="preserve">22 </m:t>
        </m:r>
        <m:r>
          <w:rPr>
            <w:rFonts w:ascii="Cambria Math" w:hAnsi="Cambria Math"/>
            <w:sz w:val="20"/>
          </w:rPr>
          <m:t>x</m:t>
        </m:r>
        <m:r>
          <w:rPr>
            <w:rFonts w:ascii="Cambria Math" w:hAnsi="Book Antiqua"/>
            <w:sz w:val="20"/>
          </w:rPr>
          <m:t xml:space="preserve"> 6 = 132</m:t>
        </m:r>
      </m:oMath>
      <w:r w:rsidRPr="004E2F1C">
        <w:rPr>
          <w:rFonts w:ascii="Book Antiqua" w:hAnsi="Book Antiqua"/>
          <w:sz w:val="20"/>
        </w:rPr>
        <w:t xml:space="preserve"> miles across. Schrodinger is therefore in the right size range for the peaked ring to occur. Obviously, gravity is one factor that cannot be changed in an earth-bound, cement dust experiment.</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color w:val="FF0000"/>
          <w:sz w:val="20"/>
        </w:rPr>
      </w:pPr>
    </w:p>
    <w:tbl>
      <w:tblPr>
        <w:tblStyle w:val="TableGrid"/>
        <w:tblW w:w="0" w:type="auto"/>
        <w:jc w:val="center"/>
        <w:tblLook w:val="04A0"/>
      </w:tblPr>
      <w:tblGrid>
        <w:gridCol w:w="5526"/>
        <w:gridCol w:w="5166"/>
      </w:tblGrid>
      <w:tr w:rsidR="00CA4909" w:rsidRPr="004E2F1C" w:rsidTr="009B7DE1">
        <w:trPr>
          <w:jc w:val="center"/>
        </w:trPr>
        <w:tc>
          <w:tcPr>
            <w:tcW w:w="2628" w:type="dxa"/>
          </w:tcPr>
          <w:p w:rsidR="00CA4909" w:rsidRPr="004E2F1C" w:rsidRDefault="00CA4909" w:rsidP="00DA58EE">
            <w:pPr>
              <w:pStyle w:val="NoSpacing"/>
              <w:jc w:val="both"/>
              <w:rPr>
                <w:rFonts w:ascii="Book Antiqua" w:hAnsi="Book Antiqua"/>
                <w:i/>
                <w:sz w:val="20"/>
              </w:rPr>
            </w:pPr>
            <w:r w:rsidRPr="004E2F1C">
              <w:rPr>
                <w:rFonts w:ascii="Book Antiqua" w:hAnsi="Book Antiqua"/>
                <w:noProof/>
                <w:sz w:val="20"/>
              </w:rPr>
              <w:drawing>
                <wp:inline distT="0" distB="0" distL="0" distR="0">
                  <wp:extent cx="3352800" cy="2512507"/>
                  <wp:effectExtent l="19050" t="0" r="0" b="0"/>
                  <wp:docPr id="985" name="Picture 283" descr="http://www.uwgb.edu/dutchs/planets/PLANFOTO/IMPACT/CLWATL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www.uwgb.edu/dutchs/planets/PLANFOTO/IMPACT/CLWATLKS.JPG"/>
                          <pic:cNvPicPr>
                            <a:picLocks noChangeAspect="1" noChangeArrowheads="1"/>
                          </pic:cNvPicPr>
                        </pic:nvPicPr>
                        <pic:blipFill>
                          <a:blip r:embed="rId1329" cstate="print"/>
                          <a:srcRect/>
                          <a:stretch>
                            <a:fillRect/>
                          </a:stretch>
                        </pic:blipFill>
                        <pic:spPr bwMode="auto">
                          <a:xfrm>
                            <a:off x="0" y="0"/>
                            <a:ext cx="3359119" cy="251724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pStyle w:val="NoSpacing"/>
              <w:jc w:val="both"/>
              <w:rPr>
                <w:rFonts w:ascii="Book Antiqua" w:hAnsi="Book Antiqua"/>
                <w:i/>
                <w:sz w:val="20"/>
              </w:rPr>
            </w:pPr>
            <w:r w:rsidRPr="004E2F1C">
              <w:rPr>
                <w:rFonts w:ascii="Book Antiqua" w:hAnsi="Book Antiqua"/>
                <w:noProof/>
                <w:sz w:val="20"/>
              </w:rPr>
              <w:drawing>
                <wp:inline distT="0" distB="0" distL="0" distR="0">
                  <wp:extent cx="3114675" cy="2487313"/>
                  <wp:effectExtent l="19050" t="0" r="9525" b="0"/>
                  <wp:docPr id="987" name="Picture 286" descr="http://www.uwgb.edu/dutchs/planets/planfoto/moon/schrod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www.uwgb.edu/dutchs/planets/planfoto/moon/schrodinger.jpg"/>
                          <pic:cNvPicPr>
                            <a:picLocks noChangeAspect="1" noChangeArrowheads="1"/>
                          </pic:cNvPicPr>
                        </pic:nvPicPr>
                        <pic:blipFill>
                          <a:blip r:embed="rId1330" cstate="print"/>
                          <a:srcRect/>
                          <a:stretch>
                            <a:fillRect/>
                          </a:stretch>
                        </pic:blipFill>
                        <pic:spPr bwMode="auto">
                          <a:xfrm>
                            <a:off x="0" y="0"/>
                            <a:ext cx="3134278" cy="250296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i/>
          <w:sz w:val="20"/>
        </w:rPr>
      </w:pPr>
    </w:p>
    <w:p w:rsidR="00CA4909" w:rsidRPr="00302B7A" w:rsidRDefault="00CA4909" w:rsidP="00CA4909">
      <w:pPr>
        <w:pStyle w:val="NoSpacing"/>
        <w:rPr>
          <w:rFonts w:ascii="Book Antiqua" w:hAnsi="Book Antiqua"/>
          <w:i/>
          <w:sz w:val="18"/>
          <w:szCs w:val="18"/>
        </w:rPr>
      </w:pPr>
      <w:proofErr w:type="gramStart"/>
      <w:r w:rsidRPr="00302B7A">
        <w:rPr>
          <w:rFonts w:ascii="Book Antiqua" w:hAnsi="Book Antiqua"/>
          <w:b/>
          <w:i/>
          <w:sz w:val="18"/>
          <w:szCs w:val="18"/>
        </w:rPr>
        <w:t>Figure 22:</w:t>
      </w:r>
      <w:r w:rsidRPr="00302B7A">
        <w:rPr>
          <w:rFonts w:ascii="Book Antiqua" w:hAnsi="Book Antiqua"/>
          <w:i/>
          <w:sz w:val="18"/>
          <w:szCs w:val="18"/>
        </w:rPr>
        <w:t xml:space="preserve"> The bigger of the Clearwater Lakes craters in Quebec exhibits a peaked ring (Left) as does the much larger Lunar crater Schrodinger (Right).</w:t>
      </w:r>
      <w:proofErr w:type="gramEnd"/>
      <w:r w:rsidRPr="00302B7A">
        <w:rPr>
          <w:rFonts w:ascii="Book Antiqua" w:hAnsi="Book Antiqua"/>
          <w:i/>
          <w:sz w:val="18"/>
          <w:szCs w:val="18"/>
        </w:rPr>
        <w:t xml:space="preserve"> The smaller of the 2 craters in left panel has a central peak covered by water and is 16 miles across. The bigger crater is 22 miles; Schrodinger is 195 miles.</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both"/>
        <w:rPr>
          <w:rFonts w:ascii="Book Antiqua" w:hAnsi="Book Antiqua"/>
          <w:color w:val="FF0000"/>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However, the other factor involved with the formation of complex and peaked ring craters is lithology or rock types. It is stated that the formation of peaked-ring basins </w:t>
      </w:r>
      <w:r w:rsidRPr="004E2F1C">
        <w:rPr>
          <w:rFonts w:ascii="Book Antiqua" w:hAnsi="Book Antiqua"/>
          <w:i/>
          <w:sz w:val="20"/>
        </w:rPr>
        <w:t>“seems to depend a great deal on the rheological properties near the surface, in particular the presence of a weak subsurface layer which can flow on the timescale of the crater collapse.”</w:t>
      </w:r>
      <w:r w:rsidRPr="004E2F1C">
        <w:rPr>
          <w:rFonts w:ascii="Book Antiqua" w:hAnsi="Book Antiqua"/>
          <w:sz w:val="20"/>
        </w:rPr>
        <w:t xml:space="preserve"> [3] This may be amenable to experimentation. An attempt was made to have a subsurface layer of different characteristics in the cement pan. A spongey-foam layer was incorporated. However, it behaved in a manner very similar to the plastic layer. Afterwards it was realized that the powdered cement dust had trapped the air in the multitude of holes in the sponge. It therefore behaved as a more rigid layer not a more fluid one. One of the results of this arrangement can be seen in Figure 23 where a five-sided crater with terracing and a central peak can be seen. However, the conclusion is that, given a large enough “meteorite” in the cement dust experiment and the right sort of layering within the pan itself, peaked ring craters may form. </w:t>
      </w:r>
    </w:p>
    <w:p w:rsidR="00CA4909" w:rsidRPr="004E2F1C" w:rsidRDefault="00CA4909" w:rsidP="00CA4909">
      <w:pPr>
        <w:pStyle w:val="NoSpacing"/>
        <w:jc w:val="both"/>
        <w:rPr>
          <w:rFonts w:ascii="Book Antiqua" w:hAnsi="Book Antiqua"/>
          <w:sz w:val="20"/>
        </w:rPr>
      </w:pPr>
    </w:p>
    <w:p w:rsidR="00CA4909" w:rsidRPr="00E403B5" w:rsidRDefault="00CA4909" w:rsidP="00CA4909">
      <w:pPr>
        <w:pStyle w:val="NoSpacing"/>
        <w:ind w:firstLine="720"/>
        <w:jc w:val="both"/>
        <w:rPr>
          <w:rFonts w:ascii="Book Antiqua" w:hAnsi="Book Antiqua"/>
          <w:sz w:val="20"/>
        </w:rPr>
      </w:pPr>
      <w:r w:rsidRPr="00E403B5">
        <w:rPr>
          <w:rFonts w:ascii="Book Antiqua" w:hAnsi="Book Antiqua"/>
          <w:sz w:val="20"/>
        </w:rPr>
        <w:t xml:space="preserve">Complex craters have central peaks. However, a study has shown that impact craters on the Moon can only form central peaks when the crater is in </w:t>
      </w:r>
      <w:r>
        <w:rPr>
          <w:rFonts w:ascii="Book Antiqua" w:hAnsi="Book Antiqua"/>
          <w:sz w:val="20"/>
        </w:rPr>
        <w:t>a</w:t>
      </w:r>
      <w:r w:rsidRPr="00E403B5">
        <w:rPr>
          <w:rFonts w:ascii="Book Antiqua" w:hAnsi="Book Antiqua"/>
          <w:sz w:val="20"/>
        </w:rPr>
        <w:t xml:space="preserve"> size range of 15 to 80 miles </w:t>
      </w:r>
      <w:r>
        <w:rPr>
          <w:rFonts w:ascii="Book Antiqua" w:hAnsi="Book Antiqua"/>
          <w:sz w:val="20"/>
        </w:rPr>
        <w:t>diameter</w:t>
      </w:r>
      <w:r w:rsidRPr="00E403B5">
        <w:rPr>
          <w:rFonts w:ascii="Book Antiqua" w:hAnsi="Book Antiqua"/>
          <w:sz w:val="20"/>
        </w:rPr>
        <w:t xml:space="preserve">. In contrast, EDM can form central peaks in craters of any size.  In crater chains on Mars, some tiny craters have central peaks. These crater chains </w:t>
      </w:r>
      <w:r>
        <w:rPr>
          <w:rFonts w:ascii="Book Antiqua" w:hAnsi="Book Antiqua"/>
          <w:sz w:val="20"/>
        </w:rPr>
        <w:t xml:space="preserve">give far more evidence of being from EDM processes than impacts.  </w:t>
      </w:r>
      <w:r w:rsidRPr="00E403B5">
        <w:rPr>
          <w:rFonts w:ascii="Book Antiqua" w:hAnsi="Book Antiqua"/>
          <w:sz w:val="20"/>
        </w:rPr>
        <w:t xml:space="preserve">However if there is a central peak and the crater has a ray system like Tycho or Copernicus, it is </w:t>
      </w:r>
      <w:r>
        <w:rPr>
          <w:rFonts w:ascii="Book Antiqua" w:hAnsi="Book Antiqua"/>
          <w:sz w:val="20"/>
        </w:rPr>
        <w:t xml:space="preserve">probably </w:t>
      </w:r>
      <w:r w:rsidRPr="00E403B5">
        <w:rPr>
          <w:rFonts w:ascii="Book Antiqua" w:hAnsi="Book Antiqua"/>
          <w:sz w:val="20"/>
        </w:rPr>
        <w:t>the result of</w:t>
      </w:r>
      <w:r>
        <w:rPr>
          <w:rFonts w:ascii="Book Antiqua" w:hAnsi="Book Antiqua"/>
          <w:sz w:val="20"/>
        </w:rPr>
        <w:t xml:space="preserve"> an</w:t>
      </w:r>
      <w:r w:rsidRPr="00E403B5">
        <w:rPr>
          <w:rFonts w:ascii="Book Antiqua" w:hAnsi="Book Antiqua"/>
          <w:sz w:val="20"/>
        </w:rPr>
        <w:t xml:space="preserve"> impact.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4721999" cy="3171069"/>
            <wp:effectExtent l="19050" t="0" r="2401" b="0"/>
            <wp:docPr id="988" name="Picture 2" descr="C:\Users\Barry\Pictures\2012-08-15 craters 8\craters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15 craters 8\craters 8 004.JPG"/>
                    <pic:cNvPicPr>
                      <a:picLocks noChangeAspect="1" noChangeArrowheads="1"/>
                    </pic:cNvPicPr>
                  </pic:nvPicPr>
                  <pic:blipFill>
                    <a:blip r:embed="rId1331" cstate="print">
                      <a:lum contrast="40000"/>
                    </a:blip>
                    <a:srcRect b="10484"/>
                    <a:stretch>
                      <a:fillRect/>
                    </a:stretch>
                  </pic:blipFill>
                  <pic:spPr bwMode="auto">
                    <a:xfrm>
                      <a:off x="0" y="0"/>
                      <a:ext cx="4738253" cy="3181984"/>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sz w:val="20"/>
        </w:rPr>
      </w:pPr>
    </w:p>
    <w:p w:rsidR="00CA4909" w:rsidRPr="00302B7A" w:rsidRDefault="00CA4909" w:rsidP="009B7DE1">
      <w:pPr>
        <w:pStyle w:val="NoSpacing"/>
        <w:jc w:val="center"/>
        <w:rPr>
          <w:rFonts w:ascii="Book Antiqua" w:hAnsi="Book Antiqua"/>
          <w:i/>
          <w:sz w:val="18"/>
          <w:szCs w:val="18"/>
        </w:rPr>
      </w:pPr>
      <w:r w:rsidRPr="00302B7A">
        <w:rPr>
          <w:rFonts w:ascii="Book Antiqua" w:hAnsi="Book Antiqua"/>
          <w:b/>
          <w:i/>
          <w:sz w:val="18"/>
          <w:szCs w:val="18"/>
        </w:rPr>
        <w:t>Figure 23:</w:t>
      </w:r>
      <w:r w:rsidRPr="00302B7A">
        <w:rPr>
          <w:rFonts w:ascii="Book Antiqua" w:hAnsi="Book Antiqua"/>
          <w:i/>
          <w:sz w:val="18"/>
          <w:szCs w:val="18"/>
        </w:rPr>
        <w:t xml:space="preserve"> One result with a sponge foam layer under the cement dust: a 5-sided crater, terraces and a central peak.</w:t>
      </w:r>
    </w:p>
    <w:p w:rsidR="00CA4909" w:rsidRPr="004E2F1C" w:rsidRDefault="00CA4909" w:rsidP="00CA4909">
      <w:pPr>
        <w:pStyle w:val="NoSpacing"/>
        <w:rPr>
          <w:rFonts w:ascii="Book Antiqua" w:hAnsi="Book Antiqua"/>
          <w:sz w:val="18"/>
          <w:szCs w:val="18"/>
        </w:rPr>
      </w:pPr>
    </w:p>
    <w:p w:rsidR="00CA4909" w:rsidRPr="004E2F1C" w:rsidRDefault="00CA4909" w:rsidP="00CA4909">
      <w:pPr>
        <w:pStyle w:val="NoSpacing"/>
        <w:ind w:firstLine="720"/>
        <w:jc w:val="both"/>
        <w:rPr>
          <w:rFonts w:ascii="Book Antiqua" w:hAnsi="Book Antiqua"/>
          <w:i/>
          <w:sz w:val="20"/>
        </w:rPr>
      </w:pPr>
    </w:p>
    <w:p w:rsidR="00CA4909" w:rsidRDefault="00CA4909" w:rsidP="00CA4909">
      <w:pPr>
        <w:ind w:firstLine="720"/>
        <w:rPr>
          <w:rFonts w:ascii="Book Antiqua" w:hAnsi="Book Antiqua"/>
          <w:i/>
        </w:rPr>
      </w:pPr>
      <w:r w:rsidRPr="004E2F1C">
        <w:rPr>
          <w:rFonts w:ascii="Book Antiqua" w:hAnsi="Book Antiqua"/>
          <w:i/>
        </w:rPr>
        <w:t>E</w:t>
      </w:r>
      <w:r>
        <w:rPr>
          <w:rFonts w:ascii="Book Antiqua" w:hAnsi="Book Antiqua"/>
          <w:i/>
        </w:rPr>
        <w:t>5</w:t>
      </w:r>
      <w:r w:rsidRPr="004E2F1C">
        <w:rPr>
          <w:rFonts w:ascii="Book Antiqua" w:hAnsi="Book Antiqua"/>
          <w:i/>
        </w:rPr>
        <w:t>.  Additional Features</w:t>
      </w:r>
    </w:p>
    <w:p w:rsidR="009B7DE1" w:rsidRPr="004E2F1C" w:rsidRDefault="009B7DE1" w:rsidP="00CA4909">
      <w:pPr>
        <w:ind w:firstLine="720"/>
        <w:rPr>
          <w:rFonts w:ascii="Book Antiqua" w:hAnsi="Book Antiqua"/>
          <w:i/>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Our moon appears to have lines of cracks in a number of areas.  However, close examination reveals that some of these rille systems and fissures on both the Moon (Figure 24) and Mars (Figures 25 and 26) turn out to be chains of miniature craters with flat floors.</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316028" cy="2571750"/>
            <wp:effectExtent l="19050" t="0" r="0" b="0"/>
            <wp:docPr id="989" name="Picture 18" descr="http://lh6.ggpht.com/_YoCIFkM3GQ8/S7zyrrqnu3I/AAAAAAAAHjQ/dLsftn-D1w0/M3-mosaic-sinuous-rille-MO-400x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6.ggpht.com/_YoCIFkM3GQ8/S7zyrrqnu3I/AAAAAAAAHjQ/dLsftn-D1w0/M3-mosaic-sinuous-rille-MO-400x266.png"/>
                    <pic:cNvPicPr>
                      <a:picLocks noChangeAspect="1" noChangeArrowheads="1"/>
                    </pic:cNvPicPr>
                  </pic:nvPicPr>
                  <pic:blipFill>
                    <a:blip r:embed="rId13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t="18269" r="1066"/>
                    <a:stretch>
                      <a:fillRect/>
                    </a:stretch>
                  </pic:blipFill>
                  <pic:spPr bwMode="auto">
                    <a:xfrm>
                      <a:off x="0" y="0"/>
                      <a:ext cx="3315036" cy="2570981"/>
                    </a:xfrm>
                    <a:prstGeom prst="rect">
                      <a:avLst/>
                    </a:prstGeom>
                    <a:noFill/>
                    <a:ln>
                      <a:noFill/>
                    </a:ln>
                  </pic:spPr>
                </pic:pic>
              </a:graphicData>
            </a:graphic>
          </wp:inline>
        </w:drawing>
      </w:r>
    </w:p>
    <w:p w:rsidR="00CA4909" w:rsidRPr="004E2F1C" w:rsidRDefault="00CA4909" w:rsidP="00CA4909">
      <w:pPr>
        <w:jc w:val="both"/>
        <w:rPr>
          <w:rFonts w:ascii="Book Antiqua" w:hAnsi="Book Antiqua"/>
        </w:rPr>
      </w:pPr>
    </w:p>
    <w:p w:rsidR="00CA4909" w:rsidRPr="00302B7A" w:rsidRDefault="00CA4909" w:rsidP="009B7DE1">
      <w:pPr>
        <w:jc w:val="center"/>
        <w:rPr>
          <w:rFonts w:ascii="Book Antiqua" w:hAnsi="Book Antiqua"/>
          <w:i/>
          <w:sz w:val="18"/>
          <w:szCs w:val="18"/>
        </w:rPr>
      </w:pPr>
      <w:r w:rsidRPr="00302B7A">
        <w:rPr>
          <w:rFonts w:ascii="Book Antiqua" w:hAnsi="Book Antiqua"/>
          <w:b/>
          <w:i/>
          <w:sz w:val="18"/>
          <w:szCs w:val="18"/>
        </w:rPr>
        <w:t>Figure 24:</w:t>
      </w:r>
      <w:r w:rsidRPr="00302B7A">
        <w:rPr>
          <w:rFonts w:ascii="Book Antiqua" w:hAnsi="Book Antiqua"/>
          <w:i/>
          <w:sz w:val="18"/>
          <w:szCs w:val="18"/>
        </w:rPr>
        <w:t xml:space="preserve"> Rille system on the Moon in Mare Orientalae</w:t>
      </w:r>
      <w:r w:rsidR="009B7DE1">
        <w:rPr>
          <w:rFonts w:ascii="Book Antiqua" w:hAnsi="Book Antiqua"/>
          <w:i/>
          <w:sz w:val="18"/>
          <w:szCs w:val="18"/>
        </w:rPr>
        <w:t xml:space="preserve"> with chains of craters (upper right</w:t>
      </w:r>
      <w:proofErr w:type="gramStart"/>
      <w:r w:rsidR="009B7DE1">
        <w:rPr>
          <w:rFonts w:ascii="Book Antiqua" w:hAnsi="Book Antiqua"/>
          <w:i/>
          <w:sz w:val="18"/>
          <w:szCs w:val="18"/>
        </w:rPr>
        <w:t xml:space="preserve">) </w:t>
      </w:r>
      <w:r w:rsidRPr="00302B7A">
        <w:rPr>
          <w:rFonts w:ascii="Book Antiqua" w:hAnsi="Book Antiqua"/>
          <w:i/>
          <w:sz w:val="18"/>
          <w:szCs w:val="18"/>
        </w:rPr>
        <w:t>.</w:t>
      </w:r>
      <w:proofErr w:type="gramEnd"/>
    </w:p>
    <w:p w:rsidR="00CA4909" w:rsidRPr="004E2F1C" w:rsidRDefault="00CA4909" w:rsidP="00CA4909">
      <w:pPr>
        <w:rPr>
          <w:rFonts w:ascii="Book Antiqua" w:hAnsi="Book Antiqua"/>
          <w:i/>
        </w:rPr>
      </w:pPr>
    </w:p>
    <w:p w:rsidR="00CA4909" w:rsidRPr="004E2F1C" w:rsidRDefault="00CA4909" w:rsidP="00CA4909">
      <w:pPr>
        <w:jc w:val="center"/>
        <w:rPr>
          <w:rFonts w:ascii="Book Antiqua" w:hAnsi="Book Antiqua"/>
          <w:i/>
        </w:rPr>
      </w:pPr>
      <w:r w:rsidRPr="004E2F1C">
        <w:rPr>
          <w:rFonts w:ascii="Book Antiqua" w:hAnsi="Book Antiqua"/>
          <w:i/>
          <w:noProof/>
          <w:lang w:val="en-US"/>
        </w:rPr>
        <w:lastRenderedPageBreak/>
        <w:drawing>
          <wp:inline distT="0" distB="0" distL="0" distR="0">
            <wp:extent cx="3309504" cy="1733550"/>
            <wp:effectExtent l="19050" t="0" r="5196" b="0"/>
            <wp:docPr id="990" name="Picture 1" descr="040818r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0818rille.jpg"/>
                    <pic:cNvPicPr>
                      <a:picLocks noChangeAspect="1" noChangeArrowheads="1"/>
                    </pic:cNvPicPr>
                  </pic:nvPicPr>
                  <pic:blipFill>
                    <a:blip r:embed="rId1333" cstate="print">
                      <a:lum contrast="30000"/>
                    </a:blip>
                    <a:srcRect l="2597" t="11184" r="2111" b="11373"/>
                    <a:stretch>
                      <a:fillRect/>
                    </a:stretch>
                  </pic:blipFill>
                  <pic:spPr bwMode="auto">
                    <a:xfrm flipV="1">
                      <a:off x="0" y="0"/>
                      <a:ext cx="3314309" cy="1736067"/>
                    </a:xfrm>
                    <a:prstGeom prst="rect">
                      <a:avLst/>
                    </a:prstGeom>
                    <a:noFill/>
                    <a:ln w="9525">
                      <a:noFill/>
                      <a:miter lim="800000"/>
                      <a:headEnd/>
                      <a:tailEnd/>
                    </a:ln>
                  </pic:spPr>
                </pic:pic>
              </a:graphicData>
            </a:graphic>
          </wp:inline>
        </w:drawing>
      </w:r>
    </w:p>
    <w:p w:rsidR="00CA4909" w:rsidRPr="00302B7A" w:rsidRDefault="00CA4909" w:rsidP="00CA4909">
      <w:pPr>
        <w:rPr>
          <w:rFonts w:ascii="Book Antiqua" w:hAnsi="Book Antiqua"/>
          <w:b/>
          <w:i/>
        </w:rPr>
      </w:pPr>
    </w:p>
    <w:p w:rsidR="00CA4909" w:rsidRPr="00302B7A" w:rsidRDefault="00CA4909" w:rsidP="009B7DE1">
      <w:pPr>
        <w:jc w:val="center"/>
        <w:rPr>
          <w:rFonts w:ascii="Book Antiqua" w:hAnsi="Book Antiqua"/>
          <w:i/>
          <w:sz w:val="18"/>
          <w:szCs w:val="18"/>
        </w:rPr>
      </w:pPr>
      <w:r w:rsidRPr="00302B7A">
        <w:rPr>
          <w:rFonts w:ascii="Book Antiqua" w:hAnsi="Book Antiqua"/>
          <w:b/>
          <w:i/>
          <w:sz w:val="18"/>
          <w:szCs w:val="18"/>
        </w:rPr>
        <w:t>Figure 25:</w:t>
      </w:r>
      <w:r w:rsidRPr="00302B7A">
        <w:rPr>
          <w:rFonts w:ascii="Book Antiqua" w:hAnsi="Book Antiqua"/>
          <w:i/>
          <w:sz w:val="18"/>
          <w:szCs w:val="18"/>
        </w:rPr>
        <w:t xml:space="preserve"> Rille system on Mars from the Mars Orbiter THEMIS imager.</w:t>
      </w:r>
    </w:p>
    <w:p w:rsidR="00CA4909" w:rsidRPr="004E2F1C" w:rsidRDefault="00CA4909" w:rsidP="00CA4909">
      <w:pPr>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305175" cy="1630379"/>
            <wp:effectExtent l="19050" t="0" r="9525" b="0"/>
            <wp:docPr id="991" name="Picture 4" descr="http://images.spaceref.com/news/2012/ooTractusCatena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spaceref.com/news/2012/ooTractusCatena_H1.jpg"/>
                    <pic:cNvPicPr>
                      <a:picLocks noChangeAspect="1" noChangeArrowheads="1"/>
                    </pic:cNvPicPr>
                  </pic:nvPicPr>
                  <pic:blipFill>
                    <a:blip r:embed="rId1334" cstate="print"/>
                    <a:srcRect t="9672" r="1066" b="13955"/>
                    <a:stretch>
                      <a:fillRect/>
                    </a:stretch>
                  </pic:blipFill>
                  <pic:spPr bwMode="auto">
                    <a:xfrm>
                      <a:off x="0" y="0"/>
                      <a:ext cx="3306380" cy="1630973"/>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Default="00CA4909" w:rsidP="009B7DE1">
      <w:pPr>
        <w:jc w:val="center"/>
        <w:rPr>
          <w:rFonts w:ascii="Book Antiqua" w:hAnsi="Book Antiqua"/>
          <w:i/>
          <w:sz w:val="18"/>
          <w:szCs w:val="18"/>
        </w:rPr>
      </w:pPr>
      <w:r w:rsidRPr="009B7DE1">
        <w:rPr>
          <w:rFonts w:ascii="Book Antiqua" w:hAnsi="Book Antiqua"/>
          <w:b/>
          <w:i/>
          <w:sz w:val="18"/>
          <w:szCs w:val="18"/>
        </w:rPr>
        <w:t>Figure 26:</w:t>
      </w:r>
      <w:r w:rsidRPr="00302B7A">
        <w:rPr>
          <w:rFonts w:ascii="Book Antiqua" w:hAnsi="Book Antiqua"/>
          <w:i/>
          <w:sz w:val="18"/>
          <w:szCs w:val="18"/>
        </w:rPr>
        <w:t xml:space="preserve"> Rille system on Mars, sometimes called “pit-chains”. This example is in Tractus Catena, Arcadia, which is part of the Tharsis uplift.</w:t>
      </w:r>
    </w:p>
    <w:p w:rsidR="009B7DE1" w:rsidRPr="00302B7A" w:rsidRDefault="009B7DE1" w:rsidP="00CA4909">
      <w:pPr>
        <w:rPr>
          <w:rFonts w:ascii="Book Antiqua" w:hAnsi="Book Antiqua"/>
          <w:i/>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The flat floors are a hallmark of EDM, particularly as some of the very small craters in the chains on both the Moon and Mars have central peaks. This is impossible to reproduce by impact in such small craters. Thus it suggests electrical interactions occurred to produce the rilles as in Figures 24, 25 and 26.</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sz w:val="27"/>
          <w:szCs w:val="27"/>
          <w:lang w:val="en-US"/>
        </w:rPr>
        <w:drawing>
          <wp:inline distT="0" distB="0" distL="0" distR="0">
            <wp:extent cx="3418317" cy="2393821"/>
            <wp:effectExtent l="19050" t="0" r="0" b="0"/>
            <wp:docPr id="257" name="Picture 1406" descr="Archimedes c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Archimedes crater"/>
                    <pic:cNvPicPr>
                      <a:picLocks noChangeAspect="1" noChangeArrowheads="1"/>
                    </pic:cNvPicPr>
                  </pic:nvPicPr>
                  <pic:blipFill>
                    <a:blip r:embed="rId1335" cstate="print"/>
                    <a:srcRect l="2629" r="12271"/>
                    <a:stretch>
                      <a:fillRect/>
                    </a:stretch>
                  </pic:blipFill>
                  <pic:spPr bwMode="auto">
                    <a:xfrm>
                      <a:off x="0" y="0"/>
                      <a:ext cx="3428711" cy="2401100"/>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27:</w:t>
      </w:r>
      <w:r w:rsidRPr="00433E2D">
        <w:rPr>
          <w:rFonts w:ascii="Book Antiqua" w:hAnsi="Book Antiqua"/>
          <w:i/>
          <w:sz w:val="18"/>
          <w:szCs w:val="18"/>
        </w:rPr>
        <w:t xml:space="preserve"> The crater Archimedes on the edge of Mare Imbrium. The molten rock forming the Mare also flooded this craters’ floor. Craters like this, which also include Ptolemaeus and Plato are therefore not in the EDM ‘flat bottomed crater’ category but have a category of their own due to flooding of their floors by Mare basalt.</w:t>
      </w:r>
    </w:p>
    <w:p w:rsidR="008D6043" w:rsidRDefault="008D6043" w:rsidP="00CA4909">
      <w:pPr>
        <w:rPr>
          <w:rFonts w:ascii="Book Antiqua" w:hAnsi="Book Antiqua"/>
          <w:i/>
          <w:sz w:val="18"/>
          <w:szCs w:val="18"/>
        </w:rPr>
      </w:pPr>
    </w:p>
    <w:p w:rsidR="008D6043" w:rsidRDefault="008D6043" w:rsidP="008D6043">
      <w:pPr>
        <w:ind w:firstLine="720"/>
        <w:jc w:val="both"/>
        <w:rPr>
          <w:rFonts w:ascii="Book Antiqua" w:hAnsi="Book Antiqua"/>
        </w:rPr>
      </w:pPr>
      <w:r w:rsidRPr="00910192">
        <w:rPr>
          <w:rFonts w:ascii="Book Antiqua" w:hAnsi="Book Antiqua"/>
        </w:rPr>
        <w:t xml:space="preserve">It should be noted that some large craters, such as Ptolemaeus, Archimedes or Plato on the Moon, have flat floors.  </w:t>
      </w:r>
      <w:r w:rsidRPr="00910192">
        <w:rPr>
          <w:rFonts w:ascii="Book Antiqua" w:hAnsi="Book Antiqua"/>
        </w:rPr>
        <w:lastRenderedPageBreak/>
        <w:t>This is because the magma from the Lunar interior has flooded the bottoms of the craters. The floors of these craters have the same color as the nearby Mare plain, as shown for Archimedes in Figure 27. Grooves in the walls of some of these craters, carved by the flying debris on a pattern radial to the center of the Mare, indicate that these craters were formed before the molten rock forming the Mare surface was extruded. The molten rock then flooded the floor of these craters</w:t>
      </w:r>
    </w:p>
    <w:p w:rsidR="008D6043" w:rsidRPr="00302B7A" w:rsidRDefault="008D6043" w:rsidP="00CA4909">
      <w:pPr>
        <w:rPr>
          <w:rFonts w:ascii="Book Antiqua" w:hAnsi="Book Antiqua"/>
          <w:i/>
          <w:sz w:val="18"/>
          <w:szCs w:val="18"/>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There is one key feature which should unequivocally attest to the different crater origins. Impacts result in explosions deep below the surface.  These explosions then force the rock layers in the rim at the surface to be upturned and tilted back on </w:t>
      </w:r>
      <w:proofErr w:type="gramStart"/>
      <w:r w:rsidRPr="00910192">
        <w:rPr>
          <w:rFonts w:ascii="Book Antiqua" w:hAnsi="Book Antiqua"/>
          <w:sz w:val="20"/>
        </w:rPr>
        <w:t>themselves</w:t>
      </w:r>
      <w:proofErr w:type="gramEnd"/>
      <w:r w:rsidRPr="00910192">
        <w:rPr>
          <w:rFonts w:ascii="Book Antiqua" w:hAnsi="Book Antiqua"/>
          <w:sz w:val="20"/>
        </w:rPr>
        <w:t>.  The sequence of events is displayed in Figure 28.</w:t>
      </w:r>
    </w:p>
    <w:p w:rsidR="00CA4909" w:rsidRPr="00910192" w:rsidRDefault="00CA4909" w:rsidP="00CA4909">
      <w:pPr>
        <w:pStyle w:val="NoSpacing"/>
        <w:jc w:val="both"/>
        <w:rPr>
          <w:rFonts w:ascii="Book Antiqua" w:hAnsi="Book Antiqua"/>
          <w:sz w:val="20"/>
        </w:rPr>
      </w:pPr>
    </w:p>
    <w:p w:rsidR="00CA4909" w:rsidRDefault="00CA4909" w:rsidP="00CA4909">
      <w:pPr>
        <w:pStyle w:val="NoSpacing"/>
        <w:jc w:val="both"/>
        <w:rPr>
          <w:rFonts w:ascii="Book Antiqua" w:hAnsi="Book Antiqua"/>
          <w:sz w:val="20"/>
        </w:rPr>
      </w:pPr>
      <w:r w:rsidRPr="00910192">
        <w:rPr>
          <w:rFonts w:ascii="Book Antiqua" w:hAnsi="Book Antiqua"/>
          <w:i/>
          <w:sz w:val="20"/>
        </w:rPr>
        <w:t xml:space="preserve"> </w:t>
      </w:r>
      <w:r w:rsidRPr="00910192">
        <w:rPr>
          <w:rFonts w:ascii="Book Antiqua" w:hAnsi="Book Antiqua"/>
          <w:i/>
          <w:sz w:val="20"/>
        </w:rPr>
        <w:tab/>
      </w:r>
      <w:r w:rsidRPr="00910192">
        <w:rPr>
          <w:rFonts w:ascii="Book Antiqua" w:hAnsi="Book Antiqua"/>
          <w:sz w:val="20"/>
        </w:rPr>
        <w:t>Since the rock strata are turned back on themselves, the strata at the exposed rim will be vertical, not horizontal. In contrast, electrical machining will carve down through the strata, leaving the exposing the horizontal strata. In this way, a close-up examination of any crater rim should allow us to tell which method formed the crater</w:t>
      </w:r>
    </w:p>
    <w:p w:rsidR="00157DB2" w:rsidRPr="00910192" w:rsidRDefault="00157DB2" w:rsidP="00CA4909">
      <w:pPr>
        <w:pStyle w:val="NoSpacing"/>
        <w:jc w:val="both"/>
        <w:rPr>
          <w:rFonts w:ascii="Book Antiqua" w:hAnsi="Book Antiqua"/>
          <w:i/>
          <w:sz w:val="20"/>
        </w:rPr>
      </w:pPr>
    </w:p>
    <w:p w:rsidR="00CA4909" w:rsidRPr="00FD5EB1" w:rsidRDefault="00CA4909" w:rsidP="00CA4909">
      <w:pPr>
        <w:rPr>
          <w:rFonts w:ascii="Book Antiqua" w:hAnsi="Book Antiqua"/>
          <w:i/>
        </w:rPr>
      </w:pPr>
    </w:p>
    <w:tbl>
      <w:tblPr>
        <w:tblStyle w:val="TableGrid"/>
        <w:tblW w:w="0" w:type="auto"/>
        <w:jc w:val="center"/>
        <w:tblLook w:val="04A0"/>
      </w:tblPr>
      <w:tblGrid>
        <w:gridCol w:w="5646"/>
        <w:gridCol w:w="5076"/>
      </w:tblGrid>
      <w:tr w:rsidR="00CA4909" w:rsidRPr="004E2F1C" w:rsidTr="008D6043">
        <w:trPr>
          <w:jc w:val="center"/>
        </w:trPr>
        <w:tc>
          <w:tcPr>
            <w:tcW w:w="4482"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3425226" cy="3150454"/>
                  <wp:effectExtent l="19050" t="0" r="3774" b="0"/>
                  <wp:docPr id="262" name="il_fi" descr="http://explanet.info/images/Ch04/04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xplanet.info/images/Ch04/04_03.jpg"/>
                          <pic:cNvPicPr>
                            <a:picLocks noChangeAspect="1" noChangeArrowheads="1"/>
                          </pic:cNvPicPr>
                        </pic:nvPicPr>
                        <pic:blipFill>
                          <a:blip r:embed="rId1336" cstate="print"/>
                          <a:srcRect l="48250" t="16016" r="2298" b="7380"/>
                          <a:stretch>
                            <a:fillRect/>
                          </a:stretch>
                        </pic:blipFill>
                        <pic:spPr bwMode="auto">
                          <a:xfrm>
                            <a:off x="0" y="0"/>
                            <a:ext cx="3430625" cy="3155419"/>
                          </a:xfrm>
                          <a:prstGeom prst="rect">
                            <a:avLst/>
                          </a:prstGeom>
                          <a:noFill/>
                          <a:ln w="9525">
                            <a:noFill/>
                            <a:miter lim="800000"/>
                            <a:headEnd/>
                            <a:tailEnd/>
                          </a:ln>
                        </pic:spPr>
                      </pic:pic>
                    </a:graphicData>
                  </a:graphic>
                </wp:inline>
              </w:drawing>
            </w:r>
          </w:p>
        </w:tc>
        <w:tc>
          <w:tcPr>
            <w:tcW w:w="4446"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3061296" cy="3096666"/>
                  <wp:effectExtent l="19050" t="0" r="5754" b="0"/>
                  <wp:docPr id="263" name="il_fi" descr="http://cmex.ihmc.us/data/catalog/GusevCrater/GiantImp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mex.ihmc.us/data/catalog/GusevCrater/GiantImpact.jpg"/>
                          <pic:cNvPicPr>
                            <a:picLocks noChangeAspect="1" noChangeArrowheads="1"/>
                          </pic:cNvPicPr>
                        </pic:nvPicPr>
                        <pic:blipFill>
                          <a:blip r:embed="rId1337" cstate="print"/>
                          <a:srcRect l="40301" t="21149" r="11722" b="16115"/>
                          <a:stretch>
                            <a:fillRect/>
                          </a:stretch>
                        </pic:blipFill>
                        <pic:spPr bwMode="auto">
                          <a:xfrm>
                            <a:off x="0" y="0"/>
                            <a:ext cx="3069694" cy="3105161"/>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28:</w:t>
      </w:r>
      <w:r w:rsidRPr="00433E2D">
        <w:rPr>
          <w:rFonts w:ascii="Book Antiqua" w:hAnsi="Book Antiqua"/>
          <w:i/>
          <w:sz w:val="18"/>
          <w:szCs w:val="18"/>
        </w:rPr>
        <w:t xml:space="preserve"> The explosive formation of craters by impact overturns the strata on the crater rim as shown at left. The right diagram enlarges what happens. It can be seen that the rock layers on the rim are overturned and the rock sequence inverted a little distance from the crater.</w:t>
      </w:r>
      <w:r w:rsidR="00627992" w:rsidRPr="00433E2D">
        <w:rPr>
          <w:rFonts w:ascii="Book Antiqua" w:hAnsi="Book Antiqua"/>
          <w:i/>
          <w:sz w:val="18"/>
          <w:szCs w:val="18"/>
        </w:rPr>
        <w:t xml:space="preserve"> This inverted sequence may appear if the crater wall is eroded</w:t>
      </w:r>
      <w:r w:rsidR="00C150D6" w:rsidRPr="00433E2D">
        <w:rPr>
          <w:rFonts w:ascii="Book Antiqua" w:hAnsi="Book Antiqua"/>
          <w:i/>
          <w:sz w:val="18"/>
          <w:szCs w:val="18"/>
        </w:rPr>
        <w:t xml:space="preserve"> or becomes terraced</w:t>
      </w:r>
      <w:r w:rsidR="00627992" w:rsidRPr="00433E2D">
        <w:rPr>
          <w:rFonts w:ascii="Book Antiqua" w:hAnsi="Book Antiqua"/>
          <w:i/>
          <w:sz w:val="18"/>
          <w:szCs w:val="18"/>
        </w:rPr>
        <w:t>.</w:t>
      </w:r>
    </w:p>
    <w:p w:rsidR="008D6043" w:rsidRPr="00302B7A" w:rsidRDefault="008D6043" w:rsidP="00CA4909">
      <w:pPr>
        <w:rPr>
          <w:rFonts w:ascii="Book Antiqua" w:hAnsi="Book Antiqua"/>
          <w:i/>
          <w:sz w:val="18"/>
          <w:szCs w:val="18"/>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 The two photos in Figures 29 and 30 taken by NASA’s Mars Exploration Rover, Opportunity, are both of the Victoria crater on Mars.  The first image shows that the rim strata are horizontal right around the crater. The second photo, showing Cape St. Vincent, reveals that not only are the strata horizontal, but the small-scale layering in that strata is also horizontal. That is strong evidence that this particular crater originated from electric machining which cut down vertically through the strata and distributed the debris around the rim.</w:t>
      </w:r>
    </w:p>
    <w:p w:rsidR="00CA4909" w:rsidRPr="00063498"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063498">
        <w:rPr>
          <w:rFonts w:ascii="Book Antiqua" w:hAnsi="Book Antiqua"/>
          <w:sz w:val="20"/>
        </w:rPr>
        <w:t xml:space="preserve">Further evidence that the Victoria crater was electrically machined can be seen in Figure 31. Again the horizontal rim strata are in evidence. However, there is another feature which is important to consider:  the scalloped edges to the crater rim.  This is entirely consistent with the action of electric machining, and cannot be produced by an impact.  Because of all this evidence, it </w:t>
      </w:r>
      <w:r>
        <w:rPr>
          <w:rFonts w:ascii="Book Antiqua" w:hAnsi="Book Antiqua"/>
          <w:sz w:val="20"/>
        </w:rPr>
        <w:t>may</w:t>
      </w:r>
      <w:r w:rsidRPr="00063498">
        <w:rPr>
          <w:rFonts w:ascii="Book Antiqua" w:hAnsi="Book Antiqua"/>
          <w:sz w:val="20"/>
        </w:rPr>
        <w:t xml:space="preserve"> be concluded that the Victoria crater on Mars was probably formed by electrical machining processes, not impact.</w:t>
      </w:r>
    </w:p>
    <w:p w:rsidR="00157DB2" w:rsidRPr="004E2F1C" w:rsidRDefault="00157DB2" w:rsidP="00CA4909">
      <w:pPr>
        <w:pStyle w:val="NoSpacing"/>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5146755" cy="2820040"/>
            <wp:effectExtent l="19050" t="0" r="0" b="0"/>
            <wp:docPr id="264" name="Picture 285" descr="070628_duck_bay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70628_duck_bay_02"/>
                    <pic:cNvPicPr>
                      <a:picLocks noChangeAspect="1" noChangeArrowheads="1"/>
                    </pic:cNvPicPr>
                  </pic:nvPicPr>
                  <pic:blipFill>
                    <a:blip r:embed="rId1338" cstate="print"/>
                    <a:srcRect t="12981" r="-411" b="11661"/>
                    <a:stretch>
                      <a:fillRect/>
                    </a:stretch>
                  </pic:blipFill>
                  <pic:spPr bwMode="auto">
                    <a:xfrm>
                      <a:off x="0" y="0"/>
                      <a:ext cx="5154154" cy="282409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29:</w:t>
      </w:r>
      <w:r w:rsidRPr="00433E2D">
        <w:rPr>
          <w:rFonts w:ascii="Book Antiqua" w:hAnsi="Book Antiqua"/>
          <w:i/>
          <w:sz w:val="18"/>
          <w:szCs w:val="18"/>
        </w:rPr>
        <w:t xml:space="preserve"> A sweep of Victoria crater, Mars, showing the horizontal rim strata on a large scale in Duck Bay. These strata are not overturned as they would be if the crater was formed by impact. This suggests the crater was probably formed by EDM. </w:t>
      </w:r>
      <w:proofErr w:type="gramStart"/>
      <w:r w:rsidRPr="00433E2D">
        <w:rPr>
          <w:rFonts w:ascii="Book Antiqua" w:hAnsi="Book Antiqua"/>
          <w:i/>
          <w:sz w:val="18"/>
          <w:szCs w:val="18"/>
        </w:rPr>
        <w:t>Photo taken by the Mars Rover, Opportunity.</w:t>
      </w:r>
      <w:proofErr w:type="gramEnd"/>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651957" cy="3926541"/>
            <wp:effectExtent l="19050" t="0" r="5893" b="0"/>
            <wp:docPr id="270" name="Picture 33" descr="070628_victoria_fals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70628_victoria_false_02"/>
                    <pic:cNvPicPr>
                      <a:picLocks noChangeAspect="1" noChangeArrowheads="1"/>
                    </pic:cNvPicPr>
                  </pic:nvPicPr>
                  <pic:blipFill>
                    <a:blip r:embed="rId1339" cstate="print"/>
                    <a:srcRect l="13471" t="12493" r="8073" b="17110"/>
                    <a:stretch>
                      <a:fillRect/>
                    </a:stretch>
                  </pic:blipFill>
                  <pic:spPr bwMode="auto">
                    <a:xfrm>
                      <a:off x="0" y="0"/>
                      <a:ext cx="5659881" cy="3932046"/>
                    </a:xfrm>
                    <a:prstGeom prst="rect">
                      <a:avLst/>
                    </a:prstGeom>
                    <a:noFill/>
                    <a:ln w="9525">
                      <a:noFill/>
                      <a:miter lim="800000"/>
                      <a:headEnd/>
                      <a:tailEnd/>
                    </a:ln>
                  </pic:spPr>
                </pic:pic>
              </a:graphicData>
            </a:graphic>
          </wp:inline>
        </w:drawing>
      </w:r>
    </w:p>
    <w:p w:rsidR="00CA4909" w:rsidRPr="004E2F1C" w:rsidRDefault="00CA4909" w:rsidP="00CA4909">
      <w:pPr>
        <w:pStyle w:val="NoSpacing"/>
        <w:rPr>
          <w:rFonts w:ascii="Book Antiqua" w:hAnsi="Book Antiqua"/>
          <w:b/>
          <w:i/>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30:</w:t>
      </w:r>
      <w:r w:rsidRPr="00302B7A">
        <w:rPr>
          <w:rFonts w:ascii="Book Antiqua" w:hAnsi="Book Antiqua"/>
          <w:i/>
          <w:sz w:val="18"/>
          <w:szCs w:val="18"/>
        </w:rPr>
        <w:t xml:space="preserve"> Victoria crater, Mars. The rim strata are horizontal even in the detail of the individual layers at Cape St. Vincent shown here. Thus the crater was probably formed by electric discharge machining, </w:t>
      </w:r>
      <w:r w:rsidR="00380261">
        <w:rPr>
          <w:rFonts w:ascii="Book Antiqua" w:hAnsi="Book Antiqua"/>
          <w:i/>
          <w:sz w:val="18"/>
          <w:szCs w:val="18"/>
        </w:rPr>
        <w:t>rather than</w:t>
      </w:r>
      <w:r w:rsidRPr="00302B7A">
        <w:rPr>
          <w:rFonts w:ascii="Book Antiqua" w:hAnsi="Book Antiqua"/>
          <w:i/>
          <w:sz w:val="18"/>
          <w:szCs w:val="18"/>
        </w:rPr>
        <w:t xml:space="preserve"> by impact. </w:t>
      </w:r>
    </w:p>
    <w:p w:rsidR="00CA4909" w:rsidRPr="004E2F1C" w:rsidRDefault="00CA4909" w:rsidP="00CA4909">
      <w:pPr>
        <w:pStyle w:val="NoSpacing"/>
        <w:rPr>
          <w:rFonts w:ascii="Book Antiqua" w:hAnsi="Book Antiqua"/>
          <w:i/>
          <w:sz w:val="20"/>
        </w:rPr>
      </w:pPr>
    </w:p>
    <w:p w:rsidR="00CA4909" w:rsidRPr="004E2F1C" w:rsidRDefault="00CA4909" w:rsidP="00CA4909">
      <w:pPr>
        <w:pStyle w:val="NoSpacing"/>
        <w:jc w:val="center"/>
        <w:rPr>
          <w:rFonts w:ascii="Book Antiqua" w:hAnsi="Book Antiqua"/>
          <w:i/>
          <w:sz w:val="20"/>
        </w:rPr>
      </w:pPr>
      <w:r w:rsidRPr="004E2F1C">
        <w:rPr>
          <w:rFonts w:ascii="Book Antiqua" w:hAnsi="Book Antiqua"/>
          <w:noProof/>
          <w:sz w:val="20"/>
        </w:rPr>
        <w:lastRenderedPageBreak/>
        <w:drawing>
          <wp:inline distT="0" distB="0" distL="0" distR="0">
            <wp:extent cx="4743450" cy="3524250"/>
            <wp:effectExtent l="19050" t="0" r="0" b="0"/>
            <wp:docPr id="276" name="Picture 288" descr="070628_opp_rimpath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70628_opp_rimpath_02"/>
                    <pic:cNvPicPr>
                      <a:picLocks noChangeAspect="1" noChangeArrowheads="1"/>
                    </pic:cNvPicPr>
                  </pic:nvPicPr>
                  <pic:blipFill>
                    <a:blip r:embed="rId1340" cstate="print"/>
                    <a:srcRect t="8557"/>
                    <a:stretch>
                      <a:fillRect/>
                    </a:stretch>
                  </pic:blipFill>
                  <pic:spPr bwMode="auto">
                    <a:xfrm>
                      <a:off x="0" y="0"/>
                      <a:ext cx="4745560" cy="3525818"/>
                    </a:xfrm>
                    <a:prstGeom prst="rect">
                      <a:avLst/>
                    </a:prstGeom>
                    <a:noFill/>
                    <a:ln w="9525">
                      <a:noFill/>
                      <a:miter lim="800000"/>
                      <a:headEnd/>
                      <a:tailEnd/>
                    </a:ln>
                  </pic:spPr>
                </pic:pic>
              </a:graphicData>
            </a:graphic>
          </wp:inline>
        </w:drawing>
      </w:r>
    </w:p>
    <w:p w:rsidR="00CA4909" w:rsidRPr="004E2F1C" w:rsidRDefault="00CA4909" w:rsidP="00CA4909">
      <w:pPr>
        <w:pStyle w:val="NoSpacing"/>
        <w:rPr>
          <w:rFonts w:ascii="Book Antiqua" w:hAnsi="Book Antiqua"/>
          <w:b/>
          <w:sz w:val="18"/>
          <w:szCs w:val="18"/>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31:</w:t>
      </w:r>
      <w:r w:rsidRPr="00433E2D">
        <w:rPr>
          <w:rFonts w:ascii="Book Antiqua" w:hAnsi="Book Antiqua"/>
          <w:i/>
          <w:sz w:val="18"/>
          <w:szCs w:val="18"/>
        </w:rPr>
        <w:t xml:space="preserve"> Victoria crater from the HiRise satellite in Martian orbit. The path of Opportunity is traced along the crater rim. Note the scalloped edges of the crater which is typical of EDM, but is rarely achieved by impact. The yellow bar gives the crater’s scale. </w:t>
      </w:r>
    </w:p>
    <w:p w:rsidR="00CA4909" w:rsidRPr="004E2F1C" w:rsidRDefault="00CA4909" w:rsidP="00CA4909">
      <w:pPr>
        <w:ind w:firstLine="720"/>
        <w:jc w:val="both"/>
        <w:rPr>
          <w:rFonts w:ascii="Book Antiqua" w:hAnsi="Book Antiqua"/>
        </w:rPr>
      </w:pPr>
    </w:p>
    <w:p w:rsidR="00CA4909" w:rsidRDefault="00CA4909" w:rsidP="00CA4909">
      <w:pPr>
        <w:ind w:firstLine="720"/>
        <w:rPr>
          <w:rFonts w:ascii="Book Antiqua" w:hAnsi="Book Antiqua"/>
          <w:i/>
        </w:rPr>
      </w:pPr>
      <w:r w:rsidRPr="004E2F1C">
        <w:rPr>
          <w:rFonts w:ascii="Book Antiqua" w:hAnsi="Book Antiqua"/>
          <w:i/>
        </w:rPr>
        <w:t>E</w:t>
      </w:r>
      <w:r>
        <w:rPr>
          <w:rFonts w:ascii="Book Antiqua" w:hAnsi="Book Antiqua"/>
          <w:i/>
        </w:rPr>
        <w:t>6</w:t>
      </w:r>
      <w:r w:rsidRPr="004E2F1C">
        <w:rPr>
          <w:rFonts w:ascii="Book Antiqua" w:hAnsi="Book Antiqua"/>
          <w:i/>
        </w:rPr>
        <w:t>.  Large Basins and Circular Structures</w:t>
      </w:r>
    </w:p>
    <w:p w:rsidR="00157DB2" w:rsidRPr="004E2F1C" w:rsidRDefault="00157DB2" w:rsidP="00CA4909">
      <w:pPr>
        <w:ind w:firstLine="720"/>
        <w:rPr>
          <w:rFonts w:ascii="Book Antiqua" w:hAnsi="Book Antiqua"/>
          <w:i/>
        </w:rPr>
      </w:pPr>
    </w:p>
    <w:p w:rsidR="00CA4909" w:rsidRPr="00063498" w:rsidRDefault="00CA4909" w:rsidP="00CA4909">
      <w:pPr>
        <w:pStyle w:val="NoSpacing"/>
        <w:ind w:firstLine="720"/>
        <w:rPr>
          <w:rFonts w:ascii="Book Antiqua" w:hAnsi="Book Antiqua"/>
          <w:sz w:val="20"/>
        </w:rPr>
      </w:pPr>
      <w:r w:rsidRPr="00063498">
        <w:rPr>
          <w:rFonts w:ascii="Book Antiqua" w:hAnsi="Book Antiqua"/>
          <w:sz w:val="20"/>
        </w:rPr>
        <w:t>On a very large scale, there are huge circular structures like Mare Imbrium on the Moon, the Caloris Basin on Mercury, or the Hellas basin on Mars.  Mare Imbrium is outlined in Figure 32 and shown in detail in Figure 33</w:t>
      </w:r>
    </w:p>
    <w:p w:rsidR="00CA4909" w:rsidRPr="004E2F1C" w:rsidRDefault="00CA4909" w:rsidP="00CA4909">
      <w:pPr>
        <w:ind w:firstLine="720"/>
        <w:jc w:val="both"/>
        <w:rPr>
          <w:rFonts w:ascii="Book Antiqua" w:hAnsi="Book Antiqua"/>
        </w:rPr>
      </w:pPr>
    </w:p>
    <w:tbl>
      <w:tblPr>
        <w:tblStyle w:val="TableGrid"/>
        <w:tblW w:w="0" w:type="auto"/>
        <w:jc w:val="center"/>
        <w:tblLook w:val="04A0"/>
      </w:tblPr>
      <w:tblGrid>
        <w:gridCol w:w="4121"/>
        <w:gridCol w:w="3996"/>
      </w:tblGrid>
      <w:tr w:rsidR="00CA4909" w:rsidRPr="004E2F1C" w:rsidTr="00157DB2">
        <w:trPr>
          <w:jc w:val="center"/>
        </w:trPr>
        <w:tc>
          <w:tcPr>
            <w:tcW w:w="2734" w:type="dxa"/>
          </w:tcPr>
          <w:p w:rsidR="00CA4909" w:rsidRPr="004E2F1C" w:rsidRDefault="00CA4909" w:rsidP="00DA58EE">
            <w:pPr>
              <w:jc w:val="both"/>
              <w:rPr>
                <w:rFonts w:ascii="Book Antiqua" w:hAnsi="Book Antiqua"/>
                <w:i/>
              </w:rPr>
            </w:pPr>
            <w:r w:rsidRPr="004E2F1C">
              <w:rPr>
                <w:rFonts w:ascii="Book Antiqua" w:hAnsi="Book Antiqua"/>
                <w:i/>
                <w:noProof/>
                <w:lang w:val="en-US"/>
              </w:rPr>
              <w:drawing>
                <wp:inline distT="0" distB="0" distL="0" distR="0">
                  <wp:extent cx="2460471" cy="2382050"/>
                  <wp:effectExtent l="19050" t="0" r="0" b="0"/>
                  <wp:docPr id="277" name="Picture 37" descr="http://upload.wikimedia.org/wikipedia/commons/thumb/f/f3/Imbrium_location.jpg/200px-Imbrium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f/f3/Imbrium_location.jpg/200px-Imbrium_location.jpg"/>
                          <pic:cNvPicPr>
                            <a:picLocks noChangeAspect="1" noChangeArrowheads="1"/>
                          </pic:cNvPicPr>
                        </pic:nvPicPr>
                        <pic:blipFill>
                          <a:blip r:embed="rId13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475421" cy="2396524"/>
                          </a:xfrm>
                          <a:prstGeom prst="rect">
                            <a:avLst/>
                          </a:prstGeom>
                          <a:noFill/>
                          <a:ln>
                            <a:noFill/>
                          </a:ln>
                        </pic:spPr>
                      </pic:pic>
                    </a:graphicData>
                  </a:graphic>
                </wp:inline>
              </w:drawing>
            </w:r>
          </w:p>
        </w:tc>
        <w:tc>
          <w:tcPr>
            <w:tcW w:w="2522" w:type="dxa"/>
          </w:tcPr>
          <w:p w:rsidR="00CA4909" w:rsidRPr="004E2F1C" w:rsidRDefault="00CA4909" w:rsidP="00DA58EE">
            <w:pPr>
              <w:jc w:val="both"/>
              <w:rPr>
                <w:rFonts w:ascii="Book Antiqua" w:hAnsi="Book Antiqua"/>
                <w:i/>
              </w:rPr>
            </w:pPr>
            <w:r w:rsidRPr="000574FB">
              <w:rPr>
                <w:rFonts w:ascii="Book Antiqua" w:hAnsi="Book Antiqua"/>
                <w:i/>
                <w:noProof/>
                <w:lang w:val="en-US"/>
              </w:rPr>
              <w:drawing>
                <wp:inline distT="0" distB="0" distL="0" distR="0">
                  <wp:extent cx="2378368" cy="2428154"/>
                  <wp:effectExtent l="19050" t="0" r="2882" b="0"/>
                  <wp:docPr id="278" name="Picture 1" descr="File:Imbrium map.png"/>
                  <wp:cNvGraphicFramePr/>
                  <a:graphic xmlns:a="http://schemas.openxmlformats.org/drawingml/2006/main">
                    <a:graphicData uri="http://schemas.openxmlformats.org/drawingml/2006/picture">
                      <pic:pic xmlns:pic="http://schemas.openxmlformats.org/drawingml/2006/picture">
                        <pic:nvPicPr>
                          <pic:cNvPr id="4" name="Picture 3" descr="File:Imbrium map.png"/>
                          <pic:cNvPicPr/>
                        </pic:nvPicPr>
                        <pic:blipFill>
                          <a:blip r:embed="rId1342" cstate="print"/>
                          <a:srcRect/>
                          <a:stretch>
                            <a:fillRect/>
                          </a:stretch>
                        </pic:blipFill>
                        <pic:spPr bwMode="auto">
                          <a:xfrm>
                            <a:off x="0" y="0"/>
                            <a:ext cx="2380839" cy="2430677"/>
                          </a:xfrm>
                          <a:prstGeom prst="rect">
                            <a:avLst/>
                          </a:prstGeom>
                          <a:noFill/>
                          <a:ln w="9525">
                            <a:noFill/>
                            <a:miter lim="800000"/>
                            <a:headEnd/>
                            <a:tailEnd/>
                          </a:ln>
                        </pic:spPr>
                      </pic:pic>
                    </a:graphicData>
                  </a:graphic>
                </wp:inline>
              </w:drawing>
            </w:r>
          </w:p>
        </w:tc>
      </w:tr>
    </w:tbl>
    <w:p w:rsidR="00CA4909" w:rsidRPr="004E2F1C" w:rsidRDefault="00CA4909" w:rsidP="00157DB2">
      <w:pPr>
        <w:pStyle w:val="NoSpacing"/>
        <w:jc w:val="center"/>
        <w:rPr>
          <w:rFonts w:ascii="Book Antiqua" w:hAnsi="Book Antiqua"/>
          <w:sz w:val="20"/>
        </w:rPr>
      </w:pPr>
    </w:p>
    <w:p w:rsidR="00CA4909" w:rsidRPr="00302B7A" w:rsidRDefault="00CA4909" w:rsidP="00157DB2">
      <w:pPr>
        <w:pStyle w:val="NoSpacing"/>
        <w:jc w:val="center"/>
        <w:rPr>
          <w:rFonts w:ascii="Book Antiqua" w:hAnsi="Book Antiqua"/>
          <w:i/>
          <w:sz w:val="18"/>
          <w:szCs w:val="18"/>
        </w:rPr>
      </w:pPr>
      <w:r w:rsidRPr="00302B7A">
        <w:rPr>
          <w:rFonts w:ascii="Book Antiqua" w:hAnsi="Book Antiqua"/>
          <w:b/>
          <w:i/>
          <w:sz w:val="18"/>
          <w:szCs w:val="18"/>
        </w:rPr>
        <w:t>Figure 32:</w:t>
      </w:r>
      <w:r w:rsidRPr="00302B7A">
        <w:rPr>
          <w:rFonts w:ascii="Book Antiqua" w:hAnsi="Book Antiqua"/>
          <w:i/>
          <w:sz w:val="18"/>
          <w:szCs w:val="18"/>
        </w:rPr>
        <w:t xml:space="preserve"> Mare Imbrium – Left: outlined on an image of the Moon. Right: enlarged showing position of a mass-concentration or ‘mascon.’</w:t>
      </w:r>
    </w:p>
    <w:p w:rsidR="00CA4909" w:rsidRPr="004E2F1C" w:rsidRDefault="00CA4909" w:rsidP="00157DB2">
      <w:pPr>
        <w:pStyle w:val="NoSpacing"/>
        <w:jc w:val="center"/>
        <w:rPr>
          <w:rFonts w:ascii="Book Antiqua" w:hAnsi="Book Antiqua"/>
          <w:sz w:val="20"/>
        </w:rPr>
      </w:pPr>
    </w:p>
    <w:p w:rsidR="00CA4909" w:rsidRPr="004E2F1C" w:rsidRDefault="00CA4909" w:rsidP="00CA4909">
      <w:pPr>
        <w:jc w:val="center"/>
        <w:rPr>
          <w:rFonts w:ascii="Book Antiqua" w:hAnsi="Book Antiqua"/>
          <w:i/>
        </w:rPr>
      </w:pPr>
      <w:r w:rsidRPr="004E2F1C">
        <w:rPr>
          <w:rFonts w:ascii="Book Antiqua" w:hAnsi="Book Antiqua"/>
          <w:noProof/>
          <w:lang w:val="en-US"/>
        </w:rPr>
        <w:lastRenderedPageBreak/>
        <w:drawing>
          <wp:inline distT="0" distB="0" distL="0" distR="0">
            <wp:extent cx="3723075" cy="3337647"/>
            <wp:effectExtent l="19050" t="0" r="0" b="0"/>
            <wp:docPr id="279" name="il_fi" descr="http://www.imbrium.de/img/mare_imbrium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mbrium.de/img/mare_imbrium_text.jpg"/>
                    <pic:cNvPicPr>
                      <a:picLocks noChangeAspect="1" noChangeArrowheads="1"/>
                    </pic:cNvPicPr>
                  </pic:nvPicPr>
                  <pic:blipFill>
                    <a:blip r:embed="rId1343" cstate="print"/>
                    <a:srcRect/>
                    <a:stretch>
                      <a:fillRect/>
                    </a:stretch>
                  </pic:blipFill>
                  <pic:spPr bwMode="auto">
                    <a:xfrm>
                      <a:off x="0" y="0"/>
                      <a:ext cx="3732813" cy="3346377"/>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33:</w:t>
      </w:r>
      <w:r w:rsidRPr="00433E2D">
        <w:rPr>
          <w:rFonts w:ascii="Book Antiqua" w:hAnsi="Book Antiqua"/>
          <w:i/>
          <w:sz w:val="18"/>
          <w:szCs w:val="18"/>
        </w:rPr>
        <w:t xml:space="preserve"> Mare Imbrium detail. This photo is inverted from Fig. 32. The mascon is located under the surface just above the Sinus Iridum bay, which some have speculated may be the entry point of the impactor or bolide.</w:t>
      </w:r>
    </w:p>
    <w:p w:rsidR="00CA4909" w:rsidRPr="00063498" w:rsidRDefault="00CA4909" w:rsidP="00CA4909">
      <w:pPr>
        <w:pStyle w:val="NoSpacing"/>
        <w:rPr>
          <w:rFonts w:ascii="Book Antiqua" w:hAnsi="Book Antiqua"/>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These vast circular plains, which have been covered with magma from the interior of the planetary body, have been shown to have some kind of massive body, referred to as a mass concentration or ‘mascon’ underneath the structure. The position of mascons on the Moon is shown in Figure34.  (The right hand half of the image is the part of the Moon visible from the earth and the left hand side of the picture is the hidden side of the moon).  In this illustration it can be seen that the major Lunar Maria -- Imbrium, Serenetatis, Crisium, Smythii, Humboltianum, Humorum, and Nectaris -- all have positive mass concentrations. Mare Orientalae on the far side also has a small mascon associated with it. The other far-side basins have a mass deficit, with no massive body underneath.  Mercury’s mascons are in Fig. 35 with Mars in Fig. 36.</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629790" cy="2328868"/>
            <wp:effectExtent l="19050" t="0" r="0" b="0"/>
            <wp:docPr id="287" name="Picture 42" descr="LPOD-Sept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POD-Sept6-09.jpg"/>
                    <pic:cNvPicPr>
                      <a:picLocks noChangeAspect="1" noChangeArrowheads="1"/>
                    </pic:cNvPicPr>
                  </pic:nvPicPr>
                  <pic:blipFill>
                    <a:blip r:embed="rId1344" cstate="print">
                      <a:lum contrast="30000"/>
                    </a:blip>
                    <a:srcRect b="18852"/>
                    <a:stretch>
                      <a:fillRect/>
                    </a:stretch>
                  </pic:blipFill>
                  <pic:spPr bwMode="auto">
                    <a:xfrm>
                      <a:off x="0" y="0"/>
                      <a:ext cx="4639217" cy="2333610"/>
                    </a:xfrm>
                    <a:prstGeom prst="rect">
                      <a:avLst/>
                    </a:prstGeom>
                    <a:noFill/>
                    <a:ln w="9525">
                      <a:noFill/>
                      <a:miter lim="800000"/>
                      <a:headEnd/>
                      <a:tailEnd/>
                    </a:ln>
                  </pic:spPr>
                </pic:pic>
              </a:graphicData>
            </a:graphic>
          </wp:inline>
        </w:drawing>
      </w:r>
    </w:p>
    <w:p w:rsidR="00CA4909" w:rsidRPr="00302B7A" w:rsidRDefault="00CA4909" w:rsidP="00CA4909">
      <w:pPr>
        <w:jc w:val="both"/>
        <w:rPr>
          <w:rFonts w:ascii="Book Antiqua" w:hAnsi="Book Antiqua"/>
          <w:b/>
          <w:i/>
        </w:rPr>
      </w:pPr>
    </w:p>
    <w:p w:rsidR="00CA4909" w:rsidRPr="00302B7A" w:rsidRDefault="00CA4909" w:rsidP="00CA4909">
      <w:pPr>
        <w:rPr>
          <w:rFonts w:ascii="Book Antiqua" w:hAnsi="Book Antiqua"/>
          <w:i/>
          <w:sz w:val="18"/>
          <w:szCs w:val="18"/>
        </w:rPr>
      </w:pPr>
      <w:r w:rsidRPr="00302B7A">
        <w:rPr>
          <w:rFonts w:ascii="Book Antiqua" w:hAnsi="Book Antiqua"/>
          <w:b/>
          <w:i/>
          <w:sz w:val="18"/>
          <w:szCs w:val="18"/>
        </w:rPr>
        <w:t>Figure 34:</w:t>
      </w:r>
      <w:r w:rsidRPr="00302B7A">
        <w:rPr>
          <w:rFonts w:ascii="Book Antiqua" w:hAnsi="Book Antiqua"/>
          <w:i/>
          <w:sz w:val="18"/>
          <w:szCs w:val="18"/>
        </w:rPr>
        <w:t xml:space="preserve"> Lunar mass concentrations (mascons, yellow) are associated with the basins forming the </w:t>
      </w:r>
      <w:proofErr w:type="gramStart"/>
      <w:r w:rsidRPr="00302B7A">
        <w:rPr>
          <w:rFonts w:ascii="Book Antiqua" w:hAnsi="Book Antiqua"/>
          <w:i/>
          <w:sz w:val="18"/>
          <w:szCs w:val="18"/>
        </w:rPr>
        <w:t>great plains</w:t>
      </w:r>
      <w:proofErr w:type="gramEnd"/>
      <w:r w:rsidRPr="00302B7A">
        <w:rPr>
          <w:rFonts w:ascii="Book Antiqua" w:hAnsi="Book Antiqua"/>
          <w:i/>
          <w:sz w:val="18"/>
          <w:szCs w:val="18"/>
        </w:rPr>
        <w:t>, mainly on the visible side (right).</w:t>
      </w:r>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3600450" cy="3238500"/>
            <wp:effectExtent l="19050" t="0" r="0" b="0"/>
            <wp:docPr id="289" name="Picture 45" descr="http://www.davidreneke.com/wp-content/uploads/2012/04/mercury-roun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avidreneke.com/wp-content/uploads/2012/04/mercury-round-map.jpg"/>
                    <pic:cNvPicPr>
                      <a:picLocks noChangeAspect="1" noChangeArrowheads="1"/>
                    </pic:cNvPicPr>
                  </pic:nvPicPr>
                  <pic:blipFill>
                    <a:blip r:embed="rId1345" cstate="print">
                      <a:lum contrast="40000"/>
                    </a:blip>
                    <a:srcRect/>
                    <a:stretch>
                      <a:fillRect/>
                    </a:stretch>
                  </pic:blipFill>
                  <pic:spPr bwMode="auto">
                    <a:xfrm>
                      <a:off x="0" y="0"/>
                      <a:ext cx="3610601" cy="3247631"/>
                    </a:xfrm>
                    <a:prstGeom prst="rect">
                      <a:avLst/>
                    </a:prstGeom>
                    <a:noFill/>
                    <a:ln w="9525">
                      <a:noFill/>
                      <a:miter lim="800000"/>
                      <a:headEnd/>
                      <a:tailEnd/>
                    </a:ln>
                  </pic:spPr>
                </pic:pic>
              </a:graphicData>
            </a:graphic>
          </wp:inline>
        </w:drawing>
      </w:r>
    </w:p>
    <w:p w:rsidR="00CA4909" w:rsidRPr="00302B7A" w:rsidRDefault="00CA4909" w:rsidP="00CA4909">
      <w:pPr>
        <w:rPr>
          <w:rFonts w:ascii="Book Antiqua" w:hAnsi="Book Antiqua"/>
          <w:b/>
          <w:sz w:val="18"/>
          <w:szCs w:val="18"/>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35:</w:t>
      </w:r>
      <w:r w:rsidRPr="00433E2D">
        <w:rPr>
          <w:rFonts w:ascii="Book Antiqua" w:hAnsi="Book Antiqua"/>
          <w:i/>
          <w:sz w:val="18"/>
          <w:szCs w:val="18"/>
        </w:rPr>
        <w:t xml:space="preserve"> Mascons (circled) under basins on Mercury’s northern hemisphere. These basins are Caloris, Sobkou, Budh, Rodin, Tir, Mozart etc. This map comes from gravity studies by the Messenger spacecraft. The gravity anomalies emerge after the data are corrected for a regional high.</w:t>
      </w:r>
    </w:p>
    <w:p w:rsidR="00CA4909" w:rsidRPr="004E2F1C" w:rsidRDefault="00CA4909" w:rsidP="00CA4909">
      <w:pPr>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000607" cy="3495675"/>
            <wp:effectExtent l="19050" t="0" r="0" b="0"/>
            <wp:docPr id="294"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2" cstate="print"/>
                    <a:srcRect t="5249" b="4144"/>
                    <a:stretch>
                      <a:fillRect/>
                    </a:stretch>
                  </pic:blipFill>
                  <pic:spPr bwMode="auto">
                    <a:xfrm>
                      <a:off x="0" y="0"/>
                      <a:ext cx="5003687" cy="3497828"/>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302B7A" w:rsidRDefault="00CA4909" w:rsidP="00CA4909">
      <w:pPr>
        <w:rPr>
          <w:rFonts w:ascii="Book Antiqua" w:hAnsi="Book Antiqua"/>
          <w:i/>
          <w:sz w:val="18"/>
          <w:szCs w:val="18"/>
        </w:rPr>
      </w:pPr>
      <w:r w:rsidRPr="00302B7A">
        <w:rPr>
          <w:rFonts w:ascii="Book Antiqua" w:hAnsi="Book Antiqua"/>
          <w:b/>
          <w:i/>
          <w:sz w:val="18"/>
          <w:szCs w:val="18"/>
        </w:rPr>
        <w:t>Figure 36:</w:t>
      </w:r>
      <w:r w:rsidRPr="00302B7A">
        <w:rPr>
          <w:rFonts w:ascii="Book Antiqua" w:hAnsi="Book Antiqua"/>
          <w:i/>
          <w:sz w:val="18"/>
          <w:szCs w:val="18"/>
        </w:rPr>
        <w:t xml:space="preserve"> The mascons on Mars are related to the Quasi Circular Depressions (QCD). Most make up the northern hemisphere lowlands (blue) [12]. </w:t>
      </w:r>
    </w:p>
    <w:p w:rsidR="00CA4909" w:rsidRPr="00063498" w:rsidRDefault="00CA4909" w:rsidP="00CA4909">
      <w:pPr>
        <w:pStyle w:val="NoSpacing"/>
        <w:rPr>
          <w:rFonts w:ascii="Book Antiqua" w:hAnsi="Book Antiqua"/>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Mascons are impossible to form by any EDM process reproducible in the lab, but testify to the fact that a significant portion of the impacting body (probably iron-rich) remains there. This idea is reinforced by the magnetic </w:t>
      </w:r>
      <w:r w:rsidRPr="00063498">
        <w:rPr>
          <w:rFonts w:ascii="Book Antiqua" w:hAnsi="Book Antiqua"/>
          <w:sz w:val="20"/>
        </w:rPr>
        <w:lastRenderedPageBreak/>
        <w:t>anomalies associated with the mascons. In addition, a concentration of heavy basaltic magma that rose in response to the immense pressure pulse might be expected. The basin then dropped by about two miles on the tangential fault system. In the case of the Moon, this can be seen by the Appenines fault scarp left of the crater Archimedes in Figure 33. This sinking basin then displaced about 800,000 cubic miles of magma which flowed out onto the surface and formed the circular plain. Under these circumstances, it is safe to say that, generally, the large circular basins are the result of impact rather than EDM.</w:t>
      </w:r>
    </w:p>
    <w:p w:rsidR="00CA4909" w:rsidRPr="00063498" w:rsidRDefault="00CA4909" w:rsidP="00CA4909">
      <w:pPr>
        <w:pStyle w:val="NoSpacing"/>
        <w:rPr>
          <w:rFonts w:ascii="Book Antiqua" w:hAnsi="Book Antiqua"/>
          <w:sz w:val="20"/>
        </w:rPr>
      </w:pPr>
      <w:r w:rsidRPr="00063498">
        <w:rPr>
          <w:rFonts w:ascii="Book Antiqua" w:hAnsi="Book Antiqua"/>
          <w:sz w:val="20"/>
        </w:rPr>
        <w:t xml:space="preserve">  </w:t>
      </w: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These circular basins on the Moon were all formed in the Nectarian period of Lunar Geology approximately 3.92-3.85 billion atomic years ago. This corresponds to the time of the </w:t>
      </w:r>
      <w:proofErr w:type="gramStart"/>
      <w:r w:rsidRPr="00063498">
        <w:rPr>
          <w:rFonts w:ascii="Book Antiqua" w:hAnsi="Book Antiqua"/>
          <w:sz w:val="20"/>
        </w:rPr>
        <w:t>Late</w:t>
      </w:r>
      <w:proofErr w:type="gramEnd"/>
      <w:r w:rsidRPr="00063498">
        <w:rPr>
          <w:rFonts w:ascii="Book Antiqua" w:hAnsi="Book Antiqua"/>
          <w:sz w:val="20"/>
        </w:rPr>
        <w:t xml:space="preserve"> heavy Bombardment event in the inner Solar System. The following Imbrium Period, from 3.85 to 3.2 billion atomic years, corresponds with the time of the sinking of the Imbrium basin and the resultant flooding of what is now the Maria with the molten basaltic rock.  The following Eratosthenian Period, from 3.2 down to 1.1 billion atomic years ago, was the period of solidification of the Mare basalts. It includes the readjustments and secondary lave flows which occurred as the Maria settled down. The final Copernican Period, which extends from 1.1 billion atomic years down to the present, covers the period of the two-fold break-up of the asteroidal planet and then its moon. Cosmic ray exposure ages on meteorites indicate that these three break-up events, which brought about the asteroid belt as we know it today, occurred 800, 255 and 70 million atomic years ago. They sent debris to the inner Solar System and supplied the rest of the </w:t>
      </w:r>
      <w:proofErr w:type="gramStart"/>
      <w:r w:rsidRPr="00063498">
        <w:rPr>
          <w:rFonts w:ascii="Book Antiqua" w:hAnsi="Book Antiqua"/>
          <w:sz w:val="20"/>
        </w:rPr>
        <w:t>Lunar</w:t>
      </w:r>
      <w:proofErr w:type="gramEnd"/>
      <w:r w:rsidRPr="00063498">
        <w:rPr>
          <w:rFonts w:ascii="Book Antiqua" w:hAnsi="Book Antiqua"/>
          <w:sz w:val="20"/>
        </w:rPr>
        <w:t xml:space="preserve"> craters. The crater Copernicus dates from about 800 million atomic years ago, while Tycho dates from about 70 million atomic years ago. It can be shown that Mercury, Venus and Mars all have a similar cratering history. So the four break-up events -- the one in what is now the Kuiper Belt (which caused the Late Heavy Bombardment) and the three which gave rise to the asteroid belt -- are catastrophes which have affected the whole solar system.</w:t>
      </w:r>
    </w:p>
    <w:p w:rsidR="00CA4909" w:rsidRPr="00063498" w:rsidRDefault="00CA4909" w:rsidP="00CA4909">
      <w:pPr>
        <w:pStyle w:val="NoSpacing"/>
        <w:jc w:val="both"/>
        <w:rPr>
          <w:rFonts w:ascii="Book Antiqua" w:hAnsi="Book Antiqua"/>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There is a terrestrial geological significance regarding the three break-up dates of the meteorite parent bodies. In the geological column, there are 4 main Eras separated by 3 catastrophic events which ended each Era. The first Era, the Archaeozoic (sometimes called the Precambrian), which started about 4.5 billion atomic years ago, was effectively ended with what has often been termed the “Snowball Earth” catastrophe. This event occurred during the Neoproterozoic in what has come to be termed the Cryogenian Period. This period extends from 850 to 635 million atomic years ago. This closely corresponds to the 810 to 650 million atomic years we have noted in Chapter 7 given by the Cosmic Ray Exposure (CRE) age of the break-up of the parent body for the iron meteorites. The MAPCIS structure in Australia formed at this time (see Figure 37).</w:t>
      </w:r>
    </w:p>
    <w:p w:rsidR="00CA4909" w:rsidRPr="004E2F1C" w:rsidRDefault="00CA4909" w:rsidP="00CA4909">
      <w:pPr>
        <w:pStyle w:val="NoSpacing"/>
        <w:ind w:firstLine="720"/>
        <w:jc w:val="both"/>
        <w:rPr>
          <w:rStyle w:val="Strong"/>
          <w:rFonts w:ascii="Book Antiqua" w:hAnsi="Book Antiqua"/>
          <w:b w:val="0"/>
          <w:bCs w:val="0"/>
          <w:sz w:val="20"/>
        </w:rPr>
      </w:pPr>
      <w:r w:rsidRPr="004E2F1C">
        <w:rPr>
          <w:rStyle w:val="Strong"/>
          <w:rFonts w:ascii="Book Antiqua" w:hAnsi="Book Antiqua"/>
          <w:sz w:val="20"/>
        </w:rPr>
        <w:t xml:space="preserve"> </w:t>
      </w:r>
    </w:p>
    <w:p w:rsidR="00CA4909" w:rsidRPr="004E2F1C" w:rsidRDefault="00CA4909" w:rsidP="00CA4909">
      <w:pPr>
        <w:pStyle w:val="NoSpacing"/>
        <w:jc w:val="center"/>
        <w:rPr>
          <w:rStyle w:val="Strong"/>
          <w:rFonts w:ascii="Book Antiqua" w:hAnsi="Book Antiqua"/>
          <w:b w:val="0"/>
          <w:bCs w:val="0"/>
          <w:sz w:val="20"/>
        </w:rPr>
      </w:pPr>
      <w:r w:rsidRPr="004E2F1C">
        <w:rPr>
          <w:rFonts w:ascii="Book Antiqua" w:hAnsi="Book Antiqua"/>
          <w:noProof/>
          <w:sz w:val="20"/>
        </w:rPr>
        <w:drawing>
          <wp:inline distT="0" distB="0" distL="0" distR="0">
            <wp:extent cx="2570470" cy="2354884"/>
            <wp:effectExtent l="19050" t="0" r="1280" b="0"/>
            <wp:docPr id="309"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14" cstate="print"/>
                    <a:srcRect r="199" b="4027"/>
                    <a:stretch>
                      <a:fillRect/>
                    </a:stretch>
                  </pic:blipFill>
                  <pic:spPr bwMode="auto">
                    <a:xfrm>
                      <a:off x="0" y="0"/>
                      <a:ext cx="2579884" cy="2363508"/>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Style w:val="Strong"/>
          <w:rFonts w:ascii="Book Antiqua" w:hAnsi="Book Antiqua"/>
          <w:bCs w:val="0"/>
          <w:i/>
          <w:sz w:val="20"/>
        </w:rPr>
      </w:pPr>
    </w:p>
    <w:p w:rsidR="00CA4909" w:rsidRPr="00BC6DF8" w:rsidRDefault="00CA4909" w:rsidP="00BC6DF8">
      <w:pPr>
        <w:pStyle w:val="NoSpacing"/>
        <w:jc w:val="center"/>
        <w:rPr>
          <w:rStyle w:val="Strong"/>
          <w:rFonts w:ascii="Book Antiqua" w:hAnsi="Book Antiqua"/>
          <w:b w:val="0"/>
          <w:bCs w:val="0"/>
          <w:i/>
          <w:sz w:val="18"/>
          <w:szCs w:val="18"/>
        </w:rPr>
      </w:pPr>
      <w:r w:rsidRPr="00302B7A">
        <w:rPr>
          <w:rStyle w:val="Strong"/>
          <w:rFonts w:ascii="Book Antiqua" w:hAnsi="Book Antiqua"/>
          <w:i/>
          <w:sz w:val="18"/>
          <w:szCs w:val="18"/>
        </w:rPr>
        <w:t xml:space="preserve">Figure 37: </w:t>
      </w:r>
      <w:r w:rsidRPr="00BC6DF8">
        <w:rPr>
          <w:rStyle w:val="Strong"/>
          <w:rFonts w:ascii="Book Antiqua" w:hAnsi="Book Antiqua"/>
          <w:b w:val="0"/>
          <w:i/>
          <w:sz w:val="18"/>
          <w:szCs w:val="18"/>
        </w:rPr>
        <w:t>The MAPCIS structure in Australia from satellite images [9].</w:t>
      </w:r>
    </w:p>
    <w:p w:rsidR="00CA4909" w:rsidRPr="004E2F1C"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In earth geology, the Paleozoic Era followed the Archaeozoic and ended with the Permian extinction event which occurred about 251 million atomic years ago. This closely corresponds with the CRE date for the break-up of the stony-</w:t>
      </w:r>
      <w:r w:rsidRPr="00063498">
        <w:rPr>
          <w:rStyle w:val="Strong"/>
          <w:rFonts w:ascii="Book Antiqua" w:hAnsi="Book Antiqua"/>
          <w:b w:val="0"/>
          <w:sz w:val="20"/>
        </w:rPr>
        <w:lastRenderedPageBreak/>
        <w:t xml:space="preserve">iron parent body at 258 million atomic years. The Mesozoic Era, which followed the Paleozoic, ended with the Cretaceous/Tertiary extinction event at 65 million atomic years. This is closely mirrored in the data for the stony meteorites which gives a CRE break-up age of 65.8 million atomic years for the parent planet or asteroid. The Cenozoic Era which followed was punctuated by the last Ice-age. The implication is that these solar system events had their counterparts in the catastrophes which are recorded in the geological column. Whatever caused the break-up of the parent bodies for these three types of </w:t>
      </w:r>
      <w:proofErr w:type="gramStart"/>
      <w:r w:rsidRPr="00063498">
        <w:rPr>
          <w:rStyle w:val="Strong"/>
          <w:rFonts w:ascii="Book Antiqua" w:hAnsi="Book Antiqua"/>
          <w:b w:val="0"/>
          <w:sz w:val="20"/>
        </w:rPr>
        <w:t>meteorite,</w:t>
      </w:r>
      <w:proofErr w:type="gramEnd"/>
      <w:r w:rsidRPr="00063498">
        <w:rPr>
          <w:rStyle w:val="Strong"/>
          <w:rFonts w:ascii="Book Antiqua" w:hAnsi="Book Antiqua"/>
          <w:b w:val="0"/>
          <w:sz w:val="20"/>
        </w:rPr>
        <w:t xml:space="preserve"> appears to have been, either directly or indirectly, the cause of the main catastrophes recorded in the Earth’s geological column.</w:t>
      </w:r>
    </w:p>
    <w:p w:rsidR="00CA4909" w:rsidRPr="00063498" w:rsidRDefault="00CA4909" w:rsidP="00CA4909">
      <w:pPr>
        <w:pStyle w:val="NoSpacing"/>
        <w:ind w:firstLine="720"/>
        <w:jc w:val="both"/>
        <w:rPr>
          <w:rStyle w:val="Strong"/>
          <w:rFonts w:ascii="Book Antiqua" w:hAnsi="Book Antiqua"/>
          <w:b w:val="0"/>
          <w:bCs w:val="0"/>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 xml:space="preserve">Coincidently, we note that there are massive craters of the appropriate atomic age at the end of each of the geological Eras. The first of these is in the Neoproterozoic in 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(see Figure 37) [9]. </w:t>
      </w:r>
    </w:p>
    <w:p w:rsidR="00CA4909" w:rsidRPr="00063498"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 xml:space="preserve">In this case, pseudotachylite, a rare rock that is formed by intense friction, has been found in arcing deposits up to 161 km long and many kilometers wide ringing the central zone. A web of ground faults radiates from this zone. Whatever caused the structure, penetrated 45 km into the crust exposing eclogite, a form of rock only found at that </w:t>
      </w:r>
      <w:proofErr w:type="gramStart"/>
      <w:r w:rsidRPr="00063498">
        <w:rPr>
          <w:rStyle w:val="Strong"/>
          <w:rFonts w:ascii="Book Antiqua" w:hAnsi="Book Antiqua"/>
          <w:b w:val="0"/>
          <w:sz w:val="20"/>
        </w:rPr>
        <w:t>depth.</w:t>
      </w:r>
      <w:proofErr w:type="gramEnd"/>
      <w:r w:rsidRPr="00063498">
        <w:rPr>
          <w:rStyle w:val="Strong"/>
          <w:rFonts w:ascii="Book Antiqua" w:hAnsi="Book Antiqua"/>
          <w:b w:val="0"/>
          <w:sz w:val="20"/>
        </w:rPr>
        <w:t xml:space="preserve"> A rare alloy concentrated in iron meteorites is osmiridium. It is found in Neoproterozoic strata in this central zone and in a radiating pattern in the same strata across eastern Australia, Tasmania, New Zealand and New Caledonia. This suggests that the structure was caused by an impact rather than by electrical means. In addition, the mascon and associated magnetic anomaly indicates that a large body of nickel-iron remains under the crust at that point. This, too, strongly implicates an impact rather than an EDM process.  </w:t>
      </w:r>
    </w:p>
    <w:p w:rsidR="00CA4909" w:rsidRPr="00063498" w:rsidRDefault="00CA4909" w:rsidP="00CA4909">
      <w:pPr>
        <w:pStyle w:val="NoSpacing"/>
        <w:ind w:firstLine="720"/>
        <w:jc w:val="both"/>
        <w:rPr>
          <w:rStyle w:val="Strong"/>
          <w:rFonts w:ascii="Book Antiqua" w:hAnsi="Book Antiqua"/>
          <w:b w:val="0"/>
          <w:bCs w:val="0"/>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The second Catastrophe, the Permian extinction, dates at 250 million atomic years. There is a crater 380 km wide in Wilkes Land, Antarctica, as well as the Bedout crater off Australia’s northwest coast, which is 250 km in diameter.  The Antarctic structure is shown in detail in Figure 38 [10].</w:t>
      </w:r>
    </w:p>
    <w:p w:rsidR="00CA4909" w:rsidRPr="00063498" w:rsidRDefault="00CA4909" w:rsidP="00CA4909">
      <w:pPr>
        <w:pStyle w:val="NoSpacing"/>
        <w:jc w:val="both"/>
        <w:rPr>
          <w:rStyle w:val="Strong"/>
          <w:rFonts w:ascii="Book Antiqua"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96"/>
        <w:gridCol w:w="3786"/>
      </w:tblGrid>
      <w:tr w:rsidR="00CA4909" w:rsidRPr="004E2F1C" w:rsidTr="004D1BB3">
        <w:trPr>
          <w:jc w:val="center"/>
        </w:trPr>
        <w:tc>
          <w:tcPr>
            <w:tcW w:w="262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0" distR="0" simplePos="0" relativeHeight="251671552" behindDoc="0" locked="0" layoutInCell="1" allowOverlap="0">
                  <wp:simplePos x="0" y="0"/>
                  <wp:positionH relativeFrom="column">
                    <wp:posOffset>-34290</wp:posOffset>
                  </wp:positionH>
                  <wp:positionV relativeFrom="line">
                    <wp:posOffset>635</wp:posOffset>
                  </wp:positionV>
                  <wp:extent cx="2754630" cy="2375535"/>
                  <wp:effectExtent l="19050" t="0" r="7620" b="0"/>
                  <wp:wrapSquare wrapText="bothSides"/>
                  <wp:docPr id="310"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15" cstate="print"/>
                          <a:srcRect l="16983" t="3311"/>
                          <a:stretch>
                            <a:fillRect/>
                          </a:stretch>
                        </pic:blipFill>
                        <pic:spPr bwMode="auto">
                          <a:xfrm>
                            <a:off x="0" y="0"/>
                            <a:ext cx="2754630" cy="2375535"/>
                          </a:xfrm>
                          <a:prstGeom prst="rect">
                            <a:avLst/>
                          </a:prstGeom>
                          <a:noFill/>
                          <a:ln w="9525">
                            <a:noFill/>
                            <a:miter lim="800000"/>
                            <a:headEnd/>
                            <a:tailEnd/>
                          </a:ln>
                        </pic:spPr>
                      </pic:pic>
                    </a:graphicData>
                  </a:graphic>
                </wp:anchor>
              </w:drawing>
            </w:r>
          </w:p>
        </w:tc>
        <w:tc>
          <w:tcPr>
            <w:tcW w:w="2628" w:type="dxa"/>
          </w:tcPr>
          <w:p w:rsidR="00CA4909" w:rsidRPr="004E2F1C" w:rsidRDefault="00CA4909" w:rsidP="00DA58EE">
            <w:pPr>
              <w:pStyle w:val="NoSpacing"/>
              <w:jc w:val="both"/>
              <w:rPr>
                <w:rFonts w:ascii="Book Antiqua" w:hAnsi="Book Antiqua"/>
                <w:noProof/>
                <w:sz w:val="20"/>
              </w:rPr>
            </w:pPr>
          </w:p>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inline distT="0" distB="0" distL="0" distR="0">
                  <wp:extent cx="2240056" cy="2222599"/>
                  <wp:effectExtent l="19050" t="0" r="7844" b="0"/>
                  <wp:docPr id="311"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16" cstate="print"/>
                          <a:srcRect l="42735" t="55009"/>
                          <a:stretch>
                            <a:fillRect/>
                          </a:stretch>
                        </pic:blipFill>
                        <pic:spPr bwMode="auto">
                          <a:xfrm>
                            <a:off x="0" y="0"/>
                            <a:ext cx="2244050" cy="2226562"/>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Style w:val="Strong"/>
          <w:rFonts w:ascii="Book Antiqua" w:hAnsi="Book Antiqua"/>
          <w:b w:val="0"/>
          <w:bCs w:val="0"/>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38:</w:t>
      </w:r>
      <w:r w:rsidRPr="00302B7A">
        <w:rPr>
          <w:rFonts w:ascii="Book Antiqua" w:hAnsi="Book Antiqua"/>
          <w:i/>
          <w:sz w:val="18"/>
          <w:szCs w:val="18"/>
        </w:rPr>
        <w:t xml:space="preserve"> On left, a combined image of gravity fluctuations and airborne radar in the Wilkes Land region of East </w:t>
      </w:r>
      <w:r w:rsidRPr="003E2C34">
        <w:rPr>
          <w:rFonts w:ascii="Book Antiqua" w:hAnsi="Book Antiqua"/>
          <w:i/>
          <w:sz w:val="18"/>
          <w:szCs w:val="18"/>
        </w:rPr>
        <w:t>Antarctica [10].</w:t>
      </w:r>
      <w:r w:rsidRPr="00302B7A">
        <w:rPr>
          <w:rFonts w:ascii="Book Antiqua" w:hAnsi="Book Antiqua"/>
          <w:i/>
          <w:sz w:val="18"/>
          <w:szCs w:val="18"/>
        </w:rPr>
        <w:t xml:space="preserve"> On the right the mascon associated with the structure is outlined in white.</w:t>
      </w:r>
    </w:p>
    <w:p w:rsidR="00CA4909" w:rsidRPr="004E2F1C" w:rsidRDefault="00CA4909" w:rsidP="00CA4909">
      <w:pPr>
        <w:pStyle w:val="NoSpacing"/>
        <w:jc w:val="both"/>
        <w:rPr>
          <w:rFonts w:ascii="Book Antiqua" w:hAnsi="Book Antiqua"/>
          <w:i/>
          <w:sz w:val="20"/>
        </w:rPr>
      </w:pPr>
    </w:p>
    <w:p w:rsidR="00CA4909" w:rsidRPr="004E2F1C" w:rsidRDefault="00CA4909" w:rsidP="00CA4909">
      <w:pPr>
        <w:pStyle w:val="NoSpacing"/>
        <w:jc w:val="both"/>
        <w:rPr>
          <w:rFonts w:ascii="Book Antiqua" w:hAnsi="Book Antiqua"/>
          <w:sz w:val="20"/>
        </w:rPr>
      </w:pPr>
      <w:r w:rsidRPr="004E2F1C">
        <w:rPr>
          <w:rFonts w:ascii="Book Antiqua" w:hAnsi="Book Antiqua"/>
          <w:sz w:val="20"/>
        </w:rPr>
        <w:t>In that figure,</w:t>
      </w:r>
      <w:r w:rsidRPr="004E2F1C">
        <w:rPr>
          <w:rFonts w:ascii="Book Antiqua" w:hAnsi="Book Antiqua"/>
          <w:i/>
          <w:sz w:val="20"/>
        </w:rPr>
        <w:t xml:space="preserve"> t</w:t>
      </w:r>
      <w:r w:rsidRPr="004E2F1C">
        <w:rPr>
          <w:rFonts w:ascii="Book Antiqua" w:hAnsi="Book Antiqua"/>
          <w:sz w:val="20"/>
        </w:rPr>
        <w:t>he edges of the crater are colored red and blue; a concentration of mantle material is colored orange (center). On right, an outline of East Antarctica with the mascon circled. This two-ringed crater with a mascon again suggests that impact rather than electrical means formed it.</w:t>
      </w:r>
    </w:p>
    <w:p w:rsidR="00CA4909" w:rsidRPr="004E2F1C" w:rsidRDefault="00CA4909" w:rsidP="00CA4909">
      <w:pPr>
        <w:pStyle w:val="NoSpacing"/>
        <w:jc w:val="both"/>
        <w:rPr>
          <w:rFonts w:ascii="Book Antiqua" w:hAnsi="Book Antiqua"/>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lastRenderedPageBreak/>
        <w:t>A similar event is linked to the Cretaceous Tertiary extinction episode, 65 million atomic years ago. The Chicxulub crater in the Yucatan dates from that time and is accompanied by a handful of other craters of approximately the same age around the world. The Yucatan crater was initially assessed as being 180 km wide. However, more recent work suggests that this is only the inner ring of a complex crater which is over 300 km wide. Images of the structure and the gravity anomaly are shown in Figure 39 [11].</w:t>
      </w:r>
      <w:r w:rsidRPr="00063498">
        <w:rPr>
          <w:rStyle w:val="Strong"/>
          <w:rFonts w:ascii="Book Antiqua" w:hAnsi="Book Antiqua"/>
          <w:b w:val="0"/>
          <w:color w:val="FF0000"/>
          <w:sz w:val="20"/>
        </w:rPr>
        <w:t xml:space="preserve"> </w:t>
      </w:r>
      <w:r w:rsidRPr="00063498">
        <w:rPr>
          <w:rStyle w:val="Strong"/>
          <w:rFonts w:ascii="Book Antiqua" w:hAnsi="Book Antiqua"/>
          <w:b w:val="0"/>
          <w:sz w:val="20"/>
        </w:rPr>
        <w:t xml:space="preserve">The swarm of white sinkholes on the right of the structure formed on the surface long after the limestone covering the crater was deposited. That means these sinkholes are not directly associated with the cratering process. </w:t>
      </w:r>
    </w:p>
    <w:p w:rsidR="00CA4909" w:rsidRPr="004E2F1C" w:rsidRDefault="00CA4909" w:rsidP="00CA4909">
      <w:pPr>
        <w:pStyle w:val="NoSpacing"/>
        <w:ind w:firstLine="720"/>
        <w:jc w:val="both"/>
        <w:rPr>
          <w:rStyle w:val="Strong"/>
          <w:rFonts w:ascii="Book Antiqua" w:hAnsi="Book Antiqua"/>
          <w:b w:val="0"/>
          <w:bCs w:val="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88"/>
        <w:gridCol w:w="5226"/>
      </w:tblGrid>
      <w:tr w:rsidR="00CA4909" w:rsidRPr="004E2F1C" w:rsidTr="00DA58EE">
        <w:tc>
          <w:tcPr>
            <w:tcW w:w="276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95250" distR="95250" simplePos="0" relativeHeight="251672576" behindDoc="0" locked="0" layoutInCell="1" allowOverlap="0">
                  <wp:simplePos x="0" y="0"/>
                  <wp:positionH relativeFrom="column">
                    <wp:align>left</wp:align>
                  </wp:positionH>
                  <wp:positionV relativeFrom="line">
                    <wp:posOffset>109220</wp:posOffset>
                  </wp:positionV>
                  <wp:extent cx="3392170" cy="2771775"/>
                  <wp:effectExtent l="19050" t="0" r="0" b="0"/>
                  <wp:wrapSquare wrapText="bothSides"/>
                  <wp:docPr id="315"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17" cstate="print"/>
                          <a:srcRect l="7655" t="10701" b="26015"/>
                          <a:stretch>
                            <a:fillRect/>
                          </a:stretch>
                        </pic:blipFill>
                        <pic:spPr bwMode="auto">
                          <a:xfrm>
                            <a:off x="0" y="0"/>
                            <a:ext cx="3392170" cy="2771775"/>
                          </a:xfrm>
                          <a:prstGeom prst="rect">
                            <a:avLst/>
                          </a:prstGeom>
                          <a:noFill/>
                          <a:ln w="9525">
                            <a:noFill/>
                            <a:miter lim="800000"/>
                            <a:headEnd/>
                            <a:tailEnd/>
                          </a:ln>
                        </pic:spPr>
                      </pic:pic>
                    </a:graphicData>
                  </a:graphic>
                </wp:anchor>
              </w:drawing>
            </w:r>
          </w:p>
        </w:tc>
        <w:tc>
          <w:tcPr>
            <w:tcW w:w="256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95250" distR="95250" simplePos="0" relativeHeight="251673600" behindDoc="0" locked="0" layoutInCell="1" allowOverlap="0">
                  <wp:simplePos x="0" y="0"/>
                  <wp:positionH relativeFrom="column">
                    <wp:align>left</wp:align>
                  </wp:positionH>
                  <wp:positionV relativeFrom="line">
                    <wp:posOffset>137795</wp:posOffset>
                  </wp:positionV>
                  <wp:extent cx="3154680" cy="2743200"/>
                  <wp:effectExtent l="19050" t="0" r="7620" b="0"/>
                  <wp:wrapSquare wrapText="bothSides"/>
                  <wp:docPr id="316"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18" cstate="print"/>
                          <a:srcRect/>
                          <a:stretch>
                            <a:fillRect/>
                          </a:stretch>
                        </pic:blipFill>
                        <pic:spPr bwMode="auto">
                          <a:xfrm>
                            <a:off x="0" y="0"/>
                            <a:ext cx="3154680" cy="2743200"/>
                          </a:xfrm>
                          <a:prstGeom prst="rect">
                            <a:avLst/>
                          </a:prstGeom>
                          <a:noFill/>
                          <a:ln w="9525">
                            <a:noFill/>
                            <a:miter lim="800000"/>
                            <a:headEnd/>
                            <a:tailEnd/>
                          </a:ln>
                        </pic:spPr>
                      </pic:pic>
                    </a:graphicData>
                  </a:graphic>
                </wp:anchor>
              </w:drawing>
            </w:r>
          </w:p>
        </w:tc>
      </w:tr>
    </w:tbl>
    <w:p w:rsidR="00CA4909" w:rsidRPr="004E2F1C" w:rsidRDefault="00CA4909" w:rsidP="00CA4909">
      <w:pPr>
        <w:pStyle w:val="NoSpacing"/>
        <w:jc w:val="both"/>
        <w:rPr>
          <w:rStyle w:val="Strong"/>
          <w:rFonts w:ascii="Book Antiqua" w:hAnsi="Book Antiqua"/>
          <w:b w:val="0"/>
          <w:bCs w:val="0"/>
          <w:i/>
          <w:sz w:val="20"/>
        </w:rPr>
      </w:pPr>
    </w:p>
    <w:p w:rsidR="00CA4909" w:rsidRPr="00DA58EE" w:rsidRDefault="00CA4909" w:rsidP="00DA58EE">
      <w:pPr>
        <w:pStyle w:val="NoSpacing"/>
        <w:rPr>
          <w:rStyle w:val="Strong"/>
          <w:rFonts w:ascii="Book Antiqua" w:hAnsi="Book Antiqua"/>
          <w:b w:val="0"/>
          <w:bCs w:val="0"/>
          <w:i/>
          <w:sz w:val="18"/>
          <w:szCs w:val="18"/>
        </w:rPr>
      </w:pPr>
      <w:r w:rsidRPr="00DA58EE">
        <w:rPr>
          <w:rStyle w:val="Strong"/>
          <w:rFonts w:ascii="Book Antiqua" w:hAnsi="Book Antiqua"/>
          <w:b w:val="0"/>
          <w:bCs w:val="0"/>
          <w:i/>
          <w:sz w:val="18"/>
          <w:szCs w:val="18"/>
        </w:rPr>
        <w:t>Figure 39: Left - Chicxulub structure showing 2 inner rings; Yucatan coast in white. Right - vertical plot of gravity anomaly shows outer rim bottom right in red. Complete structure shows a central peak with three main rings [11]. An Iridium anomaly is strongly present suggesting impact.</w:t>
      </w:r>
    </w:p>
    <w:p w:rsidR="00CA4909"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Thus in all 3 cases of catastrophes ending geological Eras on earth, we see associated massive craters. In all 3 cases, the break-up times of planetary bodies in our solar system preceded these geological catastrophes by a very short amount of astronomical time.</w:t>
      </w:r>
    </w:p>
    <w:p w:rsidR="00CA4909" w:rsidRPr="00063498" w:rsidRDefault="00CA4909" w:rsidP="00CA4909">
      <w:pPr>
        <w:pStyle w:val="NoSpacing"/>
        <w:jc w:val="both"/>
        <w:rPr>
          <w:rStyle w:val="Strong"/>
          <w:rFonts w:ascii="Book Antiqua" w:hAnsi="Book Antiqua"/>
          <w:b w:val="0"/>
          <w:bCs w:val="0"/>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Could impact craters and EDM craters have occurred at the same time?  Yes, certainly. That should be expected.  The outer part of our solar system is at a greater negative potential than the inner part.  This is evidenced by the fact that the positive particles of the solar wind gain in speed as they approach to outer reaches of our solar system.  The breaking up of objects further out than the four inner planets would therefore carry a more negative charge than those planets.  This would have triggered massive electrical disturbances as the impacting objects approached other planets and moons closer to the sun. </w:t>
      </w:r>
    </w:p>
    <w:p w:rsidR="00CA4909" w:rsidRPr="00063498" w:rsidRDefault="00CA4909" w:rsidP="00CA4909">
      <w:pPr>
        <w:pStyle w:val="NoSpacing"/>
        <w:jc w:val="both"/>
        <w:rPr>
          <w:rFonts w:ascii="Book Antiqua" w:hAnsi="Book Antiqua"/>
          <w:sz w:val="20"/>
        </w:rPr>
      </w:pPr>
    </w:p>
    <w:p w:rsidR="00CA4909" w:rsidRPr="00063498" w:rsidRDefault="00CA4909" w:rsidP="00CA4909">
      <w:pPr>
        <w:pStyle w:val="NoSpacing"/>
        <w:jc w:val="both"/>
        <w:rPr>
          <w:rFonts w:ascii="Book Antiqua" w:hAnsi="Book Antiqua"/>
          <w:sz w:val="20"/>
        </w:rPr>
      </w:pPr>
      <w:r w:rsidRPr="00063498">
        <w:rPr>
          <w:rFonts w:ascii="Book Antiqua" w:hAnsi="Book Antiqua"/>
          <w:sz w:val="20"/>
        </w:rPr>
        <w:t xml:space="preserve"> </w:t>
      </w:r>
      <w:r>
        <w:rPr>
          <w:rFonts w:ascii="Book Antiqua" w:hAnsi="Book Antiqua"/>
          <w:sz w:val="20"/>
        </w:rPr>
        <w:tab/>
      </w:r>
      <w:r w:rsidRPr="00063498">
        <w:rPr>
          <w:rFonts w:ascii="Book Antiqua" w:hAnsi="Book Antiqua"/>
          <w:sz w:val="20"/>
        </w:rPr>
        <w:t>The evidence therefore suggests that the key times for electromagnetic effects would also be the times when showers of debris occurred from both the Late Heavy Bombardment and the three break-ups that gave us the asteroid belt.</w:t>
      </w:r>
    </w:p>
    <w:p w:rsidR="00CA4909" w:rsidRPr="00063498" w:rsidRDefault="00CA4909" w:rsidP="00CA4909">
      <w:pPr>
        <w:pStyle w:val="NoSpacing"/>
        <w:jc w:val="both"/>
        <w:rPr>
          <w:rFonts w:ascii="Book Antiqua" w:hAnsi="Book Antiqua"/>
          <w:sz w:val="20"/>
        </w:rPr>
      </w:pPr>
    </w:p>
    <w:p w:rsidR="00CA4909" w:rsidRPr="00910192" w:rsidRDefault="00CA4909" w:rsidP="00CA4909">
      <w:pPr>
        <w:ind w:firstLine="720"/>
        <w:jc w:val="both"/>
        <w:rPr>
          <w:rFonts w:ascii="Book Antiqua" w:hAnsi="Book Antiqua"/>
          <w:i/>
        </w:rPr>
      </w:pPr>
      <w:r w:rsidRPr="00910192">
        <w:rPr>
          <w:rFonts w:ascii="Book Antiqua" w:hAnsi="Book Antiqua"/>
          <w:i/>
        </w:rPr>
        <w:t>E</w:t>
      </w:r>
      <w:r>
        <w:rPr>
          <w:rFonts w:ascii="Book Antiqua" w:hAnsi="Book Antiqua"/>
          <w:i/>
        </w:rPr>
        <w:t>7</w:t>
      </w:r>
      <w:r w:rsidRPr="00910192">
        <w:rPr>
          <w:rFonts w:ascii="Book Antiqua" w:hAnsi="Book Antiqua"/>
          <w:i/>
        </w:rPr>
        <w:t>.   Features of Craters and Their Origins</w:t>
      </w:r>
    </w:p>
    <w:p w:rsidR="004D1BB3" w:rsidRDefault="004D1BB3" w:rsidP="00CA4909">
      <w:pPr>
        <w:ind w:firstLine="720"/>
        <w:jc w:val="both"/>
        <w:rPr>
          <w:rFonts w:ascii="Book Antiqua" w:hAnsi="Book Antiqua"/>
        </w:rPr>
      </w:pPr>
    </w:p>
    <w:p w:rsidR="00CA4909" w:rsidRDefault="00CA4909" w:rsidP="00CA4909">
      <w:pPr>
        <w:ind w:firstLine="720"/>
        <w:jc w:val="both"/>
        <w:rPr>
          <w:rFonts w:ascii="Book Antiqua" w:hAnsi="Book Antiqua"/>
        </w:rPr>
      </w:pPr>
      <w:r w:rsidRPr="004E2F1C">
        <w:rPr>
          <w:rFonts w:ascii="Book Antiqua" w:hAnsi="Book Antiqua"/>
        </w:rPr>
        <w:t>By way of summary, the differences and similarities from the two methods of crater formation appear in Table 1</w:t>
      </w:r>
    </w:p>
    <w:p w:rsidR="00CA4909" w:rsidRDefault="00CA4909" w:rsidP="00CA4909">
      <w:pPr>
        <w:ind w:firstLine="720"/>
        <w:jc w:val="both"/>
        <w:rPr>
          <w:rFonts w:ascii="Book Antiqua" w:hAnsi="Book Antiqua"/>
        </w:rPr>
      </w:pPr>
    </w:p>
    <w:p w:rsidR="00DD5905" w:rsidRDefault="00DD5905" w:rsidP="004D1BB3">
      <w:pPr>
        <w:jc w:val="center"/>
        <w:rPr>
          <w:rFonts w:ascii="Book Antiqua" w:hAnsi="Book Antiqua"/>
          <w:b/>
          <w:sz w:val="18"/>
          <w:szCs w:val="18"/>
        </w:rPr>
      </w:pPr>
    </w:p>
    <w:p w:rsidR="00CA4909" w:rsidRPr="001A1CD6" w:rsidRDefault="00CA4909" w:rsidP="004D1BB3">
      <w:pPr>
        <w:jc w:val="center"/>
        <w:rPr>
          <w:rFonts w:ascii="Book Antiqua" w:hAnsi="Book Antiqua"/>
          <w:b/>
          <w:i/>
          <w:sz w:val="18"/>
          <w:szCs w:val="18"/>
        </w:rPr>
      </w:pPr>
      <w:r w:rsidRPr="001A1CD6">
        <w:rPr>
          <w:rFonts w:ascii="Book Antiqua" w:hAnsi="Book Antiqua"/>
          <w:b/>
          <w:sz w:val="18"/>
          <w:szCs w:val="18"/>
        </w:rPr>
        <w:lastRenderedPageBreak/>
        <w:t>Table 1:</w:t>
      </w:r>
      <w:r w:rsidRPr="001A1CD6">
        <w:rPr>
          <w:rFonts w:ascii="Book Antiqua" w:hAnsi="Book Antiqua"/>
          <w:b/>
          <w:i/>
          <w:sz w:val="18"/>
          <w:szCs w:val="18"/>
        </w:rPr>
        <w:t xml:space="preserve"> Features of Craters and Their Origins</w:t>
      </w:r>
    </w:p>
    <w:p w:rsidR="00CA4909" w:rsidRPr="004E2F1C" w:rsidRDefault="00CA4909" w:rsidP="00CA4909">
      <w:pPr>
        <w:jc w:val="center"/>
        <w:rPr>
          <w:rFonts w:ascii="Book Antiqua" w:hAnsi="Book Antiqua"/>
          <w:b/>
        </w:rPr>
      </w:pPr>
    </w:p>
    <w:tbl>
      <w:tblPr>
        <w:tblStyle w:val="TableGrid"/>
        <w:tblW w:w="0" w:type="auto"/>
        <w:jc w:val="center"/>
        <w:tblLook w:val="04A0"/>
      </w:tblPr>
      <w:tblGrid>
        <w:gridCol w:w="544"/>
        <w:gridCol w:w="4135"/>
        <w:gridCol w:w="705"/>
        <w:gridCol w:w="850"/>
      </w:tblGrid>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Feature</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 xml:space="preserve">EDM </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Impact</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Simple crater</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Complex crater</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Circular and polygonal craters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 often present</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51"/>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 dependent on crater size</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Central peak ring or multi-ringed crater </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peaks on very small craters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Flat floors for craters of all sizes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9</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Vertical walls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10</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Terraces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Ringwall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No rim or ringwall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Scalloping of crater rim</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Multiple craters from one event</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Splash craters of various sizes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Discolored ground from EDM processes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6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Crater chains as part of crater formation</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42"/>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Crater chains forming rilles or fissures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17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19</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Radial groove system fr. various objects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87"/>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 xml:space="preserve">20 </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Radial ridge system usually forms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Ray system usually forms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197"/>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Multiple ejecta blankets instead of rays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Horizontal rim layers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Overturned rim layers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 xml:space="preserve"> yes</w:t>
            </w:r>
          </w:p>
        </w:tc>
      </w:tr>
      <w:tr w:rsidR="00CA4909" w:rsidRPr="001A1CD6" w:rsidTr="00004681">
        <w:trPr>
          <w:trHeight w:val="242"/>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Nickel-iron bodies in the crater 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Associated iridium/osmiridium anomaly </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Associated shocked quartz </w:t>
            </w:r>
          </w:p>
        </w:tc>
        <w:tc>
          <w:tcPr>
            <w:tcW w:w="408" w:type="dxa"/>
          </w:tcPr>
          <w:p w:rsidR="00CA4909" w:rsidRPr="001A1CD6" w:rsidRDefault="00CA4909" w:rsidP="00DA58EE">
            <w:pPr>
              <w:jc w:val="both"/>
              <w:rPr>
                <w:rFonts w:ascii="Book Antiqua" w:hAnsi="Book Antiqua"/>
                <w:b/>
              </w:rPr>
            </w:pPr>
            <w:proofErr w:type="gramStart"/>
            <w:r w:rsidRPr="001A1CD6">
              <w:rPr>
                <w:rFonts w:ascii="Book Antiqua" w:hAnsi="Book Antiqua"/>
                <w:b/>
              </w:rPr>
              <w:t>yes</w:t>
            </w:r>
            <w:proofErr w:type="gramEnd"/>
            <w:r w:rsidRPr="001A1CD6">
              <w:rPr>
                <w:rFonts w:ascii="Book Antiqua" w:hAnsi="Book Antiqua"/>
                <w:b/>
              </w:rPr>
              <w:t>?</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484"/>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Mascons associated with basins.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bl>
    <w:p w:rsidR="00CA4909" w:rsidRPr="004E2F1C" w:rsidRDefault="00CA4909" w:rsidP="00CA4909">
      <w:pPr>
        <w:ind w:firstLine="720"/>
        <w:jc w:val="both"/>
        <w:rPr>
          <w:rFonts w:ascii="Book Antiqua" w:hAnsi="Book Antiqua"/>
          <w:sz w:val="18"/>
          <w:szCs w:val="18"/>
        </w:rPr>
      </w:pPr>
    </w:p>
    <w:p w:rsidR="0075277A" w:rsidRDefault="0075277A" w:rsidP="00CA4909">
      <w:pPr>
        <w:ind w:firstLine="720"/>
        <w:jc w:val="both"/>
        <w:rPr>
          <w:rFonts w:ascii="Book Antiqua" w:hAnsi="Book Antiqua"/>
        </w:rPr>
      </w:pPr>
    </w:p>
    <w:p w:rsidR="00CA4909" w:rsidRPr="004E2F1C" w:rsidRDefault="00CA4909" w:rsidP="00CA4909">
      <w:pPr>
        <w:ind w:firstLine="720"/>
        <w:jc w:val="both"/>
        <w:rPr>
          <w:rFonts w:ascii="Book Antiqua" w:hAnsi="Book Antiqua"/>
        </w:rPr>
      </w:pPr>
      <w:r>
        <w:rPr>
          <w:rFonts w:ascii="Book Antiqua" w:hAnsi="Book Antiqua"/>
        </w:rPr>
        <w:t>If</w:t>
      </w:r>
      <w:r w:rsidRPr="004E2F1C">
        <w:rPr>
          <w:rFonts w:ascii="Book Antiqua" w:hAnsi="Book Antiqua"/>
        </w:rPr>
        <w:t xml:space="preserve"> a crater has any or all of these following characteristics, it was formed by impact: </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overturned rim layers</w:t>
      </w:r>
      <w:r w:rsidR="000C3ED7">
        <w:rPr>
          <w:rFonts w:ascii="Book Antiqua" w:hAnsi="Book Antiqua"/>
          <w:sz w:val="20"/>
        </w:rPr>
        <w:t xml:space="preserve"> or inverted strata layers on the rim</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a ray system, and/or radiating ridges</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nickel-iron bodies embedded under the rim</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an associated iridium/osmiridium anomaly</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proofErr w:type="gramStart"/>
      <w:r w:rsidRPr="004E2F1C">
        <w:rPr>
          <w:rFonts w:ascii="Book Antiqua" w:hAnsi="Book Antiqua"/>
          <w:sz w:val="20"/>
        </w:rPr>
        <w:t>a</w:t>
      </w:r>
      <w:proofErr w:type="gramEnd"/>
      <w:r w:rsidRPr="004E2F1C">
        <w:rPr>
          <w:rFonts w:ascii="Book Antiqua" w:hAnsi="Book Antiqua"/>
          <w:sz w:val="20"/>
        </w:rPr>
        <w:t xml:space="preserve"> mascon associated with it.</w:t>
      </w:r>
    </w:p>
    <w:p w:rsidR="00CA4909" w:rsidRPr="004E2F1C" w:rsidRDefault="00CA4909" w:rsidP="00CA4909">
      <w:pPr>
        <w:ind w:firstLine="720"/>
        <w:jc w:val="both"/>
        <w:rPr>
          <w:rFonts w:ascii="Book Antiqua" w:hAnsi="Book Antiqua"/>
        </w:rPr>
      </w:pPr>
      <w:r w:rsidRPr="004E2F1C">
        <w:rPr>
          <w:rFonts w:ascii="Book Antiqua" w:hAnsi="Book Antiqua"/>
        </w:rPr>
        <w:t xml:space="preserve">If </w:t>
      </w:r>
      <w:r>
        <w:rPr>
          <w:rFonts w:ascii="Book Antiqua" w:hAnsi="Book Antiqua"/>
        </w:rPr>
        <w:t>a crater</w:t>
      </w:r>
      <w:r w:rsidRPr="004E2F1C">
        <w:rPr>
          <w:rFonts w:ascii="Book Antiqua" w:hAnsi="Book Antiqua"/>
        </w:rPr>
        <w:t xml:space="preserve"> has any or all of the following characteristics, it was formed by Electric Discharge Machining:  </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horizontal rim strata</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a</w:t>
      </w:r>
      <w:r w:rsidR="00C9390B">
        <w:rPr>
          <w:rFonts w:ascii="Book Antiqua" w:hAnsi="Book Antiqua"/>
          <w:sz w:val="20"/>
        </w:rPr>
        <w:t>n</w:t>
      </w:r>
      <w:r w:rsidRPr="004E2F1C">
        <w:rPr>
          <w:rFonts w:ascii="Book Antiqua" w:hAnsi="Book Antiqua"/>
          <w:sz w:val="20"/>
        </w:rPr>
        <w:t xml:space="preserve"> ejecta blanket system</w:t>
      </w:r>
      <w:r w:rsidR="00C9390B">
        <w:rPr>
          <w:rFonts w:ascii="Book Antiqua" w:hAnsi="Book Antiqua"/>
          <w:sz w:val="20"/>
        </w:rPr>
        <w:t xml:space="preserve"> of multiple layers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a system of radiating grooves (not ridges)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 xml:space="preserve">central peak outside the accepted crater size range (either smaller or larger than expected) </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Small craters with completely flat floors and vertical walls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Scalloping of crater walls.</w:t>
      </w:r>
    </w:p>
    <w:p w:rsidR="00CA4909" w:rsidRPr="00910192" w:rsidRDefault="00CA4909" w:rsidP="00CA4909">
      <w:pPr>
        <w:pStyle w:val="NoSpacing"/>
        <w:rPr>
          <w:rFonts w:ascii="Book Antiqua" w:hAnsi="Book Antiqua"/>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These properties should allow the crater origin to be determined. Obviously, on any one astronomical body, craters of both origins can exist. The data </w:t>
      </w:r>
      <w:r>
        <w:rPr>
          <w:rFonts w:ascii="Book Antiqua" w:hAnsi="Book Antiqua"/>
          <w:sz w:val="20"/>
        </w:rPr>
        <w:t>can indicate</w:t>
      </w:r>
      <w:r w:rsidRPr="00910192">
        <w:rPr>
          <w:rFonts w:ascii="Book Antiqua" w:hAnsi="Book Antiqua"/>
          <w:sz w:val="20"/>
        </w:rPr>
        <w:t xml:space="preserve"> that they were formed about the same time, and not as separate events. As Chapter 9 points out, the Cosmic Ray Exposure ages of meteorites points to the two-fold break-up of the original asteroid planet and then its moon giving three events that formed the asteroid belt as we have it now. In addition, there was the earlier break-up of the original Kuiper Belt body that sent debris into the Solar System causing the Late Heavy Bombardment. This makes a total of four occasions when impactors and their concurrent electrical discharges have formed craters and affected the geology of planets and moons.</w:t>
      </w:r>
    </w:p>
    <w:p w:rsidR="00CA4909" w:rsidRPr="00910192" w:rsidRDefault="00CA4909" w:rsidP="00CA4909">
      <w:pPr>
        <w:pStyle w:val="NoSpacing"/>
        <w:rPr>
          <w:rFonts w:ascii="Book Antiqua" w:hAnsi="Book Antiqua"/>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This also includes the Earth, as these break-up times are </w:t>
      </w:r>
      <w:r>
        <w:rPr>
          <w:rFonts w:ascii="Book Antiqua" w:hAnsi="Book Antiqua"/>
          <w:sz w:val="20"/>
        </w:rPr>
        <w:t xml:space="preserve">close, </w:t>
      </w:r>
      <w:r w:rsidRPr="00910192">
        <w:rPr>
          <w:rFonts w:ascii="Book Antiqua" w:hAnsi="Book Antiqua"/>
          <w:sz w:val="20"/>
        </w:rPr>
        <w:t>astronomically</w:t>
      </w:r>
      <w:r>
        <w:rPr>
          <w:rFonts w:ascii="Book Antiqua" w:hAnsi="Book Antiqua"/>
          <w:sz w:val="20"/>
        </w:rPr>
        <w:t>,</w:t>
      </w:r>
      <w:r w:rsidRPr="00910192">
        <w:rPr>
          <w:rFonts w:ascii="Book Antiqua" w:hAnsi="Book Antiqua"/>
          <w:sz w:val="20"/>
        </w:rPr>
        <w:t xml:space="preserve"> to the time of the formation of the cratons around 3.5 billion atomic years ago, the ‘Snowball Earth’ catastrophe about 750 million atomic years ago, the Permian Extinction some 250 million atomic years ago, and the Cretaceous-Tertiary extinction about 65 million atomic years ago. These years, measured by atomic processes and the atomic clock, can be corrected to actual years measured by our orbital clock on the basis of the known behavior of the Zero Point Energy as outlined in Chapters 4, 5, 8 and 9. It would therefore be at these times when the electrical effects would also be prominent throughout the Solar System because of high potential differences between the incoming impactors and the planet and/or moon being impacted. This is </w:t>
      </w:r>
      <w:r>
        <w:rPr>
          <w:rFonts w:ascii="Book Antiqua" w:hAnsi="Book Antiqua"/>
          <w:sz w:val="20"/>
        </w:rPr>
        <w:t>in addition to</w:t>
      </w:r>
      <w:r w:rsidRPr="00910192">
        <w:rPr>
          <w:rFonts w:ascii="Book Antiqua" w:hAnsi="Book Antiqua"/>
          <w:sz w:val="20"/>
        </w:rPr>
        <w:t xml:space="preserve"> the action of the impactors forming craters by the usual mechanical means.</w:t>
      </w:r>
    </w:p>
    <w:p w:rsidR="00CA4909" w:rsidRPr="004E2F1C" w:rsidRDefault="00CA4909" w:rsidP="00CA4909">
      <w:pPr>
        <w:ind w:firstLine="720"/>
        <w:jc w:val="both"/>
        <w:rPr>
          <w:rFonts w:ascii="Book Antiqua" w:hAnsi="Book Antiqua"/>
          <w:sz w:val="18"/>
          <w:szCs w:val="18"/>
        </w:rPr>
      </w:pPr>
      <w:r w:rsidRPr="004E2F1C">
        <w:rPr>
          <w:rFonts w:ascii="Book Antiqua" w:hAnsi="Book Antiqua"/>
          <w:sz w:val="18"/>
          <w:szCs w:val="18"/>
        </w:rPr>
        <w:t xml:space="preserve"> </w:t>
      </w:r>
    </w:p>
    <w:p w:rsidR="00CA4909" w:rsidRPr="004E2F1C" w:rsidRDefault="00CA4909" w:rsidP="00CA4909">
      <w:pPr>
        <w:rPr>
          <w:rFonts w:ascii="Book Antiqua" w:hAnsi="Book Antiqua"/>
          <w:i/>
          <w:sz w:val="16"/>
          <w:szCs w:val="16"/>
        </w:rPr>
      </w:pPr>
      <w:r w:rsidRPr="004E2F1C">
        <w:rPr>
          <w:rFonts w:ascii="Book Antiqua" w:hAnsi="Book Antiqua"/>
          <w:b/>
        </w:rPr>
        <w:t xml:space="preserve">References </w:t>
      </w:r>
      <w:r w:rsidRPr="004E2F1C">
        <w:rPr>
          <w:rFonts w:ascii="Book Antiqua" w:hAnsi="Book Antiqua"/>
          <w:i/>
          <w:sz w:val="16"/>
          <w:szCs w:val="16"/>
        </w:rPr>
        <w:t>– All URL’s retrieved 20</w:t>
      </w:r>
      <w:r w:rsidRPr="004E2F1C">
        <w:rPr>
          <w:rFonts w:ascii="Book Antiqua" w:hAnsi="Book Antiqua"/>
          <w:i/>
          <w:sz w:val="16"/>
          <w:szCs w:val="16"/>
          <w:vertAlign w:val="superscript"/>
        </w:rPr>
        <w:t>th</w:t>
      </w:r>
      <w:r w:rsidRPr="004E2F1C">
        <w:rPr>
          <w:rFonts w:ascii="Book Antiqua" w:hAnsi="Book Antiqua"/>
          <w:i/>
          <w:sz w:val="16"/>
          <w:szCs w:val="16"/>
        </w:rPr>
        <w:t xml:space="preserve"> September, 2012.</w:t>
      </w:r>
    </w:p>
    <w:p w:rsidR="00CA4909" w:rsidRPr="004E2F1C" w:rsidRDefault="00CA4909" w:rsidP="00CA4909">
      <w:pPr>
        <w:rPr>
          <w:rFonts w:ascii="Book Antiqua" w:hAnsi="Book Antiqua"/>
          <w:b/>
        </w:rPr>
      </w:pPr>
    </w:p>
    <w:p w:rsidR="00CA4909" w:rsidRPr="004E2F1C" w:rsidRDefault="00CA4909" w:rsidP="00CA4909">
      <w:pPr>
        <w:pStyle w:val="NoSpacing"/>
        <w:rPr>
          <w:rFonts w:ascii="Book Antiqua" w:hAnsi="Book Antiqua"/>
          <w:sz w:val="16"/>
          <w:szCs w:val="16"/>
        </w:rPr>
      </w:pPr>
      <w:proofErr w:type="gramStart"/>
      <w:r w:rsidRPr="004E2F1C">
        <w:rPr>
          <w:rFonts w:ascii="Book Antiqua" w:hAnsi="Book Antiqua"/>
          <w:sz w:val="16"/>
          <w:szCs w:val="16"/>
        </w:rPr>
        <w:t xml:space="preserve">[1] C. J. Ransom, “Laboratory Modeling of Meteorite Impact Craters by Z-pinch Plasma,” </w:t>
      </w:r>
      <w:r w:rsidRPr="004E2F1C">
        <w:rPr>
          <w:rFonts w:ascii="Book Antiqua" w:hAnsi="Book Antiqua"/>
          <w:i/>
          <w:sz w:val="16"/>
          <w:szCs w:val="16"/>
        </w:rPr>
        <w:t>The Open Astronomy Journal</w:t>
      </w:r>
      <w:r w:rsidRPr="004E2F1C">
        <w:rPr>
          <w:rFonts w:ascii="Book Antiqua" w:hAnsi="Book Antiqua"/>
          <w:sz w:val="16"/>
          <w:szCs w:val="16"/>
        </w:rPr>
        <w:t xml:space="preserve">, </w:t>
      </w:r>
      <w:r w:rsidRPr="004E2F1C">
        <w:rPr>
          <w:rFonts w:ascii="Book Antiqua" w:hAnsi="Book Antiqua"/>
          <w:b/>
          <w:sz w:val="16"/>
          <w:szCs w:val="16"/>
        </w:rPr>
        <w:t>2011</w:t>
      </w:r>
      <w:r w:rsidRPr="004E2F1C">
        <w:rPr>
          <w:rFonts w:ascii="Book Antiqua" w:hAnsi="Book Antiqua"/>
          <w:sz w:val="16"/>
          <w:szCs w:val="16"/>
        </w:rPr>
        <w:t xml:space="preserve"> (</w:t>
      </w:r>
      <w:r w:rsidRPr="004E2F1C">
        <w:rPr>
          <w:rFonts w:ascii="Book Antiqua" w:hAnsi="Book Antiqua"/>
          <w:i/>
          <w:sz w:val="16"/>
          <w:szCs w:val="16"/>
        </w:rPr>
        <w:t>4</w:t>
      </w:r>
      <w:r w:rsidRPr="004E2F1C">
        <w:rPr>
          <w:rFonts w:ascii="Book Antiqua" w:hAnsi="Book Antiqua"/>
          <w:sz w:val="16"/>
          <w:szCs w:val="16"/>
        </w:rPr>
        <w:t>), Suppl. 2-M4, pp. 185-190.</w:t>
      </w:r>
      <w:proofErr w:type="gramEnd"/>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[2] B. J. </w:t>
      </w:r>
      <w:r w:rsidRPr="00910192">
        <w:rPr>
          <w:rFonts w:ascii="Book Antiqua" w:hAnsi="Book Antiqua"/>
          <w:sz w:val="16"/>
          <w:szCs w:val="16"/>
        </w:rPr>
        <w:t>Setterfield, extensive experiments done with cement dust. The cement dust photographs in this paper were taken on July 25-27, 2012</w:t>
      </w:r>
      <w:r w:rsidRPr="00BF218B">
        <w:rPr>
          <w:rFonts w:ascii="Book Antiqua" w:hAnsi="Book Antiqua"/>
          <w:sz w:val="16"/>
          <w:szCs w:val="16"/>
          <w:highlight w:val="yellow"/>
        </w:rPr>
        <w:t>.</w:t>
      </w:r>
      <w:r w:rsidRPr="004E2F1C">
        <w:rPr>
          <w:rFonts w:ascii="Book Antiqua" w:hAnsi="Book Antiqua"/>
          <w:sz w:val="16"/>
          <w:szCs w:val="16"/>
        </w:rPr>
        <w:t xml:space="preserve"> </w:t>
      </w:r>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[3] P. De Schutter, ‘Impact Craters,’ </w:t>
      </w:r>
      <w:proofErr w:type="gramStart"/>
      <w:r w:rsidRPr="004E2F1C">
        <w:rPr>
          <w:rFonts w:ascii="Book Antiqua" w:hAnsi="Book Antiqua"/>
          <w:sz w:val="16"/>
          <w:szCs w:val="16"/>
        </w:rPr>
        <w:t>EU(</w:t>
      </w:r>
      <w:proofErr w:type="gramEnd"/>
      <w:r w:rsidRPr="004E2F1C">
        <w:rPr>
          <w:rFonts w:ascii="Book Antiqua" w:hAnsi="Book Antiqua"/>
          <w:sz w:val="16"/>
          <w:szCs w:val="16"/>
        </w:rPr>
        <w:t xml:space="preserve">RO)CK, February 2005, at: </w:t>
      </w:r>
      <w:hyperlink r:id="rId1346" w:history="1">
        <w:r w:rsidRPr="004E2F1C">
          <w:rPr>
            <w:rStyle w:val="Hyperlink"/>
            <w:rFonts w:ascii="Book Antiqua" w:hAnsi="Book Antiqua"/>
            <w:i/>
            <w:szCs w:val="16"/>
          </w:rPr>
          <w:t>http://ougseurope.org/rockon/surface/impactcraters.asp</w:t>
        </w:r>
      </w:hyperlink>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[4] J.-B. </w:t>
      </w:r>
      <w:proofErr w:type="gramStart"/>
      <w:r w:rsidRPr="004E2F1C">
        <w:rPr>
          <w:rFonts w:ascii="Book Antiqua" w:hAnsi="Book Antiqua"/>
          <w:sz w:val="16"/>
          <w:szCs w:val="16"/>
        </w:rPr>
        <w:t xml:space="preserve">Vincent et al., “Crater depth-to-diameter ratio and surface properties of (4) Vesta,” </w:t>
      </w:r>
      <w:r w:rsidRPr="004E2F1C">
        <w:rPr>
          <w:rFonts w:ascii="Book Antiqua" w:hAnsi="Book Antiqua"/>
          <w:i/>
          <w:sz w:val="16"/>
          <w:szCs w:val="16"/>
        </w:rPr>
        <w:t>43</w:t>
      </w:r>
      <w:r w:rsidRPr="004E2F1C">
        <w:rPr>
          <w:rFonts w:ascii="Book Antiqua" w:hAnsi="Book Antiqua"/>
          <w:i/>
          <w:sz w:val="16"/>
          <w:szCs w:val="16"/>
          <w:vertAlign w:val="superscript"/>
        </w:rPr>
        <w:t>rd</w:t>
      </w:r>
      <w:r w:rsidRPr="004E2F1C">
        <w:rPr>
          <w:rFonts w:ascii="Book Antiqua" w:hAnsi="Book Antiqua"/>
          <w:i/>
          <w:sz w:val="16"/>
          <w:szCs w:val="16"/>
        </w:rPr>
        <w:t xml:space="preserve"> Lunar and Planetary Science Conference</w:t>
      </w:r>
      <w:r w:rsidRPr="004E2F1C">
        <w:rPr>
          <w:rFonts w:ascii="Book Antiqua" w:hAnsi="Book Antiqua"/>
          <w:sz w:val="16"/>
          <w:szCs w:val="16"/>
        </w:rPr>
        <w:t xml:space="preserve"> (2012), #1415.pdf.</w:t>
      </w:r>
      <w:proofErr w:type="gramEnd"/>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[5] M. Talpe et al., “Ratios of impact crater depth to diameter in Mercury’s North polar region from MESSENGER laser altimeter observations,”</w:t>
      </w:r>
      <w:r w:rsidRPr="004E2F1C">
        <w:rPr>
          <w:rFonts w:ascii="Book Antiqua" w:hAnsi="Book Antiqua"/>
          <w:i/>
          <w:sz w:val="16"/>
          <w:szCs w:val="16"/>
        </w:rPr>
        <w:t>American Geophysical Union Fall Meeting</w:t>
      </w:r>
      <w:r w:rsidRPr="004E2F1C">
        <w:rPr>
          <w:rFonts w:ascii="Book Antiqua" w:hAnsi="Book Antiqua"/>
          <w:sz w:val="16"/>
          <w:szCs w:val="16"/>
        </w:rPr>
        <w:t>, 2011, Abstract #P41A-1578, available at:</w:t>
      </w:r>
      <w:r>
        <w:rPr>
          <w:rFonts w:ascii="Book Antiqua" w:hAnsi="Book Antiqua"/>
          <w:sz w:val="16"/>
          <w:szCs w:val="16"/>
        </w:rPr>
        <w:t xml:space="preserve"> </w:t>
      </w:r>
      <w:hyperlink r:id="rId1347" w:history="1">
        <w:r w:rsidRPr="004E2F1C">
          <w:rPr>
            <w:rStyle w:val="Hyperlink"/>
            <w:rFonts w:ascii="Book Antiqua" w:hAnsi="Book Antiqua"/>
            <w:i/>
            <w:szCs w:val="16"/>
          </w:rPr>
          <w:t>http://adsabs.harvard.edu/abs/2011AGUFM.P41A1578T</w:t>
        </w:r>
      </w:hyperlink>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[6] </w:t>
      </w:r>
      <w:hyperlink r:id="rId1348" w:history="1">
        <w:r w:rsidRPr="004E2F1C">
          <w:rPr>
            <w:rStyle w:val="Hyperlink"/>
            <w:rFonts w:ascii="Book Antiqua" w:hAnsi="Book Antiqua"/>
            <w:i/>
            <w:szCs w:val="16"/>
          </w:rPr>
          <w:t>http://en.wikipedia.org/wiki/4_Vesta</w:t>
        </w:r>
      </w:hyperlink>
      <w:r w:rsidRPr="004E2F1C">
        <w:rPr>
          <w:rFonts w:ascii="Book Antiqua" w:hAnsi="Book Antiqua"/>
          <w:sz w:val="16"/>
          <w:szCs w:val="16"/>
        </w:rPr>
        <w:t xml:space="preserve">. Also, P. Spotts, “NASA mission confirms: Ex-asteroid Vesta is a planet that almost was,” </w:t>
      </w:r>
      <w:r w:rsidRPr="004E2F1C">
        <w:rPr>
          <w:rFonts w:ascii="Book Antiqua" w:hAnsi="Book Antiqua"/>
          <w:i/>
          <w:sz w:val="16"/>
          <w:szCs w:val="16"/>
        </w:rPr>
        <w:t>The Christian Science Monitor</w:t>
      </w:r>
      <w:r w:rsidRPr="004E2F1C">
        <w:rPr>
          <w:rFonts w:ascii="Book Antiqua" w:hAnsi="Book Antiqua"/>
          <w:sz w:val="16"/>
          <w:szCs w:val="16"/>
        </w:rPr>
        <w:t xml:space="preserve">, 10 May, 2012. Available at: </w:t>
      </w:r>
      <w:hyperlink r:id="rId1349" w:history="1">
        <w:r w:rsidRPr="004E2F1C">
          <w:rPr>
            <w:rStyle w:val="Hyperlink"/>
            <w:rFonts w:ascii="Book Antiqua" w:hAnsi="Book Antiqua"/>
            <w:i/>
            <w:szCs w:val="16"/>
          </w:rPr>
          <w:t>http://www.csmonitor.com/layout/set/print/content/view/print/509389</w:t>
        </w:r>
      </w:hyperlink>
    </w:p>
    <w:p w:rsidR="00CA4909" w:rsidRPr="004E2F1C" w:rsidRDefault="00CA4909" w:rsidP="00CA4909">
      <w:pPr>
        <w:pStyle w:val="NoSpacing"/>
        <w:rPr>
          <w:rFonts w:ascii="Book Antiqua" w:hAnsi="Book Antiqua"/>
          <w:bCs/>
          <w:iCs/>
          <w:sz w:val="16"/>
          <w:szCs w:val="16"/>
        </w:rPr>
      </w:pPr>
      <w:r w:rsidRPr="004E2F1C">
        <w:rPr>
          <w:rFonts w:ascii="Book Antiqua" w:hAnsi="Book Antiqua"/>
          <w:bCs/>
          <w:iCs/>
          <w:sz w:val="16"/>
          <w:szCs w:val="16"/>
        </w:rPr>
        <w:t xml:space="preserve">[7] </w:t>
      </w:r>
      <w:hyperlink r:id="rId1350" w:history="1">
        <w:r w:rsidRPr="004E2F1C">
          <w:rPr>
            <w:rStyle w:val="Hyperlink"/>
            <w:rFonts w:ascii="Book Antiqua" w:hAnsi="Book Antiqua"/>
            <w:bCs/>
            <w:i/>
            <w:iCs/>
            <w:szCs w:val="16"/>
          </w:rPr>
          <w:t>http://en.wikipedia.org/wiki/21_Lutetia</w:t>
        </w:r>
      </w:hyperlink>
      <w:r w:rsidRPr="004E2F1C">
        <w:rPr>
          <w:rFonts w:ascii="Book Antiqua" w:hAnsi="Book Antiqua"/>
          <w:bCs/>
          <w:i/>
          <w:iCs/>
          <w:sz w:val="16"/>
          <w:szCs w:val="16"/>
        </w:rPr>
        <w:t xml:space="preserve"> </w:t>
      </w:r>
      <w:r w:rsidRPr="004E2F1C">
        <w:rPr>
          <w:rFonts w:ascii="Book Antiqua" w:hAnsi="Book Antiqua"/>
          <w:bCs/>
          <w:iCs/>
          <w:sz w:val="16"/>
          <w:szCs w:val="16"/>
        </w:rPr>
        <w:t xml:space="preserve">. Also H. Sierks et al., “Images of asteroid 21 Lutetia: a remnant planetesimal from the early solar system,” </w:t>
      </w:r>
      <w:r w:rsidRPr="004E2F1C">
        <w:rPr>
          <w:rFonts w:ascii="Book Antiqua" w:hAnsi="Book Antiqua"/>
          <w:bCs/>
          <w:i/>
          <w:iCs/>
          <w:sz w:val="16"/>
          <w:szCs w:val="16"/>
        </w:rPr>
        <w:t>Science</w:t>
      </w:r>
      <w:r w:rsidRPr="004E2F1C">
        <w:rPr>
          <w:rFonts w:ascii="Book Antiqua" w:hAnsi="Book Antiqua"/>
          <w:bCs/>
          <w:iCs/>
          <w:sz w:val="16"/>
          <w:szCs w:val="16"/>
        </w:rPr>
        <w:t xml:space="preserve">, </w:t>
      </w:r>
      <w:r w:rsidRPr="004E2F1C">
        <w:rPr>
          <w:rFonts w:ascii="Book Antiqua" w:hAnsi="Book Antiqua"/>
          <w:b/>
          <w:bCs/>
          <w:iCs/>
          <w:sz w:val="16"/>
          <w:szCs w:val="16"/>
        </w:rPr>
        <w:t>334</w:t>
      </w:r>
      <w:r w:rsidRPr="004E2F1C">
        <w:rPr>
          <w:rFonts w:ascii="Book Antiqua" w:hAnsi="Book Antiqua"/>
          <w:bCs/>
          <w:iCs/>
          <w:sz w:val="16"/>
          <w:szCs w:val="16"/>
        </w:rPr>
        <w:t xml:space="preserve"> (No. 6055), pp. 487-490, (28 October 2011).</w:t>
      </w:r>
    </w:p>
    <w:p w:rsidR="00CA4909" w:rsidRPr="004E2F1C" w:rsidRDefault="00CA4909" w:rsidP="00CA4909">
      <w:pPr>
        <w:pStyle w:val="NoSpacing"/>
        <w:rPr>
          <w:rFonts w:ascii="Book Antiqua" w:hAnsi="Book Antiqua"/>
          <w:bCs/>
          <w:i/>
          <w:iCs/>
          <w:sz w:val="16"/>
          <w:szCs w:val="16"/>
        </w:rPr>
      </w:pPr>
      <w:r w:rsidRPr="004E2F1C">
        <w:rPr>
          <w:rFonts w:ascii="Book Antiqua" w:hAnsi="Book Antiqua"/>
          <w:bCs/>
          <w:iCs/>
          <w:sz w:val="16"/>
          <w:szCs w:val="16"/>
        </w:rPr>
        <w:t xml:space="preserve">[8] See for example: </w:t>
      </w:r>
      <w:hyperlink r:id="rId1351" w:history="1">
        <w:r w:rsidRPr="004E2F1C">
          <w:rPr>
            <w:rStyle w:val="Hyperlink"/>
            <w:rFonts w:ascii="Book Antiqua" w:hAnsi="Book Antiqua"/>
            <w:bCs/>
            <w:i/>
            <w:iCs/>
            <w:szCs w:val="16"/>
          </w:rPr>
          <w:t>http://www.uwgb.edu/dutchs/planets/cratform.htm</w:t>
        </w:r>
      </w:hyperlink>
    </w:p>
    <w:p w:rsidR="00CA4909" w:rsidRPr="004E2F1C" w:rsidRDefault="00CA4909" w:rsidP="00CA4909">
      <w:pPr>
        <w:pStyle w:val="NoSpacing"/>
        <w:rPr>
          <w:rFonts w:ascii="Book Antiqua" w:hAnsi="Book Antiqua"/>
          <w:i/>
          <w:sz w:val="16"/>
          <w:szCs w:val="16"/>
        </w:rPr>
      </w:pPr>
      <w:r w:rsidRPr="004E2F1C">
        <w:rPr>
          <w:rFonts w:ascii="Book Antiqua" w:hAnsi="Book Antiqua"/>
          <w:bCs/>
          <w:iCs/>
          <w:sz w:val="16"/>
          <w:szCs w:val="16"/>
        </w:rPr>
        <w:t xml:space="preserve">[9] </w:t>
      </w:r>
      <w:r w:rsidRPr="004E2F1C">
        <w:rPr>
          <w:rFonts w:ascii="Book Antiqua" w:hAnsi="Book Antiqua"/>
          <w:sz w:val="16"/>
          <w:szCs w:val="16"/>
        </w:rPr>
        <w:t xml:space="preserve">MAPCIS research: </w:t>
      </w:r>
      <w:hyperlink r:id="rId1352" w:history="1">
        <w:r w:rsidRPr="004E2F1C">
          <w:rPr>
            <w:rStyle w:val="Hyperlink"/>
            <w:rFonts w:ascii="Book Antiqua" w:hAnsi="Book Antiqua"/>
            <w:i/>
            <w:szCs w:val="16"/>
          </w:rPr>
          <w:t>http://www.mapcis.net/mapcis_research.html</w:t>
        </w:r>
      </w:hyperlink>
      <w:r>
        <w:t xml:space="preserve"> </w:t>
      </w:r>
      <w:r w:rsidRPr="00FC5E5A">
        <w:rPr>
          <w:rFonts w:ascii="Book Antiqua" w:hAnsi="Book Antiqua"/>
          <w:sz w:val="16"/>
          <w:szCs w:val="16"/>
        </w:rPr>
        <w:t xml:space="preserve"> It is also h</w:t>
      </w:r>
      <w:r w:rsidRPr="004E2F1C">
        <w:rPr>
          <w:rFonts w:ascii="Book Antiqua" w:hAnsi="Book Antiqua"/>
          <w:sz w:val="16"/>
          <w:szCs w:val="16"/>
        </w:rPr>
        <w:t xml:space="preserve">ere: </w:t>
      </w:r>
      <w:hyperlink r:id="rId1353" w:history="1">
        <w:r w:rsidRPr="004E2F1C">
          <w:rPr>
            <w:rStyle w:val="Hyperlink"/>
            <w:rFonts w:ascii="Book Antiqua" w:hAnsi="Book Antiqua"/>
            <w:i/>
            <w:szCs w:val="16"/>
          </w:rPr>
          <w:t>http://www.mapcis.net/mapcis_case.html</w:t>
        </w:r>
      </w:hyperlink>
      <w:r>
        <w:rPr>
          <w:rFonts w:ascii="Book Antiqua" w:hAnsi="Book Antiqua"/>
          <w:sz w:val="16"/>
          <w:szCs w:val="16"/>
        </w:rPr>
        <w:t>, with more found</w:t>
      </w:r>
      <w:r w:rsidRPr="004E2F1C">
        <w:rPr>
          <w:rFonts w:ascii="Book Antiqua" w:hAnsi="Book Antiqua"/>
          <w:sz w:val="16"/>
          <w:szCs w:val="16"/>
        </w:rPr>
        <w:t xml:space="preserve"> here: </w:t>
      </w:r>
      <w:hyperlink r:id="rId1354" w:history="1">
        <w:r w:rsidRPr="004E2F1C">
          <w:rPr>
            <w:rStyle w:val="Hyperlink"/>
            <w:rFonts w:ascii="Book Antiqua" w:hAnsi="Book Antiqua"/>
            <w:i/>
            <w:szCs w:val="16"/>
          </w:rPr>
          <w:t>http://www.austhrutime.com/mapcis.htm</w:t>
        </w:r>
      </w:hyperlink>
    </w:p>
    <w:p w:rsidR="00CA4909" w:rsidRPr="004E2F1C" w:rsidRDefault="00CA4909" w:rsidP="00CA4909">
      <w:pPr>
        <w:pStyle w:val="NoSpacing"/>
        <w:rPr>
          <w:rFonts w:ascii="Book Antiqua" w:hAnsi="Book Antiqua"/>
          <w:i/>
          <w:sz w:val="16"/>
          <w:szCs w:val="16"/>
        </w:rPr>
      </w:pPr>
      <w:r w:rsidRPr="004E2F1C">
        <w:rPr>
          <w:rFonts w:ascii="Book Antiqua" w:hAnsi="Book Antiqua"/>
          <w:bCs/>
          <w:iCs/>
          <w:sz w:val="16"/>
          <w:szCs w:val="16"/>
        </w:rPr>
        <w:t>[10</w:t>
      </w:r>
      <w:proofErr w:type="gramStart"/>
      <w:r w:rsidRPr="004E2F1C">
        <w:rPr>
          <w:rFonts w:ascii="Book Antiqua" w:hAnsi="Book Antiqua"/>
          <w:bCs/>
          <w:iCs/>
          <w:sz w:val="16"/>
          <w:szCs w:val="16"/>
        </w:rPr>
        <w:t xml:space="preserve">] </w:t>
      </w:r>
      <w:r w:rsidRPr="004E2F1C">
        <w:rPr>
          <w:rFonts w:ascii="Book Antiqua" w:hAnsi="Book Antiqua"/>
          <w:sz w:val="16"/>
          <w:szCs w:val="16"/>
        </w:rPr>
        <w:t xml:space="preserve"> Wilkes</w:t>
      </w:r>
      <w:proofErr w:type="gramEnd"/>
      <w:r w:rsidRPr="004E2F1C">
        <w:rPr>
          <w:rFonts w:ascii="Book Antiqua" w:hAnsi="Book Antiqua"/>
          <w:sz w:val="16"/>
          <w:szCs w:val="16"/>
        </w:rPr>
        <w:t xml:space="preserve"> Land structure, Antarctica.Left: </w:t>
      </w:r>
      <w:hyperlink r:id="rId1355" w:history="1">
        <w:r w:rsidRPr="004E2F1C">
          <w:rPr>
            <w:rStyle w:val="Hyperlink"/>
            <w:rFonts w:ascii="Book Antiqua" w:hAnsi="Book Antiqua"/>
            <w:i/>
            <w:szCs w:val="16"/>
          </w:rPr>
          <w:t>http://www.thunderbolts.info/forum/phpBB3/viewtopic.php?p=38601</w:t>
        </w:r>
      </w:hyperlink>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Right: </w:t>
      </w:r>
      <w:hyperlink r:id="rId1356" w:history="1">
        <w:r w:rsidRPr="004E2F1C">
          <w:rPr>
            <w:rStyle w:val="Hyperlink"/>
            <w:rFonts w:ascii="Book Antiqua" w:hAnsi="Book Antiqua"/>
            <w:i/>
            <w:szCs w:val="16"/>
          </w:rPr>
          <w:t>http://www.msnbc.msn.com/id/13089686/ns/technology_and_science-space/t/antarctic-crater-linked-ancient-die-off/</w:t>
        </w:r>
      </w:hyperlink>
    </w:p>
    <w:p w:rsidR="00CA4909" w:rsidRPr="004E2F1C" w:rsidRDefault="00CA4909" w:rsidP="00CA4909">
      <w:pPr>
        <w:pStyle w:val="NoSpacing"/>
        <w:rPr>
          <w:rFonts w:ascii="Book Antiqua" w:hAnsi="Book Antiqua"/>
          <w:bCs/>
          <w:iCs/>
          <w:sz w:val="16"/>
          <w:szCs w:val="16"/>
        </w:rPr>
      </w:pPr>
      <w:r w:rsidRPr="004E2F1C">
        <w:rPr>
          <w:rFonts w:ascii="Book Antiqua" w:hAnsi="Book Antiqua"/>
          <w:bCs/>
          <w:iCs/>
          <w:sz w:val="16"/>
          <w:szCs w:val="16"/>
        </w:rPr>
        <w:t xml:space="preserve"> [11]</w:t>
      </w:r>
      <w:r w:rsidRPr="004E2F1C">
        <w:rPr>
          <w:rFonts w:ascii="Book Antiqua" w:hAnsi="Book Antiqua"/>
          <w:sz w:val="16"/>
          <w:szCs w:val="16"/>
        </w:rPr>
        <w:t xml:space="preserve"> Chicxulub structure, Yucatan. Left: </w:t>
      </w:r>
      <w:hyperlink r:id="rId1357" w:history="1">
        <w:r w:rsidRPr="004E2F1C">
          <w:rPr>
            <w:rStyle w:val="Hyperlink"/>
            <w:rFonts w:ascii="Book Antiqua" w:hAnsi="Book Antiqua"/>
            <w:i/>
            <w:szCs w:val="16"/>
          </w:rPr>
          <w:t>http://en.wikipedia.org/wiki/Chicxulub_crater</w:t>
        </w:r>
      </w:hyperlink>
      <w:r>
        <w:t xml:space="preserve"> </w:t>
      </w:r>
      <w:r w:rsidRPr="004E2F1C">
        <w:rPr>
          <w:rFonts w:ascii="Book Antiqua" w:hAnsi="Book Antiqua"/>
          <w:sz w:val="16"/>
          <w:szCs w:val="16"/>
        </w:rPr>
        <w:t xml:space="preserve">Right: </w:t>
      </w:r>
      <w:hyperlink r:id="rId1358" w:history="1">
        <w:r w:rsidRPr="004E2F1C">
          <w:rPr>
            <w:rStyle w:val="Hyperlink"/>
            <w:rFonts w:ascii="Book Antiqua" w:hAnsi="Book Antiqua"/>
            <w:i/>
            <w:szCs w:val="16"/>
          </w:rPr>
          <w:t>http://palaeo.gly.bris.ac.uk/communication/hanks/eff.html</w:t>
        </w:r>
      </w:hyperlink>
    </w:p>
    <w:p w:rsidR="00CA4909" w:rsidRPr="004E2F1C" w:rsidRDefault="00CA4909" w:rsidP="00CA4909">
      <w:pPr>
        <w:pStyle w:val="NoSpacing"/>
        <w:rPr>
          <w:rFonts w:ascii="Book Antiqua" w:hAnsi="Book Antiqua"/>
          <w:sz w:val="16"/>
          <w:szCs w:val="16"/>
        </w:rPr>
      </w:pPr>
      <w:r w:rsidRPr="004E2F1C">
        <w:rPr>
          <w:rFonts w:ascii="Book Antiqua" w:hAnsi="Book Antiqua" w:cs="Arial"/>
          <w:bCs/>
          <w:iCs/>
          <w:sz w:val="16"/>
          <w:szCs w:val="16"/>
        </w:rPr>
        <w:t xml:space="preserve">[12] </w:t>
      </w:r>
      <w:r w:rsidRPr="004E2F1C">
        <w:rPr>
          <w:rFonts w:ascii="Book Antiqua" w:hAnsi="Book Antiqua"/>
          <w:sz w:val="16"/>
          <w:szCs w:val="16"/>
        </w:rPr>
        <w:t xml:space="preserve">Major impact basins on Mars. </w:t>
      </w:r>
      <w:hyperlink r:id="rId1359" w:history="1">
        <w:r w:rsidRPr="004E2F1C">
          <w:rPr>
            <w:rStyle w:val="Hyperlink"/>
            <w:rFonts w:ascii="Book Antiqua" w:hAnsi="Book Antiqua"/>
            <w:i/>
            <w:szCs w:val="16"/>
          </w:rPr>
          <w:t>http://www.psrd.hawaii.edu/May10/YoungerALH84001.html</w:t>
        </w:r>
      </w:hyperlink>
    </w:p>
    <w:p w:rsidR="00CA4909" w:rsidRPr="004E2F1C" w:rsidRDefault="00CA4909" w:rsidP="00CA4909">
      <w:pPr>
        <w:pStyle w:val="NoSpacing"/>
        <w:rPr>
          <w:rFonts w:ascii="Book Antiqua" w:hAnsi="Book Antiqua"/>
          <w:sz w:val="16"/>
          <w:szCs w:val="16"/>
        </w:rPr>
      </w:pPr>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Figures in this Appendix: Most EDM images from [1]. </w:t>
      </w:r>
      <w:proofErr w:type="gramStart"/>
      <w:r w:rsidRPr="004E2F1C">
        <w:rPr>
          <w:rFonts w:ascii="Book Antiqua" w:hAnsi="Book Antiqua"/>
          <w:sz w:val="16"/>
          <w:szCs w:val="16"/>
        </w:rPr>
        <w:t>Most other images by BJ Setterfield</w:t>
      </w:r>
      <w:r w:rsidR="00C66EB5">
        <w:rPr>
          <w:rFonts w:ascii="Book Antiqua" w:hAnsi="Book Antiqua"/>
          <w:sz w:val="16"/>
          <w:szCs w:val="16"/>
        </w:rPr>
        <w:t xml:space="preserve"> </w:t>
      </w:r>
      <w:r w:rsidRPr="004E2F1C">
        <w:rPr>
          <w:rFonts w:ascii="Book Antiqua" w:hAnsi="Book Antiqua"/>
          <w:sz w:val="16"/>
          <w:szCs w:val="16"/>
        </w:rPr>
        <w:t xml:space="preserve">or found on </w:t>
      </w:r>
      <w:hyperlink r:id="rId1360" w:history="1">
        <w:r w:rsidRPr="004E2F1C">
          <w:rPr>
            <w:rStyle w:val="Hyperlink"/>
            <w:rFonts w:ascii="Book Antiqua" w:hAnsi="Book Antiqua"/>
            <w:szCs w:val="16"/>
          </w:rPr>
          <w:t>www.setterfield.org</w:t>
        </w:r>
      </w:hyperlink>
      <w:r w:rsidRPr="004E2F1C">
        <w:rPr>
          <w:rFonts w:ascii="Book Antiqua" w:hAnsi="Book Antiqua"/>
          <w:sz w:val="16"/>
          <w:szCs w:val="16"/>
        </w:rPr>
        <w:t>.</w:t>
      </w:r>
      <w:proofErr w:type="gramEnd"/>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Figure 2: Typical craters on Mars: http://academic.pgcc.edu/~bgage/Activity2.htm</w:t>
      </w:r>
    </w:p>
    <w:p w:rsidR="00CA4909" w:rsidRPr="004E2F1C" w:rsidRDefault="00CA4909" w:rsidP="00CA4909">
      <w:pPr>
        <w:pStyle w:val="NoSpacing"/>
        <w:jc w:val="center"/>
        <w:rPr>
          <w:rFonts w:ascii="Book Antiqua" w:hAnsi="Book Antiqua" w:cs="Arial"/>
          <w:bCs/>
          <w:iCs/>
          <w:color w:val="000000"/>
          <w:szCs w:val="24"/>
        </w:rPr>
      </w:pPr>
    </w:p>
    <w:p w:rsidR="00CA4909" w:rsidRDefault="00CA4909" w:rsidP="00CA4909">
      <w:pPr>
        <w:pStyle w:val="NoSpacing"/>
        <w:jc w:val="center"/>
        <w:rPr>
          <w:rFonts w:ascii="Book Antiqua" w:hAnsi="Book Antiqua" w:cs="Arial"/>
          <w:b/>
          <w:bCs/>
          <w:iCs/>
          <w:color w:val="000000"/>
          <w:sz w:val="28"/>
          <w:szCs w:val="28"/>
        </w:rPr>
      </w:pPr>
      <w:r w:rsidRPr="006D37FD">
        <w:rPr>
          <w:rFonts w:ascii="Book Antiqua" w:hAnsi="Book Antiqua" w:cs="Arial"/>
          <w:b/>
          <w:bCs/>
          <w:iCs/>
          <w:color w:val="000000"/>
          <w:sz w:val="28"/>
          <w:szCs w:val="28"/>
        </w:rPr>
        <w:t>*  *  *  *  *  *  *</w:t>
      </w:r>
    </w:p>
    <w:p w:rsidR="00C764EF" w:rsidRDefault="00C764EF">
      <w:pPr>
        <w:widowControl/>
        <w:spacing w:after="200" w:line="276" w:lineRule="auto"/>
        <w:rPr>
          <w:rFonts w:ascii="Book Antiqua" w:eastAsia="Times New Roman" w:hAnsi="Book Antiqua" w:cs="Arial"/>
          <w:b/>
          <w:bCs/>
          <w:iCs/>
          <w:color w:val="000000"/>
          <w:sz w:val="28"/>
          <w:szCs w:val="28"/>
          <w:lang w:val="en-US"/>
        </w:rPr>
      </w:pPr>
      <w:r>
        <w:rPr>
          <w:rFonts w:ascii="Book Antiqua" w:hAnsi="Book Antiqua" w:cs="Arial"/>
          <w:b/>
          <w:bCs/>
          <w:iCs/>
          <w:color w:val="000000"/>
          <w:sz w:val="28"/>
          <w:szCs w:val="28"/>
        </w:rPr>
        <w:br w:type="page"/>
      </w:r>
    </w:p>
    <w:p w:rsidR="004C63DA" w:rsidRPr="00AB49F0" w:rsidRDefault="004C63DA" w:rsidP="004C63DA">
      <w:pPr>
        <w:pStyle w:val="NoSpacing"/>
        <w:jc w:val="center"/>
        <w:rPr>
          <w:rFonts w:ascii="Book Antiqua" w:hAnsi="Book Antiqua"/>
          <w:szCs w:val="24"/>
        </w:rPr>
      </w:pPr>
      <w:r w:rsidRPr="00AB49F0">
        <w:rPr>
          <w:rFonts w:ascii="Book Antiqua" w:hAnsi="Book Antiqua"/>
          <w:b/>
          <w:bCs/>
          <w:iCs/>
          <w:color w:val="000000"/>
          <w:szCs w:val="24"/>
        </w:rPr>
        <w:lastRenderedPageBreak/>
        <w:t xml:space="preserve">Appendix F: </w:t>
      </w:r>
      <w:r w:rsidRPr="00AB49F0">
        <w:rPr>
          <w:rFonts w:ascii="Book Antiqua" w:hAnsi="Book Antiqua"/>
          <w:b/>
          <w:bCs/>
          <w:i/>
          <w:iCs/>
          <w:color w:val="000000"/>
          <w:szCs w:val="24"/>
        </w:rPr>
        <w:t>Practical matters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F1.  The Reality of the ZPE</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On 6th January 2010, the science journal Nature published experimental evidence</w:t>
      </w:r>
      <w:r>
        <w:rPr>
          <w:rFonts w:ascii="Book Antiqua" w:hAnsi="Book Antiqua"/>
          <w:sz w:val="20"/>
        </w:rPr>
        <w:t>,</w:t>
      </w:r>
      <w:r w:rsidRPr="00AD0DF3">
        <w:rPr>
          <w:rFonts w:ascii="Book Antiqua" w:hAnsi="Book Antiqua"/>
          <w:sz w:val="20"/>
        </w:rPr>
        <w:t xml:space="preserve"> using calcium ions</w:t>
      </w:r>
      <w:r>
        <w:rPr>
          <w:rFonts w:ascii="Book Antiqua" w:hAnsi="Book Antiqua"/>
          <w:sz w:val="20"/>
        </w:rPr>
        <w:t>,</w:t>
      </w:r>
      <w:r w:rsidRPr="00AD0DF3">
        <w:rPr>
          <w:rFonts w:ascii="Book Antiqua" w:hAnsi="Book Antiqua"/>
          <w:sz w:val="20"/>
        </w:rPr>
        <w:t xml:space="preserve"> to demonstrate that a real vacuum Zero Point Energy (ZPE) existed. Their evidence indicated that the electromagnetic waves of the ZPE impacting on all subatomic particles were responsible for </w:t>
      </w:r>
      <w:r>
        <w:rPr>
          <w:rFonts w:ascii="Book Antiqua" w:hAnsi="Book Antiqua"/>
          <w:sz w:val="20"/>
        </w:rPr>
        <w:t>t</w:t>
      </w:r>
      <w:r w:rsidRPr="00AD0DF3">
        <w:rPr>
          <w:rFonts w:ascii="Book Antiqua" w:hAnsi="Book Antiqua"/>
          <w:sz w:val="20"/>
        </w:rPr>
        <w:t xml:space="preserve">he "jitter-motion" or </w:t>
      </w:r>
      <w:r w:rsidRPr="00AD0DF3">
        <w:rPr>
          <w:rFonts w:ascii="Book Antiqua" w:hAnsi="Book Antiqua"/>
          <w:i/>
          <w:sz w:val="20"/>
        </w:rPr>
        <w:t>Zitterbewegung</w:t>
      </w:r>
      <w:r w:rsidRPr="00AD0DF3">
        <w:rPr>
          <w:rFonts w:ascii="Book Antiqua" w:hAnsi="Book Antiqua"/>
          <w:sz w:val="20"/>
        </w:rPr>
        <w:t xml:space="preserve"> which all these particles undergo. This jitter motion gives rise to the quantum uncertainty in position and momentum of these particles. These experiments confirm that the Stochastic Electro-Dynamic (SED) approach to physics is correct and that the Quantum Electro-Dynamic (QED) approach is the less desirable alternative, even though it is currently the majority position.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basic difference between these two approaches to physics is that SED physics accepts a real physical ZPE whereas the QED approach accepts the ZPE as only a virtual, not an actual, entity, and one only to be used in mathematical equations. According to SED physics, the Compton frequency of any subatomic particle is the number of resonant hits per second that the particle receives from the impacting waves of the ZPE causing it to "jitter" at that frequency. Thus the Compton frequency for an electron is </w:t>
      </w:r>
      <m:oMath>
        <m:r>
          <w:rPr>
            <w:rFonts w:ascii="Cambria Math" w:hAnsi="Book Antiqua"/>
            <w:sz w:val="20"/>
          </w:rPr>
          <m:t xml:space="preserve">1.2355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while for a proton it </w:t>
      </w:r>
      <w:proofErr w:type="gramStart"/>
      <w:r w:rsidRPr="00AD0DF3">
        <w:rPr>
          <w:rFonts w:ascii="Book Antiqua" w:hAnsi="Book Antiqua"/>
          <w:sz w:val="20"/>
        </w:rPr>
        <w:t xml:space="preserve">is </w:t>
      </w:r>
      <m:oMath>
        <w:proofErr w:type="gramEnd"/>
        <m:r>
          <w:rPr>
            <w:rFonts w:ascii="Cambria Math" w:hAnsi="Book Antiqua"/>
            <w:sz w:val="20"/>
          </w:rPr>
          <m:t xml:space="preserve">2.27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23</m:t>
            </m:r>
          </m:sup>
        </m:sSup>
      </m:oMath>
      <w:r w:rsidRPr="00AD0DF3">
        <w:rPr>
          <w:rFonts w:ascii="Book Antiqua" w:hAnsi="Book Antiqua"/>
          <w:sz w:val="20"/>
        </w:rPr>
        <w:t>. This gives some idea of the number of resonant ZPE waves (that is, those whose wavelengths are about the same size as the subatomic particles) that we are dealing with per second in volumes the size of an electron and proton respectively.</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The ZPE has a frequency cubed distribution of waves or photons. Thus if there were only one ZPE wave (or photon) at a given frequency, then at double the frequency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AD0DF3">
        <w:rPr>
          <w:rFonts w:ascii="Book Antiqua" w:hAnsi="Book Antiqua"/>
          <w:sz w:val="20"/>
        </w:rPr>
        <w:t xml:space="preserve">, that is 8 waves (or photons). If that frequency is then doubled, there would be </w:t>
      </w:r>
      <m:oMath>
        <m:sSup>
          <m:sSupPr>
            <m:ctrlPr>
              <w:rPr>
                <w:rFonts w:ascii="Cambria Math" w:hAnsi="Book Antiqua"/>
                <w:i/>
                <w:sz w:val="20"/>
              </w:rPr>
            </m:ctrlPr>
          </m:sSupPr>
          <m:e>
            <m:r>
              <w:rPr>
                <w:rFonts w:ascii="Cambria Math" w:hAnsi="Book Antiqua"/>
                <w:sz w:val="20"/>
              </w:rPr>
              <m:t>8</m:t>
            </m:r>
          </m:e>
          <m:sup>
            <m:r>
              <w:rPr>
                <w:rFonts w:ascii="Cambria Math" w:hAnsi="Book Antiqua"/>
                <w:sz w:val="20"/>
              </w:rPr>
              <m:t>2</m:t>
            </m:r>
          </m:sup>
        </m:sSup>
      </m:oMath>
      <w:r w:rsidRPr="00AD0DF3">
        <w:rPr>
          <w:rFonts w:ascii="Book Antiqua" w:hAnsi="Book Antiqua"/>
          <w:sz w:val="20"/>
        </w:rPr>
        <w:t xml:space="preserve"> or 512 waves (or</w:t>
      </w:r>
      <w:r>
        <w:rPr>
          <w:rFonts w:ascii="Book Antiqua" w:hAnsi="Book Antiqua"/>
          <w:sz w:val="20"/>
        </w:rPr>
        <w:t>, as some prefer,</w:t>
      </w:r>
      <w:r w:rsidRPr="00AD0DF3">
        <w:rPr>
          <w:rFonts w:ascii="Book Antiqua" w:hAnsi="Book Antiqua"/>
          <w:sz w:val="20"/>
        </w:rPr>
        <w:t xml:space="preserve"> photons), and so on. Therefore, the shorter the wavelength of the ZPE that we are dealing with, the more </w:t>
      </w:r>
      <w:proofErr w:type="gramStart"/>
      <w:r w:rsidRPr="00AD0DF3">
        <w:rPr>
          <w:rFonts w:ascii="Book Antiqua" w:hAnsi="Book Antiqua"/>
          <w:sz w:val="20"/>
        </w:rPr>
        <w:t>waves,</w:t>
      </w:r>
      <w:proofErr w:type="gramEnd"/>
      <w:r w:rsidRPr="00AD0DF3">
        <w:rPr>
          <w:rFonts w:ascii="Book Antiqua" w:hAnsi="Book Antiqua"/>
          <w:sz w:val="20"/>
        </w:rPr>
        <w:t xml:space="preserve"> </w:t>
      </w:r>
      <w:r w:rsidRPr="00D33F28">
        <w:rPr>
          <w:rFonts w:ascii="Book Antiqua" w:hAnsi="Book Antiqua"/>
          <w:sz w:val="20"/>
        </w:rPr>
        <w:t>or photons</w:t>
      </w:r>
      <w:r w:rsidRPr="00AD0DF3">
        <w:rPr>
          <w:rFonts w:ascii="Book Antiqua" w:hAnsi="Book Antiqua"/>
          <w:sz w:val="20"/>
        </w:rPr>
        <w:t xml:space="preserve"> </w:t>
      </w:r>
      <w:r>
        <w:rPr>
          <w:rFonts w:ascii="Book Antiqua" w:hAnsi="Book Antiqua"/>
          <w:sz w:val="20"/>
        </w:rPr>
        <w:t>exist</w:t>
      </w:r>
      <w:r w:rsidRPr="00AD0DF3">
        <w:rPr>
          <w:rFonts w:ascii="Book Antiqua" w:hAnsi="Book Antiqua"/>
          <w:sz w:val="20"/>
        </w:rPr>
        <w:t xml:space="preserve"> up to the high frequency cutoff. This cutoff approaches the Planck frequency of </w:t>
      </w:r>
      <m:oMath>
        <m:r>
          <w:rPr>
            <w:rFonts w:ascii="Cambria Math" w:hAnsi="Book Antiqua"/>
            <w:sz w:val="20"/>
          </w:rPr>
          <m:t xml:space="preserve">1.85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Pr="00AD0DF3">
        <w:rPr>
          <w:rFonts w:ascii="Book Antiqua" w:hAnsi="Book Antiqua"/>
          <w:sz w:val="20"/>
        </w:rPr>
        <w:t xml:space="preserve"> hertz. This is a natural cutoff because of the structure of the vacuum; higher frequencies simply become absorbed by the vacuum itself.    Whether we consider using the wave description or the photon description is a matter of personal choice since both approaches are valid scientifically and give the same results in calculations.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 xml:space="preserve">F2.  Can the ZPE be </w:t>
      </w:r>
      <w:proofErr w:type="gramStart"/>
      <w:r w:rsidRPr="00AD0DF3">
        <w:rPr>
          <w:rFonts w:ascii="Book Antiqua" w:hAnsi="Book Antiqua"/>
          <w:i/>
          <w:sz w:val="20"/>
        </w:rPr>
        <w:t>Harnessed</w:t>
      </w:r>
      <w:proofErr w:type="gramEnd"/>
      <w:r w:rsidRPr="00AD0DF3">
        <w:rPr>
          <w:rFonts w:ascii="Book Antiqua" w:hAnsi="Book Antiqua"/>
          <w:i/>
          <w:sz w:val="20"/>
        </w:rPr>
        <w:t>?</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Is there a way </w:t>
      </w:r>
      <w:r>
        <w:rPr>
          <w:rFonts w:ascii="Book Antiqua" w:hAnsi="Book Antiqua"/>
          <w:sz w:val="20"/>
        </w:rPr>
        <w:t>in which</w:t>
      </w:r>
      <w:r w:rsidRPr="00AD0DF3">
        <w:rPr>
          <w:rFonts w:ascii="Book Antiqua" w:hAnsi="Book Antiqua"/>
          <w:sz w:val="20"/>
        </w:rPr>
        <w:t xml:space="preserve"> we can tap the ZPE energy?  There is a possibility.  When an electromagnetic wave or photon is reflected off a surface such as a mirror, it exerts twice as much momentum as it would if it were completely absorbed. Thus a set of vanes on a spindle or shaft in a good vacuum can be made to spin around the shaft by the pressure of light. The proviso is that one side of each vane is polished and the other side dark and absorbent in a consistent pattern arranged around the shaft. There is an exact analogy of this with the Nichols radiometer and something similar with Crookes radiometer. With Nichols radiometer, the dark side of the vanes will lead and the polished side follow as that is the side where the extra momentum is coming from. The Crookes radiometer does things in reverse. This occurs because the radiometer is not in a complete vacuum</w:t>
      </w:r>
      <w:r>
        <w:rPr>
          <w:rFonts w:ascii="Book Antiqua" w:hAnsi="Book Antiqua"/>
          <w:sz w:val="20"/>
        </w:rPr>
        <w:t>,</w:t>
      </w:r>
      <w:r w:rsidRPr="00AD0DF3">
        <w:rPr>
          <w:rFonts w:ascii="Book Antiqua" w:hAnsi="Book Antiqua"/>
          <w:sz w:val="20"/>
        </w:rPr>
        <w:t xml:space="preserve"> and more complicated physics is at work in this particular case, some of which relates to the behavior of air molecules.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concept that emerges </w:t>
      </w:r>
      <w:r>
        <w:rPr>
          <w:rFonts w:ascii="Book Antiqua" w:hAnsi="Book Antiqua"/>
          <w:sz w:val="20"/>
        </w:rPr>
        <w:t>is simply an</w:t>
      </w:r>
      <w:r w:rsidRPr="00AD0DF3">
        <w:rPr>
          <w:rFonts w:ascii="Book Antiqua" w:hAnsi="Book Antiqua"/>
          <w:sz w:val="20"/>
        </w:rPr>
        <w:t xml:space="preserve"> arrangement of vanes, with the leading face an absorber, and the trailing face a reflector. They would be mounted on a shaft or spindle which would be spun by the preferential impulse imparted by the ZPE photons on the reflecting surfaces. The rotating shaft can then generate an electric current if it is attached to a metal disk, or alternatively to windings or coils on a form, which it rotates in the field of a strong permanent magnet. This is the same principle of operation as an alternator, or DC generator, or, more generally, as a homopolar generator/motor. The output would depend on the size of the vanes and the rate of their rotation, the strength of the permanent magnet, the weight of the coils or metal disk and the efficiency of the system. Depending on the number and size of units employed, the electricity generated could be used to power computers and electronics, home appliances, electric cars, and </w:t>
      </w:r>
      <w:r w:rsidRPr="00AD0DF3">
        <w:rPr>
          <w:rFonts w:ascii="Book Antiqua" w:hAnsi="Book Antiqua"/>
          <w:sz w:val="20"/>
        </w:rPr>
        <w:lastRenderedPageBreak/>
        <w:t>even stand alone generators to power homes. More ambitious would be its development for commercial power generation.</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Because the ZPE has a frequency cubed distribution of waves or photons, the shorter the wavelengths employed, the larger the number of photons and hence the greater the number of reflections per unit area on the vanes. In turn this means that more momentum will be transferred, causing the pressure exerted on the vanes to be greater. This will make the device more efficient. Thus the vanes should be made so that they can reflect the shorter wavelengths of the ZPE. The shortest wavelengths are gamma rays then the next shortest are X-rays, while Ultra Violet wavelengths are the longest of the trio. While gamma ray reflection is currently proving to be a difficult problem, the technology for X-ray mirrors or reflectors are slowly becoming more available. At the same time, UV reflectors are now in more common use and thereby easily obtained.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What needs to be ascertained is the pressure that is exerted by the impacting, reflected, photons of the ZPE. This pressure must be significantly greater than atmospheric pressure in order to turn the vanes of the device efficiently. The ZPE pressure is expected to be of the same order of magnitude as the Casimir pressure, </w:t>
      </w:r>
      <w:r w:rsidRPr="00AD0DF3">
        <w:rPr>
          <w:rFonts w:ascii="Book Antiqua" w:hAnsi="Book Antiqua"/>
          <w:i/>
          <w:sz w:val="20"/>
        </w:rPr>
        <w:t>P</w:t>
      </w:r>
      <w:r w:rsidRPr="00AD0DF3">
        <w:rPr>
          <w:rFonts w:ascii="Book Antiqua" w:hAnsi="Book Antiqua"/>
          <w:sz w:val="20"/>
        </w:rPr>
        <w:t xml:space="preserve"> which is exerted by specific wavelengths of the ZPE as they reflect from the Casimir plates. This pressure is given by the formula</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right"/>
        <w:rPr>
          <w:rFonts w:ascii="Book Antiqua" w:hAnsi="Book Antiqua"/>
          <w:i/>
          <w:sz w:val="20"/>
        </w:rPr>
      </w:pPr>
      <m:oMath>
        <m:r>
          <w:rPr>
            <w:rFonts w:ascii="Cambria Math" w:hAnsi="Cambria Math"/>
            <w:sz w:val="20"/>
          </w:rPr>
          <m:t>P</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Book Antiqua" w:hAnsi="Cambria Math"/>
            <w:sz w:val="20"/>
          </w:rPr>
          <m:t>h</m:t>
        </m:r>
        <m:r>
          <w:rPr>
            <w:rFonts w:ascii="Cambria Math" w:hAnsi="Cambria Math"/>
            <w:sz w:val="20"/>
          </w:rPr>
          <m:t>c</m:t>
        </m:r>
        <m:r>
          <w:rPr>
            <w:rFonts w:ascii="Cambria Math" w:hAnsi="Book Antiqua"/>
            <w:sz w:val="20"/>
          </w:rPr>
          <m:t>)/(2</m:t>
        </m:r>
        <m:r>
          <w:rPr>
            <w:rFonts w:ascii="Cambria Math" w:hAnsi="Cambria Math"/>
            <w:sz w:val="20"/>
          </w:rPr>
          <m:t>π</m:t>
        </m:r>
        <m:r>
          <w:rPr>
            <w:rFonts w:ascii="Cambria Math" w:hAnsi="Book Antiqua"/>
            <w:sz w:val="20"/>
          </w:rPr>
          <m:t>)]/(240</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m:t>
        </m:r>
      </m:oMath>
      <w:r w:rsidRPr="00AD0DF3">
        <w:rPr>
          <w:rFonts w:ascii="Book Antiqua" w:hAnsi="Book Antiqua"/>
          <w:sz w:val="20"/>
        </w:rPr>
        <w:tab/>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 xml:space="preserve">         (1)</w:t>
      </w:r>
    </w:p>
    <w:p w:rsidR="004C63DA" w:rsidRPr="00AD0DF3" w:rsidRDefault="004C63DA" w:rsidP="004C63DA">
      <w:pPr>
        <w:pStyle w:val="NoSpacing"/>
        <w:jc w:val="right"/>
        <w:rPr>
          <w:rFonts w:ascii="Book Antiqua" w:hAnsi="Book Antiqua"/>
          <w:sz w:val="20"/>
        </w:rPr>
      </w:pPr>
      <w:r w:rsidRPr="00AD0DF3">
        <w:rPr>
          <w:rFonts w:ascii="Book Antiqua" w:hAnsi="Book Antiqua"/>
          <w:sz w:val="20"/>
        </w:rPr>
        <w:tab/>
      </w:r>
      <w:r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proofErr w:type="gramStart"/>
      <w:r w:rsidRPr="00AD0DF3">
        <w:rPr>
          <w:rFonts w:ascii="Book Antiqua" w:hAnsi="Book Antiqua"/>
          <w:sz w:val="20"/>
        </w:rPr>
        <w:t>where</w:t>
      </w:r>
      <w:proofErr w:type="gramEnd"/>
      <w:r w:rsidRPr="00AD0DF3">
        <w:rPr>
          <w:rFonts w:ascii="Book Antiqua" w:hAnsi="Book Antiqua"/>
          <w:sz w:val="20"/>
        </w:rPr>
        <w:t xml:space="preserve"> pressure, </w:t>
      </w:r>
      <m:oMath>
        <m:r>
          <w:rPr>
            <w:rFonts w:ascii="Cambria Math" w:hAnsi="Cambria Math"/>
            <w:sz w:val="20"/>
          </w:rPr>
          <m:t>P</m:t>
        </m:r>
      </m:oMath>
      <w:r w:rsidRPr="00AD0DF3">
        <w:rPr>
          <w:rFonts w:ascii="Book Antiqua" w:hAnsi="Book Antiqua"/>
          <w:sz w:val="20"/>
        </w:rPr>
        <w:t xml:space="preserve">, is in Pascals, and </w:t>
      </w:r>
      <m:oMath>
        <m:r>
          <w:rPr>
            <w:rFonts w:ascii="Cambria Math" w:hAnsi="Cambria Math"/>
            <w:sz w:val="20"/>
          </w:rPr>
          <m:t>λ</m:t>
        </m:r>
      </m:oMath>
      <w:r w:rsidRPr="00AD0DF3">
        <w:rPr>
          <w:rFonts w:ascii="Book Antiqua" w:hAnsi="Book Antiqua"/>
          <w:sz w:val="20"/>
        </w:rPr>
        <w:t xml:space="preserve"> is the wavelength of the reflected photons in meters. We need our definition to be in comparison to atmospheric pressure to gauge how well the vanes will work in air. The average atmospheric pressure at sea level is 101,325 Pascals, which equals 1.01325 Bars, even though for physics and chemistry the standard atmospheric pressure is accepted as being 1.000 Bar. For our purposes here we therefore re-write (1) as</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)(101325)] </m:t>
        </m:r>
        <m:r>
          <w:rPr>
            <w:rFonts w:ascii="Cambria Math" w:hAnsi="Cambria Math"/>
            <w:sz w:val="20"/>
          </w:rPr>
          <m:t>Bars</m:t>
        </m:r>
      </m:oMath>
      <w:r w:rsidRPr="00AD0DF3">
        <w:rPr>
          <w:rFonts w:ascii="Book Antiqua" w:hAnsi="Book Antiqua"/>
          <w:sz w:val="20"/>
        </w:rPr>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(2)</w:t>
      </w:r>
      <w:r w:rsidRPr="00AD0DF3">
        <w:rPr>
          <w:rFonts w:ascii="Book Antiqua" w:hAnsi="Book Antiqua"/>
          <w:sz w:val="20"/>
        </w:rPr>
        <w:t xml:space="preserve"> </w:t>
      </w:r>
    </w:p>
    <w:p w:rsidR="004C63DA" w:rsidRPr="00AD0DF3" w:rsidRDefault="004C63DA" w:rsidP="004C63DA">
      <w:pPr>
        <w:pStyle w:val="NoSpacing"/>
        <w:jc w:val="both"/>
        <w:rPr>
          <w:rFonts w:ascii="Book Antiqua" w:hAnsi="Book Antiqua"/>
          <w:sz w:val="20"/>
        </w:rPr>
      </w:pPr>
    </w:p>
    <w:p w:rsidR="004C63DA" w:rsidRDefault="004C63DA" w:rsidP="004C63DA">
      <w:pPr>
        <w:pStyle w:val="NoSpacing"/>
        <w:ind w:firstLine="720"/>
        <w:jc w:val="both"/>
        <w:rPr>
          <w:rFonts w:ascii="Book Antiqua" w:hAnsi="Book Antiqua"/>
          <w:sz w:val="20"/>
        </w:rPr>
      </w:pPr>
      <w:r w:rsidRPr="00AD0DF3">
        <w:rPr>
          <w:rFonts w:ascii="Book Antiqua" w:hAnsi="Book Antiqua"/>
          <w:sz w:val="20"/>
        </w:rPr>
        <w:t xml:space="preserve">Calculation then reveals that the pressure exerted on unit area by ultra-violet wavelengths of </w:t>
      </w:r>
      <m:oMath>
        <m:r>
          <w:rPr>
            <w:rFonts w:ascii="Cambria Math" w:hAnsi="Book Antiqua"/>
            <w:sz w:val="20"/>
          </w:rPr>
          <m:t xml:space="preserve">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meters is only around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Pr>
          <w:rFonts w:ascii="Book Antiqua" w:hAnsi="Book Antiqua"/>
          <w:sz w:val="20"/>
        </w:rPr>
        <w:t xml:space="preserve"> </w:t>
      </w:r>
      <w:r w:rsidRPr="00AD0DF3">
        <w:rPr>
          <w:rFonts w:ascii="Book Antiqua" w:hAnsi="Book Antiqua"/>
          <w:sz w:val="20"/>
        </w:rPr>
        <w:t xml:space="preserve">Bars. Clearly, this will not work. At wavelengths around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meters, the pressure exerted on unit area by ZPE photons is close to 1.3 Bars. This then, is the minimum wavelength that is useful for our purposes. Soft X-rays have a mid-range of wavelengths of the order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 xml:space="preserve">meters. When this figure is substituted for </w:t>
      </w:r>
      <m:oMath>
        <m:r>
          <w:rPr>
            <w:rFonts w:ascii="Cambria Math" w:hAnsi="Cambria Math"/>
            <w:sz w:val="20"/>
          </w:rPr>
          <m:t>λ</m:t>
        </m:r>
      </m:oMath>
      <w:r w:rsidRPr="00AD0DF3">
        <w:rPr>
          <w:rFonts w:ascii="Book Antiqua" w:hAnsi="Book Antiqua"/>
          <w:sz w:val="20"/>
        </w:rPr>
        <w:t xml:space="preserve"> in (2) we obtain a pressure from the ZPE photons of 12,830 Bars. </w:t>
      </w:r>
    </w:p>
    <w:p w:rsidR="004C63DA"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From this it becomes apparent that the best range of wavelengths for our purposes should go from about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that is from 10 nanometers down to one nanometer, or even shorter. These wavelengths correspond to frequencies of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oMath>
      <w:r w:rsidRPr="00AD0DF3">
        <w:rPr>
          <w:rFonts w:ascii="Book Antiqua" w:hAnsi="Book Antiqua"/>
          <w:sz w:val="20"/>
        </w:rPr>
        <w:t xml:space="preserve"> hertz and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respectively. This is usually designated as “soft” X-rays with the longest (and less desirable) wavelengths bordering on the extreme ultraviolet (XUV). The alternate way of expressing these figures is in terms of their energies in electron-volts (eV) or kilo electron Volts (keV). An electron volt is the energy required to move an electron through a potential difference of 1 volt. For the case we are dealing with here, the range of interest extends from the least desirable 0.12 keV for wavelengths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meters, up to at least 1.2 keV for the best wavelengths of</w:t>
      </w:r>
      <m:oMath>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meters or more.</w:t>
      </w:r>
    </w:p>
    <w:p w:rsidR="004C63DA" w:rsidRPr="00AD0DF3"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r w:rsidRPr="00AD0DF3">
        <w:rPr>
          <w:rFonts w:ascii="Book Antiqua" w:hAnsi="Book Antiqua"/>
          <w:sz w:val="20"/>
        </w:rPr>
        <w:t xml:space="preserve">In the proposed device, the opposite side of the vanes should be as perfect an absorber of X-rays as possible. Again, recent technology has the concepts necessary to achieve this. Currently, absorption is achieved by depositing thin films of gold, wolfram, tantalum or tungsten on a substrate. In the applications for which they were designed, the thickness of these absorbing deposits usually ranged from 25 to 40 micro-meters or microns. Such technology is used in the etching of electronic components and the like. If these current technologies were extended to apply to the case in hand here, it should be possible to achieve an excellent soft X-ray absorber on one side of the vanes. A discussion on the heat sink that might be needed in this case will occur a little later. </w:t>
      </w:r>
    </w:p>
    <w:p w:rsidR="004C63DA"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i/>
          <w:sz w:val="20"/>
        </w:rPr>
        <w:lastRenderedPageBreak/>
        <w:t>F3.  Cross-Check Calculations</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We need to get an independent cross-check, or at least some separate comparison, of our calculation that the pressure exerted by the soft X-ray photons of the ZPE will be well in excess of atmospheric prerssure. In order to do this comparison, we recall that an electron jitters from the impacting waves (or photons) of the ZPE at the Compton frequency. In other words, the Compton frequency is the number of resonant hits that the electron receives from ZPE photons; that number is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As Haisch and others have pointed out, only those impacting photons of the ZPE whose wavelengths are close to the size of the electron will cause the resonant "jitter." The other photons have little effect. So there are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wavelengths are about the size of the electron, impacting on it per second. M.H. Mac Gregor in </w:t>
      </w:r>
      <w:r w:rsidRPr="00AD0DF3">
        <w:rPr>
          <w:rFonts w:ascii="Book Antiqua" w:hAnsi="Book Antiqua"/>
          <w:i/>
          <w:sz w:val="20"/>
        </w:rPr>
        <w:t xml:space="preserve">The Enigmatic </w:t>
      </w:r>
      <w:proofErr w:type="gramStart"/>
      <w:r w:rsidRPr="00AD0DF3">
        <w:rPr>
          <w:rFonts w:ascii="Book Antiqua" w:hAnsi="Book Antiqua"/>
          <w:i/>
          <w:sz w:val="20"/>
        </w:rPr>
        <w:t>Electron</w:t>
      </w:r>
      <w:r w:rsidRPr="00AD0DF3">
        <w:rPr>
          <w:rFonts w:ascii="Book Antiqua" w:hAnsi="Book Antiqua"/>
          <w:sz w:val="20"/>
        </w:rPr>
        <w:t>,</w:t>
      </w:r>
      <w:proofErr w:type="gramEnd"/>
      <w:r w:rsidRPr="00AD0DF3">
        <w:rPr>
          <w:rFonts w:ascii="Book Antiqua" w:hAnsi="Book Antiqua"/>
          <w:sz w:val="20"/>
        </w:rPr>
        <w:t xml:space="preserve"> has pointed out that there are at least 7 differing electron radii that can be used for purposes of calculation. One which is frequently used is the Classical Electron Radius which results when the electron mass is taken as coming from the classical self-energy of its electric field, as we have done elsewhere in this monograph. This radius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taken as our standard, then the wavelengths of the ZPE that are jiggling the electron are of the order of the electron’s diameter or about </w:t>
      </w:r>
      <m:oMath>
        <m:r>
          <w:rPr>
            <w:rFonts w:ascii="Cambria Math" w:hAnsi="Book Antiqua"/>
            <w:sz w:val="20"/>
          </w:rPr>
          <m:t xml:space="preserve">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the wavelength of the impacting photons causing the jiggle, then their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hertz.</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There are thus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that impact on the area of the spherical electron each second. Given the fact that the area of a sphere is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oMath>
      <w:r w:rsidRPr="00AD0DF3">
        <w:rPr>
          <w:rFonts w:ascii="Book Antiqua" w:hAnsi="Book Antiqua"/>
          <w:sz w:val="20"/>
        </w:rPr>
        <w:t xml:space="preserve">, and that the Classical Radius, </w:t>
      </w:r>
      <m:oMath>
        <m:r>
          <w:rPr>
            <w:rFonts w:ascii="Cambria Math" w:hAnsi="Cambria Math"/>
            <w:sz w:val="20"/>
          </w:rPr>
          <m:t>r</m:t>
        </m:r>
      </m:oMath>
      <w:r w:rsidRPr="00AD0DF3">
        <w:rPr>
          <w:rFonts w:ascii="Book Antiqua" w:hAnsi="Book Antiqua"/>
          <w:sz w:val="20"/>
        </w:rPr>
        <w:t xml:space="preserve">, of an electron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then the surface area being impacted per second by these waves is given by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r>
              <w:rPr>
                <w:rFonts w:ascii="Cambria Math" w:hAnsi="Book Antiqua"/>
                <w:sz w:val="20"/>
              </w:rPr>
              <m:t>)</m:t>
            </m:r>
          </m:e>
          <m:sup>
            <m:r>
              <w:rPr>
                <w:rFonts w:ascii="Cambria Math" w:hAnsi="Book Antiqua"/>
                <w:sz w:val="20"/>
              </w:rPr>
              <m:t>2</m:t>
            </m:r>
          </m:sup>
        </m:sSup>
      </m:oMath>
      <w:r w:rsidRPr="00AD0DF3">
        <w:rPr>
          <w:rFonts w:ascii="Book Antiqua" w:hAnsi="Book Antiqua"/>
          <w:sz w:val="20"/>
        </w:rPr>
        <w:t xml:space="preserve"> sq cm., or very close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 xml:space="preserve">24 </m:t>
            </m:r>
          </m:sup>
        </m:sSup>
      </m:oMath>
      <w:r w:rsidRPr="00AD0DF3">
        <w:rPr>
          <w:rFonts w:ascii="Book Antiqua" w:hAnsi="Book Antiqua"/>
          <w:sz w:val="20"/>
        </w:rPr>
        <w:t xml:space="preserve">square cm. This means that there must be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vertAlign w:val="superscript"/>
          </w:rPr>
          <m:t xml:space="preserve"> </m:t>
        </m:r>
        <m:r>
          <w:rPr>
            <w:rFonts w:ascii="Cambria Math" w:hAnsi="Book Antiqua"/>
            <w:sz w:val="20"/>
          </w:rPr>
          <m:t>/(</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r>
          <w:rPr>
            <w:rFonts w:ascii="Cambria Math" w:hAnsi="Book Antiqua"/>
            <w:sz w:val="20"/>
          </w:rPr>
          <m:t xml:space="preserve">) =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oMath>
      <w:r w:rsidRPr="00AD0DF3">
        <w:rPr>
          <w:rFonts w:ascii="Book Antiqua" w:hAnsi="Book Antiqua"/>
          <w:sz w:val="20"/>
        </w:rPr>
        <w:t xml:space="preserve"> hits per second per square centimeter by photons which have a frequency of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for the electron to jiggle at the Compton frequency.</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360"/>
        <w:jc w:val="both"/>
        <w:rPr>
          <w:rFonts w:ascii="Book Antiqua" w:hAnsi="Book Antiqua"/>
          <w:sz w:val="20"/>
        </w:rPr>
      </w:pPr>
      <w:r w:rsidRPr="00AD0DF3">
        <w:rPr>
          <w:rFonts w:ascii="Book Antiqua" w:hAnsi="Book Antiqua"/>
          <w:sz w:val="20"/>
        </w:rPr>
        <w:t xml:space="preserve">Having established our ZPE "baseline" frequency and the number of photons involved, we now need to calculate the number of ZPE photons of soft X-ray frequencies on the basis of the known frequency cubed distribution of the ZPE.Then we can work out the pressure that would be exerted. Let us take the mid-range frequency of soft X-rays. This wavelength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centimeters (or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corresponds to a frequency of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hertz.</w:t>
      </w:r>
    </w:p>
    <w:p w:rsidR="004C63DA" w:rsidRPr="00AD0DF3" w:rsidRDefault="004C63DA" w:rsidP="004C63DA">
      <w:pPr>
        <w:pStyle w:val="NoSpacing"/>
        <w:ind w:firstLine="360"/>
        <w:jc w:val="both"/>
        <w:rPr>
          <w:rFonts w:ascii="Book Antiqua" w:hAnsi="Book Antiqua"/>
          <w:sz w:val="20"/>
        </w:rPr>
      </w:pPr>
    </w:p>
    <w:p w:rsidR="004C63DA" w:rsidRPr="00AD0DF3" w:rsidRDefault="004C63DA" w:rsidP="004C63DA">
      <w:pPr>
        <w:pStyle w:val="NoSpacing"/>
        <w:ind w:firstLine="360"/>
        <w:jc w:val="both"/>
        <w:rPr>
          <w:rFonts w:ascii="Book Antiqua" w:hAnsi="Book Antiqua"/>
          <w:sz w:val="20"/>
        </w:rPr>
      </w:pPr>
      <w:r w:rsidRPr="00AD0DF3">
        <w:rPr>
          <w:rFonts w:ascii="Book Antiqua" w:hAnsi="Book Antiqua"/>
          <w:sz w:val="20"/>
        </w:rPr>
        <w:t>From there, we calculate the number of soft X-ray photons hitting per second on one square centimeter. This will be given by the cube of the ratio of frequencies multiplied by the number of hits per second per square centimeter for an electron. Doing this we get:</w:t>
      </w:r>
    </w:p>
    <w:p w:rsidR="004C63DA" w:rsidRPr="00AD0DF3" w:rsidRDefault="004C63DA" w:rsidP="004C63DA">
      <w:pPr>
        <w:pStyle w:val="NoSpacing"/>
        <w:ind w:firstLine="360"/>
        <w:jc w:val="both"/>
        <w:rPr>
          <w:rFonts w:ascii="Book Antiqua" w:hAnsi="Book Antiqua"/>
          <w:sz w:val="20"/>
        </w:rPr>
      </w:pPr>
    </w:p>
    <w:p w:rsidR="004C63DA" w:rsidRPr="00AD0DF3" w:rsidRDefault="00241D2F" w:rsidP="004C63DA">
      <w:pPr>
        <w:pStyle w:val="NoSpacing"/>
        <w:ind w:firstLine="360"/>
        <w:jc w:val="right"/>
        <w:rPr>
          <w:rFonts w:ascii="Book Antiqua" w:hAnsi="Book Antiqua"/>
          <w:sz w:val="20"/>
        </w:rPr>
      </w:pPr>
      <m:oMath>
        <m:sSup>
          <m:sSupPr>
            <m:ctrlPr>
              <w:rPr>
                <w:rFonts w:ascii="Cambria Math" w:hAnsi="Book Antiqua"/>
                <w:i/>
                <w:sz w:val="20"/>
              </w:rPr>
            </m:ctrlPr>
          </m:sSupPr>
          <m:e>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(5.31 </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r>
              <w:rPr>
                <w:rFonts w:ascii="Cambria Math" w:hAnsi="Book Antiqua"/>
                <w:sz w:val="20"/>
              </w:rPr>
              <m:t>)]</m:t>
            </m:r>
          </m:e>
          <m:sup>
            <m:r>
              <w:rPr>
                <w:rFonts w:ascii="Cambria Math" w:hAnsi="Book Antiqua"/>
                <w:sz w:val="20"/>
              </w:rPr>
              <m:t>3</m:t>
            </m:r>
          </m:sup>
        </m:sSup>
        <m:r>
          <w:rPr>
            <w:rFonts w:ascii="Cambria Math" w:hAnsi="Book Antiqua"/>
            <w:sz w:val="20"/>
          </w:rPr>
          <m:t xml:space="preserve"> </m:t>
        </m:r>
        <m:r>
          <w:rPr>
            <w:rFonts w:ascii="Cambria Math" w:hAnsi="Cambria Math"/>
            <w:sz w:val="20"/>
          </w:rPr>
          <m:t>x</m:t>
        </m:r>
        <m:r>
          <w:rPr>
            <w:rFonts w:ascii="Cambria Math" w:hAnsi="Book Antiqua"/>
            <w:sz w:val="20"/>
          </w:rPr>
          <m:t xml:space="preserve">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m:t>
        </m:r>
      </m:oMath>
      <w:r w:rsidR="004C63DA" w:rsidRPr="00AD0DF3">
        <w:rPr>
          <w:rFonts w:ascii="Book Antiqua" w:hAnsi="Book Antiqua"/>
          <w:sz w:val="20"/>
        </w:rPr>
        <w:t xml:space="preserve">  </w:t>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i/>
          <w:sz w:val="20"/>
        </w:rPr>
        <w:t>(3)</w:t>
      </w:r>
      <w:r w:rsidR="004C63DA" w:rsidRPr="00AD0DF3">
        <w:rPr>
          <w:rFonts w:ascii="Book Antiqua" w:hAnsi="Book Antiqua"/>
          <w:sz w:val="20"/>
        </w:rPr>
        <w:tab/>
      </w:r>
      <w:r w:rsidR="004C63DA"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 xml:space="preserve">Thus there will be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hits per second by these soft X-ray photons on an area of one square centimeter.</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 xml:space="preserve"> </w:t>
      </w:r>
      <w:r w:rsidRPr="00AD0DF3">
        <w:rPr>
          <w:rFonts w:ascii="Book Antiqua" w:hAnsi="Book Antiqua"/>
          <w:sz w:val="20"/>
        </w:rPr>
        <w:tab/>
        <w:t xml:space="preserve">The pressure exerted by these impacting photons is given by the force per unit area in dynes per square centimeter, or the momentum imparted per square cm. per second. The units of the two are equivalent (See A.P. French, Principles of Modern Physics, p.41, Wiley). The momentum of a photon can be obtained by the formula Energy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 xml:space="preserve"> </m:t>
        </m:r>
      </m:oMath>
      <w:r w:rsidRPr="00AD0DF3">
        <w:rPr>
          <w:rFonts w:ascii="Book Antiqua" w:hAnsi="Book Antiqua"/>
          <w:sz w:val="20"/>
        </w:rPr>
        <w:t xml:space="preserve">where </w:t>
      </w:r>
      <m:oMath>
        <m:r>
          <w:rPr>
            <w:rFonts w:ascii="Book Antiqua" w:hAnsi="Cambria Math"/>
            <w:sz w:val="20"/>
          </w:rPr>
          <m:t>h</m:t>
        </m:r>
      </m:oMath>
      <w:proofErr w:type="gramStart"/>
      <w:r w:rsidRPr="00AD0DF3">
        <w:rPr>
          <w:rFonts w:ascii="Book Antiqua" w:hAnsi="Book Antiqua"/>
          <w:sz w:val="20"/>
        </w:rPr>
        <w:t xml:space="preserve"> is Planck's constant</w:t>
      </w:r>
      <w:proofErr w:type="gramEnd"/>
      <w:r w:rsidRPr="00AD0DF3">
        <w:rPr>
          <w:rFonts w:ascii="Book Antiqua" w:hAnsi="Book Antiqua"/>
          <w:sz w:val="20"/>
        </w:rPr>
        <w:t xml:space="preserve"> and</w:t>
      </w:r>
      <m:oMath>
        <m:r>
          <w:rPr>
            <w:rFonts w:ascii="Cambria Math" w:hAnsi="Book Antiqua"/>
            <w:sz w:val="20"/>
          </w:rPr>
          <m:t xml:space="preserve"> </m:t>
        </m:r>
        <m:r>
          <w:rPr>
            <w:rFonts w:ascii="Cambria Math" w:hAnsi="Cambria Math"/>
            <w:sz w:val="20"/>
          </w:rPr>
          <m:t>f</m:t>
        </m:r>
      </m:oMath>
      <w:r w:rsidRPr="00AD0DF3">
        <w:rPr>
          <w:rFonts w:ascii="Book Antiqua" w:hAnsi="Book Antiqua"/>
          <w:sz w:val="20"/>
        </w:rPr>
        <w:t xml:space="preserve"> is frequency and </w:t>
      </w:r>
      <m:oMath>
        <m:r>
          <w:rPr>
            <w:rFonts w:ascii="Cambria Math" w:hAnsi="Cambria Math"/>
            <w:sz w:val="20"/>
          </w:rPr>
          <m:t>c</m:t>
        </m:r>
      </m:oMath>
      <w:r w:rsidRPr="00AD0DF3">
        <w:rPr>
          <w:rFonts w:ascii="Book Antiqua" w:hAnsi="Book Antiqua"/>
          <w:sz w:val="20"/>
        </w:rPr>
        <w:t xml:space="preserve"> is the speed of light.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From this we obtain the photon momentum from the formula </w:t>
      </w:r>
      <m:oMath>
        <m:r>
          <w:rPr>
            <w:rFonts w:ascii="Cambria Math" w:hAnsi="Cambria Math"/>
            <w:sz w:val="20"/>
          </w:rPr>
          <m:t>mc</m:t>
        </m:r>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m:t>
        </m:r>
        <m:r>
          <w:rPr>
            <w:rFonts w:ascii="Cambria Math" w:hAnsi="Cambria Math"/>
            <w:sz w:val="20"/>
          </w:rPr>
          <m:t>c</m:t>
        </m:r>
      </m:oMath>
      <w:r w:rsidRPr="00AD0DF3">
        <w:rPr>
          <w:rFonts w:ascii="Book Antiqua" w:hAnsi="Book Antiqua"/>
          <w:sz w:val="20"/>
        </w:rPr>
        <w:t xml:space="preserve"> dynes per square centimeter. Here </w:t>
      </w:r>
      <m:oMath>
        <m:r>
          <w:rPr>
            <w:rFonts w:ascii="Book Antiqua" w:hAnsi="Cambria Math"/>
            <w:sz w:val="20"/>
          </w:rPr>
          <m:t>h</m:t>
        </m:r>
      </m:oMath>
      <w:r w:rsidRPr="00AD0DF3">
        <w:rPr>
          <w:rFonts w:ascii="Book Antiqua" w:hAnsi="Book Antiqua"/>
          <w:sz w:val="20"/>
        </w:rPr>
        <w:t xml:space="preserve"> is in units of erg-sec, </w:t>
      </w:r>
      <m:oMath>
        <m:r>
          <w:rPr>
            <w:rFonts w:ascii="Cambria Math" w:hAnsi="Cambria Math"/>
            <w:sz w:val="20"/>
          </w:rPr>
          <m:t>f</m:t>
        </m:r>
      </m:oMath>
      <w:r w:rsidRPr="00AD0DF3">
        <w:rPr>
          <w:rFonts w:ascii="Book Antiqua" w:hAnsi="Book Antiqua"/>
          <w:sz w:val="20"/>
        </w:rPr>
        <w:t xml:space="preserve"> is in hertz and </w:t>
      </w:r>
      <m:oMath>
        <m:r>
          <w:rPr>
            <w:rFonts w:ascii="Cambria Math" w:hAnsi="Cambria Math"/>
            <w:sz w:val="20"/>
          </w:rPr>
          <m:t>c</m:t>
        </m:r>
      </m:oMath>
      <w:r w:rsidRPr="00AD0DF3">
        <w:rPr>
          <w:rFonts w:ascii="Book Antiqua" w:hAnsi="Book Antiqua"/>
          <w:sz w:val="20"/>
        </w:rPr>
        <w:t xml:space="preserve"> is in centimeters per second. The momentum of one soft X-ray photon is then given by the expression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r>
          <w:rPr>
            <w:rFonts w:ascii="Cambria Math" w:hAnsi="Book Antiqua"/>
            <w:sz w:val="20"/>
          </w:rPr>
          <m:t xml:space="preserve">) = 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oMath>
      <w:r w:rsidRPr="00AD0DF3">
        <w:rPr>
          <w:rFonts w:ascii="Book Antiqua" w:hAnsi="Book Antiqua"/>
          <w:sz w:val="20"/>
        </w:rPr>
        <w:t xml:space="preserve"> dynes per square cm. Therefore, since there are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photons hitting per second, the pressure will be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 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9</m:t>
            </m:r>
          </m:sup>
        </m:sSup>
      </m:oMath>
      <w:r w:rsidRPr="00AD0DF3">
        <w:rPr>
          <w:rFonts w:ascii="Book Antiqua" w:hAnsi="Book Antiqua"/>
          <w:sz w:val="20"/>
        </w:rPr>
        <w:t xml:space="preserve"> dynes per square cm. from soft X-rays of 1.2 keV. This is the same as </w:t>
      </w:r>
      <m:oMath>
        <m:r>
          <w:rPr>
            <w:rFonts w:ascii="Cambria Math" w:hAnsi="Book Antiqua"/>
            <w:sz w:val="20"/>
          </w:rPr>
          <m:t xml:space="preserve">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AD0DF3">
        <w:rPr>
          <w:rFonts w:ascii="Book Antiqua" w:hAnsi="Book Antiqua"/>
          <w:sz w:val="20"/>
        </w:rPr>
        <w:t xml:space="preserve"> Pascals, which, when using the conversion in (2) gives us 1460 Bars pressure. This is an order of magnitude less than the 12,830 Bars from the earlier calculation. As a result, this should be considered to be a conservative estimate. Indeed, if the full quota of ZPE photons is not reflected, but only, say, 2/3</w:t>
      </w:r>
      <w:r w:rsidRPr="00AD0DF3">
        <w:rPr>
          <w:rFonts w:ascii="Book Antiqua" w:hAnsi="Book Antiqua"/>
          <w:sz w:val="20"/>
          <w:vertAlign w:val="superscript"/>
        </w:rPr>
        <w:t>rd</w:t>
      </w:r>
      <w:r w:rsidRPr="00AD0DF3">
        <w:rPr>
          <w:rFonts w:ascii="Book Antiqua" w:hAnsi="Book Antiqua"/>
          <w:sz w:val="20"/>
        </w:rPr>
        <w:t xml:space="preserve"> then we still have a pressure of 1000 Bars to work with. This suggests that the machine will work well using soft X-ray technology.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r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r w:rsidRPr="00AD0DF3">
        <w:rPr>
          <w:rFonts w:ascii="Book Antiqua" w:hAnsi="Book Antiqua"/>
          <w:b/>
          <w:i/>
          <w:sz w:val="20"/>
        </w:rPr>
        <w:lastRenderedPageBreak/>
        <w:tab/>
      </w:r>
      <w:r w:rsidRPr="00AD0DF3">
        <w:rPr>
          <w:rFonts w:ascii="Book Antiqua" w:hAnsi="Book Antiqua"/>
          <w:sz w:val="20"/>
        </w:rPr>
        <w:t xml:space="preserve">Current technology allows "soft" X-rays to be reflected from angles </w:t>
      </w:r>
      <w:r>
        <w:rPr>
          <w:rFonts w:ascii="Book Antiqua" w:hAnsi="Book Antiqua"/>
          <w:sz w:val="20"/>
        </w:rPr>
        <w:t>up to almost</w:t>
      </w:r>
      <w:r w:rsidRPr="00AD0DF3">
        <w:rPr>
          <w:rFonts w:ascii="Book Antiqua" w:hAnsi="Book Antiqua"/>
          <w:sz w:val="20"/>
        </w:rPr>
        <w:t xml:space="preserve"> 90 degrees to the surface (normal incidence) with efficiencies up to 80%. Certain crystals can do this naturally, but a similar result can be obtained artificially. A</w:t>
      </w:r>
      <w:r w:rsidRPr="00AD0DF3">
        <w:rPr>
          <w:rFonts w:ascii="Book Antiqua" w:hAnsi="Book Antiqua"/>
          <w:snapToGrid w:val="0"/>
          <w:sz w:val="20"/>
        </w:rPr>
        <w:t xml:space="preserve">rtificial X-ray reflectors were developed in the 1990's and consist of a stack of typically 100-200 alternating nanometer-thick layers made from two different chemical elements. They are produced by coating each layer to a precise thickness, with accuracies in the order of picometers. The technology is known as X-Ray Reflectometry (XRR). In 1997, NASA technicians at the Goddard Space Flight Center also developed a technique, </w:t>
      </w:r>
      <w:r w:rsidRPr="00AD0DF3">
        <w:rPr>
          <w:rFonts w:ascii="Book Antiqua" w:hAnsi="Book Antiqua"/>
          <w:sz w:val="20"/>
        </w:rPr>
        <w:t xml:space="preserve">which utilizes a new multilayer coating over foil </w:t>
      </w:r>
      <w:proofErr w:type="gramStart"/>
      <w:r w:rsidRPr="00AD0DF3">
        <w:rPr>
          <w:rFonts w:ascii="Book Antiqua" w:hAnsi="Book Antiqua"/>
          <w:sz w:val="20"/>
        </w:rPr>
        <w:t>reflectors, that</w:t>
      </w:r>
      <w:proofErr w:type="gramEnd"/>
      <w:r w:rsidRPr="00AD0DF3">
        <w:rPr>
          <w:rFonts w:ascii="Book Antiqua" w:hAnsi="Book Antiqua"/>
          <w:sz w:val="20"/>
        </w:rPr>
        <w:t xml:space="preserve"> reflected X-rays with energies ranging up to 35 keV.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More recently, technology has been developing which will allow "hard" X-rays up to 79 keV to be reflected from depth-graded multi-layers of chemical elements that have been given a high polish. However, the commercially available technology will only allow reflection of these X-rays from a relatively shallow angle. While the technology to reflect hard X-rays from higher angles may be in the process of being investigated and perfected, it does not seem to be readily available at this point in time. In any case, it should not prove necessary to try to reflect photons of such high energies as there seem to be sufficient lower energy ZPE photons to work efficiently with fewer problems.</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Given the probability that any potential problems in reflecting “soft” X-rays can be overcome, the concept that vanes coated with a highly polished X-ray reflector on one side and a good absorber on the other will rotate on a spindle or shaft should certainly work from basic physics. These calculations seem to indicate that even an inefficient device would then be able to perform well. Note that larger vanes would seem to intuitively allow greater X-ray reflection which would result in a greater angular momentum for the rotating vanes and hence greater efficiency.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rmalWeb"/>
        <w:spacing w:before="0" w:beforeAutospacing="0" w:after="240" w:afterAutospacing="0" w:line="210" w:lineRule="atLeast"/>
        <w:jc w:val="both"/>
        <w:rPr>
          <w:rStyle w:val="Strong"/>
          <w:rFonts w:ascii="Book Antiqua" w:hAnsi="Book Antiqua"/>
          <w:b w:val="0"/>
          <w:i/>
          <w:sz w:val="20"/>
          <w:szCs w:val="20"/>
        </w:rPr>
      </w:pPr>
      <w:r w:rsidRPr="00AD0DF3">
        <w:rPr>
          <w:rStyle w:val="Strong"/>
          <w:rFonts w:ascii="Book Antiqua" w:hAnsi="Book Antiqua"/>
          <w:i/>
          <w:sz w:val="20"/>
          <w:szCs w:val="20"/>
        </w:rPr>
        <w:t>F4.  Useful Power</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next matter needing examination is the generation of electric current. This can come from either a system of metal coils wrapped on some sort of form, or, alternatively, a metal disk which would be attached to the shaft with the rotating vanes. These coils or the disk must turn in the field of a strong magnet with the resultant electric current being produced by the same principles as an alternator, DC generator or homopolar generator/motor. The homopolar motor is the most efficient of the three systems and can operate from a smaller size for any given power level. A homopolar motor also lacks the inherent time-varying forces that are a source of noise in alternating current generation. Finally, it also has simplicity of control compared with its rivals.  </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In 1831, Michael Faraday was the first to use this mechanism as a way to generate an electric current. He did this by rotating a metal disk in the magnetic field of a fixed, permanent magnet. As the metal rotated through the magnetic field, an electric current was generated in the disk and flowed out through the brushes which were acting as a sliding contact on the edge of the disk. The circuit was completed by connecting a wire from the brushes through a resistance to the rotating shaft.  In this configuration, the system acts as a generator. In contrast, when an electric current is supplied to the disk (instead of being drawn from it as proposed here) a mechanical torque is produced, and the system acts as an electric motor. Thus Faraday's mechanism can be used as either a generator of electric current, or as an electric motor. It is the first application that we </w:t>
      </w:r>
      <w:r>
        <w:rPr>
          <w:rFonts w:ascii="Book Antiqua" w:hAnsi="Book Antiqua"/>
          <w:sz w:val="20"/>
        </w:rPr>
        <w:t>might consider in this</w:t>
      </w:r>
      <w:r w:rsidRPr="00AD0DF3">
        <w:rPr>
          <w:rFonts w:ascii="Book Antiqua" w:hAnsi="Book Antiqua"/>
          <w:sz w:val="20"/>
        </w:rPr>
        <w:t xml:space="preserve"> case.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Homopolar generators produce high current but low voltage. If this is disadvantageous, the situation can now be at least partly overcome by several methods. Instead of a copper disk, multiple turns of wire in a coil, or coils, or armature are found to produce higher voltages. Experimenters have found that voltage is proportional to the number of turns in the coil. In another development, advanced solid state current converters can be used to increase the voltage from the generator and reduce the current</w:t>
      </w:r>
      <w:proofErr w:type="gramStart"/>
      <w:r w:rsidRPr="00AD0DF3">
        <w:rPr>
          <w:rFonts w:ascii="Book Antiqua" w:hAnsi="Book Antiqua"/>
          <w:sz w:val="20"/>
        </w:rPr>
        <w:t>.</w:t>
      </w:r>
      <w:r w:rsidRPr="00AD0DF3">
        <w:rPr>
          <w:rFonts w:ascii="Book Antiqua" w:hAnsi="Book Antiqua"/>
          <w:b/>
          <w:sz w:val="20"/>
        </w:rPr>
        <w:t>.</w:t>
      </w:r>
      <w:proofErr w:type="gramEnd"/>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efficiency of the homopolar generator itself is dependent upon the strength of the fixed magnet. The stronger, or more intense, the magnetic field the greater the current that can be generated for a given rotation rate of the spinning disk or coils. In practical applications, it has been found that the intensity of the magnetic field can be effectively increased through the use of superconducting magnets because they generate an intense magnetic field very efficiently. This strong magnetic field allows these generators to produce higher current with smaller sizes. The most recent developments here </w:t>
      </w:r>
      <w:r w:rsidRPr="00AD0DF3">
        <w:rPr>
          <w:rFonts w:ascii="Book Antiqua" w:hAnsi="Book Antiqua"/>
          <w:sz w:val="20"/>
        </w:rPr>
        <w:lastRenderedPageBreak/>
        <w:t xml:space="preserve">are the use of cryo-coolers instead of liquid helium, and copper fiber brushes to harvest the current. This arrangement has been used in some ship systems.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Thus, the technology for superconductive homopolar generators is already established. This suggests that minimal research and development should be needed for any necessary miniaturization. However, there are two problems. First, power must be supplied, at least initially to the superconductive magnet. Second, the cryogenic material boils away so continual replacement is required. These factors tend to </w:t>
      </w:r>
      <w:proofErr w:type="gramStart"/>
      <w:r w:rsidRPr="00AD0DF3">
        <w:rPr>
          <w:rFonts w:ascii="Book Antiqua" w:hAnsi="Book Antiqua"/>
          <w:sz w:val="20"/>
        </w:rPr>
        <w:t>mitigate</w:t>
      </w:r>
      <w:proofErr w:type="gramEnd"/>
      <w:r w:rsidRPr="00AD0DF3">
        <w:rPr>
          <w:rFonts w:ascii="Book Antiqua" w:hAnsi="Book Antiqua"/>
          <w:sz w:val="20"/>
        </w:rPr>
        <w:t xml:space="preserve"> against the use of superconductive magnets in the case of the smaller applications. There is also the cost factor to consider.</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If superconducting magnets prove a problem for these reasons, the alternative types of magnet that should be considered are the Neodymium variety. These magnets are an alloy of Neodymium, Iron and Boron in a tetragonal crystal structure</w:t>
      </w:r>
      <w:proofErr w:type="gramStart"/>
      <w:r>
        <w:rPr>
          <w:rFonts w:ascii="Book Antiqua" w:hAnsi="Book Antiqua"/>
          <w:sz w:val="20"/>
        </w:rPr>
        <w:t>,</w:t>
      </w:r>
      <w:r w:rsidRPr="00AD0DF3">
        <w:rPr>
          <w:rFonts w:ascii="Book Antiqua" w:hAnsi="Book Antiqua"/>
          <w:sz w:val="20"/>
        </w:rPr>
        <w:t xml:space="preserve"> </w:t>
      </w:r>
      <m:oMath>
        <w:proofErr w:type="gramEnd"/>
        <m:sSub>
          <m:sSubPr>
            <m:ctrlPr>
              <w:rPr>
                <w:rFonts w:ascii="Cambria Math" w:hAnsi="Book Antiqua"/>
                <w:i/>
                <w:sz w:val="20"/>
              </w:rPr>
            </m:ctrlPr>
          </m:sSubPr>
          <m:e>
            <m:r>
              <w:rPr>
                <w:rFonts w:ascii="Cambria Math" w:hAnsi="Cambria Math"/>
                <w:sz w:val="20"/>
              </w:rPr>
              <m:t>Nd</m:t>
            </m:r>
          </m:e>
          <m:sub>
            <m:r>
              <w:rPr>
                <w:rFonts w:ascii="Cambria Math" w:hAnsi="Book Antiqua"/>
                <w:sz w:val="20"/>
              </w:rPr>
              <m:t>2</m:t>
            </m:r>
          </m:sub>
        </m:sSub>
        <m:sSub>
          <m:sSubPr>
            <m:ctrlPr>
              <w:rPr>
                <w:rFonts w:ascii="Cambria Math" w:hAnsi="Book Antiqua"/>
                <w:i/>
                <w:sz w:val="20"/>
              </w:rPr>
            </m:ctrlPr>
          </m:sSubPr>
          <m:e>
            <m:r>
              <w:rPr>
                <w:rFonts w:ascii="Cambria Math" w:hAnsi="Cambria Math"/>
                <w:sz w:val="20"/>
              </w:rPr>
              <m:t>Fe</m:t>
            </m:r>
          </m:e>
          <m:sub>
            <m:r>
              <w:rPr>
                <w:rFonts w:ascii="Cambria Math" w:hAnsi="Book Antiqua"/>
                <w:sz w:val="20"/>
              </w:rPr>
              <m:t>14</m:t>
            </m:r>
          </m:sub>
        </m:sSub>
        <m:r>
          <w:rPr>
            <w:rFonts w:ascii="Cambria Math" w:hAnsi="Cambria Math"/>
            <w:sz w:val="20"/>
          </w:rPr>
          <m:t>B</m:t>
        </m:r>
      </m:oMath>
      <w:r w:rsidRPr="00AD0DF3">
        <w:rPr>
          <w:rFonts w:ascii="Book Antiqua" w:hAnsi="Book Antiqua"/>
          <w:sz w:val="20"/>
        </w:rPr>
        <w:t>. This type of magnet has the highest density of magnetic energy of all permanent magnets, around 200 to 440 kilo-Joules per cubic meter. They also have a high remanence, or strength of magnetic field, which is typically around 1.0 to 1.4 Tesla. In addition, they possess a much higher coercivity, or resistance to becoming demagnetized, than any other permanent magnet. The material can also be shaped and formed appropriately. This technology is also currently available without any major research or development being required.</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One of the disadvantages of the classical homopolar generator is the low output voltage due to the single current path on the disk through the magnetic flux. It was also found to be important to have a disk that was thick enough to allow good current generation. If the disk was too thin, the current was low. However, in the case under discussion here, it would be more difficult to rotate a thick copper disk, rather than a thin one, by the momentum supplied to the vanes by the ZPE photons. Furthermore, electric eddy currents form in the disk which wastes a good percentage of the energy of the system.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As a result of these problems, it appears desirable to replace the original metal disk used by Faraday with a system of multiple coils that can be rotated more easily by the shaft.  The exact configuration of these coils will depend on the application that they are being designed for, since a computer or home appliance will have different design constraints to that of a car or a stand-alone generator for a house.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A recent development for situations where wires sweep through magnetic fields is also appropriate here. Because such a system has its efficiency reduced by swirling magnetic vortices in the wires, research has shown that wires made of magnesium diboride (an easy exercise) can have this problem largely eliminated if 5 nanometer-wide particles of barium zirconate were added to the wire. This acts to “pin” the magnetic flux lines in place as the wires sweep through the field and prevents the formation of the magnetic vortices [Paul Marks, “Supercool wind power”, </w:t>
      </w:r>
      <w:r w:rsidRPr="00AD0DF3">
        <w:rPr>
          <w:rFonts w:ascii="Book Antiqua" w:hAnsi="Book Antiqua"/>
          <w:i/>
          <w:sz w:val="20"/>
        </w:rPr>
        <w:t>New Scientist</w:t>
      </w:r>
      <w:r w:rsidRPr="00AD0DF3">
        <w:rPr>
          <w:rFonts w:ascii="Book Antiqua" w:hAnsi="Book Antiqua"/>
          <w:sz w:val="20"/>
        </w:rPr>
        <w:t xml:space="preserve"> 19 Jan, 2013, p.19]. Such an arrangement would noticeably increase efficiency.</w:t>
      </w:r>
    </w:p>
    <w:p w:rsidR="004C63DA" w:rsidRPr="00AD0DF3" w:rsidRDefault="004C63DA" w:rsidP="004C63DA">
      <w:pPr>
        <w:pStyle w:val="NoSpacing"/>
        <w:jc w:val="both"/>
        <w:rPr>
          <w:rFonts w:ascii="Book Antiqua" w:hAnsi="Book Antiqua"/>
          <w:b/>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 xml:space="preserve">F5.   Questions </w:t>
      </w:r>
      <w:proofErr w:type="gramStart"/>
      <w:r w:rsidRPr="00AD0DF3">
        <w:rPr>
          <w:rFonts w:ascii="Book Antiqua" w:hAnsi="Book Antiqua"/>
          <w:i/>
          <w:sz w:val="20"/>
        </w:rPr>
        <w:t>Of</w:t>
      </w:r>
      <w:proofErr w:type="gramEnd"/>
      <w:r w:rsidRPr="00AD0DF3">
        <w:rPr>
          <w:rFonts w:ascii="Book Antiqua" w:hAnsi="Book Antiqua"/>
          <w:i/>
          <w:sz w:val="20"/>
        </w:rPr>
        <w:t xml:space="preserve"> Heat.</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Inevitably, when X-rays are absorbed, there will be some heat produced in the process. Obviously, much depends on how efficient the device actually is, and since there are no precedents to go by, experimentation would be necessary to determine this. Nevertheless, it seems wise to provide some kind of heat sink in the device. There already exist a number of arrangements for dealing with heat from X-rays. When X-rays are produced for research or commercially for medical work, some parts of the system reach very high temperatures. It is yet to be seen whether or not the device under consideration here becomes heated to these temperatures with soft X-rays. However, as a precaution, it may be wise to apply the technology used in these research and commercial instruments. In that case, it might be appropriate to construct the substrate for the vanes of molybdenum since this is used as the heat conductor from the commercial X-ray targets.</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In order to conduct the heat away from the vanes, the radial arms connecting the vanes to the rotating shaft should also be of molybdenum, as should the rotating shaft itself. The greater the length of the radial arms, the more torque will be supplied by the impacts on the vanes. However, if heating really does become a problem, the length of the radial arms may have to be shortened so that heat conduction is more efficient. This will obviously cause some loss of efficiency, but just how much can again only be determined by experiment. In the worst case scenario, the vanes might </w:t>
      </w:r>
      <w:r w:rsidRPr="00AD0DF3">
        <w:rPr>
          <w:rFonts w:ascii="Book Antiqua" w:hAnsi="Book Antiqua"/>
          <w:sz w:val="20"/>
        </w:rPr>
        <w:lastRenderedPageBreak/>
        <w:t xml:space="preserve">have to be attached directly to the shaft. This would allow heat to be conducted directly to the shaft without having to be transmitted along the radial arms. The disadvantage is that the torque supplied by the impacting photons will be much lower if the vanes are attached directly to the shaft. The longer the radial arms, the more torque will be achieved from the impacting photons.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The molybdenum shaft would then exit the area with the vanes and go on to connect to the homopolar generator. Between the vanes area and the generator connection, there would be a heat sink. This heat sink would consist of a system of (fluid) dynamic bearings around the shaft lubricated by liquid gallium, which can withstand very high temperatures. A large bearing contact surface would be associated with the shaft in the center, and a metal-block heat sink radiator surrounding it with the liquid gallium lubricant in between. The heat sink radiator would then radiate into the air surrounding the device. This is the same basic technology used in conduction of heat from X-ray devices today. So no really new technology is needed here. It will be important to appropriately seal the shaft at its entry and exit points to the heat sink area to prevent the escape of liquid gallium.</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F6.  Conclusion</w:t>
      </w:r>
    </w:p>
    <w:p w:rsidR="004C63DA" w:rsidRPr="00AD0DF3" w:rsidRDefault="004C63DA" w:rsidP="004C63DA">
      <w:pPr>
        <w:pStyle w:val="NoSpacing"/>
        <w:ind w:left="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This means of generating electricity from the ZPE via extreme ultraviolet and soft X-rays is based on scientific principles. Apart from the fact that further development in the technology to fully and efficiently reflect soft X-rays in the 0.12 keV  to 1.2 keV range may be needed, the concepts do not demand any other new technology. What is required is experimentation to find the exact efficiency of the concept. Linked with this is the rate at which vanes of various sizes will spin the shaft and the attached coils in the homopolar generator. The larger the vanes the more reflections of ZPE X-rays will occur and so the more momentum is transferred to the system. Furthermore, the longer the arms holding the vanes, the more torque will be applied to the shaft.  However, the exact behavior of the system can only be found experimentally. In the process, it will have to be determined if there is a size limit for which this can effectively work, or whether the whole concept can be scaled up to any reasonable size. The concept is hereby submitted for consideration.  </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The basis of this appendix was notarized 7</w:t>
      </w:r>
      <w:r w:rsidRPr="00AD0DF3">
        <w:rPr>
          <w:rFonts w:ascii="Book Antiqua" w:hAnsi="Book Antiqua"/>
          <w:i/>
          <w:sz w:val="20"/>
          <w:vertAlign w:val="superscript"/>
        </w:rPr>
        <w:t>th</w:t>
      </w:r>
      <w:r w:rsidRPr="00AD0DF3">
        <w:rPr>
          <w:rFonts w:ascii="Book Antiqua" w:hAnsi="Book Antiqua"/>
          <w:i/>
          <w:sz w:val="20"/>
        </w:rPr>
        <w:t xml:space="preserve"> January, 2011.</w:t>
      </w:r>
    </w:p>
    <w:p w:rsidR="004C63DA" w:rsidRPr="00AD0DF3" w:rsidRDefault="004C63DA" w:rsidP="004C63DA">
      <w:pPr>
        <w:pStyle w:val="NoSpacing"/>
        <w:jc w:val="both"/>
        <w:rPr>
          <w:rFonts w:ascii="Book Antiqua" w:hAnsi="Book Antiqua"/>
          <w:i/>
          <w:sz w:val="20"/>
        </w:rPr>
      </w:pPr>
    </w:p>
    <w:p w:rsidR="00C13EA4" w:rsidRDefault="006E01BB" w:rsidP="00C13EA4">
      <w:pPr>
        <w:pStyle w:val="NoSpacing"/>
        <w:jc w:val="center"/>
        <w:rPr>
          <w:rFonts w:ascii="Book Antiqua" w:hAnsi="Book Antiqua"/>
          <w:i/>
          <w:sz w:val="20"/>
        </w:rPr>
      </w:pPr>
      <w:r w:rsidRPr="00ED7F7E">
        <w:rPr>
          <w:noProof/>
        </w:rPr>
        <w:drawing>
          <wp:inline distT="0" distB="0" distL="0" distR="0">
            <wp:extent cx="2253905" cy="2558783"/>
            <wp:effectExtent l="19050" t="0" r="0" b="0"/>
            <wp:docPr id="350" name="Picture 1" descr="C:\Users\Barry\Desktop\IMG_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Desktop\IMG_0793.JPG"/>
                    <pic:cNvPicPr>
                      <a:picLocks noChangeAspect="1" noChangeArrowheads="1"/>
                    </pic:cNvPicPr>
                  </pic:nvPicPr>
                  <pic:blipFill>
                    <a:blip r:embed="rId1361" cstate="print"/>
                    <a:srcRect l="11044" t="13828" r="31979"/>
                    <a:stretch>
                      <a:fillRect/>
                    </a:stretch>
                  </pic:blipFill>
                  <pic:spPr bwMode="auto">
                    <a:xfrm>
                      <a:off x="0" y="0"/>
                      <a:ext cx="2253972" cy="2558859"/>
                    </a:xfrm>
                    <a:prstGeom prst="rect">
                      <a:avLst/>
                    </a:prstGeom>
                    <a:noFill/>
                    <a:ln w="9525">
                      <a:noFill/>
                      <a:miter lim="800000"/>
                      <a:headEnd/>
                      <a:tailEnd/>
                    </a:ln>
                  </pic:spPr>
                </pic:pic>
              </a:graphicData>
            </a:graphic>
          </wp:inline>
        </w:drawing>
      </w:r>
    </w:p>
    <w:p w:rsidR="00C13EA4" w:rsidRDefault="00C13EA4" w:rsidP="00C13EA4">
      <w:pPr>
        <w:pStyle w:val="NoSpacing"/>
        <w:jc w:val="center"/>
        <w:rPr>
          <w:rFonts w:ascii="Book Antiqua" w:hAnsi="Book Antiqua"/>
          <w:i/>
          <w:sz w:val="20"/>
        </w:rPr>
      </w:pPr>
    </w:p>
    <w:p w:rsidR="00C13EA4" w:rsidRDefault="00C13EA4" w:rsidP="00C13EA4">
      <w:pPr>
        <w:pStyle w:val="NoSpacing"/>
        <w:jc w:val="center"/>
        <w:rPr>
          <w:rFonts w:ascii="Book Antiqua" w:hAnsi="Book Antiqua"/>
          <w:i/>
          <w:sz w:val="20"/>
        </w:rPr>
      </w:pPr>
      <w:r>
        <w:rPr>
          <w:rFonts w:ascii="Book Antiqua" w:hAnsi="Book Antiqua"/>
          <w:i/>
          <w:sz w:val="20"/>
        </w:rPr>
        <w:t>Barry John Setterfield</w:t>
      </w:r>
      <w:r w:rsidR="00352FA9">
        <w:rPr>
          <w:rFonts w:ascii="Book Antiqua" w:hAnsi="Book Antiqua"/>
          <w:i/>
          <w:sz w:val="20"/>
        </w:rPr>
        <w:t>.</w:t>
      </w:r>
    </w:p>
    <w:p w:rsidR="00C13EA4" w:rsidRDefault="00C13EA4" w:rsidP="00C13EA4">
      <w:pPr>
        <w:pStyle w:val="NoSpacing"/>
        <w:jc w:val="center"/>
        <w:rPr>
          <w:rFonts w:ascii="Book Antiqua" w:hAnsi="Book Antiqua"/>
          <w:i/>
          <w:sz w:val="20"/>
        </w:rPr>
      </w:pPr>
    </w:p>
    <w:p w:rsidR="006E01BB" w:rsidRDefault="006E01BB" w:rsidP="00C13EA4">
      <w:pPr>
        <w:pStyle w:val="NoSpacing"/>
        <w:jc w:val="center"/>
      </w:pPr>
      <w:r>
        <w:t>*  *  *  *  *  *</w:t>
      </w:r>
    </w:p>
    <w:p w:rsidR="00762FD0" w:rsidRPr="00AD0DF3" w:rsidRDefault="00762FD0" w:rsidP="00762FD0">
      <w:pPr>
        <w:pStyle w:val="NoSpacing"/>
        <w:jc w:val="center"/>
        <w:rPr>
          <w:rFonts w:ascii="Book Antiqua" w:hAnsi="Book Antiqua"/>
          <w:b/>
          <w:i/>
          <w:sz w:val="28"/>
          <w:szCs w:val="28"/>
        </w:rPr>
      </w:pPr>
    </w:p>
    <w:sectPr w:rsidR="00762FD0" w:rsidRPr="00AD0DF3" w:rsidSect="00D27B94">
      <w:headerReference w:type="even" r:id="rId1362"/>
      <w:headerReference w:type="default" r:id="rId1363"/>
      <w:footerReference w:type="even" r:id="rId1364"/>
      <w:footerReference w:type="default" r:id="rId1365"/>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0A54" w:rsidRDefault="00190A54" w:rsidP="00EE535C">
      <w:r>
        <w:separator/>
      </w:r>
    </w:p>
  </w:endnote>
  <w:endnote w:type="continuationSeparator" w:id="0">
    <w:p w:rsidR="00190A54" w:rsidRDefault="00190A54" w:rsidP="00EE535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BookAntiqua">
    <w:altName w:val="Times New Roman"/>
    <w:panose1 w:val="00000000000000000000"/>
    <w:charset w:val="00"/>
    <w:family w:val="roman"/>
    <w:notTrueType/>
    <w:pitch w:val="default"/>
    <w:sig w:usb0="00000083" w:usb1="08070000" w:usb2="00000010" w:usb3="00000000" w:csb0="00020009"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 w:name="Eurostile">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BADFD+TimesNewRoman,Italic">
    <w:altName w:val="Times New Roman"/>
    <w:panose1 w:val="00000000000000000000"/>
    <w:charset w:val="00"/>
    <w:family w:val="roman"/>
    <w:notTrueType/>
    <w:pitch w:val="default"/>
    <w:sig w:usb0="00000003" w:usb1="00000000" w:usb2="00000000" w:usb3="00000000" w:csb0="00000001" w:csb1="00000000"/>
  </w:font>
  <w:font w:name="PBADEC+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37"/>
      <w:docPartObj>
        <w:docPartGallery w:val="Page Numbers (Bottom of Page)"/>
        <w:docPartUnique/>
      </w:docPartObj>
    </w:sdtPr>
    <w:sdtContent>
      <w:p w:rsidR="00FF698F" w:rsidRDefault="00FF698F">
        <w:pPr>
          <w:pStyle w:val="Footer"/>
          <w:jc w:val="center"/>
        </w:pPr>
        <w:fldSimple w:instr=" PAGE   \* MERGEFORMAT ">
          <w:r w:rsidR="003C18A9">
            <w:rPr>
              <w:noProof/>
            </w:rPr>
            <w:t>464</w:t>
          </w:r>
        </w:fldSimple>
      </w:p>
    </w:sdtContent>
  </w:sdt>
  <w:p w:rsidR="00FF698F" w:rsidRDefault="00FF698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28"/>
      <w:docPartObj>
        <w:docPartGallery w:val="Page Numbers (Bottom of Page)"/>
        <w:docPartUnique/>
      </w:docPartObj>
    </w:sdtPr>
    <w:sdtContent>
      <w:p w:rsidR="00FF698F" w:rsidRDefault="00FF698F">
        <w:pPr>
          <w:pStyle w:val="Footer"/>
          <w:jc w:val="center"/>
        </w:pPr>
        <w:fldSimple w:instr=" PAGE   \* MERGEFORMAT ">
          <w:r w:rsidR="003C18A9">
            <w:rPr>
              <w:noProof/>
            </w:rPr>
            <w:t>465</w:t>
          </w:r>
        </w:fldSimple>
      </w:p>
    </w:sdtContent>
  </w:sdt>
  <w:p w:rsidR="00FF698F" w:rsidRDefault="00FF698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0A54" w:rsidRDefault="00190A54" w:rsidP="00EE535C">
      <w:r>
        <w:separator/>
      </w:r>
    </w:p>
  </w:footnote>
  <w:footnote w:type="continuationSeparator" w:id="0">
    <w:p w:rsidR="00190A54" w:rsidRDefault="00190A54" w:rsidP="00EE535C">
      <w:r>
        <w:continuationSeparator/>
      </w:r>
    </w:p>
  </w:footnote>
  <w:footnote w:id="1">
    <w:p w:rsidR="00FF698F" w:rsidRPr="00FF164A" w:rsidRDefault="00FF698F" w:rsidP="00B817A8">
      <w:pPr>
        <w:pStyle w:val="FootnoteText"/>
        <w:jc w:val="both"/>
        <w:rPr>
          <w:sz w:val="16"/>
          <w:szCs w:val="16"/>
        </w:rPr>
      </w:pPr>
      <w:r w:rsidRPr="00FF164A">
        <w:rPr>
          <w:rStyle w:val="FootnoteReference"/>
          <w:sz w:val="16"/>
          <w:szCs w:val="16"/>
        </w:rPr>
        <w:footnoteRef/>
      </w:r>
      <w:r w:rsidRPr="00FF164A">
        <w:rPr>
          <w:sz w:val="16"/>
          <w:szCs w:val="16"/>
        </w:rPr>
        <w:t xml:space="preserve"> </w:t>
      </w:r>
      <w:r w:rsidRPr="00FF164A">
        <w:rPr>
          <w:rFonts w:ascii="Book Antiqua" w:hAnsi="Book Antiqua"/>
          <w:sz w:val="16"/>
          <w:szCs w:val="16"/>
        </w:rPr>
        <w:t xml:space="preserve">Arago is mainly remembered today for his work on the interference of polarized light, which he investigated in 1811, and electromagnetism in which he worked with Ampere (1775-1836) </w:t>
      </w:r>
      <w:r w:rsidRPr="00CF6C20">
        <w:rPr>
          <w:rFonts w:ascii="Book Antiqua" w:hAnsi="Book Antiqua"/>
          <w:sz w:val="16"/>
          <w:szCs w:val="16"/>
        </w:rPr>
        <w:t>[103].</w:t>
      </w:r>
      <w:r w:rsidRPr="00FF164A">
        <w:rPr>
          <w:rFonts w:ascii="Book Antiqua" w:hAnsi="Book Antiqua"/>
          <w:sz w:val="16"/>
          <w:szCs w:val="16"/>
        </w:rPr>
        <w:t xml:space="preserve"> He also conducted experiments confirming diffraction that resulted from Fresnel’s development of the wave theory of light </w:t>
      </w:r>
      <w:r w:rsidRPr="00CF6C20">
        <w:rPr>
          <w:rFonts w:ascii="Book Antiqua" w:hAnsi="Book Antiqua"/>
          <w:sz w:val="16"/>
          <w:szCs w:val="16"/>
        </w:rPr>
        <w:t>[104].</w:t>
      </w:r>
    </w:p>
  </w:footnote>
  <w:footnote w:id="2">
    <w:p w:rsidR="00FF698F" w:rsidRDefault="00FF698F" w:rsidP="00821A88">
      <w:pPr>
        <w:pStyle w:val="FootnoteText"/>
        <w:jc w:val="both"/>
      </w:pPr>
      <w:r w:rsidRPr="00D15928">
        <w:rPr>
          <w:rStyle w:val="FootnoteReference"/>
          <w:rFonts w:ascii="Book Antiqua" w:hAnsi="Book Antiqua"/>
        </w:rPr>
        <w:footnoteRef/>
      </w:r>
      <w:r w:rsidRPr="00D15928">
        <w:rPr>
          <w:rFonts w:ascii="Book Antiqua" w:hAnsi="Book Antiqua"/>
        </w:rPr>
        <w:t xml:space="preserve"> </w:t>
      </w:r>
      <w:r w:rsidRPr="00D15928">
        <w:rPr>
          <w:rFonts w:ascii="Book Antiqua" w:hAnsi="Book Antiqua"/>
          <w:sz w:val="16"/>
          <w:szCs w:val="16"/>
        </w:rPr>
        <w:t>Professor Harkness</w:t>
      </w:r>
      <w:r w:rsidRPr="00F773DF">
        <w:rPr>
          <w:sz w:val="16"/>
          <w:szCs w:val="16"/>
        </w:rPr>
        <w:t xml:space="preserve"> </w:t>
      </w:r>
      <w:r w:rsidRPr="00F773DF">
        <w:rPr>
          <w:rFonts w:ascii="Book Antiqua" w:hAnsi="Book Antiqua"/>
          <w:sz w:val="16"/>
          <w:szCs w:val="16"/>
        </w:rPr>
        <w:t xml:space="preserve">would later become the astronomical director of the Naval Observatory in Washington, director of the </w:t>
      </w:r>
      <w:r w:rsidRPr="00F773DF">
        <w:rPr>
          <w:rFonts w:ascii="Book Antiqua" w:hAnsi="Book Antiqua"/>
          <w:i/>
          <w:sz w:val="16"/>
          <w:szCs w:val="16"/>
        </w:rPr>
        <w:t>Nautical Almanac</w:t>
      </w:r>
      <w:r w:rsidRPr="00F773DF">
        <w:rPr>
          <w:rFonts w:ascii="Book Antiqua" w:hAnsi="Book Antiqua"/>
          <w:sz w:val="16"/>
          <w:szCs w:val="16"/>
        </w:rPr>
        <w:t xml:space="preserve"> and then president of the American Association for the Advancement of Science.</w:t>
      </w:r>
    </w:p>
  </w:footnote>
  <w:footnote w:id="3">
    <w:p w:rsidR="00FF698F" w:rsidRDefault="00FF698F" w:rsidP="00821A88">
      <w:pPr>
        <w:pStyle w:val="FootnoteText"/>
        <w:jc w:val="both"/>
      </w:pPr>
      <w:r>
        <w:rPr>
          <w:rStyle w:val="FootnoteReference"/>
        </w:rPr>
        <w:footnoteRef/>
      </w:r>
      <w:r>
        <w:t xml:space="preserve"> </w:t>
      </w:r>
      <w:r w:rsidRPr="00B62D3D">
        <w:rPr>
          <w:rFonts w:ascii="Book Antiqua" w:hAnsi="Book Antiqua"/>
          <w:sz w:val="16"/>
          <w:szCs w:val="16"/>
        </w:rPr>
        <w:t xml:space="preserve">However, more recent investigations by the late </w:t>
      </w:r>
      <w:r>
        <w:rPr>
          <w:rFonts w:ascii="Book Antiqua" w:hAnsi="Book Antiqua"/>
          <w:sz w:val="16"/>
          <w:szCs w:val="16"/>
        </w:rPr>
        <w:t>G</w:t>
      </w:r>
      <w:r w:rsidRPr="00B62D3D">
        <w:rPr>
          <w:rFonts w:ascii="Book Antiqua" w:hAnsi="Book Antiqua"/>
          <w:sz w:val="16"/>
          <w:szCs w:val="16"/>
        </w:rPr>
        <w:t xml:space="preserve">overnment </w:t>
      </w:r>
      <w:r>
        <w:rPr>
          <w:rFonts w:ascii="Book Antiqua" w:hAnsi="Book Antiqua"/>
          <w:sz w:val="16"/>
          <w:szCs w:val="16"/>
        </w:rPr>
        <w:t>A</w:t>
      </w:r>
      <w:r w:rsidRPr="00B62D3D">
        <w:rPr>
          <w:rFonts w:ascii="Book Antiqua" w:hAnsi="Book Antiqua"/>
          <w:sz w:val="16"/>
          <w:szCs w:val="16"/>
        </w:rPr>
        <w:t xml:space="preserve">stronomer from South Australia, George Dodwell, indicate an important observational anomaly </w:t>
      </w:r>
      <w:r>
        <w:rPr>
          <w:rFonts w:ascii="Book Antiqua" w:hAnsi="Book Antiqua"/>
          <w:sz w:val="16"/>
          <w:szCs w:val="16"/>
        </w:rPr>
        <w:t>related to</w:t>
      </w:r>
      <w:r w:rsidRPr="00B62D3D">
        <w:rPr>
          <w:rFonts w:ascii="Book Antiqua" w:hAnsi="Book Antiqua"/>
          <w:sz w:val="16"/>
          <w:szCs w:val="16"/>
        </w:rPr>
        <w:t xml:space="preserve"> that </w:t>
      </w:r>
      <w:r w:rsidRPr="00FC53C3">
        <w:rPr>
          <w:rFonts w:ascii="Book Antiqua" w:hAnsi="Book Antiqua"/>
          <w:sz w:val="16"/>
          <w:szCs w:val="16"/>
        </w:rPr>
        <w:t>formula [116].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698F" w:rsidRDefault="00FF698F">
    <w:pPr>
      <w:pStyle w:val="Header"/>
      <w:rPr>
        <w:sz w:val="32"/>
        <w:szCs w:val="32"/>
      </w:rPr>
    </w:pPr>
    <w:r>
      <w:rPr>
        <w:sz w:val="32"/>
        <w:szCs w:val="32"/>
      </w:rPr>
      <w:t>Natural Philosophy Alliance (NPA) Monograph Series No. 1, 2013</w:t>
    </w:r>
  </w:p>
  <w:p w:rsidR="00FF698F" w:rsidRDefault="00FF698F">
    <w:pPr>
      <w:pStyle w:val="Header"/>
      <w:rPr>
        <w:rFonts w:ascii="Book Antiqua" w:hAnsi="Book Antiqua"/>
        <w:sz w:val="32"/>
        <w:szCs w:val="32"/>
      </w:rPr>
    </w:pPr>
  </w:p>
  <w:p w:rsidR="00FF698F" w:rsidRPr="00F06132" w:rsidRDefault="00FF698F">
    <w:pPr>
      <w:pStyle w:val="Header"/>
      <w:rPr>
        <w:rFonts w:ascii="Book Antiqua" w:hAnsi="Book Antiqua"/>
        <w:sz w:val="32"/>
        <w:szCs w:val="3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698F" w:rsidRDefault="00FF698F">
    <w:pPr>
      <w:pStyle w:val="Header"/>
      <w:rPr>
        <w:sz w:val="32"/>
        <w:szCs w:val="32"/>
      </w:rPr>
    </w:pPr>
    <w:r>
      <w:rPr>
        <w:sz w:val="32"/>
        <w:szCs w:val="32"/>
      </w:rPr>
      <w:t xml:space="preserve">                                        Barry J. Setterfield: Cosmology and the Zero Point Energy</w:t>
    </w:r>
  </w:p>
  <w:p w:rsidR="00FF698F" w:rsidRDefault="00FF698F">
    <w:pPr>
      <w:pStyle w:val="Header"/>
      <w:rPr>
        <w:sz w:val="32"/>
        <w:szCs w:val="32"/>
      </w:rPr>
    </w:pPr>
  </w:p>
  <w:p w:rsidR="00FF698F" w:rsidRDefault="00FF698F">
    <w:pPr>
      <w:pStyle w:val="Header"/>
      <w:rPr>
        <w:sz w:val="3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92A1D18"/>
    <w:lvl w:ilvl="0">
      <w:start w:val="1"/>
      <w:numFmt w:val="decimal"/>
      <w:pStyle w:val="ListNumber5"/>
      <w:lvlText w:val="%1."/>
      <w:lvlJc w:val="left"/>
      <w:pPr>
        <w:tabs>
          <w:tab w:val="num" w:pos="1800"/>
        </w:tabs>
        <w:ind w:left="1800" w:hanging="360"/>
      </w:pPr>
      <w:rPr>
        <w:rFonts w:cs="Times New Roman"/>
      </w:rPr>
    </w:lvl>
  </w:abstractNum>
  <w:abstractNum w:abstractNumId="1">
    <w:nsid w:val="FFFFFF7D"/>
    <w:multiLevelType w:val="singleLevel"/>
    <w:tmpl w:val="389633B6"/>
    <w:lvl w:ilvl="0">
      <w:start w:val="1"/>
      <w:numFmt w:val="decimal"/>
      <w:pStyle w:val="ListNumber4"/>
      <w:lvlText w:val="%1."/>
      <w:lvlJc w:val="left"/>
      <w:pPr>
        <w:tabs>
          <w:tab w:val="num" w:pos="1440"/>
        </w:tabs>
        <w:ind w:left="1440" w:hanging="360"/>
      </w:pPr>
      <w:rPr>
        <w:rFonts w:cs="Times New Roman"/>
      </w:rPr>
    </w:lvl>
  </w:abstractNum>
  <w:abstractNum w:abstractNumId="2">
    <w:nsid w:val="FFFFFF7E"/>
    <w:multiLevelType w:val="singleLevel"/>
    <w:tmpl w:val="6F347DD4"/>
    <w:lvl w:ilvl="0">
      <w:start w:val="1"/>
      <w:numFmt w:val="decimal"/>
      <w:pStyle w:val="ListNumber3"/>
      <w:lvlText w:val="%1."/>
      <w:lvlJc w:val="left"/>
      <w:pPr>
        <w:tabs>
          <w:tab w:val="num" w:pos="1080"/>
        </w:tabs>
        <w:ind w:left="1080" w:hanging="360"/>
      </w:pPr>
      <w:rPr>
        <w:rFonts w:cs="Times New Roman"/>
      </w:rPr>
    </w:lvl>
  </w:abstractNum>
  <w:abstractNum w:abstractNumId="3">
    <w:nsid w:val="FFFFFF7F"/>
    <w:multiLevelType w:val="singleLevel"/>
    <w:tmpl w:val="7CCC3042"/>
    <w:lvl w:ilvl="0">
      <w:start w:val="1"/>
      <w:numFmt w:val="decimal"/>
      <w:pStyle w:val="ListNumber2"/>
      <w:lvlText w:val="%1."/>
      <w:lvlJc w:val="left"/>
      <w:pPr>
        <w:tabs>
          <w:tab w:val="num" w:pos="720"/>
        </w:tabs>
        <w:ind w:left="720" w:hanging="360"/>
      </w:pPr>
      <w:rPr>
        <w:rFonts w:cs="Times New Roman"/>
      </w:rPr>
    </w:lvl>
  </w:abstractNum>
  <w:abstractNum w:abstractNumId="4">
    <w:nsid w:val="03144F94"/>
    <w:multiLevelType w:val="multilevel"/>
    <w:tmpl w:val="C85E71DA"/>
    <w:lvl w:ilvl="0">
      <w:start w:val="1"/>
      <w:numFmt w:val="decimal"/>
      <w:lvlText w:val="%1."/>
      <w:lvlJc w:val="left"/>
      <w:pPr>
        <w:ind w:left="36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nsid w:val="03D7735E"/>
    <w:multiLevelType w:val="hybridMultilevel"/>
    <w:tmpl w:val="382ECD50"/>
    <w:lvl w:ilvl="0" w:tplc="DC4E4A3C">
      <w:start w:val="2"/>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B83A9A"/>
    <w:multiLevelType w:val="hybridMultilevel"/>
    <w:tmpl w:val="E8F47738"/>
    <w:lvl w:ilvl="0" w:tplc="2348E756">
      <w:start w:val="1"/>
      <w:numFmt w:val="decimal"/>
      <w:lvlText w:val="%1."/>
      <w:lvlJc w:val="left"/>
      <w:pPr>
        <w:ind w:left="720" w:hanging="360"/>
      </w:pPr>
      <w:rPr>
        <w:rFonts w:cs="Times New Roman" w:hint="default"/>
        <w:b/>
        <w:color w:val="auto"/>
        <w:sz w:val="20"/>
        <w:szCs w:val="20"/>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AC37A8"/>
    <w:multiLevelType w:val="hybridMultilevel"/>
    <w:tmpl w:val="DF929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60A56D7"/>
    <w:multiLevelType w:val="hybridMultilevel"/>
    <w:tmpl w:val="EC7CE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7A1E55"/>
    <w:multiLevelType w:val="multilevel"/>
    <w:tmpl w:val="D2AEE3D6"/>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C80314D"/>
    <w:multiLevelType w:val="multilevel"/>
    <w:tmpl w:val="0D446DCC"/>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0E923C54"/>
    <w:multiLevelType w:val="hybridMultilevel"/>
    <w:tmpl w:val="D9842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F555F95"/>
    <w:multiLevelType w:val="multilevel"/>
    <w:tmpl w:val="225A2A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10FE18CA"/>
    <w:multiLevelType w:val="hybridMultilevel"/>
    <w:tmpl w:val="CDFAA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36D64C6"/>
    <w:multiLevelType w:val="multilevel"/>
    <w:tmpl w:val="BB8A1768"/>
    <w:lvl w:ilvl="0">
      <w:start w:val="2"/>
      <w:numFmt w:val="decimal"/>
      <w:lvlText w:val="%1"/>
      <w:lvlJc w:val="left"/>
      <w:pPr>
        <w:ind w:left="360" w:hanging="360"/>
      </w:pPr>
      <w:rPr>
        <w:rFonts w:hint="default"/>
        <w:b/>
      </w:rPr>
    </w:lvl>
    <w:lvl w:ilvl="1">
      <w:start w:val="9"/>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5">
    <w:nsid w:val="14A93EBF"/>
    <w:multiLevelType w:val="multilevel"/>
    <w:tmpl w:val="9EBC30A4"/>
    <w:lvl w:ilvl="0">
      <w:start w:val="1"/>
      <w:numFmt w:val="decimal"/>
      <w:lvlText w:val="%1."/>
      <w:lvlJc w:val="left"/>
      <w:pPr>
        <w:ind w:left="405" w:hanging="360"/>
      </w:pPr>
      <w:rPr>
        <w:rFonts w:hint="default"/>
      </w:rPr>
    </w:lvl>
    <w:lvl w:ilvl="1">
      <w:start w:val="4"/>
      <w:numFmt w:val="decimal"/>
      <w:isLgl/>
      <w:lvlText w:val="%1.%2."/>
      <w:lvlJc w:val="left"/>
      <w:pPr>
        <w:ind w:left="405" w:hanging="360"/>
      </w:pPr>
      <w:rPr>
        <w:rFonts w:hint="default"/>
      </w:rPr>
    </w:lvl>
    <w:lvl w:ilvl="2">
      <w:start w:val="1"/>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16">
    <w:nsid w:val="197E208E"/>
    <w:multiLevelType w:val="hybridMultilevel"/>
    <w:tmpl w:val="DC88CE9A"/>
    <w:lvl w:ilvl="0" w:tplc="92BE31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18">
    <w:nsid w:val="1A5724A3"/>
    <w:multiLevelType w:val="hybridMultilevel"/>
    <w:tmpl w:val="EFA058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ECA53BF"/>
    <w:multiLevelType w:val="hybridMultilevel"/>
    <w:tmpl w:val="0D8E6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10B5D99"/>
    <w:multiLevelType w:val="multilevel"/>
    <w:tmpl w:val="E242C09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24157056"/>
    <w:multiLevelType w:val="hybridMultilevel"/>
    <w:tmpl w:val="E4448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53A621A"/>
    <w:multiLevelType w:val="multilevel"/>
    <w:tmpl w:val="7EFC08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284B7646"/>
    <w:multiLevelType w:val="multilevel"/>
    <w:tmpl w:val="3C46CC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29223132"/>
    <w:multiLevelType w:val="multilevel"/>
    <w:tmpl w:val="30688668"/>
    <w:lvl w:ilvl="0">
      <w:start w:val="4"/>
      <w:numFmt w:val="decimal"/>
      <w:lvlText w:val="%1"/>
      <w:lvlJc w:val="left"/>
      <w:pPr>
        <w:ind w:left="360" w:hanging="360"/>
      </w:pPr>
      <w:rPr>
        <w:rFonts w:hint="default"/>
        <w:b w:val="0"/>
      </w:rPr>
    </w:lvl>
    <w:lvl w:ilvl="1">
      <w:start w:val="6"/>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25">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6">
    <w:nsid w:val="2C5B5868"/>
    <w:multiLevelType w:val="hybridMultilevel"/>
    <w:tmpl w:val="AEC07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E5956B0"/>
    <w:multiLevelType w:val="multilevel"/>
    <w:tmpl w:val="E934F9C8"/>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nsid w:val="2E8E3732"/>
    <w:multiLevelType w:val="hybridMultilevel"/>
    <w:tmpl w:val="6F600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11C4DBF"/>
    <w:multiLevelType w:val="hybridMultilevel"/>
    <w:tmpl w:val="B79438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25F240C"/>
    <w:multiLevelType w:val="hybridMultilevel"/>
    <w:tmpl w:val="3FC245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2605C4"/>
    <w:multiLevelType w:val="hybridMultilevel"/>
    <w:tmpl w:val="5D924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3D2428E"/>
    <w:multiLevelType w:val="hybridMultilevel"/>
    <w:tmpl w:val="F9FCE46C"/>
    <w:lvl w:ilvl="0" w:tplc="26B8C746">
      <w:start w:val="1"/>
      <w:numFmt w:val="decimal"/>
      <w:lvlText w:val="%1."/>
      <w:lvlJc w:val="left"/>
      <w:pPr>
        <w:ind w:left="1612" w:hanging="360"/>
      </w:pPr>
      <w:rPr>
        <w:rFonts w:hint="default"/>
        <w:color w:val="000000"/>
      </w:rPr>
    </w:lvl>
    <w:lvl w:ilvl="1" w:tplc="04090019">
      <w:start w:val="1"/>
      <w:numFmt w:val="lowerLetter"/>
      <w:lvlText w:val="%2."/>
      <w:lvlJc w:val="left"/>
      <w:pPr>
        <w:ind w:left="2332" w:hanging="360"/>
      </w:pPr>
    </w:lvl>
    <w:lvl w:ilvl="2" w:tplc="0409001B" w:tentative="1">
      <w:start w:val="1"/>
      <w:numFmt w:val="lowerRoman"/>
      <w:lvlText w:val="%3."/>
      <w:lvlJc w:val="right"/>
      <w:pPr>
        <w:ind w:left="3052" w:hanging="180"/>
      </w:pPr>
    </w:lvl>
    <w:lvl w:ilvl="3" w:tplc="0409000F" w:tentative="1">
      <w:start w:val="1"/>
      <w:numFmt w:val="decimal"/>
      <w:lvlText w:val="%4."/>
      <w:lvlJc w:val="left"/>
      <w:pPr>
        <w:ind w:left="3772" w:hanging="360"/>
      </w:pPr>
    </w:lvl>
    <w:lvl w:ilvl="4" w:tplc="04090019" w:tentative="1">
      <w:start w:val="1"/>
      <w:numFmt w:val="lowerLetter"/>
      <w:lvlText w:val="%5."/>
      <w:lvlJc w:val="left"/>
      <w:pPr>
        <w:ind w:left="4492" w:hanging="360"/>
      </w:pPr>
    </w:lvl>
    <w:lvl w:ilvl="5" w:tplc="0409001B" w:tentative="1">
      <w:start w:val="1"/>
      <w:numFmt w:val="lowerRoman"/>
      <w:lvlText w:val="%6."/>
      <w:lvlJc w:val="right"/>
      <w:pPr>
        <w:ind w:left="5212" w:hanging="180"/>
      </w:pPr>
    </w:lvl>
    <w:lvl w:ilvl="6" w:tplc="0409000F" w:tentative="1">
      <w:start w:val="1"/>
      <w:numFmt w:val="decimal"/>
      <w:lvlText w:val="%7."/>
      <w:lvlJc w:val="left"/>
      <w:pPr>
        <w:ind w:left="5932" w:hanging="360"/>
      </w:pPr>
    </w:lvl>
    <w:lvl w:ilvl="7" w:tplc="04090019" w:tentative="1">
      <w:start w:val="1"/>
      <w:numFmt w:val="lowerLetter"/>
      <w:lvlText w:val="%8."/>
      <w:lvlJc w:val="left"/>
      <w:pPr>
        <w:ind w:left="6652" w:hanging="360"/>
      </w:pPr>
    </w:lvl>
    <w:lvl w:ilvl="8" w:tplc="0409001B" w:tentative="1">
      <w:start w:val="1"/>
      <w:numFmt w:val="lowerRoman"/>
      <w:lvlText w:val="%9."/>
      <w:lvlJc w:val="right"/>
      <w:pPr>
        <w:ind w:left="7372" w:hanging="180"/>
      </w:pPr>
    </w:lvl>
  </w:abstractNum>
  <w:abstractNum w:abstractNumId="33">
    <w:nsid w:val="36D4340B"/>
    <w:multiLevelType w:val="hybridMultilevel"/>
    <w:tmpl w:val="DF160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7557BA6"/>
    <w:multiLevelType w:val="hybridMultilevel"/>
    <w:tmpl w:val="55E0CA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9FB2128"/>
    <w:multiLevelType w:val="multilevel"/>
    <w:tmpl w:val="655E1D60"/>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3BF97568"/>
    <w:multiLevelType w:val="multilevel"/>
    <w:tmpl w:val="E1342468"/>
    <w:lvl w:ilvl="0">
      <w:start w:val="1"/>
      <w:numFmt w:val="decimal"/>
      <w:lvlText w:val="%1"/>
      <w:lvlJc w:val="left"/>
      <w:pPr>
        <w:ind w:left="360" w:hanging="360"/>
      </w:pPr>
      <w:rPr>
        <w:rFonts w:ascii="Times New Roman" w:hAnsi="Times New Roman" w:cs="Times New Roman" w:hint="default"/>
        <w:b w:val="0"/>
        <w:i/>
      </w:rPr>
    </w:lvl>
    <w:lvl w:ilvl="1">
      <w:start w:val="1"/>
      <w:numFmt w:val="decimal"/>
      <w:lvlText w:val="%1.%2"/>
      <w:lvlJc w:val="left"/>
      <w:pPr>
        <w:ind w:left="360" w:hanging="360"/>
      </w:pPr>
      <w:rPr>
        <w:rFonts w:ascii="Times New Roman" w:hAnsi="Times New Roman" w:cs="Times New Roman" w:hint="default"/>
        <w:b w:val="0"/>
        <w:i/>
      </w:rPr>
    </w:lvl>
    <w:lvl w:ilvl="2">
      <w:start w:val="1"/>
      <w:numFmt w:val="decimal"/>
      <w:lvlText w:val="%1.%2.%3"/>
      <w:lvlJc w:val="left"/>
      <w:pPr>
        <w:ind w:left="720" w:hanging="720"/>
      </w:pPr>
      <w:rPr>
        <w:rFonts w:ascii="Times New Roman" w:hAnsi="Times New Roman" w:cs="Times New Roman" w:hint="default"/>
        <w:b w:val="0"/>
        <w:i/>
      </w:rPr>
    </w:lvl>
    <w:lvl w:ilvl="3">
      <w:start w:val="1"/>
      <w:numFmt w:val="decimal"/>
      <w:lvlText w:val="%1.%2.%3.%4"/>
      <w:lvlJc w:val="left"/>
      <w:pPr>
        <w:ind w:left="720" w:hanging="720"/>
      </w:pPr>
      <w:rPr>
        <w:rFonts w:ascii="Times New Roman" w:hAnsi="Times New Roman" w:cs="Times New Roman" w:hint="default"/>
        <w:b w:val="0"/>
        <w:i/>
      </w:rPr>
    </w:lvl>
    <w:lvl w:ilvl="4">
      <w:start w:val="1"/>
      <w:numFmt w:val="decimal"/>
      <w:lvlText w:val="%1.%2.%3.%4.%5"/>
      <w:lvlJc w:val="left"/>
      <w:pPr>
        <w:ind w:left="720" w:hanging="720"/>
      </w:pPr>
      <w:rPr>
        <w:rFonts w:ascii="Times New Roman" w:hAnsi="Times New Roman" w:cs="Times New Roman" w:hint="default"/>
        <w:b w:val="0"/>
        <w:i/>
      </w:rPr>
    </w:lvl>
    <w:lvl w:ilvl="5">
      <w:start w:val="1"/>
      <w:numFmt w:val="decimal"/>
      <w:lvlText w:val="%1.%2.%3.%4.%5.%6"/>
      <w:lvlJc w:val="left"/>
      <w:pPr>
        <w:ind w:left="1080" w:hanging="1080"/>
      </w:pPr>
      <w:rPr>
        <w:rFonts w:ascii="Times New Roman" w:hAnsi="Times New Roman" w:cs="Times New Roman" w:hint="default"/>
        <w:b w:val="0"/>
        <w:i/>
      </w:rPr>
    </w:lvl>
    <w:lvl w:ilvl="6">
      <w:start w:val="1"/>
      <w:numFmt w:val="decimal"/>
      <w:lvlText w:val="%1.%2.%3.%4.%5.%6.%7"/>
      <w:lvlJc w:val="left"/>
      <w:pPr>
        <w:ind w:left="1080" w:hanging="1080"/>
      </w:pPr>
      <w:rPr>
        <w:rFonts w:ascii="Times New Roman" w:hAnsi="Times New Roman" w:cs="Times New Roman" w:hint="default"/>
        <w:b w:val="0"/>
        <w:i/>
      </w:rPr>
    </w:lvl>
    <w:lvl w:ilvl="7">
      <w:start w:val="1"/>
      <w:numFmt w:val="decimal"/>
      <w:lvlText w:val="%1.%2.%3.%4.%5.%6.%7.%8"/>
      <w:lvlJc w:val="left"/>
      <w:pPr>
        <w:ind w:left="1440" w:hanging="1440"/>
      </w:pPr>
      <w:rPr>
        <w:rFonts w:ascii="Times New Roman" w:hAnsi="Times New Roman" w:cs="Times New Roman" w:hint="default"/>
        <w:b w:val="0"/>
        <w:i/>
      </w:rPr>
    </w:lvl>
    <w:lvl w:ilvl="8">
      <w:start w:val="1"/>
      <w:numFmt w:val="decimal"/>
      <w:lvlText w:val="%1.%2.%3.%4.%5.%6.%7.%8.%9"/>
      <w:lvlJc w:val="left"/>
      <w:pPr>
        <w:ind w:left="1440" w:hanging="1440"/>
      </w:pPr>
      <w:rPr>
        <w:rFonts w:ascii="Times New Roman" w:hAnsi="Times New Roman" w:cs="Times New Roman" w:hint="default"/>
        <w:b w:val="0"/>
        <w:i/>
      </w:rPr>
    </w:lvl>
  </w:abstractNum>
  <w:abstractNum w:abstractNumId="37">
    <w:nsid w:val="3F0F61B8"/>
    <w:multiLevelType w:val="hybridMultilevel"/>
    <w:tmpl w:val="679077C8"/>
    <w:lvl w:ilvl="0" w:tplc="14E4B1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3F637D0B"/>
    <w:multiLevelType w:val="multilevel"/>
    <w:tmpl w:val="95C6314C"/>
    <w:lvl w:ilvl="0">
      <w:start w:val="1"/>
      <w:numFmt w:val="decimal"/>
      <w:lvlText w:val="%1."/>
      <w:lvlJc w:val="left"/>
      <w:pPr>
        <w:ind w:left="1080" w:hanging="360"/>
      </w:pPr>
      <w:rPr>
        <w:rFonts w:ascii="Book Antiqua" w:hAnsi="Book Antiqua" w:hint="default"/>
        <w:sz w:val="18"/>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9">
    <w:nsid w:val="40B4073B"/>
    <w:multiLevelType w:val="multilevel"/>
    <w:tmpl w:val="6C4C2472"/>
    <w:lvl w:ilvl="0">
      <w:start w:val="1"/>
      <w:numFmt w:val="decimal"/>
      <w:lvlText w:val="%1."/>
      <w:lvlJc w:val="left"/>
      <w:pPr>
        <w:ind w:left="1980" w:hanging="360"/>
      </w:pPr>
      <w:rPr>
        <w:rFonts w:hint="default"/>
      </w:rPr>
    </w:lvl>
    <w:lvl w:ilvl="1">
      <w:start w:val="1"/>
      <w:numFmt w:val="decimal"/>
      <w:isLgl/>
      <w:lvlText w:val="%1.%2."/>
      <w:lvlJc w:val="left"/>
      <w:pPr>
        <w:ind w:left="1980" w:hanging="360"/>
      </w:pPr>
      <w:rPr>
        <w:rFonts w:hint="default"/>
      </w:rPr>
    </w:lvl>
    <w:lvl w:ilvl="2">
      <w:start w:val="1"/>
      <w:numFmt w:val="upperLetter"/>
      <w:isLgl/>
      <w:lvlText w:val="%1.%2.%3."/>
      <w:lvlJc w:val="left"/>
      <w:pPr>
        <w:ind w:left="23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420" w:hanging="1800"/>
      </w:pPr>
      <w:rPr>
        <w:rFonts w:hint="default"/>
      </w:rPr>
    </w:lvl>
  </w:abstractNum>
  <w:abstractNum w:abstractNumId="40">
    <w:nsid w:val="41EB223E"/>
    <w:multiLevelType w:val="multilevel"/>
    <w:tmpl w:val="D1A667BC"/>
    <w:lvl w:ilvl="0">
      <w:start w:val="4"/>
      <w:numFmt w:val="decimal"/>
      <w:lvlText w:val="%1"/>
      <w:lvlJc w:val="left"/>
      <w:pPr>
        <w:ind w:left="360" w:hanging="360"/>
      </w:pPr>
      <w:rPr>
        <w:rFonts w:hint="default"/>
        <w:b/>
      </w:rPr>
    </w:lvl>
    <w:lvl w:ilvl="1">
      <w:start w:val="1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41">
    <w:nsid w:val="43566E8A"/>
    <w:multiLevelType w:val="hybridMultilevel"/>
    <w:tmpl w:val="D77EA43C"/>
    <w:lvl w:ilvl="0" w:tplc="0C743F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449966D2"/>
    <w:multiLevelType w:val="multilevel"/>
    <w:tmpl w:val="EA5A3F0C"/>
    <w:lvl w:ilvl="0">
      <w:start w:val="1"/>
      <w:numFmt w:val="decimal"/>
      <w:lvlText w:val="%1."/>
      <w:lvlJc w:val="left"/>
      <w:pPr>
        <w:ind w:left="720" w:hanging="360"/>
      </w:pPr>
      <w:rPr>
        <w:rFonts w:cs="BookAntiqua" w:hint="default"/>
        <w:color w:val="000000"/>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43">
    <w:nsid w:val="471F399A"/>
    <w:multiLevelType w:val="hybridMultilevel"/>
    <w:tmpl w:val="244A7B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B42795D"/>
    <w:multiLevelType w:val="multilevel"/>
    <w:tmpl w:val="BDB20B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nsid w:val="4B582775"/>
    <w:multiLevelType w:val="multilevel"/>
    <w:tmpl w:val="BEF4231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nsid w:val="50B6209C"/>
    <w:multiLevelType w:val="multilevel"/>
    <w:tmpl w:val="6986DB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nsid w:val="51306752"/>
    <w:multiLevelType w:val="multilevel"/>
    <w:tmpl w:val="614ABA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8">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49">
    <w:nsid w:val="53FD6437"/>
    <w:multiLevelType w:val="multilevel"/>
    <w:tmpl w:val="AB3CC44C"/>
    <w:lvl w:ilvl="0">
      <w:start w:val="1"/>
      <w:numFmt w:val="decimal"/>
      <w:lvlText w:val="%1."/>
      <w:lvlJc w:val="left"/>
      <w:pPr>
        <w:ind w:left="360" w:hanging="360"/>
      </w:pPr>
      <w:rPr>
        <w:rFonts w:hint="default"/>
        <w:b w:val="0"/>
        <w:i/>
      </w:rPr>
    </w:lvl>
    <w:lvl w:ilvl="1">
      <w:start w:val="1"/>
      <w:numFmt w:val="decimal"/>
      <w:lvlText w:val="%1.%2."/>
      <w:lvlJc w:val="left"/>
      <w:pPr>
        <w:ind w:left="360" w:hanging="360"/>
      </w:pPr>
      <w:rPr>
        <w:rFonts w:hint="default"/>
        <w:b w:val="0"/>
        <w:i/>
      </w:rPr>
    </w:lvl>
    <w:lvl w:ilvl="2">
      <w:start w:val="1"/>
      <w:numFmt w:val="decimal"/>
      <w:lvlText w:val="%1.%2.%3."/>
      <w:lvlJc w:val="left"/>
      <w:pPr>
        <w:ind w:left="720" w:hanging="720"/>
      </w:pPr>
      <w:rPr>
        <w:rFonts w:hint="default"/>
        <w:b w:val="0"/>
        <w:i/>
      </w:rPr>
    </w:lvl>
    <w:lvl w:ilvl="3">
      <w:start w:val="1"/>
      <w:numFmt w:val="decimal"/>
      <w:lvlText w:val="%1.%2.%3.%4."/>
      <w:lvlJc w:val="left"/>
      <w:pPr>
        <w:ind w:left="720" w:hanging="720"/>
      </w:pPr>
      <w:rPr>
        <w:rFonts w:hint="default"/>
        <w:b w:val="0"/>
        <w:i/>
      </w:rPr>
    </w:lvl>
    <w:lvl w:ilvl="4">
      <w:start w:val="1"/>
      <w:numFmt w:val="decimal"/>
      <w:lvlText w:val="%1.%2.%3.%4.%5."/>
      <w:lvlJc w:val="left"/>
      <w:pPr>
        <w:ind w:left="1080" w:hanging="1080"/>
      </w:pPr>
      <w:rPr>
        <w:rFonts w:hint="default"/>
        <w:b w:val="0"/>
        <w:i/>
      </w:rPr>
    </w:lvl>
    <w:lvl w:ilvl="5">
      <w:start w:val="1"/>
      <w:numFmt w:val="decimal"/>
      <w:lvlText w:val="%1.%2.%3.%4.%5.%6."/>
      <w:lvlJc w:val="left"/>
      <w:pPr>
        <w:ind w:left="1080" w:hanging="1080"/>
      </w:pPr>
      <w:rPr>
        <w:rFonts w:hint="default"/>
        <w:b w:val="0"/>
        <w:i/>
      </w:rPr>
    </w:lvl>
    <w:lvl w:ilvl="6">
      <w:start w:val="1"/>
      <w:numFmt w:val="decimal"/>
      <w:lvlText w:val="%1.%2.%3.%4.%5.%6.%7."/>
      <w:lvlJc w:val="left"/>
      <w:pPr>
        <w:ind w:left="1440" w:hanging="1440"/>
      </w:pPr>
      <w:rPr>
        <w:rFonts w:hint="default"/>
        <w:b w:val="0"/>
        <w:i/>
      </w:rPr>
    </w:lvl>
    <w:lvl w:ilvl="7">
      <w:start w:val="1"/>
      <w:numFmt w:val="decimal"/>
      <w:lvlText w:val="%1.%2.%3.%4.%5.%6.%7.%8."/>
      <w:lvlJc w:val="left"/>
      <w:pPr>
        <w:ind w:left="1440" w:hanging="1440"/>
      </w:pPr>
      <w:rPr>
        <w:rFonts w:hint="default"/>
        <w:b w:val="0"/>
        <w:i/>
      </w:rPr>
    </w:lvl>
    <w:lvl w:ilvl="8">
      <w:start w:val="1"/>
      <w:numFmt w:val="decimal"/>
      <w:lvlText w:val="%1.%2.%3.%4.%5.%6.%7.%8.%9."/>
      <w:lvlJc w:val="left"/>
      <w:pPr>
        <w:ind w:left="1800" w:hanging="1800"/>
      </w:pPr>
      <w:rPr>
        <w:rFonts w:hint="default"/>
        <w:b w:val="0"/>
        <w:i/>
      </w:rPr>
    </w:lvl>
  </w:abstractNum>
  <w:abstractNum w:abstractNumId="50">
    <w:nsid w:val="547D7547"/>
    <w:multiLevelType w:val="hybridMultilevel"/>
    <w:tmpl w:val="59CAE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6205803"/>
    <w:multiLevelType w:val="multilevel"/>
    <w:tmpl w:val="1E2855A8"/>
    <w:lvl w:ilvl="0">
      <w:start w:val="1"/>
      <w:numFmt w:val="decimal"/>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1st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52">
    <w:nsid w:val="562F0170"/>
    <w:multiLevelType w:val="multilevel"/>
    <w:tmpl w:val="E62A76B2"/>
    <w:lvl w:ilvl="0">
      <w:start w:val="2"/>
      <w:numFmt w:val="decimal"/>
      <w:lvlText w:val="%1."/>
      <w:lvlJc w:val="left"/>
      <w:pPr>
        <w:ind w:left="720" w:hanging="360"/>
      </w:pPr>
      <w:rPr>
        <w:rFonts w:hint="default"/>
        <w:b/>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3">
    <w:nsid w:val="571C1B99"/>
    <w:multiLevelType w:val="hybridMultilevel"/>
    <w:tmpl w:val="8F460E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89B6B6E"/>
    <w:multiLevelType w:val="multilevel"/>
    <w:tmpl w:val="73FAAAF6"/>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5DB52E18"/>
    <w:multiLevelType w:val="multilevel"/>
    <w:tmpl w:val="FF92402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6">
    <w:nsid w:val="5DD757FB"/>
    <w:multiLevelType w:val="hybridMultilevel"/>
    <w:tmpl w:val="34C83A28"/>
    <w:lvl w:ilvl="0" w:tplc="4830A728">
      <w:start w:val="1"/>
      <w:numFmt w:val="decimal"/>
      <w:lvlText w:val="%1."/>
      <w:lvlJc w:val="left"/>
      <w:pPr>
        <w:ind w:left="810" w:hanging="36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7">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58">
    <w:nsid w:val="5F480D1F"/>
    <w:multiLevelType w:val="hybridMultilevel"/>
    <w:tmpl w:val="BBE83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2A40108"/>
    <w:multiLevelType w:val="hybridMultilevel"/>
    <w:tmpl w:val="5C28DF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6E004378"/>
    <w:multiLevelType w:val="hybridMultilevel"/>
    <w:tmpl w:val="44FAA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2590C53"/>
    <w:multiLevelType w:val="hybridMultilevel"/>
    <w:tmpl w:val="862019C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7D619CD"/>
    <w:multiLevelType w:val="multilevel"/>
    <w:tmpl w:val="E38867C8"/>
    <w:lvl w:ilvl="0">
      <w:start w:val="1"/>
      <w:numFmt w:val="decimal"/>
      <w:lvlText w:val="%1."/>
      <w:lvlJc w:val="left"/>
      <w:pPr>
        <w:ind w:left="1080" w:hanging="360"/>
      </w:pPr>
      <w:rPr>
        <w:rFonts w:hint="default"/>
      </w:rPr>
    </w:lvl>
    <w:lvl w:ilvl="1">
      <w:start w:val="3"/>
      <w:numFmt w:val="decimal"/>
      <w:isLgl/>
      <w:lvlText w:val="%1.%2"/>
      <w:lvlJc w:val="left"/>
      <w:pPr>
        <w:ind w:left="117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25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790" w:hanging="1440"/>
      </w:pPr>
      <w:rPr>
        <w:rFonts w:hint="default"/>
      </w:rPr>
    </w:lvl>
    <w:lvl w:ilvl="8">
      <w:start w:val="1"/>
      <w:numFmt w:val="decimal"/>
      <w:isLgl/>
      <w:lvlText w:val="%1.%2.%3.%4.%5.%6.%7.%8.%9"/>
      <w:lvlJc w:val="left"/>
      <w:pPr>
        <w:ind w:left="3240" w:hanging="1800"/>
      </w:pPr>
      <w:rPr>
        <w:rFonts w:hint="default"/>
      </w:rPr>
    </w:lvl>
  </w:abstractNum>
  <w:abstractNum w:abstractNumId="63">
    <w:nsid w:val="78DA0EBB"/>
    <w:multiLevelType w:val="multilevel"/>
    <w:tmpl w:val="84A061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nsid w:val="79E46687"/>
    <w:multiLevelType w:val="hybridMultilevel"/>
    <w:tmpl w:val="8E862F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B77626C"/>
    <w:multiLevelType w:val="multilevel"/>
    <w:tmpl w:val="1B2857DA"/>
    <w:lvl w:ilvl="0">
      <w:start w:val="2"/>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66">
    <w:nsid w:val="7CDA0930"/>
    <w:multiLevelType w:val="hybridMultilevel"/>
    <w:tmpl w:val="39DC1ED4"/>
    <w:lvl w:ilvl="0" w:tplc="86F4CF46">
      <w:start w:val="1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7EDB6F1A"/>
    <w:multiLevelType w:val="hybridMultilevel"/>
    <w:tmpl w:val="06485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51"/>
  </w:num>
  <w:num w:numId="3">
    <w:abstractNumId w:val="8"/>
  </w:num>
  <w:num w:numId="4">
    <w:abstractNumId w:val="25"/>
  </w:num>
  <w:num w:numId="5">
    <w:abstractNumId w:val="57"/>
  </w:num>
  <w:num w:numId="6">
    <w:abstractNumId w:val="17"/>
  </w:num>
  <w:num w:numId="7">
    <w:abstractNumId w:val="48"/>
  </w:num>
  <w:num w:numId="8">
    <w:abstractNumId w:val="52"/>
  </w:num>
  <w:num w:numId="9">
    <w:abstractNumId w:val="22"/>
  </w:num>
  <w:num w:numId="10">
    <w:abstractNumId w:val="3"/>
  </w:num>
  <w:num w:numId="11">
    <w:abstractNumId w:val="2"/>
  </w:num>
  <w:num w:numId="12">
    <w:abstractNumId w:val="1"/>
  </w:num>
  <w:num w:numId="13">
    <w:abstractNumId w:val="0"/>
  </w:num>
  <w:num w:numId="14">
    <w:abstractNumId w:val="47"/>
  </w:num>
  <w:num w:numId="15">
    <w:abstractNumId w:val="15"/>
  </w:num>
  <w:num w:numId="16">
    <w:abstractNumId w:val="42"/>
  </w:num>
  <w:num w:numId="17">
    <w:abstractNumId w:val="63"/>
  </w:num>
  <w:num w:numId="18">
    <w:abstractNumId w:val="27"/>
  </w:num>
  <w:num w:numId="19">
    <w:abstractNumId w:val="16"/>
  </w:num>
  <w:num w:numId="20">
    <w:abstractNumId w:val="4"/>
  </w:num>
  <w:num w:numId="21">
    <w:abstractNumId w:val="14"/>
  </w:num>
  <w:num w:numId="22">
    <w:abstractNumId w:val="20"/>
  </w:num>
  <w:num w:numId="23">
    <w:abstractNumId w:val="12"/>
  </w:num>
  <w:num w:numId="24">
    <w:abstractNumId w:val="35"/>
  </w:num>
  <w:num w:numId="25">
    <w:abstractNumId w:val="24"/>
  </w:num>
  <w:num w:numId="26">
    <w:abstractNumId w:val="40"/>
  </w:num>
  <w:num w:numId="27">
    <w:abstractNumId w:val="55"/>
  </w:num>
  <w:num w:numId="28">
    <w:abstractNumId w:val="36"/>
  </w:num>
  <w:num w:numId="29">
    <w:abstractNumId w:val="46"/>
  </w:num>
  <w:num w:numId="30">
    <w:abstractNumId w:val="10"/>
  </w:num>
  <w:num w:numId="31">
    <w:abstractNumId w:val="45"/>
  </w:num>
  <w:num w:numId="32">
    <w:abstractNumId w:val="31"/>
  </w:num>
  <w:num w:numId="33">
    <w:abstractNumId w:val="38"/>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num>
  <w:num w:numId="36">
    <w:abstractNumId w:val="6"/>
  </w:num>
  <w:num w:numId="37">
    <w:abstractNumId w:val="62"/>
  </w:num>
  <w:num w:numId="38">
    <w:abstractNumId w:val="32"/>
  </w:num>
  <w:num w:numId="39">
    <w:abstractNumId w:val="56"/>
  </w:num>
  <w:num w:numId="40">
    <w:abstractNumId w:val="65"/>
  </w:num>
  <w:num w:numId="41">
    <w:abstractNumId w:val="59"/>
  </w:num>
  <w:num w:numId="42">
    <w:abstractNumId w:val="29"/>
  </w:num>
  <w:num w:numId="43">
    <w:abstractNumId w:val="41"/>
  </w:num>
  <w:num w:numId="44">
    <w:abstractNumId w:val="23"/>
  </w:num>
  <w:num w:numId="45">
    <w:abstractNumId w:val="9"/>
  </w:num>
  <w:num w:numId="46">
    <w:abstractNumId w:val="54"/>
  </w:num>
  <w:num w:numId="47">
    <w:abstractNumId w:val="66"/>
  </w:num>
  <w:num w:numId="48">
    <w:abstractNumId w:val="11"/>
  </w:num>
  <w:num w:numId="49">
    <w:abstractNumId w:val="60"/>
  </w:num>
  <w:num w:numId="50">
    <w:abstractNumId w:val="19"/>
  </w:num>
  <w:num w:numId="51">
    <w:abstractNumId w:val="18"/>
  </w:num>
  <w:num w:numId="52">
    <w:abstractNumId w:val="50"/>
  </w:num>
  <w:num w:numId="53">
    <w:abstractNumId w:val="33"/>
  </w:num>
  <w:num w:numId="54">
    <w:abstractNumId w:val="28"/>
  </w:num>
  <w:num w:numId="55">
    <w:abstractNumId w:val="44"/>
  </w:num>
  <w:num w:numId="56">
    <w:abstractNumId w:val="64"/>
  </w:num>
  <w:num w:numId="57">
    <w:abstractNumId w:val="58"/>
  </w:num>
  <w:num w:numId="58">
    <w:abstractNumId w:val="53"/>
  </w:num>
  <w:num w:numId="59">
    <w:abstractNumId w:val="13"/>
  </w:num>
  <w:num w:numId="60">
    <w:abstractNumId w:val="43"/>
  </w:num>
  <w:num w:numId="61">
    <w:abstractNumId w:val="30"/>
  </w:num>
  <w:num w:numId="62">
    <w:abstractNumId w:val="21"/>
  </w:num>
  <w:num w:numId="63">
    <w:abstractNumId w:val="67"/>
  </w:num>
  <w:num w:numId="64">
    <w:abstractNumId w:val="5"/>
  </w:num>
  <w:num w:numId="65">
    <w:abstractNumId w:val="49"/>
  </w:num>
  <w:num w:numId="66">
    <w:abstractNumId w:val="61"/>
  </w:num>
  <w:num w:numId="67">
    <w:abstractNumId w:val="7"/>
  </w:num>
  <w:num w:numId="68">
    <w:abstractNumId w:val="37"/>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proofState w:grammar="clean"/>
  <w:defaultTabStop w:val="720"/>
  <w:evenAndOddHeaders/>
  <w:drawingGridHorizontalSpacing w:val="100"/>
  <w:displayHorizontalDrawingGridEvery w:val="2"/>
  <w:characterSpacingControl w:val="doNotCompress"/>
  <w:hdrShapeDefaults>
    <o:shapedefaults v:ext="edit" spidmax="122882"/>
  </w:hdrShapeDefaults>
  <w:footnotePr>
    <w:footnote w:id="-1"/>
    <w:footnote w:id="0"/>
  </w:footnotePr>
  <w:endnotePr>
    <w:endnote w:id="-1"/>
    <w:endnote w:id="0"/>
  </w:endnotePr>
  <w:compat/>
  <w:rsids>
    <w:rsidRoot w:val="00EE535C"/>
    <w:rsid w:val="000003DF"/>
    <w:rsid w:val="000024DE"/>
    <w:rsid w:val="00002B61"/>
    <w:rsid w:val="000036C3"/>
    <w:rsid w:val="000044D5"/>
    <w:rsid w:val="00004681"/>
    <w:rsid w:val="000056C0"/>
    <w:rsid w:val="000064BD"/>
    <w:rsid w:val="00010952"/>
    <w:rsid w:val="00013B3A"/>
    <w:rsid w:val="00014E9D"/>
    <w:rsid w:val="00015883"/>
    <w:rsid w:val="0001588B"/>
    <w:rsid w:val="00015EF1"/>
    <w:rsid w:val="0001612F"/>
    <w:rsid w:val="00016A7C"/>
    <w:rsid w:val="00017543"/>
    <w:rsid w:val="0002002F"/>
    <w:rsid w:val="0002149A"/>
    <w:rsid w:val="00022213"/>
    <w:rsid w:val="00022B2A"/>
    <w:rsid w:val="0002542B"/>
    <w:rsid w:val="0002693D"/>
    <w:rsid w:val="00026AD1"/>
    <w:rsid w:val="000310D5"/>
    <w:rsid w:val="000323D6"/>
    <w:rsid w:val="00032468"/>
    <w:rsid w:val="0003436C"/>
    <w:rsid w:val="000354D2"/>
    <w:rsid w:val="00036707"/>
    <w:rsid w:val="000402ED"/>
    <w:rsid w:val="000404C0"/>
    <w:rsid w:val="00042D99"/>
    <w:rsid w:val="000435DE"/>
    <w:rsid w:val="00045A66"/>
    <w:rsid w:val="00050692"/>
    <w:rsid w:val="00050FFF"/>
    <w:rsid w:val="000515DF"/>
    <w:rsid w:val="0005293A"/>
    <w:rsid w:val="000554D7"/>
    <w:rsid w:val="00056AC4"/>
    <w:rsid w:val="000574FB"/>
    <w:rsid w:val="00057D91"/>
    <w:rsid w:val="00060B7A"/>
    <w:rsid w:val="00061E9B"/>
    <w:rsid w:val="000634A1"/>
    <w:rsid w:val="00067B62"/>
    <w:rsid w:val="00067CF5"/>
    <w:rsid w:val="000710A8"/>
    <w:rsid w:val="00073500"/>
    <w:rsid w:val="000736F7"/>
    <w:rsid w:val="00075F78"/>
    <w:rsid w:val="00077FC8"/>
    <w:rsid w:val="000824FD"/>
    <w:rsid w:val="00082FE2"/>
    <w:rsid w:val="00084495"/>
    <w:rsid w:val="000870DB"/>
    <w:rsid w:val="00095812"/>
    <w:rsid w:val="000966D2"/>
    <w:rsid w:val="00096718"/>
    <w:rsid w:val="000A0438"/>
    <w:rsid w:val="000A2FA4"/>
    <w:rsid w:val="000A5006"/>
    <w:rsid w:val="000A5334"/>
    <w:rsid w:val="000A5D80"/>
    <w:rsid w:val="000A69CA"/>
    <w:rsid w:val="000A75CE"/>
    <w:rsid w:val="000A7BFB"/>
    <w:rsid w:val="000A7D41"/>
    <w:rsid w:val="000B1288"/>
    <w:rsid w:val="000B2E8B"/>
    <w:rsid w:val="000B46D1"/>
    <w:rsid w:val="000B50E1"/>
    <w:rsid w:val="000C1FB9"/>
    <w:rsid w:val="000C2A7F"/>
    <w:rsid w:val="000C2FA1"/>
    <w:rsid w:val="000C3725"/>
    <w:rsid w:val="000C3ED7"/>
    <w:rsid w:val="000C431E"/>
    <w:rsid w:val="000C469E"/>
    <w:rsid w:val="000C5ED2"/>
    <w:rsid w:val="000C6232"/>
    <w:rsid w:val="000C6863"/>
    <w:rsid w:val="000C7231"/>
    <w:rsid w:val="000C7416"/>
    <w:rsid w:val="000D0122"/>
    <w:rsid w:val="000D4C16"/>
    <w:rsid w:val="000D585C"/>
    <w:rsid w:val="000D74F6"/>
    <w:rsid w:val="000E0C41"/>
    <w:rsid w:val="000E111F"/>
    <w:rsid w:val="000E180B"/>
    <w:rsid w:val="000E1FA4"/>
    <w:rsid w:val="000E32B9"/>
    <w:rsid w:val="000E3A84"/>
    <w:rsid w:val="000E5755"/>
    <w:rsid w:val="000E5AB1"/>
    <w:rsid w:val="000E6502"/>
    <w:rsid w:val="000E7181"/>
    <w:rsid w:val="000E732A"/>
    <w:rsid w:val="000E7C83"/>
    <w:rsid w:val="000F09E4"/>
    <w:rsid w:val="000F195A"/>
    <w:rsid w:val="000F3F37"/>
    <w:rsid w:val="000F4A13"/>
    <w:rsid w:val="000F7649"/>
    <w:rsid w:val="000F77CB"/>
    <w:rsid w:val="00100B3C"/>
    <w:rsid w:val="001031E3"/>
    <w:rsid w:val="00103493"/>
    <w:rsid w:val="00104B7B"/>
    <w:rsid w:val="001051C3"/>
    <w:rsid w:val="00106146"/>
    <w:rsid w:val="00107034"/>
    <w:rsid w:val="00107BDC"/>
    <w:rsid w:val="001104EA"/>
    <w:rsid w:val="001122AA"/>
    <w:rsid w:val="0011384A"/>
    <w:rsid w:val="001150FA"/>
    <w:rsid w:val="001159BD"/>
    <w:rsid w:val="00115CF5"/>
    <w:rsid w:val="001203CB"/>
    <w:rsid w:val="00121E59"/>
    <w:rsid w:val="00123FF5"/>
    <w:rsid w:val="001243AA"/>
    <w:rsid w:val="001249DB"/>
    <w:rsid w:val="00125135"/>
    <w:rsid w:val="00125962"/>
    <w:rsid w:val="00126401"/>
    <w:rsid w:val="00126DDE"/>
    <w:rsid w:val="0013397D"/>
    <w:rsid w:val="00140968"/>
    <w:rsid w:val="0014236D"/>
    <w:rsid w:val="00143330"/>
    <w:rsid w:val="00145ABE"/>
    <w:rsid w:val="00146E23"/>
    <w:rsid w:val="001477F6"/>
    <w:rsid w:val="00147F66"/>
    <w:rsid w:val="00150686"/>
    <w:rsid w:val="001508F0"/>
    <w:rsid w:val="00150E15"/>
    <w:rsid w:val="0015215C"/>
    <w:rsid w:val="0015263E"/>
    <w:rsid w:val="00153186"/>
    <w:rsid w:val="001551AB"/>
    <w:rsid w:val="00157DB2"/>
    <w:rsid w:val="00161866"/>
    <w:rsid w:val="001633A4"/>
    <w:rsid w:val="00163543"/>
    <w:rsid w:val="00164667"/>
    <w:rsid w:val="00164B49"/>
    <w:rsid w:val="00167BD3"/>
    <w:rsid w:val="00174287"/>
    <w:rsid w:val="001750C4"/>
    <w:rsid w:val="001808B5"/>
    <w:rsid w:val="00183232"/>
    <w:rsid w:val="00183417"/>
    <w:rsid w:val="001847B6"/>
    <w:rsid w:val="00185FDF"/>
    <w:rsid w:val="0019096F"/>
    <w:rsid w:val="00190976"/>
    <w:rsid w:val="00190A54"/>
    <w:rsid w:val="001921DF"/>
    <w:rsid w:val="00192315"/>
    <w:rsid w:val="00192A46"/>
    <w:rsid w:val="00193170"/>
    <w:rsid w:val="00195904"/>
    <w:rsid w:val="00197BB5"/>
    <w:rsid w:val="001A1CD6"/>
    <w:rsid w:val="001A3763"/>
    <w:rsid w:val="001A43C7"/>
    <w:rsid w:val="001A5548"/>
    <w:rsid w:val="001A65AE"/>
    <w:rsid w:val="001A7F3B"/>
    <w:rsid w:val="001B7852"/>
    <w:rsid w:val="001C099A"/>
    <w:rsid w:val="001C1F87"/>
    <w:rsid w:val="001C4EF9"/>
    <w:rsid w:val="001C763F"/>
    <w:rsid w:val="001D05D6"/>
    <w:rsid w:val="001D064A"/>
    <w:rsid w:val="001D1F40"/>
    <w:rsid w:val="001D2317"/>
    <w:rsid w:val="001D425D"/>
    <w:rsid w:val="001D4FDA"/>
    <w:rsid w:val="001D68B2"/>
    <w:rsid w:val="001E2D42"/>
    <w:rsid w:val="001E5024"/>
    <w:rsid w:val="001E6C68"/>
    <w:rsid w:val="001F0E65"/>
    <w:rsid w:val="001F0FC4"/>
    <w:rsid w:val="001F11B8"/>
    <w:rsid w:val="001F20EC"/>
    <w:rsid w:val="001F2A84"/>
    <w:rsid w:val="001F707A"/>
    <w:rsid w:val="00201C96"/>
    <w:rsid w:val="00205A99"/>
    <w:rsid w:val="0020742E"/>
    <w:rsid w:val="00212158"/>
    <w:rsid w:val="00215017"/>
    <w:rsid w:val="00215BBE"/>
    <w:rsid w:val="00215CE5"/>
    <w:rsid w:val="00215E01"/>
    <w:rsid w:val="002172B3"/>
    <w:rsid w:val="00217B21"/>
    <w:rsid w:val="002227A9"/>
    <w:rsid w:val="00222FE6"/>
    <w:rsid w:val="00223817"/>
    <w:rsid w:val="00227A2D"/>
    <w:rsid w:val="00227DB3"/>
    <w:rsid w:val="00230752"/>
    <w:rsid w:val="002307FA"/>
    <w:rsid w:val="0023302D"/>
    <w:rsid w:val="00233C3D"/>
    <w:rsid w:val="0023584A"/>
    <w:rsid w:val="00236B79"/>
    <w:rsid w:val="00237558"/>
    <w:rsid w:val="0024097D"/>
    <w:rsid w:val="00241101"/>
    <w:rsid w:val="00241D2F"/>
    <w:rsid w:val="00242DA6"/>
    <w:rsid w:val="00245D24"/>
    <w:rsid w:val="00246514"/>
    <w:rsid w:val="00247F3F"/>
    <w:rsid w:val="0025044F"/>
    <w:rsid w:val="0025136D"/>
    <w:rsid w:val="00252491"/>
    <w:rsid w:val="00252CC0"/>
    <w:rsid w:val="00253084"/>
    <w:rsid w:val="00253122"/>
    <w:rsid w:val="00255ACC"/>
    <w:rsid w:val="00255F46"/>
    <w:rsid w:val="00256786"/>
    <w:rsid w:val="0025727A"/>
    <w:rsid w:val="0026128A"/>
    <w:rsid w:val="002626A3"/>
    <w:rsid w:val="00262DE1"/>
    <w:rsid w:val="002636AE"/>
    <w:rsid w:val="00264E81"/>
    <w:rsid w:val="00264FC4"/>
    <w:rsid w:val="00265840"/>
    <w:rsid w:val="00265C1C"/>
    <w:rsid w:val="00266B4D"/>
    <w:rsid w:val="00267A29"/>
    <w:rsid w:val="002705D7"/>
    <w:rsid w:val="00274917"/>
    <w:rsid w:val="00276CA2"/>
    <w:rsid w:val="00277118"/>
    <w:rsid w:val="00282108"/>
    <w:rsid w:val="0028271E"/>
    <w:rsid w:val="00283AFD"/>
    <w:rsid w:val="00283D02"/>
    <w:rsid w:val="002846D7"/>
    <w:rsid w:val="00285DFD"/>
    <w:rsid w:val="00291AD1"/>
    <w:rsid w:val="00291DF7"/>
    <w:rsid w:val="00292D0E"/>
    <w:rsid w:val="00292D51"/>
    <w:rsid w:val="00294CD5"/>
    <w:rsid w:val="00296CB1"/>
    <w:rsid w:val="002A5855"/>
    <w:rsid w:val="002A5F96"/>
    <w:rsid w:val="002A77F9"/>
    <w:rsid w:val="002A7896"/>
    <w:rsid w:val="002B0E41"/>
    <w:rsid w:val="002B474C"/>
    <w:rsid w:val="002B47EA"/>
    <w:rsid w:val="002B78BA"/>
    <w:rsid w:val="002C4045"/>
    <w:rsid w:val="002D063E"/>
    <w:rsid w:val="002D07E4"/>
    <w:rsid w:val="002D18D6"/>
    <w:rsid w:val="002D58EA"/>
    <w:rsid w:val="002E073F"/>
    <w:rsid w:val="002E15A5"/>
    <w:rsid w:val="002E34D2"/>
    <w:rsid w:val="002E3ECE"/>
    <w:rsid w:val="002E456C"/>
    <w:rsid w:val="002E54B6"/>
    <w:rsid w:val="002E6622"/>
    <w:rsid w:val="002E6772"/>
    <w:rsid w:val="002F014F"/>
    <w:rsid w:val="002F0566"/>
    <w:rsid w:val="002F259B"/>
    <w:rsid w:val="002F265B"/>
    <w:rsid w:val="002F274A"/>
    <w:rsid w:val="002F390B"/>
    <w:rsid w:val="002F4446"/>
    <w:rsid w:val="002F5B8C"/>
    <w:rsid w:val="002F5E8F"/>
    <w:rsid w:val="002F7910"/>
    <w:rsid w:val="00300F7B"/>
    <w:rsid w:val="00302B7A"/>
    <w:rsid w:val="003036E5"/>
    <w:rsid w:val="00303899"/>
    <w:rsid w:val="00307AA6"/>
    <w:rsid w:val="003138A3"/>
    <w:rsid w:val="00314CDA"/>
    <w:rsid w:val="003159BE"/>
    <w:rsid w:val="003220A2"/>
    <w:rsid w:val="003222C8"/>
    <w:rsid w:val="003223AC"/>
    <w:rsid w:val="00322CE8"/>
    <w:rsid w:val="00324668"/>
    <w:rsid w:val="00325581"/>
    <w:rsid w:val="00325CCD"/>
    <w:rsid w:val="00325F76"/>
    <w:rsid w:val="00326F65"/>
    <w:rsid w:val="00327C28"/>
    <w:rsid w:val="0033142E"/>
    <w:rsid w:val="00331D55"/>
    <w:rsid w:val="003324C1"/>
    <w:rsid w:val="00332EE3"/>
    <w:rsid w:val="003373D3"/>
    <w:rsid w:val="00337B4C"/>
    <w:rsid w:val="0034022D"/>
    <w:rsid w:val="0034155B"/>
    <w:rsid w:val="003415E5"/>
    <w:rsid w:val="003419AD"/>
    <w:rsid w:val="0034229F"/>
    <w:rsid w:val="00343C89"/>
    <w:rsid w:val="003442EA"/>
    <w:rsid w:val="003454BA"/>
    <w:rsid w:val="003455D0"/>
    <w:rsid w:val="00347824"/>
    <w:rsid w:val="003510F8"/>
    <w:rsid w:val="003514EC"/>
    <w:rsid w:val="00351A4A"/>
    <w:rsid w:val="0035287E"/>
    <w:rsid w:val="00352FA9"/>
    <w:rsid w:val="00353BCD"/>
    <w:rsid w:val="00354747"/>
    <w:rsid w:val="00356428"/>
    <w:rsid w:val="00361421"/>
    <w:rsid w:val="00362990"/>
    <w:rsid w:val="003629F1"/>
    <w:rsid w:val="00363E70"/>
    <w:rsid w:val="00366BBB"/>
    <w:rsid w:val="0037076D"/>
    <w:rsid w:val="00370948"/>
    <w:rsid w:val="0037176B"/>
    <w:rsid w:val="00372C58"/>
    <w:rsid w:val="00373362"/>
    <w:rsid w:val="003736E4"/>
    <w:rsid w:val="0037376E"/>
    <w:rsid w:val="00373858"/>
    <w:rsid w:val="00373F0F"/>
    <w:rsid w:val="00374084"/>
    <w:rsid w:val="00380261"/>
    <w:rsid w:val="00386DBA"/>
    <w:rsid w:val="0038787B"/>
    <w:rsid w:val="00390245"/>
    <w:rsid w:val="00390CA0"/>
    <w:rsid w:val="00391020"/>
    <w:rsid w:val="0039145B"/>
    <w:rsid w:val="0039361E"/>
    <w:rsid w:val="003949C4"/>
    <w:rsid w:val="0039504E"/>
    <w:rsid w:val="00395C9D"/>
    <w:rsid w:val="00396D3F"/>
    <w:rsid w:val="00397D22"/>
    <w:rsid w:val="003A1AA9"/>
    <w:rsid w:val="003A3E13"/>
    <w:rsid w:val="003A4511"/>
    <w:rsid w:val="003A5CA8"/>
    <w:rsid w:val="003A64C2"/>
    <w:rsid w:val="003A6CAD"/>
    <w:rsid w:val="003A745F"/>
    <w:rsid w:val="003A78AC"/>
    <w:rsid w:val="003A795D"/>
    <w:rsid w:val="003B0A2B"/>
    <w:rsid w:val="003B2544"/>
    <w:rsid w:val="003B3129"/>
    <w:rsid w:val="003B47D0"/>
    <w:rsid w:val="003B4CE2"/>
    <w:rsid w:val="003B6177"/>
    <w:rsid w:val="003B74DF"/>
    <w:rsid w:val="003C01AF"/>
    <w:rsid w:val="003C0BAF"/>
    <w:rsid w:val="003C18A9"/>
    <w:rsid w:val="003C30A2"/>
    <w:rsid w:val="003C3181"/>
    <w:rsid w:val="003C5BC2"/>
    <w:rsid w:val="003C71A2"/>
    <w:rsid w:val="003C735D"/>
    <w:rsid w:val="003D26E9"/>
    <w:rsid w:val="003D33FE"/>
    <w:rsid w:val="003D4DB5"/>
    <w:rsid w:val="003D5E13"/>
    <w:rsid w:val="003E2C34"/>
    <w:rsid w:val="003E73E0"/>
    <w:rsid w:val="003F4734"/>
    <w:rsid w:val="003F4786"/>
    <w:rsid w:val="0040095C"/>
    <w:rsid w:val="00400B4E"/>
    <w:rsid w:val="00400EA0"/>
    <w:rsid w:val="0040108B"/>
    <w:rsid w:val="0040460D"/>
    <w:rsid w:val="004046FE"/>
    <w:rsid w:val="00404BBA"/>
    <w:rsid w:val="00405D39"/>
    <w:rsid w:val="004113AA"/>
    <w:rsid w:val="0041405D"/>
    <w:rsid w:val="0041498D"/>
    <w:rsid w:val="0041544C"/>
    <w:rsid w:val="004159A5"/>
    <w:rsid w:val="00415F0E"/>
    <w:rsid w:val="004161ED"/>
    <w:rsid w:val="00416D75"/>
    <w:rsid w:val="00416FEC"/>
    <w:rsid w:val="004211A6"/>
    <w:rsid w:val="004223A5"/>
    <w:rsid w:val="004226F6"/>
    <w:rsid w:val="00422917"/>
    <w:rsid w:val="004253A1"/>
    <w:rsid w:val="00426E59"/>
    <w:rsid w:val="004307B3"/>
    <w:rsid w:val="004308BE"/>
    <w:rsid w:val="00433E2D"/>
    <w:rsid w:val="0043449E"/>
    <w:rsid w:val="00434F2D"/>
    <w:rsid w:val="00435369"/>
    <w:rsid w:val="0043553A"/>
    <w:rsid w:val="00436421"/>
    <w:rsid w:val="00440A92"/>
    <w:rsid w:val="0044147E"/>
    <w:rsid w:val="00442236"/>
    <w:rsid w:val="004469E4"/>
    <w:rsid w:val="00446BAA"/>
    <w:rsid w:val="0044761D"/>
    <w:rsid w:val="004478AA"/>
    <w:rsid w:val="0045159B"/>
    <w:rsid w:val="0045265A"/>
    <w:rsid w:val="004532A2"/>
    <w:rsid w:val="00455A7A"/>
    <w:rsid w:val="00455EF3"/>
    <w:rsid w:val="004568B3"/>
    <w:rsid w:val="004572C3"/>
    <w:rsid w:val="00457D24"/>
    <w:rsid w:val="00457F43"/>
    <w:rsid w:val="0046262B"/>
    <w:rsid w:val="004636F9"/>
    <w:rsid w:val="004657CA"/>
    <w:rsid w:val="00465E96"/>
    <w:rsid w:val="00466136"/>
    <w:rsid w:val="00467084"/>
    <w:rsid w:val="0046753E"/>
    <w:rsid w:val="004677AB"/>
    <w:rsid w:val="00471A06"/>
    <w:rsid w:val="004734E7"/>
    <w:rsid w:val="00477A64"/>
    <w:rsid w:val="00477ACA"/>
    <w:rsid w:val="004803A9"/>
    <w:rsid w:val="0048280F"/>
    <w:rsid w:val="00485118"/>
    <w:rsid w:val="00485197"/>
    <w:rsid w:val="00486B43"/>
    <w:rsid w:val="00491F16"/>
    <w:rsid w:val="004922F9"/>
    <w:rsid w:val="00492A3D"/>
    <w:rsid w:val="004939E2"/>
    <w:rsid w:val="00494766"/>
    <w:rsid w:val="00494B65"/>
    <w:rsid w:val="00495295"/>
    <w:rsid w:val="00496F49"/>
    <w:rsid w:val="004A4795"/>
    <w:rsid w:val="004A523D"/>
    <w:rsid w:val="004A56A0"/>
    <w:rsid w:val="004A5722"/>
    <w:rsid w:val="004A6000"/>
    <w:rsid w:val="004B0222"/>
    <w:rsid w:val="004B0796"/>
    <w:rsid w:val="004B14AA"/>
    <w:rsid w:val="004B2482"/>
    <w:rsid w:val="004B4219"/>
    <w:rsid w:val="004B4E88"/>
    <w:rsid w:val="004B56B5"/>
    <w:rsid w:val="004B57EF"/>
    <w:rsid w:val="004B6307"/>
    <w:rsid w:val="004B676D"/>
    <w:rsid w:val="004B6882"/>
    <w:rsid w:val="004B6CCE"/>
    <w:rsid w:val="004C0B55"/>
    <w:rsid w:val="004C1475"/>
    <w:rsid w:val="004C2638"/>
    <w:rsid w:val="004C390A"/>
    <w:rsid w:val="004C63DA"/>
    <w:rsid w:val="004D1110"/>
    <w:rsid w:val="004D1BB2"/>
    <w:rsid w:val="004D1BB3"/>
    <w:rsid w:val="004D3961"/>
    <w:rsid w:val="004D4E88"/>
    <w:rsid w:val="004D5BCC"/>
    <w:rsid w:val="004D5D4F"/>
    <w:rsid w:val="004D6396"/>
    <w:rsid w:val="004E01D1"/>
    <w:rsid w:val="004E1CE7"/>
    <w:rsid w:val="004E2C1E"/>
    <w:rsid w:val="004E2F1C"/>
    <w:rsid w:val="004E2FCA"/>
    <w:rsid w:val="004E34C6"/>
    <w:rsid w:val="004E3FBF"/>
    <w:rsid w:val="004F0A10"/>
    <w:rsid w:val="004F109D"/>
    <w:rsid w:val="004F2C4D"/>
    <w:rsid w:val="004F39BE"/>
    <w:rsid w:val="004F3EA2"/>
    <w:rsid w:val="00502418"/>
    <w:rsid w:val="0050282A"/>
    <w:rsid w:val="005043B1"/>
    <w:rsid w:val="00505883"/>
    <w:rsid w:val="00513729"/>
    <w:rsid w:val="005147EC"/>
    <w:rsid w:val="00514AEC"/>
    <w:rsid w:val="00515175"/>
    <w:rsid w:val="00516666"/>
    <w:rsid w:val="00521E54"/>
    <w:rsid w:val="00523084"/>
    <w:rsid w:val="0052537F"/>
    <w:rsid w:val="0052721B"/>
    <w:rsid w:val="005304E4"/>
    <w:rsid w:val="00532F36"/>
    <w:rsid w:val="00534A9A"/>
    <w:rsid w:val="005350F1"/>
    <w:rsid w:val="0053587F"/>
    <w:rsid w:val="005359B2"/>
    <w:rsid w:val="005362EE"/>
    <w:rsid w:val="005411FC"/>
    <w:rsid w:val="00541F83"/>
    <w:rsid w:val="005428B2"/>
    <w:rsid w:val="005429CE"/>
    <w:rsid w:val="00544EBB"/>
    <w:rsid w:val="00547494"/>
    <w:rsid w:val="00550258"/>
    <w:rsid w:val="00551CD1"/>
    <w:rsid w:val="00554712"/>
    <w:rsid w:val="00554D37"/>
    <w:rsid w:val="00556E20"/>
    <w:rsid w:val="005572DA"/>
    <w:rsid w:val="00560C26"/>
    <w:rsid w:val="005624A8"/>
    <w:rsid w:val="005627CB"/>
    <w:rsid w:val="00563110"/>
    <w:rsid w:val="005634D0"/>
    <w:rsid w:val="0056422A"/>
    <w:rsid w:val="005654F2"/>
    <w:rsid w:val="0056617C"/>
    <w:rsid w:val="00575011"/>
    <w:rsid w:val="00575FF2"/>
    <w:rsid w:val="005777E5"/>
    <w:rsid w:val="0058010B"/>
    <w:rsid w:val="00581AB6"/>
    <w:rsid w:val="005825EA"/>
    <w:rsid w:val="00583031"/>
    <w:rsid w:val="005830E6"/>
    <w:rsid w:val="0058502F"/>
    <w:rsid w:val="005855E5"/>
    <w:rsid w:val="00587541"/>
    <w:rsid w:val="00587A12"/>
    <w:rsid w:val="00587A19"/>
    <w:rsid w:val="0059035A"/>
    <w:rsid w:val="00593760"/>
    <w:rsid w:val="00593C2C"/>
    <w:rsid w:val="005941EF"/>
    <w:rsid w:val="00595B1D"/>
    <w:rsid w:val="00596A99"/>
    <w:rsid w:val="005A2E4A"/>
    <w:rsid w:val="005A7DBA"/>
    <w:rsid w:val="005B1000"/>
    <w:rsid w:val="005B2417"/>
    <w:rsid w:val="005B26DF"/>
    <w:rsid w:val="005B29E0"/>
    <w:rsid w:val="005B43DF"/>
    <w:rsid w:val="005B5906"/>
    <w:rsid w:val="005B6606"/>
    <w:rsid w:val="005B7515"/>
    <w:rsid w:val="005B7A02"/>
    <w:rsid w:val="005C301E"/>
    <w:rsid w:val="005C6059"/>
    <w:rsid w:val="005D00F3"/>
    <w:rsid w:val="005D27C2"/>
    <w:rsid w:val="005D45C4"/>
    <w:rsid w:val="005D4821"/>
    <w:rsid w:val="005D559B"/>
    <w:rsid w:val="005D55B6"/>
    <w:rsid w:val="005D7868"/>
    <w:rsid w:val="005E065C"/>
    <w:rsid w:val="005E0ACE"/>
    <w:rsid w:val="005E236E"/>
    <w:rsid w:val="005F1323"/>
    <w:rsid w:val="005F1468"/>
    <w:rsid w:val="005F2932"/>
    <w:rsid w:val="005F51F7"/>
    <w:rsid w:val="005F5718"/>
    <w:rsid w:val="0060216B"/>
    <w:rsid w:val="00602D99"/>
    <w:rsid w:val="00604F8C"/>
    <w:rsid w:val="00605F9C"/>
    <w:rsid w:val="00607511"/>
    <w:rsid w:val="0061006C"/>
    <w:rsid w:val="006103B0"/>
    <w:rsid w:val="00612018"/>
    <w:rsid w:val="006125FC"/>
    <w:rsid w:val="006129D5"/>
    <w:rsid w:val="00613E74"/>
    <w:rsid w:val="00614039"/>
    <w:rsid w:val="00614212"/>
    <w:rsid w:val="00614E6A"/>
    <w:rsid w:val="0061515E"/>
    <w:rsid w:val="00617180"/>
    <w:rsid w:val="00617AA3"/>
    <w:rsid w:val="00620438"/>
    <w:rsid w:val="0062140A"/>
    <w:rsid w:val="006221B1"/>
    <w:rsid w:val="00623DAC"/>
    <w:rsid w:val="00624941"/>
    <w:rsid w:val="00624D90"/>
    <w:rsid w:val="00627992"/>
    <w:rsid w:val="00630C7C"/>
    <w:rsid w:val="00630F65"/>
    <w:rsid w:val="00631414"/>
    <w:rsid w:val="006324B5"/>
    <w:rsid w:val="006334BD"/>
    <w:rsid w:val="0063567F"/>
    <w:rsid w:val="00636D6F"/>
    <w:rsid w:val="0063736F"/>
    <w:rsid w:val="00637608"/>
    <w:rsid w:val="00642224"/>
    <w:rsid w:val="00644C81"/>
    <w:rsid w:val="00646400"/>
    <w:rsid w:val="0065016F"/>
    <w:rsid w:val="00651826"/>
    <w:rsid w:val="0065364A"/>
    <w:rsid w:val="00654002"/>
    <w:rsid w:val="00654EE2"/>
    <w:rsid w:val="00655655"/>
    <w:rsid w:val="00655A73"/>
    <w:rsid w:val="006565C2"/>
    <w:rsid w:val="00660891"/>
    <w:rsid w:val="00663629"/>
    <w:rsid w:val="00663DBB"/>
    <w:rsid w:val="006641C0"/>
    <w:rsid w:val="00664C7B"/>
    <w:rsid w:val="006666D8"/>
    <w:rsid w:val="00666CE0"/>
    <w:rsid w:val="00666F1C"/>
    <w:rsid w:val="00673D79"/>
    <w:rsid w:val="00675787"/>
    <w:rsid w:val="00677932"/>
    <w:rsid w:val="0068092D"/>
    <w:rsid w:val="00681137"/>
    <w:rsid w:val="006827F5"/>
    <w:rsid w:val="00682859"/>
    <w:rsid w:val="006839AA"/>
    <w:rsid w:val="00685168"/>
    <w:rsid w:val="00685A78"/>
    <w:rsid w:val="00687FED"/>
    <w:rsid w:val="0069020C"/>
    <w:rsid w:val="0069098B"/>
    <w:rsid w:val="006919E5"/>
    <w:rsid w:val="0069244A"/>
    <w:rsid w:val="00694618"/>
    <w:rsid w:val="00694908"/>
    <w:rsid w:val="006951ED"/>
    <w:rsid w:val="00695FFA"/>
    <w:rsid w:val="00697854"/>
    <w:rsid w:val="006A00E9"/>
    <w:rsid w:val="006A0563"/>
    <w:rsid w:val="006A3468"/>
    <w:rsid w:val="006A48C1"/>
    <w:rsid w:val="006A4A9E"/>
    <w:rsid w:val="006A530B"/>
    <w:rsid w:val="006A53E6"/>
    <w:rsid w:val="006A561C"/>
    <w:rsid w:val="006A5B6A"/>
    <w:rsid w:val="006A7BF7"/>
    <w:rsid w:val="006B05BD"/>
    <w:rsid w:val="006B09DA"/>
    <w:rsid w:val="006B1FCA"/>
    <w:rsid w:val="006B2CED"/>
    <w:rsid w:val="006B5906"/>
    <w:rsid w:val="006C3CC6"/>
    <w:rsid w:val="006C42AA"/>
    <w:rsid w:val="006C5E6F"/>
    <w:rsid w:val="006C5EA2"/>
    <w:rsid w:val="006D25BF"/>
    <w:rsid w:val="006D37FD"/>
    <w:rsid w:val="006D41BD"/>
    <w:rsid w:val="006D55C3"/>
    <w:rsid w:val="006D5B3F"/>
    <w:rsid w:val="006D6FC8"/>
    <w:rsid w:val="006D7038"/>
    <w:rsid w:val="006D7604"/>
    <w:rsid w:val="006E01BB"/>
    <w:rsid w:val="006E04E8"/>
    <w:rsid w:val="006E080B"/>
    <w:rsid w:val="006E1950"/>
    <w:rsid w:val="006E2D7F"/>
    <w:rsid w:val="006E3D34"/>
    <w:rsid w:val="006E57E7"/>
    <w:rsid w:val="006E6A0D"/>
    <w:rsid w:val="006E6B1B"/>
    <w:rsid w:val="006E78EF"/>
    <w:rsid w:val="006F148C"/>
    <w:rsid w:val="006F2CFD"/>
    <w:rsid w:val="006F2EA7"/>
    <w:rsid w:val="006F31A3"/>
    <w:rsid w:val="006F3A54"/>
    <w:rsid w:val="006F5006"/>
    <w:rsid w:val="006F5225"/>
    <w:rsid w:val="006F5472"/>
    <w:rsid w:val="006F62E5"/>
    <w:rsid w:val="00700009"/>
    <w:rsid w:val="007005C4"/>
    <w:rsid w:val="007011BB"/>
    <w:rsid w:val="00703A0F"/>
    <w:rsid w:val="0070628B"/>
    <w:rsid w:val="0070663C"/>
    <w:rsid w:val="007079A8"/>
    <w:rsid w:val="00710EFA"/>
    <w:rsid w:val="007140D7"/>
    <w:rsid w:val="00715278"/>
    <w:rsid w:val="0071761D"/>
    <w:rsid w:val="007178A5"/>
    <w:rsid w:val="0072042F"/>
    <w:rsid w:val="0072049F"/>
    <w:rsid w:val="007220EA"/>
    <w:rsid w:val="00722789"/>
    <w:rsid w:val="007234E6"/>
    <w:rsid w:val="00725277"/>
    <w:rsid w:val="007254EC"/>
    <w:rsid w:val="007321D4"/>
    <w:rsid w:val="00735B6C"/>
    <w:rsid w:val="007410EB"/>
    <w:rsid w:val="007425C8"/>
    <w:rsid w:val="00744408"/>
    <w:rsid w:val="00745D9D"/>
    <w:rsid w:val="007460BC"/>
    <w:rsid w:val="00746C9D"/>
    <w:rsid w:val="007471B6"/>
    <w:rsid w:val="00747629"/>
    <w:rsid w:val="007501A0"/>
    <w:rsid w:val="007519D2"/>
    <w:rsid w:val="00751C62"/>
    <w:rsid w:val="0075277A"/>
    <w:rsid w:val="007528CC"/>
    <w:rsid w:val="007535B6"/>
    <w:rsid w:val="00753C01"/>
    <w:rsid w:val="00754503"/>
    <w:rsid w:val="007565B4"/>
    <w:rsid w:val="007575DD"/>
    <w:rsid w:val="0076053B"/>
    <w:rsid w:val="00761351"/>
    <w:rsid w:val="00761495"/>
    <w:rsid w:val="007614FD"/>
    <w:rsid w:val="00761942"/>
    <w:rsid w:val="00762FD0"/>
    <w:rsid w:val="007646A9"/>
    <w:rsid w:val="0076701C"/>
    <w:rsid w:val="00770772"/>
    <w:rsid w:val="007709A9"/>
    <w:rsid w:val="00771332"/>
    <w:rsid w:val="00772255"/>
    <w:rsid w:val="0077235A"/>
    <w:rsid w:val="0077266B"/>
    <w:rsid w:val="00772C22"/>
    <w:rsid w:val="00773AFD"/>
    <w:rsid w:val="007843CE"/>
    <w:rsid w:val="0078542E"/>
    <w:rsid w:val="00790E4F"/>
    <w:rsid w:val="00791446"/>
    <w:rsid w:val="00792D0F"/>
    <w:rsid w:val="007932D3"/>
    <w:rsid w:val="00793A4C"/>
    <w:rsid w:val="00793FB3"/>
    <w:rsid w:val="0079464D"/>
    <w:rsid w:val="0079566F"/>
    <w:rsid w:val="0079588C"/>
    <w:rsid w:val="00796231"/>
    <w:rsid w:val="00796C66"/>
    <w:rsid w:val="00796F43"/>
    <w:rsid w:val="007A1DBC"/>
    <w:rsid w:val="007A2282"/>
    <w:rsid w:val="007A22E8"/>
    <w:rsid w:val="007A2490"/>
    <w:rsid w:val="007A2834"/>
    <w:rsid w:val="007A6582"/>
    <w:rsid w:val="007A74B3"/>
    <w:rsid w:val="007A7A54"/>
    <w:rsid w:val="007A7F0E"/>
    <w:rsid w:val="007B0944"/>
    <w:rsid w:val="007B0F0F"/>
    <w:rsid w:val="007B12EC"/>
    <w:rsid w:val="007B1909"/>
    <w:rsid w:val="007B21D2"/>
    <w:rsid w:val="007B325F"/>
    <w:rsid w:val="007B3EBC"/>
    <w:rsid w:val="007B56F5"/>
    <w:rsid w:val="007B5F55"/>
    <w:rsid w:val="007C0564"/>
    <w:rsid w:val="007C0861"/>
    <w:rsid w:val="007C2647"/>
    <w:rsid w:val="007C5DFE"/>
    <w:rsid w:val="007C695F"/>
    <w:rsid w:val="007C6CAE"/>
    <w:rsid w:val="007C7D70"/>
    <w:rsid w:val="007D2DB4"/>
    <w:rsid w:val="007D3318"/>
    <w:rsid w:val="007D3463"/>
    <w:rsid w:val="007D4DE6"/>
    <w:rsid w:val="007D7B9B"/>
    <w:rsid w:val="007E2015"/>
    <w:rsid w:val="007E3E46"/>
    <w:rsid w:val="007E6C41"/>
    <w:rsid w:val="007E6DA9"/>
    <w:rsid w:val="007F0104"/>
    <w:rsid w:val="007F1597"/>
    <w:rsid w:val="007F15D3"/>
    <w:rsid w:val="007F16FF"/>
    <w:rsid w:val="007F1C26"/>
    <w:rsid w:val="007F223B"/>
    <w:rsid w:val="007F2BEC"/>
    <w:rsid w:val="007F49C3"/>
    <w:rsid w:val="007F4A11"/>
    <w:rsid w:val="007F536A"/>
    <w:rsid w:val="007F73AB"/>
    <w:rsid w:val="008013D4"/>
    <w:rsid w:val="00804D1C"/>
    <w:rsid w:val="00810030"/>
    <w:rsid w:val="00810634"/>
    <w:rsid w:val="00810E54"/>
    <w:rsid w:val="00810EF1"/>
    <w:rsid w:val="00812493"/>
    <w:rsid w:val="00820B57"/>
    <w:rsid w:val="00821A88"/>
    <w:rsid w:val="00823456"/>
    <w:rsid w:val="008237B2"/>
    <w:rsid w:val="008255D7"/>
    <w:rsid w:val="0083268F"/>
    <w:rsid w:val="00832B53"/>
    <w:rsid w:val="00832D77"/>
    <w:rsid w:val="00832E1E"/>
    <w:rsid w:val="00833243"/>
    <w:rsid w:val="00833F02"/>
    <w:rsid w:val="0083427A"/>
    <w:rsid w:val="00835830"/>
    <w:rsid w:val="00835E53"/>
    <w:rsid w:val="008364AB"/>
    <w:rsid w:val="008368B5"/>
    <w:rsid w:val="008372ED"/>
    <w:rsid w:val="00837356"/>
    <w:rsid w:val="00841C44"/>
    <w:rsid w:val="00842382"/>
    <w:rsid w:val="00842AE8"/>
    <w:rsid w:val="00844C9E"/>
    <w:rsid w:val="0084686D"/>
    <w:rsid w:val="008468C6"/>
    <w:rsid w:val="00846979"/>
    <w:rsid w:val="008469D4"/>
    <w:rsid w:val="00846FCC"/>
    <w:rsid w:val="0085056E"/>
    <w:rsid w:val="00850B55"/>
    <w:rsid w:val="008534F5"/>
    <w:rsid w:val="008551DC"/>
    <w:rsid w:val="00861BCB"/>
    <w:rsid w:val="00862177"/>
    <w:rsid w:val="00862570"/>
    <w:rsid w:val="00865757"/>
    <w:rsid w:val="008677B0"/>
    <w:rsid w:val="00871114"/>
    <w:rsid w:val="008724E0"/>
    <w:rsid w:val="008728AE"/>
    <w:rsid w:val="00873247"/>
    <w:rsid w:val="00873F60"/>
    <w:rsid w:val="008744C2"/>
    <w:rsid w:val="00874664"/>
    <w:rsid w:val="008767C6"/>
    <w:rsid w:val="008768AE"/>
    <w:rsid w:val="0087770F"/>
    <w:rsid w:val="00877B80"/>
    <w:rsid w:val="00880596"/>
    <w:rsid w:val="00882D94"/>
    <w:rsid w:val="00886A33"/>
    <w:rsid w:val="00886DAE"/>
    <w:rsid w:val="008872D4"/>
    <w:rsid w:val="00887D16"/>
    <w:rsid w:val="008911E6"/>
    <w:rsid w:val="0089151D"/>
    <w:rsid w:val="00893308"/>
    <w:rsid w:val="0089357C"/>
    <w:rsid w:val="0089392D"/>
    <w:rsid w:val="00893B02"/>
    <w:rsid w:val="008974BE"/>
    <w:rsid w:val="00897554"/>
    <w:rsid w:val="008A0643"/>
    <w:rsid w:val="008A12AD"/>
    <w:rsid w:val="008A3A7A"/>
    <w:rsid w:val="008A4A34"/>
    <w:rsid w:val="008A773B"/>
    <w:rsid w:val="008A7BE0"/>
    <w:rsid w:val="008A7D77"/>
    <w:rsid w:val="008B1CEA"/>
    <w:rsid w:val="008B29DE"/>
    <w:rsid w:val="008B3C5B"/>
    <w:rsid w:val="008B3ED5"/>
    <w:rsid w:val="008B47B7"/>
    <w:rsid w:val="008B5E8F"/>
    <w:rsid w:val="008B67C3"/>
    <w:rsid w:val="008B6EE9"/>
    <w:rsid w:val="008C1591"/>
    <w:rsid w:val="008C1E3C"/>
    <w:rsid w:val="008C2B7D"/>
    <w:rsid w:val="008C3380"/>
    <w:rsid w:val="008C53D8"/>
    <w:rsid w:val="008D12A5"/>
    <w:rsid w:val="008D6043"/>
    <w:rsid w:val="008D72C2"/>
    <w:rsid w:val="008E092E"/>
    <w:rsid w:val="008E1680"/>
    <w:rsid w:val="008E4551"/>
    <w:rsid w:val="008E66D7"/>
    <w:rsid w:val="008E7279"/>
    <w:rsid w:val="008E76BA"/>
    <w:rsid w:val="008E78C0"/>
    <w:rsid w:val="008F4896"/>
    <w:rsid w:val="008F4EE0"/>
    <w:rsid w:val="008F5FAA"/>
    <w:rsid w:val="008F74B7"/>
    <w:rsid w:val="008F7B3F"/>
    <w:rsid w:val="00900493"/>
    <w:rsid w:val="00900E06"/>
    <w:rsid w:val="00904D33"/>
    <w:rsid w:val="00904FDE"/>
    <w:rsid w:val="00905EE1"/>
    <w:rsid w:val="00905EF2"/>
    <w:rsid w:val="00910EB0"/>
    <w:rsid w:val="00912022"/>
    <w:rsid w:val="00912D2D"/>
    <w:rsid w:val="00913276"/>
    <w:rsid w:val="009147F5"/>
    <w:rsid w:val="00914A2F"/>
    <w:rsid w:val="009151D5"/>
    <w:rsid w:val="0091679C"/>
    <w:rsid w:val="00917043"/>
    <w:rsid w:val="00917D94"/>
    <w:rsid w:val="009205EE"/>
    <w:rsid w:val="00920EE1"/>
    <w:rsid w:val="00923ECC"/>
    <w:rsid w:val="0092452E"/>
    <w:rsid w:val="00925675"/>
    <w:rsid w:val="0093617D"/>
    <w:rsid w:val="00941FB9"/>
    <w:rsid w:val="00942499"/>
    <w:rsid w:val="00942940"/>
    <w:rsid w:val="00943835"/>
    <w:rsid w:val="00945782"/>
    <w:rsid w:val="00946875"/>
    <w:rsid w:val="00946CF0"/>
    <w:rsid w:val="00946D6B"/>
    <w:rsid w:val="00947595"/>
    <w:rsid w:val="00950B9C"/>
    <w:rsid w:val="0095112E"/>
    <w:rsid w:val="009511EA"/>
    <w:rsid w:val="009514B3"/>
    <w:rsid w:val="009516B9"/>
    <w:rsid w:val="0095215D"/>
    <w:rsid w:val="0095277E"/>
    <w:rsid w:val="0095438F"/>
    <w:rsid w:val="009554D2"/>
    <w:rsid w:val="009556F3"/>
    <w:rsid w:val="00957211"/>
    <w:rsid w:val="009604E8"/>
    <w:rsid w:val="00960B80"/>
    <w:rsid w:val="0096106F"/>
    <w:rsid w:val="00962D40"/>
    <w:rsid w:val="00964143"/>
    <w:rsid w:val="009642E1"/>
    <w:rsid w:val="00965ABB"/>
    <w:rsid w:val="00965DCB"/>
    <w:rsid w:val="00966CF0"/>
    <w:rsid w:val="00966F10"/>
    <w:rsid w:val="009677FF"/>
    <w:rsid w:val="009725AF"/>
    <w:rsid w:val="00974D1B"/>
    <w:rsid w:val="00976B9A"/>
    <w:rsid w:val="00977029"/>
    <w:rsid w:val="009776FF"/>
    <w:rsid w:val="009808F4"/>
    <w:rsid w:val="00987B97"/>
    <w:rsid w:val="00992BB4"/>
    <w:rsid w:val="009947A6"/>
    <w:rsid w:val="00996EDA"/>
    <w:rsid w:val="009A04FE"/>
    <w:rsid w:val="009A1964"/>
    <w:rsid w:val="009A4CFE"/>
    <w:rsid w:val="009A5FF9"/>
    <w:rsid w:val="009A6D3C"/>
    <w:rsid w:val="009A705A"/>
    <w:rsid w:val="009B2638"/>
    <w:rsid w:val="009B33F2"/>
    <w:rsid w:val="009B7DE1"/>
    <w:rsid w:val="009C03A3"/>
    <w:rsid w:val="009C1BBD"/>
    <w:rsid w:val="009C1D49"/>
    <w:rsid w:val="009D6132"/>
    <w:rsid w:val="009D6A5F"/>
    <w:rsid w:val="009D79F5"/>
    <w:rsid w:val="009D7B14"/>
    <w:rsid w:val="009E0387"/>
    <w:rsid w:val="009E05DC"/>
    <w:rsid w:val="009E05E6"/>
    <w:rsid w:val="009E42A4"/>
    <w:rsid w:val="009F21C8"/>
    <w:rsid w:val="009F28A7"/>
    <w:rsid w:val="00A00A9D"/>
    <w:rsid w:val="00A01808"/>
    <w:rsid w:val="00A02F8C"/>
    <w:rsid w:val="00A07455"/>
    <w:rsid w:val="00A0784E"/>
    <w:rsid w:val="00A12038"/>
    <w:rsid w:val="00A14F9D"/>
    <w:rsid w:val="00A15BD0"/>
    <w:rsid w:val="00A16F78"/>
    <w:rsid w:val="00A20967"/>
    <w:rsid w:val="00A20C47"/>
    <w:rsid w:val="00A23A26"/>
    <w:rsid w:val="00A249A3"/>
    <w:rsid w:val="00A25032"/>
    <w:rsid w:val="00A26D20"/>
    <w:rsid w:val="00A30A9E"/>
    <w:rsid w:val="00A3114D"/>
    <w:rsid w:val="00A361F1"/>
    <w:rsid w:val="00A3687E"/>
    <w:rsid w:val="00A41720"/>
    <w:rsid w:val="00A43507"/>
    <w:rsid w:val="00A471B1"/>
    <w:rsid w:val="00A4752B"/>
    <w:rsid w:val="00A502AC"/>
    <w:rsid w:val="00A518F9"/>
    <w:rsid w:val="00A51E45"/>
    <w:rsid w:val="00A52F49"/>
    <w:rsid w:val="00A53CB0"/>
    <w:rsid w:val="00A53ED5"/>
    <w:rsid w:val="00A54F44"/>
    <w:rsid w:val="00A54FF3"/>
    <w:rsid w:val="00A55228"/>
    <w:rsid w:val="00A55769"/>
    <w:rsid w:val="00A564E7"/>
    <w:rsid w:val="00A604C4"/>
    <w:rsid w:val="00A605C6"/>
    <w:rsid w:val="00A60CF4"/>
    <w:rsid w:val="00A60DEB"/>
    <w:rsid w:val="00A61369"/>
    <w:rsid w:val="00A6203C"/>
    <w:rsid w:val="00A62E0A"/>
    <w:rsid w:val="00A64EAA"/>
    <w:rsid w:val="00A650AA"/>
    <w:rsid w:val="00A65591"/>
    <w:rsid w:val="00A6583F"/>
    <w:rsid w:val="00A67CDF"/>
    <w:rsid w:val="00A67F03"/>
    <w:rsid w:val="00A72BD7"/>
    <w:rsid w:val="00A73804"/>
    <w:rsid w:val="00A76754"/>
    <w:rsid w:val="00A80196"/>
    <w:rsid w:val="00A80554"/>
    <w:rsid w:val="00A8176E"/>
    <w:rsid w:val="00A8379B"/>
    <w:rsid w:val="00A849F6"/>
    <w:rsid w:val="00A85648"/>
    <w:rsid w:val="00A86BDB"/>
    <w:rsid w:val="00A917E2"/>
    <w:rsid w:val="00A93B13"/>
    <w:rsid w:val="00A96EEA"/>
    <w:rsid w:val="00AA3C47"/>
    <w:rsid w:val="00AA4150"/>
    <w:rsid w:val="00AA4A30"/>
    <w:rsid w:val="00AA513F"/>
    <w:rsid w:val="00AA6214"/>
    <w:rsid w:val="00AA6C2F"/>
    <w:rsid w:val="00AB0824"/>
    <w:rsid w:val="00AB0CD2"/>
    <w:rsid w:val="00AB49F0"/>
    <w:rsid w:val="00AB518D"/>
    <w:rsid w:val="00AC0CCC"/>
    <w:rsid w:val="00AC18AE"/>
    <w:rsid w:val="00AC2896"/>
    <w:rsid w:val="00AC2E6D"/>
    <w:rsid w:val="00AC4336"/>
    <w:rsid w:val="00AC461A"/>
    <w:rsid w:val="00AC494E"/>
    <w:rsid w:val="00AC5EBB"/>
    <w:rsid w:val="00AC608D"/>
    <w:rsid w:val="00AC692E"/>
    <w:rsid w:val="00AC7C2B"/>
    <w:rsid w:val="00AD0DF3"/>
    <w:rsid w:val="00AD1774"/>
    <w:rsid w:val="00AD26A3"/>
    <w:rsid w:val="00AD2E51"/>
    <w:rsid w:val="00AD346B"/>
    <w:rsid w:val="00AD59F5"/>
    <w:rsid w:val="00AD6975"/>
    <w:rsid w:val="00AD7461"/>
    <w:rsid w:val="00AD7B89"/>
    <w:rsid w:val="00AE13DC"/>
    <w:rsid w:val="00AE210A"/>
    <w:rsid w:val="00AE29B2"/>
    <w:rsid w:val="00AE4BA6"/>
    <w:rsid w:val="00AE574B"/>
    <w:rsid w:val="00AE6E0F"/>
    <w:rsid w:val="00AE779E"/>
    <w:rsid w:val="00AE7E8A"/>
    <w:rsid w:val="00AF0E39"/>
    <w:rsid w:val="00AF1206"/>
    <w:rsid w:val="00AF1605"/>
    <w:rsid w:val="00AF1DEF"/>
    <w:rsid w:val="00AF3871"/>
    <w:rsid w:val="00AF4462"/>
    <w:rsid w:val="00AF57E3"/>
    <w:rsid w:val="00AF5DED"/>
    <w:rsid w:val="00AF6D6E"/>
    <w:rsid w:val="00AF7519"/>
    <w:rsid w:val="00AF7640"/>
    <w:rsid w:val="00AF780E"/>
    <w:rsid w:val="00B036AA"/>
    <w:rsid w:val="00B038E8"/>
    <w:rsid w:val="00B05B9A"/>
    <w:rsid w:val="00B06A1F"/>
    <w:rsid w:val="00B07237"/>
    <w:rsid w:val="00B07806"/>
    <w:rsid w:val="00B10106"/>
    <w:rsid w:val="00B1128A"/>
    <w:rsid w:val="00B1255F"/>
    <w:rsid w:val="00B15307"/>
    <w:rsid w:val="00B15A92"/>
    <w:rsid w:val="00B2200A"/>
    <w:rsid w:val="00B236A4"/>
    <w:rsid w:val="00B23CF2"/>
    <w:rsid w:val="00B257B0"/>
    <w:rsid w:val="00B305C3"/>
    <w:rsid w:val="00B34819"/>
    <w:rsid w:val="00B34C4A"/>
    <w:rsid w:val="00B35B6A"/>
    <w:rsid w:val="00B36FB5"/>
    <w:rsid w:val="00B37909"/>
    <w:rsid w:val="00B40783"/>
    <w:rsid w:val="00B40F3A"/>
    <w:rsid w:val="00B42A98"/>
    <w:rsid w:val="00B42CB3"/>
    <w:rsid w:val="00B47A71"/>
    <w:rsid w:val="00B50835"/>
    <w:rsid w:val="00B51307"/>
    <w:rsid w:val="00B521DE"/>
    <w:rsid w:val="00B56AC9"/>
    <w:rsid w:val="00B60979"/>
    <w:rsid w:val="00B6265A"/>
    <w:rsid w:val="00B6276C"/>
    <w:rsid w:val="00B63012"/>
    <w:rsid w:val="00B64F93"/>
    <w:rsid w:val="00B65E31"/>
    <w:rsid w:val="00B665F9"/>
    <w:rsid w:val="00B77776"/>
    <w:rsid w:val="00B77A9D"/>
    <w:rsid w:val="00B77C92"/>
    <w:rsid w:val="00B77EF0"/>
    <w:rsid w:val="00B77F9F"/>
    <w:rsid w:val="00B817A8"/>
    <w:rsid w:val="00B82CBB"/>
    <w:rsid w:val="00B82DF6"/>
    <w:rsid w:val="00B85F52"/>
    <w:rsid w:val="00B86CA1"/>
    <w:rsid w:val="00B909F4"/>
    <w:rsid w:val="00B92134"/>
    <w:rsid w:val="00B94BCF"/>
    <w:rsid w:val="00B95E28"/>
    <w:rsid w:val="00B9776F"/>
    <w:rsid w:val="00BA27CF"/>
    <w:rsid w:val="00BA4916"/>
    <w:rsid w:val="00BA5C34"/>
    <w:rsid w:val="00BA6F67"/>
    <w:rsid w:val="00BA7C19"/>
    <w:rsid w:val="00BA7E6B"/>
    <w:rsid w:val="00BB0F8E"/>
    <w:rsid w:val="00BB1718"/>
    <w:rsid w:val="00BB1CFE"/>
    <w:rsid w:val="00BB1EEF"/>
    <w:rsid w:val="00BB2C27"/>
    <w:rsid w:val="00BB64A9"/>
    <w:rsid w:val="00BB64FF"/>
    <w:rsid w:val="00BC1170"/>
    <w:rsid w:val="00BC4BA5"/>
    <w:rsid w:val="00BC6026"/>
    <w:rsid w:val="00BC671E"/>
    <w:rsid w:val="00BC6DF8"/>
    <w:rsid w:val="00BC70B6"/>
    <w:rsid w:val="00BC7A15"/>
    <w:rsid w:val="00BD0595"/>
    <w:rsid w:val="00BD495E"/>
    <w:rsid w:val="00BD4CAA"/>
    <w:rsid w:val="00BD541D"/>
    <w:rsid w:val="00BD5931"/>
    <w:rsid w:val="00BD5BDF"/>
    <w:rsid w:val="00BD6F2A"/>
    <w:rsid w:val="00BD7068"/>
    <w:rsid w:val="00BE14F9"/>
    <w:rsid w:val="00BE206B"/>
    <w:rsid w:val="00BE2713"/>
    <w:rsid w:val="00BE2DA1"/>
    <w:rsid w:val="00BE5305"/>
    <w:rsid w:val="00BE70DC"/>
    <w:rsid w:val="00BF1E1C"/>
    <w:rsid w:val="00BF244F"/>
    <w:rsid w:val="00BF2C83"/>
    <w:rsid w:val="00BF2F63"/>
    <w:rsid w:val="00BF4349"/>
    <w:rsid w:val="00BF6FBF"/>
    <w:rsid w:val="00BF6FF9"/>
    <w:rsid w:val="00C044EE"/>
    <w:rsid w:val="00C05B1A"/>
    <w:rsid w:val="00C0659F"/>
    <w:rsid w:val="00C06609"/>
    <w:rsid w:val="00C06D6B"/>
    <w:rsid w:val="00C078E5"/>
    <w:rsid w:val="00C07D41"/>
    <w:rsid w:val="00C1021A"/>
    <w:rsid w:val="00C12038"/>
    <w:rsid w:val="00C12558"/>
    <w:rsid w:val="00C130A6"/>
    <w:rsid w:val="00C13EA4"/>
    <w:rsid w:val="00C14B61"/>
    <w:rsid w:val="00C150D6"/>
    <w:rsid w:val="00C15298"/>
    <w:rsid w:val="00C20E2C"/>
    <w:rsid w:val="00C2265F"/>
    <w:rsid w:val="00C24253"/>
    <w:rsid w:val="00C30C44"/>
    <w:rsid w:val="00C31058"/>
    <w:rsid w:val="00C41B0F"/>
    <w:rsid w:val="00C45B0E"/>
    <w:rsid w:val="00C468EC"/>
    <w:rsid w:val="00C50847"/>
    <w:rsid w:val="00C5469B"/>
    <w:rsid w:val="00C56225"/>
    <w:rsid w:val="00C5731B"/>
    <w:rsid w:val="00C57949"/>
    <w:rsid w:val="00C64C26"/>
    <w:rsid w:val="00C66C64"/>
    <w:rsid w:val="00C66EB5"/>
    <w:rsid w:val="00C740AD"/>
    <w:rsid w:val="00C7477A"/>
    <w:rsid w:val="00C75F49"/>
    <w:rsid w:val="00C764EF"/>
    <w:rsid w:val="00C76C53"/>
    <w:rsid w:val="00C77CC0"/>
    <w:rsid w:val="00C805B1"/>
    <w:rsid w:val="00C80BD4"/>
    <w:rsid w:val="00C80ED9"/>
    <w:rsid w:val="00C8503F"/>
    <w:rsid w:val="00C866F5"/>
    <w:rsid w:val="00C8716A"/>
    <w:rsid w:val="00C9264F"/>
    <w:rsid w:val="00C929B6"/>
    <w:rsid w:val="00C938B4"/>
    <w:rsid w:val="00C9390B"/>
    <w:rsid w:val="00C95CFA"/>
    <w:rsid w:val="00C9672D"/>
    <w:rsid w:val="00C96FD7"/>
    <w:rsid w:val="00CA1383"/>
    <w:rsid w:val="00CA2B4B"/>
    <w:rsid w:val="00CA385E"/>
    <w:rsid w:val="00CA4909"/>
    <w:rsid w:val="00CA7288"/>
    <w:rsid w:val="00CB04AC"/>
    <w:rsid w:val="00CB2FE9"/>
    <w:rsid w:val="00CB4C77"/>
    <w:rsid w:val="00CB4E4B"/>
    <w:rsid w:val="00CB4EA7"/>
    <w:rsid w:val="00CB587A"/>
    <w:rsid w:val="00CB7A62"/>
    <w:rsid w:val="00CC121F"/>
    <w:rsid w:val="00CC166A"/>
    <w:rsid w:val="00CC272B"/>
    <w:rsid w:val="00CC3497"/>
    <w:rsid w:val="00CC7172"/>
    <w:rsid w:val="00CD1878"/>
    <w:rsid w:val="00CD1B81"/>
    <w:rsid w:val="00CD6B27"/>
    <w:rsid w:val="00CE0014"/>
    <w:rsid w:val="00CE1404"/>
    <w:rsid w:val="00CE15D3"/>
    <w:rsid w:val="00CE54D0"/>
    <w:rsid w:val="00CE68DC"/>
    <w:rsid w:val="00CE6BDB"/>
    <w:rsid w:val="00CE743D"/>
    <w:rsid w:val="00CE76D7"/>
    <w:rsid w:val="00CF0715"/>
    <w:rsid w:val="00CF20BB"/>
    <w:rsid w:val="00CF2274"/>
    <w:rsid w:val="00CF4CE0"/>
    <w:rsid w:val="00CF5D9D"/>
    <w:rsid w:val="00CF77E4"/>
    <w:rsid w:val="00D014CA"/>
    <w:rsid w:val="00D014FE"/>
    <w:rsid w:val="00D035D4"/>
    <w:rsid w:val="00D10410"/>
    <w:rsid w:val="00D105CA"/>
    <w:rsid w:val="00D10A7A"/>
    <w:rsid w:val="00D112AF"/>
    <w:rsid w:val="00D114A4"/>
    <w:rsid w:val="00D15928"/>
    <w:rsid w:val="00D160D6"/>
    <w:rsid w:val="00D1626D"/>
    <w:rsid w:val="00D1635A"/>
    <w:rsid w:val="00D16B3B"/>
    <w:rsid w:val="00D175C5"/>
    <w:rsid w:val="00D23F3F"/>
    <w:rsid w:val="00D25417"/>
    <w:rsid w:val="00D27351"/>
    <w:rsid w:val="00D27652"/>
    <w:rsid w:val="00D27B94"/>
    <w:rsid w:val="00D303F4"/>
    <w:rsid w:val="00D306FE"/>
    <w:rsid w:val="00D33556"/>
    <w:rsid w:val="00D3388E"/>
    <w:rsid w:val="00D34C0B"/>
    <w:rsid w:val="00D35BEE"/>
    <w:rsid w:val="00D3790F"/>
    <w:rsid w:val="00D426BC"/>
    <w:rsid w:val="00D43754"/>
    <w:rsid w:val="00D44027"/>
    <w:rsid w:val="00D44329"/>
    <w:rsid w:val="00D5201D"/>
    <w:rsid w:val="00D52854"/>
    <w:rsid w:val="00D56EFD"/>
    <w:rsid w:val="00D57A29"/>
    <w:rsid w:val="00D60738"/>
    <w:rsid w:val="00D61B2B"/>
    <w:rsid w:val="00D63E39"/>
    <w:rsid w:val="00D6489D"/>
    <w:rsid w:val="00D661C4"/>
    <w:rsid w:val="00D66511"/>
    <w:rsid w:val="00D66638"/>
    <w:rsid w:val="00D66CA9"/>
    <w:rsid w:val="00D6785F"/>
    <w:rsid w:val="00D71C91"/>
    <w:rsid w:val="00D73CCB"/>
    <w:rsid w:val="00D7417C"/>
    <w:rsid w:val="00D772FD"/>
    <w:rsid w:val="00D77AEF"/>
    <w:rsid w:val="00D80849"/>
    <w:rsid w:val="00D81480"/>
    <w:rsid w:val="00D818DD"/>
    <w:rsid w:val="00D825B9"/>
    <w:rsid w:val="00D83E6A"/>
    <w:rsid w:val="00D913C9"/>
    <w:rsid w:val="00D9275E"/>
    <w:rsid w:val="00D928B7"/>
    <w:rsid w:val="00D93DE2"/>
    <w:rsid w:val="00D95D3A"/>
    <w:rsid w:val="00D96506"/>
    <w:rsid w:val="00D966CB"/>
    <w:rsid w:val="00D9672A"/>
    <w:rsid w:val="00DA3703"/>
    <w:rsid w:val="00DA465C"/>
    <w:rsid w:val="00DA58EE"/>
    <w:rsid w:val="00DA6536"/>
    <w:rsid w:val="00DA69B6"/>
    <w:rsid w:val="00DB0CC1"/>
    <w:rsid w:val="00DB51B9"/>
    <w:rsid w:val="00DB540C"/>
    <w:rsid w:val="00DB60D4"/>
    <w:rsid w:val="00DB7D9D"/>
    <w:rsid w:val="00DC39B2"/>
    <w:rsid w:val="00DC3CA0"/>
    <w:rsid w:val="00DC42C2"/>
    <w:rsid w:val="00DC557A"/>
    <w:rsid w:val="00DC5D5B"/>
    <w:rsid w:val="00DC799E"/>
    <w:rsid w:val="00DC7B12"/>
    <w:rsid w:val="00DC7DB6"/>
    <w:rsid w:val="00DD5905"/>
    <w:rsid w:val="00DD6A4D"/>
    <w:rsid w:val="00DD7FFE"/>
    <w:rsid w:val="00DE186F"/>
    <w:rsid w:val="00DE2472"/>
    <w:rsid w:val="00DE2ACC"/>
    <w:rsid w:val="00DE30DA"/>
    <w:rsid w:val="00DE5092"/>
    <w:rsid w:val="00DE528D"/>
    <w:rsid w:val="00DE72D9"/>
    <w:rsid w:val="00DF24DE"/>
    <w:rsid w:val="00DF31D2"/>
    <w:rsid w:val="00DF622E"/>
    <w:rsid w:val="00DF6233"/>
    <w:rsid w:val="00E01094"/>
    <w:rsid w:val="00E01435"/>
    <w:rsid w:val="00E02F43"/>
    <w:rsid w:val="00E070BB"/>
    <w:rsid w:val="00E078D3"/>
    <w:rsid w:val="00E15B2B"/>
    <w:rsid w:val="00E20DB3"/>
    <w:rsid w:val="00E24CE9"/>
    <w:rsid w:val="00E25399"/>
    <w:rsid w:val="00E263BC"/>
    <w:rsid w:val="00E27740"/>
    <w:rsid w:val="00E279BF"/>
    <w:rsid w:val="00E31924"/>
    <w:rsid w:val="00E32755"/>
    <w:rsid w:val="00E32DB0"/>
    <w:rsid w:val="00E366A5"/>
    <w:rsid w:val="00E41A19"/>
    <w:rsid w:val="00E436CC"/>
    <w:rsid w:val="00E440F7"/>
    <w:rsid w:val="00E44D08"/>
    <w:rsid w:val="00E45525"/>
    <w:rsid w:val="00E4694B"/>
    <w:rsid w:val="00E50A7C"/>
    <w:rsid w:val="00E51607"/>
    <w:rsid w:val="00E51AAD"/>
    <w:rsid w:val="00E51DB1"/>
    <w:rsid w:val="00E529B2"/>
    <w:rsid w:val="00E52E68"/>
    <w:rsid w:val="00E54E5E"/>
    <w:rsid w:val="00E558B9"/>
    <w:rsid w:val="00E60334"/>
    <w:rsid w:val="00E60FD1"/>
    <w:rsid w:val="00E6145A"/>
    <w:rsid w:val="00E622F1"/>
    <w:rsid w:val="00E624C0"/>
    <w:rsid w:val="00E62572"/>
    <w:rsid w:val="00E627E0"/>
    <w:rsid w:val="00E6334E"/>
    <w:rsid w:val="00E64A1F"/>
    <w:rsid w:val="00E64A28"/>
    <w:rsid w:val="00E656EB"/>
    <w:rsid w:val="00E659FC"/>
    <w:rsid w:val="00E66BCC"/>
    <w:rsid w:val="00E67BC7"/>
    <w:rsid w:val="00E702E2"/>
    <w:rsid w:val="00E71B01"/>
    <w:rsid w:val="00E71B0C"/>
    <w:rsid w:val="00E71EE9"/>
    <w:rsid w:val="00E732C8"/>
    <w:rsid w:val="00E74BCC"/>
    <w:rsid w:val="00E76495"/>
    <w:rsid w:val="00E76E36"/>
    <w:rsid w:val="00E80A6B"/>
    <w:rsid w:val="00E814E7"/>
    <w:rsid w:val="00E81604"/>
    <w:rsid w:val="00E81623"/>
    <w:rsid w:val="00E818DC"/>
    <w:rsid w:val="00E81DFA"/>
    <w:rsid w:val="00E8355F"/>
    <w:rsid w:val="00E842DA"/>
    <w:rsid w:val="00E84F17"/>
    <w:rsid w:val="00E8509C"/>
    <w:rsid w:val="00E9079C"/>
    <w:rsid w:val="00E93948"/>
    <w:rsid w:val="00E94998"/>
    <w:rsid w:val="00E95821"/>
    <w:rsid w:val="00E95AB4"/>
    <w:rsid w:val="00EA11C9"/>
    <w:rsid w:val="00EA1DE9"/>
    <w:rsid w:val="00EA25F1"/>
    <w:rsid w:val="00EA273B"/>
    <w:rsid w:val="00EA2912"/>
    <w:rsid w:val="00EA2F69"/>
    <w:rsid w:val="00EA434D"/>
    <w:rsid w:val="00EA50E2"/>
    <w:rsid w:val="00EA6A38"/>
    <w:rsid w:val="00EB07D2"/>
    <w:rsid w:val="00EB0CE5"/>
    <w:rsid w:val="00EB1629"/>
    <w:rsid w:val="00EB39DD"/>
    <w:rsid w:val="00EB3D91"/>
    <w:rsid w:val="00EB4BA1"/>
    <w:rsid w:val="00EB501D"/>
    <w:rsid w:val="00EC2D01"/>
    <w:rsid w:val="00EC41E0"/>
    <w:rsid w:val="00EC666F"/>
    <w:rsid w:val="00EC68C1"/>
    <w:rsid w:val="00EC6EC9"/>
    <w:rsid w:val="00EC7922"/>
    <w:rsid w:val="00ED0FBB"/>
    <w:rsid w:val="00ED221B"/>
    <w:rsid w:val="00ED313B"/>
    <w:rsid w:val="00ED3DD3"/>
    <w:rsid w:val="00ED4F83"/>
    <w:rsid w:val="00EE0015"/>
    <w:rsid w:val="00EE348C"/>
    <w:rsid w:val="00EE535C"/>
    <w:rsid w:val="00EE5D67"/>
    <w:rsid w:val="00EE65B4"/>
    <w:rsid w:val="00EE7B1D"/>
    <w:rsid w:val="00EE7E6E"/>
    <w:rsid w:val="00EF0231"/>
    <w:rsid w:val="00EF1884"/>
    <w:rsid w:val="00EF1EF8"/>
    <w:rsid w:val="00EF2ACA"/>
    <w:rsid w:val="00EF57A8"/>
    <w:rsid w:val="00EF5DAA"/>
    <w:rsid w:val="00EF6D6F"/>
    <w:rsid w:val="00EF6E90"/>
    <w:rsid w:val="00F02364"/>
    <w:rsid w:val="00F0258E"/>
    <w:rsid w:val="00F02FB3"/>
    <w:rsid w:val="00F03FF6"/>
    <w:rsid w:val="00F042C6"/>
    <w:rsid w:val="00F050C2"/>
    <w:rsid w:val="00F05F3A"/>
    <w:rsid w:val="00F06132"/>
    <w:rsid w:val="00F06C84"/>
    <w:rsid w:val="00F06E96"/>
    <w:rsid w:val="00F0762A"/>
    <w:rsid w:val="00F10019"/>
    <w:rsid w:val="00F11A91"/>
    <w:rsid w:val="00F15A60"/>
    <w:rsid w:val="00F17B23"/>
    <w:rsid w:val="00F17EA1"/>
    <w:rsid w:val="00F203B0"/>
    <w:rsid w:val="00F21BCF"/>
    <w:rsid w:val="00F228A9"/>
    <w:rsid w:val="00F23343"/>
    <w:rsid w:val="00F234B1"/>
    <w:rsid w:val="00F23E56"/>
    <w:rsid w:val="00F26ECA"/>
    <w:rsid w:val="00F27D31"/>
    <w:rsid w:val="00F32EE9"/>
    <w:rsid w:val="00F33440"/>
    <w:rsid w:val="00F353EC"/>
    <w:rsid w:val="00F36FB2"/>
    <w:rsid w:val="00F37C88"/>
    <w:rsid w:val="00F43A34"/>
    <w:rsid w:val="00F44C20"/>
    <w:rsid w:val="00F44D37"/>
    <w:rsid w:val="00F479C6"/>
    <w:rsid w:val="00F50267"/>
    <w:rsid w:val="00F52A20"/>
    <w:rsid w:val="00F53CDB"/>
    <w:rsid w:val="00F53D30"/>
    <w:rsid w:val="00F53EA7"/>
    <w:rsid w:val="00F547DF"/>
    <w:rsid w:val="00F55A50"/>
    <w:rsid w:val="00F55E21"/>
    <w:rsid w:val="00F56FC3"/>
    <w:rsid w:val="00F579B2"/>
    <w:rsid w:val="00F57BDE"/>
    <w:rsid w:val="00F64A8E"/>
    <w:rsid w:val="00F64D9C"/>
    <w:rsid w:val="00F675D2"/>
    <w:rsid w:val="00F72210"/>
    <w:rsid w:val="00F72A0C"/>
    <w:rsid w:val="00F75624"/>
    <w:rsid w:val="00F7636C"/>
    <w:rsid w:val="00F8009C"/>
    <w:rsid w:val="00F80A64"/>
    <w:rsid w:val="00F81911"/>
    <w:rsid w:val="00F8432C"/>
    <w:rsid w:val="00F85E74"/>
    <w:rsid w:val="00F8694D"/>
    <w:rsid w:val="00F87319"/>
    <w:rsid w:val="00F875A1"/>
    <w:rsid w:val="00F923BD"/>
    <w:rsid w:val="00F941E6"/>
    <w:rsid w:val="00F95234"/>
    <w:rsid w:val="00F974B3"/>
    <w:rsid w:val="00F979AB"/>
    <w:rsid w:val="00FA0CCF"/>
    <w:rsid w:val="00FA5681"/>
    <w:rsid w:val="00FA5AED"/>
    <w:rsid w:val="00FB1A27"/>
    <w:rsid w:val="00FB4B1F"/>
    <w:rsid w:val="00FB5A49"/>
    <w:rsid w:val="00FB5E64"/>
    <w:rsid w:val="00FB6C25"/>
    <w:rsid w:val="00FC1A2B"/>
    <w:rsid w:val="00FC304E"/>
    <w:rsid w:val="00FC3513"/>
    <w:rsid w:val="00FC5E42"/>
    <w:rsid w:val="00FC5E5A"/>
    <w:rsid w:val="00FC5F1E"/>
    <w:rsid w:val="00FD0F16"/>
    <w:rsid w:val="00FD38FD"/>
    <w:rsid w:val="00FD3BAE"/>
    <w:rsid w:val="00FE226D"/>
    <w:rsid w:val="00FE38C1"/>
    <w:rsid w:val="00FE3DF7"/>
    <w:rsid w:val="00FE4B48"/>
    <w:rsid w:val="00FE583F"/>
    <w:rsid w:val="00FE6EA1"/>
    <w:rsid w:val="00FF0259"/>
    <w:rsid w:val="00FF10FD"/>
    <w:rsid w:val="00FF15CA"/>
    <w:rsid w:val="00FF18D0"/>
    <w:rsid w:val="00FF3454"/>
    <w:rsid w:val="00FF4BDC"/>
    <w:rsid w:val="00FF6781"/>
    <w:rsid w:val="00FF698F"/>
    <w:rsid w:val="00FF715E"/>
    <w:rsid w:val="00FF7654"/>
    <w:rsid w:val="00FF7B0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228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35C"/>
    <w:pPr>
      <w:widowControl w:val="0"/>
      <w:spacing w:after="0" w:line="240" w:lineRule="auto"/>
    </w:pPr>
    <w:rPr>
      <w:rFonts w:ascii="Times New Roman" w:eastAsia="SimSun" w:hAnsi="Times New Roman" w:cs="Times New Roman"/>
      <w:sz w:val="20"/>
      <w:szCs w:val="20"/>
      <w:lang w:val="en-GB"/>
    </w:rPr>
  </w:style>
  <w:style w:type="paragraph" w:styleId="Heading1">
    <w:name w:val="heading 1"/>
    <w:basedOn w:val="Normal"/>
    <w:next w:val="Normal"/>
    <w:link w:val="Heading1Char"/>
    <w:uiPriority w:val="9"/>
    <w:qFormat/>
    <w:rsid w:val="00AC4336"/>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9"/>
    <w:unhideWhenUsed/>
    <w:qFormat/>
    <w:rsid w:val="00AC4336"/>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9"/>
    <w:qFormat/>
    <w:rsid w:val="00AC4336"/>
    <w:pPr>
      <w:keepNext/>
      <w:pBdr>
        <w:top w:val="single" w:sz="4" w:space="1" w:color="auto"/>
        <w:left w:val="single" w:sz="4" w:space="4" w:color="auto"/>
        <w:bottom w:val="single" w:sz="4" w:space="1" w:color="auto"/>
        <w:right w:val="single" w:sz="4" w:space="4" w:color="auto"/>
      </w:pBdr>
      <w:outlineLvl w:val="2"/>
    </w:pPr>
    <w:rPr>
      <w:b/>
      <w:bCs/>
      <w:sz w:val="22"/>
      <w:szCs w:val="24"/>
    </w:rPr>
  </w:style>
  <w:style w:type="paragraph" w:styleId="Heading4">
    <w:name w:val="heading 4"/>
    <w:basedOn w:val="Normal"/>
    <w:next w:val="Normal"/>
    <w:link w:val="Heading4Char"/>
    <w:qFormat/>
    <w:rsid w:val="00AC433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4336"/>
    <w:rPr>
      <w:rFonts w:asciiTheme="majorHAnsi" w:eastAsiaTheme="majorEastAsia" w:hAnsiTheme="majorHAnsi" w:cstheme="majorBidi"/>
      <w:b/>
      <w:bCs/>
      <w:kern w:val="32"/>
      <w:sz w:val="32"/>
      <w:szCs w:val="32"/>
      <w:lang w:val="en-GB"/>
    </w:rPr>
  </w:style>
  <w:style w:type="character" w:customStyle="1" w:styleId="Heading2Char">
    <w:name w:val="Heading 2 Char"/>
    <w:basedOn w:val="DefaultParagraphFont"/>
    <w:link w:val="Heading2"/>
    <w:uiPriority w:val="99"/>
    <w:rsid w:val="00AC4336"/>
    <w:rPr>
      <w:rFonts w:asciiTheme="majorHAnsi" w:eastAsiaTheme="majorEastAsia" w:hAnsiTheme="majorHAnsi" w:cstheme="majorBidi"/>
      <w:b/>
      <w:bCs/>
      <w:i/>
      <w:iCs/>
      <w:sz w:val="28"/>
      <w:szCs w:val="28"/>
      <w:lang w:val="en-GB"/>
    </w:rPr>
  </w:style>
  <w:style w:type="character" w:customStyle="1" w:styleId="Heading3Char">
    <w:name w:val="Heading 3 Char"/>
    <w:basedOn w:val="DefaultParagraphFont"/>
    <w:link w:val="Heading3"/>
    <w:uiPriority w:val="99"/>
    <w:rsid w:val="00AC4336"/>
    <w:rPr>
      <w:rFonts w:ascii="Times New Roman" w:eastAsia="SimSun" w:hAnsi="Times New Roman" w:cs="Times New Roman"/>
      <w:b/>
      <w:bCs/>
      <w:szCs w:val="24"/>
      <w:lang w:val="en-GB"/>
    </w:rPr>
  </w:style>
  <w:style w:type="character" w:customStyle="1" w:styleId="Heading4Char">
    <w:name w:val="Heading 4 Char"/>
    <w:basedOn w:val="DefaultParagraphFont"/>
    <w:link w:val="Heading4"/>
    <w:rsid w:val="00AC4336"/>
    <w:rPr>
      <w:rFonts w:ascii="Times New Roman" w:eastAsia="SimSun" w:hAnsi="Times New Roman" w:cs="Times New Roman"/>
      <w:b/>
      <w:bCs/>
      <w:sz w:val="28"/>
      <w:szCs w:val="28"/>
      <w:lang w:val="en-GB"/>
    </w:rPr>
  </w:style>
  <w:style w:type="paragraph" w:styleId="Header">
    <w:name w:val="header"/>
    <w:basedOn w:val="Normal"/>
    <w:link w:val="HeaderChar"/>
    <w:uiPriority w:val="99"/>
    <w:unhideWhenUsed/>
    <w:rsid w:val="00EE535C"/>
    <w:pPr>
      <w:tabs>
        <w:tab w:val="center" w:pos="4680"/>
        <w:tab w:val="right" w:pos="9360"/>
      </w:tabs>
    </w:pPr>
  </w:style>
  <w:style w:type="character" w:customStyle="1" w:styleId="HeaderChar">
    <w:name w:val="Header Char"/>
    <w:basedOn w:val="DefaultParagraphFont"/>
    <w:link w:val="Header"/>
    <w:uiPriority w:val="99"/>
    <w:rsid w:val="00EE535C"/>
  </w:style>
  <w:style w:type="paragraph" w:styleId="Footer">
    <w:name w:val="footer"/>
    <w:basedOn w:val="Normal"/>
    <w:link w:val="FooterChar"/>
    <w:uiPriority w:val="99"/>
    <w:unhideWhenUsed/>
    <w:rsid w:val="00EE535C"/>
    <w:pPr>
      <w:tabs>
        <w:tab w:val="center" w:pos="4680"/>
        <w:tab w:val="right" w:pos="9360"/>
      </w:tabs>
    </w:pPr>
  </w:style>
  <w:style w:type="character" w:customStyle="1" w:styleId="FooterChar">
    <w:name w:val="Footer Char"/>
    <w:basedOn w:val="DefaultParagraphFont"/>
    <w:link w:val="Footer"/>
    <w:uiPriority w:val="99"/>
    <w:rsid w:val="00EE535C"/>
  </w:style>
  <w:style w:type="paragraph" w:customStyle="1" w:styleId="Els-Abstract-head">
    <w:name w:val="Els-Abstract-head"/>
    <w:next w:val="Normal"/>
    <w:rsid w:val="00EE535C"/>
    <w:pPr>
      <w:keepNext/>
      <w:pBdr>
        <w:top w:val="single" w:sz="4" w:space="10" w:color="auto"/>
      </w:pBdr>
      <w:suppressAutoHyphens/>
      <w:spacing w:after="220" w:line="220" w:lineRule="exact"/>
    </w:pPr>
    <w:rPr>
      <w:rFonts w:ascii="Times New Roman" w:eastAsia="SimSun" w:hAnsi="Times New Roman" w:cs="Times New Roman"/>
      <w:b/>
      <w:sz w:val="18"/>
      <w:szCs w:val="20"/>
    </w:rPr>
  </w:style>
  <w:style w:type="paragraph" w:customStyle="1" w:styleId="Els-Abstract-text">
    <w:name w:val="Els-Abstract-text"/>
    <w:next w:val="Normal"/>
    <w:rsid w:val="00EE535C"/>
    <w:pPr>
      <w:spacing w:after="0" w:line="220" w:lineRule="exact"/>
      <w:jc w:val="both"/>
    </w:pPr>
    <w:rPr>
      <w:rFonts w:ascii="Times New Roman" w:eastAsia="SimSun" w:hAnsi="Times New Roman" w:cs="Times New Roman"/>
      <w:sz w:val="18"/>
      <w:szCs w:val="20"/>
    </w:rPr>
  </w:style>
  <w:style w:type="paragraph" w:customStyle="1" w:styleId="Els-Affiliation">
    <w:name w:val="Els-Affiliation"/>
    <w:next w:val="Els-Abstract-head"/>
    <w:rsid w:val="00EE535C"/>
    <w:pPr>
      <w:suppressAutoHyphens/>
      <w:spacing w:after="0" w:line="200" w:lineRule="exact"/>
      <w:jc w:val="center"/>
    </w:pPr>
    <w:rPr>
      <w:rFonts w:ascii="Times New Roman" w:eastAsia="SimSun" w:hAnsi="Times New Roman" w:cs="Times New Roman"/>
      <w:i/>
      <w:noProof/>
      <w:sz w:val="16"/>
      <w:szCs w:val="20"/>
    </w:rPr>
  </w:style>
  <w:style w:type="paragraph" w:customStyle="1" w:styleId="Els-Author">
    <w:name w:val="Els-Author"/>
    <w:next w:val="Normal"/>
    <w:rsid w:val="00EE535C"/>
    <w:pPr>
      <w:keepNext/>
      <w:suppressAutoHyphens/>
      <w:spacing w:after="160" w:line="300" w:lineRule="exact"/>
      <w:jc w:val="center"/>
    </w:pPr>
    <w:rPr>
      <w:rFonts w:ascii="Times New Roman" w:eastAsia="SimSun" w:hAnsi="Times New Roman" w:cs="Times New Roman"/>
      <w:noProof/>
      <w:sz w:val="26"/>
      <w:szCs w:val="20"/>
    </w:rPr>
  </w:style>
  <w:style w:type="paragraph" w:customStyle="1" w:styleId="Els-history">
    <w:name w:val="Els-history"/>
    <w:next w:val="Normal"/>
    <w:rsid w:val="00EE535C"/>
    <w:pPr>
      <w:spacing w:before="120" w:after="400" w:line="200" w:lineRule="exact"/>
      <w:jc w:val="center"/>
    </w:pPr>
    <w:rPr>
      <w:rFonts w:ascii="Times New Roman" w:eastAsia="SimSun" w:hAnsi="Times New Roman" w:cs="Times New Roman"/>
      <w:noProof/>
      <w:sz w:val="16"/>
      <w:szCs w:val="20"/>
    </w:rPr>
  </w:style>
  <w:style w:type="paragraph" w:customStyle="1" w:styleId="Els-keywords">
    <w:name w:val="Els-keywords"/>
    <w:next w:val="Normal"/>
    <w:rsid w:val="00EE535C"/>
    <w:pPr>
      <w:pBdr>
        <w:bottom w:val="single" w:sz="4" w:space="10" w:color="auto"/>
      </w:pBdr>
      <w:spacing w:line="200" w:lineRule="exact"/>
    </w:pPr>
    <w:rPr>
      <w:rFonts w:ascii="Times New Roman" w:eastAsia="SimSun" w:hAnsi="Times New Roman" w:cs="Times New Roman"/>
      <w:noProof/>
      <w:sz w:val="16"/>
      <w:szCs w:val="20"/>
    </w:rPr>
  </w:style>
  <w:style w:type="paragraph" w:customStyle="1" w:styleId="Els-Title">
    <w:name w:val="Els-Title"/>
    <w:next w:val="Els-Author"/>
    <w:autoRedefine/>
    <w:rsid w:val="00265C1C"/>
    <w:pPr>
      <w:suppressAutoHyphens/>
      <w:spacing w:after="240" w:line="400" w:lineRule="exact"/>
      <w:jc w:val="center"/>
    </w:pPr>
    <w:rPr>
      <w:rFonts w:ascii="Book Antiqua" w:eastAsia="SimSun" w:hAnsi="Book Antiqua" w:cs="Times New Roman"/>
      <w:sz w:val="48"/>
      <w:szCs w:val="48"/>
    </w:rPr>
  </w:style>
  <w:style w:type="paragraph" w:customStyle="1" w:styleId="Abstract">
    <w:name w:val="Abstract"/>
    <w:basedOn w:val="Title"/>
    <w:uiPriority w:val="99"/>
    <w:rsid w:val="00EE535C"/>
    <w:pPr>
      <w:widowControl/>
      <w:pBdr>
        <w:bottom w:val="none" w:sz="0" w:space="0" w:color="auto"/>
      </w:pBdr>
      <w:spacing w:after="0" w:line="240" w:lineRule="atLeast"/>
      <w:ind w:left="1440" w:right="1440" w:firstLine="432"/>
      <w:contextualSpacing w:val="0"/>
      <w:jc w:val="both"/>
    </w:pPr>
    <w:rPr>
      <w:rFonts w:ascii="Book Antiqua" w:eastAsia="Times New Roman" w:hAnsi="Book Antiqua" w:cs="Times New Roman"/>
      <w:color w:val="auto"/>
      <w:spacing w:val="0"/>
      <w:sz w:val="16"/>
      <w:szCs w:val="20"/>
      <w:lang w:val="en-US"/>
    </w:rPr>
  </w:style>
  <w:style w:type="paragraph" w:styleId="Title">
    <w:name w:val="Title"/>
    <w:basedOn w:val="Normal"/>
    <w:next w:val="Normal"/>
    <w:link w:val="TitleChar"/>
    <w:qFormat/>
    <w:rsid w:val="00EE535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EE535C"/>
    <w:rPr>
      <w:rFonts w:asciiTheme="majorHAnsi" w:eastAsiaTheme="majorEastAsia" w:hAnsiTheme="majorHAnsi" w:cstheme="majorBidi"/>
      <w:color w:val="17365D" w:themeColor="text2" w:themeShade="BF"/>
      <w:spacing w:val="5"/>
      <w:kern w:val="28"/>
      <w:sz w:val="52"/>
      <w:szCs w:val="52"/>
      <w:lang w:val="en-GB"/>
    </w:rPr>
  </w:style>
  <w:style w:type="paragraph" w:styleId="BalloonText">
    <w:name w:val="Balloon Text"/>
    <w:basedOn w:val="Normal"/>
    <w:link w:val="BalloonTextChar"/>
    <w:uiPriority w:val="99"/>
    <w:unhideWhenUsed/>
    <w:rsid w:val="00EE535C"/>
    <w:rPr>
      <w:rFonts w:ascii="Tahoma" w:hAnsi="Tahoma" w:cs="Tahoma"/>
      <w:sz w:val="16"/>
      <w:szCs w:val="16"/>
    </w:rPr>
  </w:style>
  <w:style w:type="character" w:customStyle="1" w:styleId="BalloonTextChar">
    <w:name w:val="Balloon Text Char"/>
    <w:basedOn w:val="DefaultParagraphFont"/>
    <w:link w:val="BalloonText"/>
    <w:uiPriority w:val="99"/>
    <w:rsid w:val="00EE535C"/>
    <w:rPr>
      <w:rFonts w:ascii="Tahoma" w:eastAsia="SimSun" w:hAnsi="Tahoma" w:cs="Tahoma"/>
      <w:sz w:val="16"/>
      <w:szCs w:val="16"/>
      <w:lang w:val="en-GB"/>
    </w:rPr>
  </w:style>
  <w:style w:type="paragraph" w:customStyle="1" w:styleId="Els-1storder-head">
    <w:name w:val="Els-1storder-head"/>
    <w:next w:val="Els-body-text"/>
    <w:rsid w:val="00EE535C"/>
    <w:pPr>
      <w:keepNext/>
      <w:numPr>
        <w:ilvl w:val="3"/>
        <w:numId w:val="2"/>
      </w:numPr>
      <w:suppressAutoHyphens/>
      <w:spacing w:before="240" w:after="240" w:line="240" w:lineRule="exact"/>
    </w:pPr>
    <w:rPr>
      <w:rFonts w:ascii="Times New Roman" w:eastAsia="SimSun" w:hAnsi="Times New Roman" w:cs="Times New Roman"/>
      <w:b/>
      <w:sz w:val="20"/>
      <w:szCs w:val="20"/>
    </w:rPr>
  </w:style>
  <w:style w:type="paragraph" w:customStyle="1" w:styleId="Els-body-text">
    <w:name w:val="Els-body-text"/>
    <w:rsid w:val="00EE535C"/>
    <w:pPr>
      <w:spacing w:after="0" w:line="240" w:lineRule="exact"/>
      <w:ind w:firstLine="238"/>
      <w:jc w:val="both"/>
    </w:pPr>
    <w:rPr>
      <w:rFonts w:ascii="Times New Roman" w:eastAsia="SimSun" w:hAnsi="Times New Roman" w:cs="Times New Roman"/>
      <w:sz w:val="20"/>
      <w:szCs w:val="20"/>
    </w:rPr>
  </w:style>
  <w:style w:type="paragraph" w:customStyle="1" w:styleId="Els-2ndorder-head">
    <w:name w:val="Els-2ndorder-head"/>
    <w:next w:val="Els-body-text"/>
    <w:rsid w:val="00EE535C"/>
    <w:pPr>
      <w:keepNext/>
      <w:numPr>
        <w:ilvl w:val="1"/>
        <w:numId w:val="2"/>
      </w:numPr>
      <w:suppressAutoHyphens/>
      <w:spacing w:before="240" w:after="240" w:line="240" w:lineRule="exact"/>
    </w:pPr>
    <w:rPr>
      <w:rFonts w:ascii="Times New Roman" w:eastAsia="SimSun" w:hAnsi="Times New Roman" w:cs="Times New Roman"/>
      <w:i/>
      <w:sz w:val="20"/>
      <w:szCs w:val="20"/>
    </w:rPr>
  </w:style>
  <w:style w:type="paragraph" w:customStyle="1" w:styleId="Els-3rdorder-head">
    <w:name w:val="Els-3rdorder-head"/>
    <w:next w:val="Els-body-text"/>
    <w:rsid w:val="00EE535C"/>
    <w:pPr>
      <w:keepNext/>
      <w:numPr>
        <w:ilvl w:val="2"/>
        <w:numId w:val="2"/>
      </w:numPr>
      <w:suppressAutoHyphens/>
      <w:spacing w:before="240" w:after="0" w:line="240" w:lineRule="exact"/>
    </w:pPr>
    <w:rPr>
      <w:rFonts w:ascii="Times New Roman" w:eastAsia="SimSun" w:hAnsi="Times New Roman" w:cs="Times New Roman"/>
      <w:i/>
      <w:sz w:val="20"/>
      <w:szCs w:val="20"/>
    </w:rPr>
  </w:style>
  <w:style w:type="character" w:styleId="Hyperlink">
    <w:name w:val="Hyperlink"/>
    <w:uiPriority w:val="99"/>
    <w:rsid w:val="00EE535C"/>
    <w:rPr>
      <w:color w:val="auto"/>
      <w:sz w:val="16"/>
      <w:u w:val="none"/>
    </w:rPr>
  </w:style>
  <w:style w:type="paragraph" w:styleId="NoSpacing">
    <w:name w:val="No Spacing"/>
    <w:uiPriority w:val="1"/>
    <w:qFormat/>
    <w:rsid w:val="00EE535C"/>
    <w:pPr>
      <w:spacing w:after="0" w:line="240" w:lineRule="auto"/>
    </w:pPr>
    <w:rPr>
      <w:rFonts w:ascii="Times New Roman" w:eastAsia="Times New Roman" w:hAnsi="Times New Roman" w:cs="Times New Roman"/>
      <w:sz w:val="24"/>
      <w:szCs w:val="20"/>
    </w:rPr>
  </w:style>
  <w:style w:type="paragraph" w:customStyle="1" w:styleId="NormPara">
    <w:name w:val="NormPara"/>
    <w:basedOn w:val="Normal"/>
    <w:link w:val="NormParaChar"/>
    <w:uiPriority w:val="99"/>
    <w:rsid w:val="00EE535C"/>
    <w:pPr>
      <w:widowControl/>
      <w:spacing w:line="240" w:lineRule="atLeast"/>
      <w:ind w:firstLine="288"/>
      <w:jc w:val="both"/>
    </w:pPr>
    <w:rPr>
      <w:rFonts w:ascii="Book Antiqua" w:eastAsia="Times New Roman" w:hAnsi="Book Antiqua"/>
      <w:sz w:val="18"/>
      <w:lang w:val="en-US"/>
    </w:rPr>
  </w:style>
  <w:style w:type="character" w:customStyle="1" w:styleId="NormParaChar">
    <w:name w:val="NormPara Char"/>
    <w:basedOn w:val="DefaultParagraphFont"/>
    <w:link w:val="NormPara"/>
    <w:uiPriority w:val="99"/>
    <w:rsid w:val="00EE535C"/>
    <w:rPr>
      <w:rFonts w:ascii="Book Antiqua" w:eastAsia="Times New Roman" w:hAnsi="Book Antiqua" w:cs="Times New Roman"/>
      <w:sz w:val="18"/>
      <w:szCs w:val="20"/>
    </w:rPr>
  </w:style>
  <w:style w:type="paragraph" w:customStyle="1" w:styleId="reference">
    <w:name w:val="reference"/>
    <w:basedOn w:val="Normal"/>
    <w:uiPriority w:val="99"/>
    <w:rsid w:val="00EE535C"/>
    <w:pPr>
      <w:widowControl/>
      <w:spacing w:line="240" w:lineRule="atLeast"/>
      <w:ind w:left="432" w:hanging="432"/>
      <w:jc w:val="both"/>
    </w:pPr>
    <w:rPr>
      <w:rFonts w:ascii="Book Antiqua" w:eastAsia="Times New Roman" w:hAnsi="Book Antiqua"/>
      <w:sz w:val="16"/>
      <w:lang w:val="en-US"/>
    </w:rPr>
  </w:style>
  <w:style w:type="character" w:styleId="Emphasis">
    <w:name w:val="Emphasis"/>
    <w:basedOn w:val="DefaultParagraphFont"/>
    <w:uiPriority w:val="20"/>
    <w:qFormat/>
    <w:rsid w:val="00EE535C"/>
    <w:rPr>
      <w:i/>
      <w:iCs/>
    </w:rPr>
  </w:style>
  <w:style w:type="paragraph" w:customStyle="1" w:styleId="Default">
    <w:name w:val="Default"/>
    <w:rsid w:val="00EE535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Caption">
    <w:name w:val="caption"/>
    <w:basedOn w:val="Normal"/>
    <w:next w:val="Normal"/>
    <w:uiPriority w:val="35"/>
    <w:qFormat/>
    <w:rsid w:val="00AC4336"/>
    <w:pPr>
      <w:keepLines/>
      <w:spacing w:before="200" w:after="240" w:line="200" w:lineRule="exact"/>
    </w:pPr>
    <w:rPr>
      <w:sz w:val="16"/>
    </w:rPr>
  </w:style>
  <w:style w:type="paragraph" w:customStyle="1" w:styleId="Els-4thorder-head">
    <w:name w:val="Els-4thorder-head"/>
    <w:next w:val="Els-body-text"/>
    <w:rsid w:val="00AC4336"/>
    <w:pPr>
      <w:keepNext/>
      <w:suppressAutoHyphens/>
      <w:spacing w:before="240" w:after="0" w:line="240" w:lineRule="exact"/>
    </w:pPr>
    <w:rPr>
      <w:rFonts w:ascii="Times New Roman" w:eastAsia="SimSun" w:hAnsi="Times New Roman" w:cs="Times New Roman"/>
      <w:i/>
      <w:sz w:val="20"/>
      <w:szCs w:val="20"/>
    </w:rPr>
  </w:style>
  <w:style w:type="paragraph" w:customStyle="1" w:styleId="Els-acknowledgement">
    <w:name w:val="Els-acknowledgement"/>
    <w:next w:val="Normal"/>
    <w:rsid w:val="00AC4336"/>
    <w:pPr>
      <w:keepNext/>
      <w:spacing w:before="480" w:after="240" w:line="220" w:lineRule="exact"/>
    </w:pPr>
    <w:rPr>
      <w:rFonts w:ascii="Times New Roman" w:eastAsia="SimSun" w:hAnsi="Times New Roman" w:cs="Times New Roman"/>
      <w:b/>
      <w:sz w:val="20"/>
      <w:szCs w:val="20"/>
    </w:rPr>
  </w:style>
  <w:style w:type="paragraph" w:customStyle="1" w:styleId="Els-aditional-article-history">
    <w:name w:val="Els-aditional-article-history"/>
    <w:basedOn w:val="Normal"/>
    <w:rsid w:val="00AC4336"/>
    <w:pPr>
      <w:spacing w:after="400" w:line="200" w:lineRule="exact"/>
      <w:jc w:val="center"/>
    </w:pPr>
    <w:rPr>
      <w:b/>
      <w:noProof/>
      <w:sz w:val="16"/>
      <w:lang w:val="en-US"/>
    </w:rPr>
  </w:style>
  <w:style w:type="paragraph" w:customStyle="1" w:styleId="Els-appendixhead">
    <w:name w:val="Els-appendixhead"/>
    <w:next w:val="Normal"/>
    <w:rsid w:val="00AC4336"/>
    <w:pPr>
      <w:numPr>
        <w:numId w:val="4"/>
      </w:numPr>
      <w:spacing w:before="480" w:after="240" w:line="220" w:lineRule="exact"/>
    </w:pPr>
    <w:rPr>
      <w:rFonts w:ascii="Times New Roman" w:eastAsia="SimSun" w:hAnsi="Times New Roman" w:cs="Times New Roman"/>
      <w:b/>
      <w:sz w:val="20"/>
      <w:szCs w:val="20"/>
    </w:rPr>
  </w:style>
  <w:style w:type="paragraph" w:customStyle="1" w:styleId="Els-appendixsubhead">
    <w:name w:val="Els-appendixsubhead"/>
    <w:next w:val="Normal"/>
    <w:rsid w:val="00AC4336"/>
    <w:pPr>
      <w:numPr>
        <w:ilvl w:val="1"/>
        <w:numId w:val="5"/>
      </w:numPr>
      <w:spacing w:before="240" w:after="240" w:line="220" w:lineRule="exact"/>
    </w:pPr>
    <w:rPr>
      <w:rFonts w:ascii="Times New Roman" w:eastAsia="SimSun" w:hAnsi="Times New Roman" w:cs="Times New Roman"/>
      <w:i/>
      <w:sz w:val="20"/>
      <w:szCs w:val="20"/>
    </w:rPr>
  </w:style>
  <w:style w:type="paragraph" w:customStyle="1" w:styleId="Els-bulletlist">
    <w:name w:val="Els-bulletlist"/>
    <w:basedOn w:val="Els-body-text"/>
    <w:rsid w:val="00AC4336"/>
    <w:pPr>
      <w:numPr>
        <w:numId w:val="6"/>
      </w:numPr>
      <w:tabs>
        <w:tab w:val="left" w:pos="240"/>
      </w:tabs>
      <w:jc w:val="left"/>
    </w:pPr>
  </w:style>
  <w:style w:type="paragraph" w:customStyle="1" w:styleId="Els-caption">
    <w:name w:val="Els-caption"/>
    <w:rsid w:val="00AC4336"/>
    <w:pPr>
      <w:keepLines/>
      <w:spacing w:before="200" w:after="240" w:line="200" w:lineRule="exact"/>
    </w:pPr>
    <w:rPr>
      <w:rFonts w:ascii="Times New Roman" w:eastAsia="SimSun" w:hAnsi="Times New Roman" w:cs="Times New Roman"/>
      <w:sz w:val="16"/>
      <w:szCs w:val="20"/>
    </w:rPr>
  </w:style>
  <w:style w:type="paragraph" w:customStyle="1" w:styleId="Els-chem-equation">
    <w:name w:val="Els-chem-equation"/>
    <w:next w:val="Els-body-text"/>
    <w:rsid w:val="00AC4336"/>
    <w:pPr>
      <w:tabs>
        <w:tab w:val="right" w:pos="4320"/>
        <w:tab w:val="right" w:pos="9120"/>
      </w:tabs>
      <w:spacing w:before="120" w:after="120" w:line="220" w:lineRule="exact"/>
    </w:pPr>
    <w:rPr>
      <w:rFonts w:ascii="Times New Roman" w:eastAsia="SimSun" w:hAnsi="Times New Roman" w:cs="Times New Roman"/>
      <w:noProof/>
      <w:sz w:val="18"/>
      <w:szCs w:val="20"/>
    </w:rPr>
  </w:style>
  <w:style w:type="paragraph" w:customStyle="1" w:styleId="Els-collaboration">
    <w:name w:val="Els-collaboration"/>
    <w:basedOn w:val="Els-Author"/>
    <w:rsid w:val="00AC4336"/>
    <w:pPr>
      <w:jc w:val="right"/>
    </w:pPr>
  </w:style>
  <w:style w:type="paragraph" w:customStyle="1" w:styleId="Els-collaboration-affiliation">
    <w:name w:val="Els-collaboration-affiliation"/>
    <w:basedOn w:val="Els-collaboration"/>
    <w:rsid w:val="00AC4336"/>
  </w:style>
  <w:style w:type="paragraph" w:customStyle="1" w:styleId="Els-presented-by">
    <w:name w:val="Els-presented-by"/>
    <w:rsid w:val="00AC4336"/>
    <w:pPr>
      <w:spacing w:line="240" w:lineRule="auto"/>
      <w:jc w:val="center"/>
    </w:pPr>
    <w:rPr>
      <w:rFonts w:ascii="Times New Roman" w:eastAsia="SimSun" w:hAnsi="Times New Roman" w:cs="Times New Roman"/>
      <w:b/>
      <w:sz w:val="16"/>
      <w:szCs w:val="20"/>
    </w:rPr>
  </w:style>
  <w:style w:type="paragraph" w:customStyle="1" w:styleId="Els-dedicated-to">
    <w:name w:val="Els-dedicated-to"/>
    <w:basedOn w:val="Els-presented-by"/>
    <w:rsid w:val="00AC4336"/>
    <w:rPr>
      <w:b w:val="0"/>
    </w:rPr>
  </w:style>
  <w:style w:type="paragraph" w:customStyle="1" w:styleId="Els-equation">
    <w:name w:val="Els-equation"/>
    <w:next w:val="Normal"/>
    <w:rsid w:val="00AC4336"/>
    <w:pPr>
      <w:widowControl w:val="0"/>
      <w:tabs>
        <w:tab w:val="right" w:pos="4320"/>
        <w:tab w:val="right" w:pos="9120"/>
      </w:tabs>
      <w:spacing w:before="240" w:after="240" w:line="240" w:lineRule="auto"/>
      <w:ind w:left="482"/>
    </w:pPr>
    <w:rPr>
      <w:rFonts w:ascii="Times New Roman" w:eastAsia="SimSun" w:hAnsi="Times New Roman" w:cs="Times New Roman"/>
      <w:i/>
      <w:noProof/>
      <w:sz w:val="20"/>
      <w:szCs w:val="20"/>
    </w:rPr>
  </w:style>
  <w:style w:type="paragraph" w:customStyle="1" w:styleId="Els-footnote">
    <w:name w:val="Els-footnote"/>
    <w:rsid w:val="00AC4336"/>
    <w:pPr>
      <w:keepLines/>
      <w:widowControl w:val="0"/>
      <w:spacing w:after="0" w:line="200" w:lineRule="exact"/>
      <w:ind w:firstLine="240"/>
      <w:jc w:val="both"/>
    </w:pPr>
    <w:rPr>
      <w:rFonts w:ascii="Times New Roman" w:eastAsia="SimSun" w:hAnsi="Times New Roman" w:cs="Times New Roman"/>
      <w:sz w:val="16"/>
      <w:szCs w:val="20"/>
    </w:rPr>
  </w:style>
  <w:style w:type="paragraph" w:customStyle="1" w:styleId="Els-journal-logo">
    <w:name w:val="Els-journal-logo"/>
    <w:rsid w:val="00AC4336"/>
    <w:pPr>
      <w:pBdr>
        <w:top w:val="thinThickLargeGap" w:sz="12" w:space="0" w:color="auto"/>
        <w:bottom w:val="thickThinLargeGap" w:sz="12" w:space="0" w:color="auto"/>
      </w:pBdr>
      <w:spacing w:after="0" w:line="240" w:lineRule="auto"/>
    </w:pPr>
    <w:rPr>
      <w:rFonts w:ascii="Helvetica" w:eastAsia="SimSun" w:hAnsi="Helvetica" w:cs="Times New Roman"/>
      <w:b/>
      <w:noProof/>
      <w:sz w:val="24"/>
      <w:szCs w:val="20"/>
    </w:rPr>
  </w:style>
  <w:style w:type="paragraph" w:customStyle="1" w:styleId="Els-numlist">
    <w:name w:val="Els-numlist"/>
    <w:basedOn w:val="Els-body-text"/>
    <w:rsid w:val="00AC4336"/>
    <w:pPr>
      <w:numPr>
        <w:numId w:val="7"/>
      </w:numPr>
      <w:tabs>
        <w:tab w:val="left" w:pos="240"/>
      </w:tabs>
      <w:ind w:left="480"/>
      <w:jc w:val="left"/>
    </w:pPr>
  </w:style>
  <w:style w:type="paragraph" w:customStyle="1" w:styleId="Els-reference">
    <w:name w:val="Els-reference"/>
    <w:rsid w:val="00AC4336"/>
    <w:pPr>
      <w:tabs>
        <w:tab w:val="left" w:pos="312"/>
      </w:tabs>
      <w:spacing w:after="0" w:line="200" w:lineRule="exact"/>
      <w:ind w:left="312" w:hanging="312"/>
    </w:pPr>
    <w:rPr>
      <w:rFonts w:ascii="Times New Roman" w:eastAsia="SimSun" w:hAnsi="Times New Roman" w:cs="Times New Roman"/>
      <w:noProof/>
      <w:sz w:val="16"/>
      <w:szCs w:val="20"/>
    </w:rPr>
  </w:style>
  <w:style w:type="paragraph" w:customStyle="1" w:styleId="Els-reference-head">
    <w:name w:val="Els-reference-head"/>
    <w:next w:val="Els-reference"/>
    <w:rsid w:val="00AC4336"/>
    <w:pPr>
      <w:keepNext/>
      <w:spacing w:before="480" w:line="220" w:lineRule="exact"/>
    </w:pPr>
    <w:rPr>
      <w:rFonts w:ascii="Times New Roman" w:eastAsia="SimSun" w:hAnsi="Times New Roman" w:cs="Times New Roman"/>
      <w:b/>
      <w:sz w:val="20"/>
      <w:szCs w:val="20"/>
    </w:rPr>
  </w:style>
  <w:style w:type="paragraph" w:customStyle="1" w:styleId="Els-reprint-line">
    <w:name w:val="Els-reprint-line"/>
    <w:basedOn w:val="Normal"/>
    <w:rsid w:val="00AC4336"/>
    <w:pPr>
      <w:tabs>
        <w:tab w:val="left" w:pos="0"/>
        <w:tab w:val="center" w:pos="5443"/>
      </w:tabs>
      <w:jc w:val="center"/>
    </w:pPr>
    <w:rPr>
      <w:sz w:val="16"/>
    </w:rPr>
  </w:style>
  <w:style w:type="paragraph" w:customStyle="1" w:styleId="Els-table-text">
    <w:name w:val="Els-table-text"/>
    <w:rsid w:val="00AC4336"/>
    <w:pPr>
      <w:spacing w:after="80" w:line="200" w:lineRule="exact"/>
    </w:pPr>
    <w:rPr>
      <w:rFonts w:ascii="Times New Roman" w:eastAsia="SimSun" w:hAnsi="Times New Roman" w:cs="Times New Roman"/>
      <w:sz w:val="16"/>
      <w:szCs w:val="20"/>
    </w:rPr>
  </w:style>
  <w:style w:type="character" w:styleId="EndnoteReference">
    <w:name w:val="endnote reference"/>
    <w:rsid w:val="00AC4336"/>
    <w:rPr>
      <w:vertAlign w:val="superscript"/>
    </w:rPr>
  </w:style>
  <w:style w:type="character" w:customStyle="1" w:styleId="FootnoteTextChar">
    <w:name w:val="Footnote Text Char"/>
    <w:basedOn w:val="DefaultParagraphFont"/>
    <w:link w:val="FootnoteText"/>
    <w:uiPriority w:val="99"/>
    <w:semiHidden/>
    <w:rsid w:val="00AC4336"/>
    <w:rPr>
      <w:rFonts w:ascii="Univers" w:eastAsia="SimSun" w:hAnsi="Univers" w:cs="Times New Roman"/>
      <w:sz w:val="20"/>
      <w:szCs w:val="20"/>
      <w:lang w:val="en-GB"/>
    </w:rPr>
  </w:style>
  <w:style w:type="paragraph" w:styleId="FootnoteText">
    <w:name w:val="footnote text"/>
    <w:basedOn w:val="Normal"/>
    <w:link w:val="FootnoteTextChar"/>
    <w:uiPriority w:val="99"/>
    <w:semiHidden/>
    <w:rsid w:val="00AC4336"/>
    <w:rPr>
      <w:rFonts w:ascii="Univers" w:hAnsi="Univers"/>
    </w:rPr>
  </w:style>
  <w:style w:type="character" w:customStyle="1" w:styleId="MTEquationSection">
    <w:name w:val="MTEquationSection"/>
    <w:rsid w:val="00AC4336"/>
    <w:rPr>
      <w:vanish/>
      <w:color w:val="FF0000"/>
    </w:rPr>
  </w:style>
  <w:style w:type="character" w:styleId="PageNumber">
    <w:name w:val="page number"/>
    <w:uiPriority w:val="99"/>
    <w:rsid w:val="00AC4336"/>
    <w:rPr>
      <w:sz w:val="16"/>
    </w:rPr>
  </w:style>
  <w:style w:type="character" w:customStyle="1" w:styleId="PlainTextChar">
    <w:name w:val="Plain Text Char"/>
    <w:basedOn w:val="DefaultParagraphFont"/>
    <w:link w:val="PlainText"/>
    <w:semiHidden/>
    <w:rsid w:val="00AC4336"/>
    <w:rPr>
      <w:rFonts w:ascii="Courier New" w:eastAsia="SimSun" w:hAnsi="Courier New" w:cs="Courier New"/>
      <w:sz w:val="20"/>
      <w:szCs w:val="20"/>
    </w:rPr>
  </w:style>
  <w:style w:type="paragraph" w:styleId="PlainText">
    <w:name w:val="Plain Text"/>
    <w:basedOn w:val="Normal"/>
    <w:link w:val="PlainTextChar"/>
    <w:semiHidden/>
    <w:rsid w:val="00AC4336"/>
    <w:rPr>
      <w:rFonts w:ascii="Courier New" w:hAnsi="Courier New" w:cs="Courier New"/>
      <w:lang w:val="en-US"/>
    </w:rPr>
  </w:style>
  <w:style w:type="paragraph" w:customStyle="1" w:styleId="Els-5thorder-head">
    <w:name w:val="Els-5thorder-head"/>
    <w:next w:val="Els-body-text"/>
    <w:rsid w:val="00AC4336"/>
    <w:pPr>
      <w:keepNext/>
      <w:suppressAutoHyphens/>
      <w:spacing w:after="0" w:line="240" w:lineRule="exact"/>
    </w:pPr>
    <w:rPr>
      <w:rFonts w:ascii="Times New Roman" w:eastAsia="SimSun" w:hAnsi="Times New Roman" w:cs="Times New Roman"/>
      <w:i/>
      <w:sz w:val="20"/>
      <w:szCs w:val="20"/>
    </w:rPr>
  </w:style>
  <w:style w:type="paragraph" w:customStyle="1" w:styleId="Els-Abstract-Copyright">
    <w:name w:val="Els-Abstract-Copyright"/>
    <w:basedOn w:val="Els-Abstract-text"/>
    <w:rsid w:val="00AC4336"/>
    <w:pPr>
      <w:spacing w:after="220"/>
    </w:pPr>
  </w:style>
  <w:style w:type="paragraph" w:customStyle="1" w:styleId="DocHead">
    <w:name w:val="DocHead"/>
    <w:rsid w:val="00AC4336"/>
    <w:pPr>
      <w:spacing w:after="240" w:line="240" w:lineRule="auto"/>
      <w:jc w:val="center"/>
    </w:pPr>
    <w:rPr>
      <w:rFonts w:ascii="Times New Roman" w:eastAsia="SimSun" w:hAnsi="Times New Roman" w:cs="Times New Roman"/>
      <w:sz w:val="24"/>
      <w:szCs w:val="20"/>
    </w:rPr>
  </w:style>
  <w:style w:type="character" w:styleId="FollowedHyperlink">
    <w:name w:val="FollowedHyperlink"/>
    <w:uiPriority w:val="99"/>
    <w:semiHidden/>
    <w:rsid w:val="00AC4336"/>
    <w:rPr>
      <w:color w:val="800080"/>
      <w:u w:val="single"/>
    </w:rPr>
  </w:style>
  <w:style w:type="character" w:customStyle="1" w:styleId="Els-1storder-headChar">
    <w:name w:val="Els-1storder-head Char"/>
    <w:rsid w:val="00AC4336"/>
    <w:rPr>
      <w:b/>
      <w:lang w:val="en-US" w:eastAsia="en-US" w:bidi="ar-SA"/>
    </w:rPr>
  </w:style>
  <w:style w:type="paragraph" w:customStyle="1" w:styleId="yiv879498456msonormal">
    <w:name w:val="yiv879498456msonormal"/>
    <w:basedOn w:val="Normal"/>
    <w:rsid w:val="00AC4336"/>
    <w:pPr>
      <w:widowControl/>
      <w:spacing w:before="100" w:beforeAutospacing="1" w:after="100" w:afterAutospacing="1"/>
    </w:pPr>
    <w:rPr>
      <w:rFonts w:eastAsia="Times New Roman"/>
      <w:sz w:val="24"/>
      <w:szCs w:val="24"/>
      <w:lang w:val="en-US"/>
    </w:rPr>
  </w:style>
  <w:style w:type="paragraph" w:customStyle="1" w:styleId="NonIndent">
    <w:name w:val="NonIndent"/>
    <w:basedOn w:val="NormPara"/>
    <w:next w:val="Normal"/>
    <w:uiPriority w:val="99"/>
    <w:rsid w:val="00AC4336"/>
  </w:style>
  <w:style w:type="paragraph" w:customStyle="1" w:styleId="Addrofauthor">
    <w:name w:val="Addr of author"/>
    <w:basedOn w:val="Title"/>
    <w:uiPriority w:val="99"/>
    <w:rsid w:val="00AC4336"/>
    <w:pPr>
      <w:widowControl/>
      <w:pBdr>
        <w:bottom w:val="none" w:sz="0" w:space="0" w:color="auto"/>
      </w:pBdr>
      <w:spacing w:after="0" w:line="240" w:lineRule="atLeast"/>
      <w:contextualSpacing w:val="0"/>
      <w:jc w:val="center"/>
    </w:pPr>
    <w:rPr>
      <w:rFonts w:ascii="Book Antiqua" w:eastAsia="Times New Roman" w:hAnsi="Book Antiqua" w:cs="Times New Roman"/>
      <w:color w:val="auto"/>
      <w:spacing w:val="0"/>
      <w:sz w:val="18"/>
      <w:szCs w:val="20"/>
      <w:lang w:val="en-US"/>
    </w:rPr>
  </w:style>
  <w:style w:type="paragraph" w:customStyle="1" w:styleId="tagend">
    <w:name w:val="tagend"/>
    <w:basedOn w:val="NormPara"/>
    <w:uiPriority w:val="99"/>
    <w:rsid w:val="00AC4336"/>
    <w:pPr>
      <w:tabs>
        <w:tab w:val="left" w:pos="288"/>
      </w:tabs>
      <w:ind w:firstLine="0"/>
    </w:pPr>
  </w:style>
  <w:style w:type="paragraph" w:customStyle="1" w:styleId="equation">
    <w:name w:val="equation"/>
    <w:basedOn w:val="tagend"/>
    <w:uiPriority w:val="99"/>
    <w:rsid w:val="00AC4336"/>
    <w:pPr>
      <w:tabs>
        <w:tab w:val="clear" w:pos="288"/>
        <w:tab w:val="center" w:pos="2606"/>
        <w:tab w:val="right" w:pos="5227"/>
      </w:tabs>
      <w:spacing w:before="240" w:after="240"/>
    </w:pPr>
  </w:style>
  <w:style w:type="paragraph" w:customStyle="1" w:styleId="FigCaption">
    <w:name w:val="FigCaption"/>
    <w:basedOn w:val="reference"/>
    <w:uiPriority w:val="99"/>
    <w:rsid w:val="00AC4336"/>
    <w:pPr>
      <w:spacing w:after="120"/>
      <w:ind w:right="432" w:firstLine="0"/>
    </w:pPr>
  </w:style>
  <w:style w:type="paragraph" w:customStyle="1" w:styleId="LeftPoint">
    <w:name w:val="LeftPoint"/>
    <w:basedOn w:val="tagend"/>
    <w:uiPriority w:val="99"/>
    <w:rsid w:val="00AC4336"/>
    <w:pPr>
      <w:tabs>
        <w:tab w:val="clear" w:pos="288"/>
        <w:tab w:val="left" w:pos="432"/>
      </w:tabs>
      <w:ind w:left="432" w:hanging="432"/>
    </w:pPr>
  </w:style>
  <w:style w:type="paragraph" w:customStyle="1" w:styleId="Quote1">
    <w:name w:val="Quote1"/>
    <w:basedOn w:val="tagend"/>
    <w:uiPriority w:val="99"/>
    <w:rsid w:val="00AC4336"/>
    <w:pPr>
      <w:ind w:left="288" w:right="288"/>
    </w:pPr>
  </w:style>
  <w:style w:type="paragraph" w:customStyle="1" w:styleId="footnote">
    <w:name w:val="footnote"/>
    <w:basedOn w:val="reference"/>
    <w:uiPriority w:val="99"/>
    <w:rsid w:val="00AC4336"/>
    <w:pPr>
      <w:ind w:left="0" w:firstLine="0"/>
    </w:pPr>
  </w:style>
  <w:style w:type="paragraph" w:styleId="ListNumber2">
    <w:name w:val="List Number 2"/>
    <w:basedOn w:val="Normal"/>
    <w:uiPriority w:val="99"/>
    <w:rsid w:val="00AC4336"/>
    <w:pPr>
      <w:widowControl/>
      <w:numPr>
        <w:numId w:val="10"/>
      </w:numPr>
    </w:pPr>
    <w:rPr>
      <w:rFonts w:eastAsia="Times New Roman"/>
      <w:lang w:val="en-US"/>
    </w:rPr>
  </w:style>
  <w:style w:type="paragraph" w:styleId="ListNumber3">
    <w:name w:val="List Number 3"/>
    <w:basedOn w:val="Normal"/>
    <w:uiPriority w:val="99"/>
    <w:rsid w:val="00AC4336"/>
    <w:pPr>
      <w:widowControl/>
      <w:numPr>
        <w:numId w:val="11"/>
      </w:numPr>
    </w:pPr>
    <w:rPr>
      <w:rFonts w:eastAsia="Times New Roman"/>
      <w:lang w:val="en-US"/>
    </w:rPr>
  </w:style>
  <w:style w:type="paragraph" w:styleId="ListNumber4">
    <w:name w:val="List Number 4"/>
    <w:basedOn w:val="Normal"/>
    <w:uiPriority w:val="99"/>
    <w:rsid w:val="00AC4336"/>
    <w:pPr>
      <w:widowControl/>
      <w:numPr>
        <w:numId w:val="12"/>
      </w:numPr>
    </w:pPr>
    <w:rPr>
      <w:rFonts w:eastAsia="Times New Roman"/>
      <w:lang w:val="en-US"/>
    </w:rPr>
  </w:style>
  <w:style w:type="paragraph" w:styleId="ListNumber5">
    <w:name w:val="List Number 5"/>
    <w:basedOn w:val="Normal"/>
    <w:uiPriority w:val="99"/>
    <w:rsid w:val="00AC4336"/>
    <w:pPr>
      <w:widowControl/>
      <w:numPr>
        <w:numId w:val="13"/>
      </w:numPr>
    </w:pPr>
    <w:rPr>
      <w:rFonts w:eastAsia="Times New Roman"/>
      <w:lang w:val="en-US"/>
    </w:rPr>
  </w:style>
  <w:style w:type="paragraph" w:customStyle="1" w:styleId="eqicfai">
    <w:name w:val="eqicfai"/>
    <w:basedOn w:val="Normal"/>
    <w:uiPriority w:val="99"/>
    <w:rsid w:val="00AC4336"/>
    <w:pPr>
      <w:widowControl/>
      <w:tabs>
        <w:tab w:val="center" w:pos="5400"/>
        <w:tab w:val="right" w:pos="10800"/>
      </w:tabs>
      <w:spacing w:before="120" w:after="120"/>
    </w:pPr>
    <w:rPr>
      <w:rFonts w:ascii="Eurostile" w:eastAsia="Times New Roman" w:hAnsi="Eurostile"/>
      <w:sz w:val="24"/>
      <w:lang w:val="en-US"/>
    </w:rPr>
  </w:style>
  <w:style w:type="character" w:customStyle="1" w:styleId="DocumentMapChar">
    <w:name w:val="Document Map Char"/>
    <w:basedOn w:val="DefaultParagraphFont"/>
    <w:link w:val="DocumentMap"/>
    <w:uiPriority w:val="99"/>
    <w:semiHidden/>
    <w:rsid w:val="00AC4336"/>
    <w:rPr>
      <w:rFonts w:ascii="Tahoma" w:eastAsia="Times New Roman" w:hAnsi="Tahoma" w:cs="Tahoma"/>
      <w:sz w:val="16"/>
      <w:szCs w:val="16"/>
    </w:rPr>
  </w:style>
  <w:style w:type="paragraph" w:styleId="DocumentMap">
    <w:name w:val="Document Map"/>
    <w:basedOn w:val="Normal"/>
    <w:link w:val="DocumentMapChar"/>
    <w:uiPriority w:val="99"/>
    <w:semiHidden/>
    <w:unhideWhenUsed/>
    <w:rsid w:val="00AC4336"/>
    <w:pPr>
      <w:widowControl/>
    </w:pPr>
    <w:rPr>
      <w:rFonts w:ascii="Tahoma" w:eastAsia="Times New Roman" w:hAnsi="Tahoma" w:cs="Tahoma"/>
      <w:sz w:val="16"/>
      <w:szCs w:val="16"/>
      <w:lang w:val="en-US"/>
    </w:rPr>
  </w:style>
  <w:style w:type="character" w:customStyle="1" w:styleId="DocumentMapChar1">
    <w:name w:val="Document Map Char1"/>
    <w:basedOn w:val="DefaultParagraphFont"/>
    <w:link w:val="DocumentMap"/>
    <w:uiPriority w:val="99"/>
    <w:semiHidden/>
    <w:rsid w:val="00AC4336"/>
    <w:rPr>
      <w:rFonts w:ascii="Tahoma" w:eastAsia="SimSun" w:hAnsi="Tahoma" w:cs="Tahoma"/>
      <w:sz w:val="16"/>
      <w:szCs w:val="16"/>
      <w:lang w:val="en-GB"/>
    </w:rPr>
  </w:style>
  <w:style w:type="paragraph" w:styleId="ListParagraph">
    <w:name w:val="List Paragraph"/>
    <w:basedOn w:val="Normal"/>
    <w:uiPriority w:val="34"/>
    <w:qFormat/>
    <w:rsid w:val="00AC4336"/>
    <w:pPr>
      <w:widowControl/>
      <w:ind w:left="720"/>
      <w:contextualSpacing/>
    </w:pPr>
    <w:rPr>
      <w:rFonts w:eastAsia="Times New Roman"/>
      <w:sz w:val="24"/>
      <w:lang w:val="en-US"/>
    </w:rPr>
  </w:style>
  <w:style w:type="character" w:customStyle="1" w:styleId="citation">
    <w:name w:val="citation"/>
    <w:basedOn w:val="DefaultParagraphFont"/>
    <w:rsid w:val="00AC4336"/>
  </w:style>
  <w:style w:type="character" w:customStyle="1" w:styleId="BodyText2Char">
    <w:name w:val="Body Text 2 Char"/>
    <w:basedOn w:val="DefaultParagraphFont"/>
    <w:link w:val="BodyText2"/>
    <w:semiHidden/>
    <w:rsid w:val="00AC4336"/>
    <w:rPr>
      <w:rFonts w:ascii="Book Antiqua" w:eastAsia="Times New Roman" w:hAnsi="Book Antiqua"/>
      <w:sz w:val="18"/>
      <w:szCs w:val="24"/>
      <w:lang w:eastAsia="pl-PL"/>
    </w:rPr>
  </w:style>
  <w:style w:type="paragraph" w:styleId="BodyText2">
    <w:name w:val="Body Text 2"/>
    <w:basedOn w:val="Normal"/>
    <w:link w:val="BodyText2Char"/>
    <w:semiHidden/>
    <w:rsid w:val="00AC4336"/>
    <w:pPr>
      <w:widowControl/>
    </w:pPr>
    <w:rPr>
      <w:rFonts w:ascii="Book Antiqua" w:eastAsia="Times New Roman" w:hAnsi="Book Antiqua" w:cstheme="minorBidi"/>
      <w:sz w:val="18"/>
      <w:szCs w:val="24"/>
      <w:lang w:val="en-US" w:eastAsia="pl-PL"/>
    </w:rPr>
  </w:style>
  <w:style w:type="character" w:customStyle="1" w:styleId="BodyText2Char1">
    <w:name w:val="Body Text 2 Char1"/>
    <w:basedOn w:val="DefaultParagraphFont"/>
    <w:link w:val="BodyText2"/>
    <w:uiPriority w:val="99"/>
    <w:semiHidden/>
    <w:rsid w:val="00AC4336"/>
    <w:rPr>
      <w:rFonts w:ascii="Times New Roman" w:eastAsia="SimSun" w:hAnsi="Times New Roman" w:cs="Times New Roman"/>
      <w:sz w:val="20"/>
      <w:szCs w:val="20"/>
      <w:lang w:val="en-GB"/>
    </w:rPr>
  </w:style>
  <w:style w:type="character" w:customStyle="1" w:styleId="MTConvertedEquation">
    <w:name w:val="MTConvertedEquation"/>
    <w:basedOn w:val="DefaultParagraphFont"/>
    <w:rsid w:val="00AC4336"/>
  </w:style>
  <w:style w:type="paragraph" w:styleId="NormalWeb">
    <w:name w:val="Normal (Web)"/>
    <w:basedOn w:val="Normal"/>
    <w:uiPriority w:val="99"/>
    <w:rsid w:val="00AC4336"/>
    <w:pPr>
      <w:widowControl/>
      <w:spacing w:before="100" w:beforeAutospacing="1" w:after="100" w:afterAutospacing="1"/>
    </w:pPr>
    <w:rPr>
      <w:rFonts w:eastAsia="Times New Roman"/>
      <w:sz w:val="24"/>
      <w:szCs w:val="24"/>
      <w:lang w:val="en-US"/>
    </w:rPr>
  </w:style>
  <w:style w:type="paragraph" w:styleId="HTMLPreformatted">
    <w:name w:val="HTML Preformatted"/>
    <w:basedOn w:val="Normal"/>
    <w:link w:val="HTMLPreformattedChar"/>
    <w:uiPriority w:val="99"/>
    <w:unhideWhenUsed/>
    <w:rsid w:val="00AC43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en-US"/>
    </w:rPr>
  </w:style>
  <w:style w:type="character" w:customStyle="1" w:styleId="HTMLPreformattedChar">
    <w:name w:val="HTML Preformatted Char"/>
    <w:basedOn w:val="DefaultParagraphFont"/>
    <w:link w:val="HTMLPreformatted"/>
    <w:uiPriority w:val="99"/>
    <w:rsid w:val="00AC4336"/>
    <w:rPr>
      <w:rFonts w:ascii="Courier New" w:eastAsia="Times New Roman" w:hAnsi="Courier New" w:cs="Courier New"/>
      <w:sz w:val="20"/>
      <w:szCs w:val="20"/>
    </w:rPr>
  </w:style>
  <w:style w:type="paragraph" w:customStyle="1" w:styleId="MTDisplayEquation">
    <w:name w:val="MTDisplayEquation"/>
    <w:basedOn w:val="NormPara"/>
    <w:next w:val="Normal"/>
    <w:link w:val="MTDisplayEquationChar"/>
    <w:rsid w:val="00AC4336"/>
    <w:pPr>
      <w:tabs>
        <w:tab w:val="center" w:pos="2600"/>
        <w:tab w:val="right" w:pos="5220"/>
      </w:tabs>
      <w:ind w:firstLine="0"/>
      <w:jc w:val="center"/>
    </w:pPr>
  </w:style>
  <w:style w:type="character" w:customStyle="1" w:styleId="MTDisplayEquationChar">
    <w:name w:val="MTDisplayEquation Char"/>
    <w:basedOn w:val="NormParaChar"/>
    <w:link w:val="MTDisplayEquation"/>
    <w:rsid w:val="00AC4336"/>
  </w:style>
  <w:style w:type="character" w:customStyle="1" w:styleId="long-title">
    <w:name w:val="long-title"/>
    <w:basedOn w:val="DefaultParagraphFont"/>
    <w:rsid w:val="00AC4336"/>
  </w:style>
  <w:style w:type="character" w:customStyle="1" w:styleId="superscript1">
    <w:name w:val="superscript1"/>
    <w:rsid w:val="00AC4336"/>
    <w:rPr>
      <w:sz w:val="20"/>
      <w:szCs w:val="20"/>
      <w:vertAlign w:val="superscript"/>
    </w:rPr>
  </w:style>
  <w:style w:type="paragraph" w:customStyle="1" w:styleId="Equationparagraph">
    <w:name w:val="Equation paragraph"/>
    <w:basedOn w:val="Default"/>
    <w:next w:val="Default"/>
    <w:link w:val="EquationparagraphChar"/>
    <w:rsid w:val="00AC4336"/>
    <w:rPr>
      <w:rFonts w:ascii="Arial" w:hAnsi="Arial" w:cs="Arial"/>
      <w:color w:val="auto"/>
    </w:rPr>
  </w:style>
  <w:style w:type="character" w:customStyle="1" w:styleId="EquationparagraphChar">
    <w:name w:val="Equation paragraph Char"/>
    <w:basedOn w:val="DefaultParagraphFont"/>
    <w:link w:val="Equationparagraph"/>
    <w:rsid w:val="00AC4336"/>
    <w:rPr>
      <w:rFonts w:ascii="Arial" w:eastAsia="Calibri" w:hAnsi="Arial" w:cs="Arial"/>
      <w:sz w:val="24"/>
      <w:szCs w:val="24"/>
    </w:rPr>
  </w:style>
  <w:style w:type="character" w:styleId="Strong">
    <w:name w:val="Strong"/>
    <w:uiPriority w:val="22"/>
    <w:qFormat/>
    <w:rsid w:val="00AC4336"/>
    <w:rPr>
      <w:b/>
      <w:bCs/>
    </w:rPr>
  </w:style>
  <w:style w:type="paragraph" w:customStyle="1" w:styleId="Standardtextparag">
    <w:name w:val="Standard text parag"/>
    <w:basedOn w:val="Default"/>
    <w:next w:val="Default"/>
    <w:link w:val="StandardtextparagChar"/>
    <w:rsid w:val="00AC4336"/>
    <w:rPr>
      <w:rFonts w:ascii="Arial" w:hAnsi="Arial" w:cs="Arial"/>
      <w:color w:val="auto"/>
    </w:rPr>
  </w:style>
  <w:style w:type="character" w:customStyle="1" w:styleId="StandardtextparagChar">
    <w:name w:val="Standard text parag Char"/>
    <w:basedOn w:val="DefaultParagraphFont"/>
    <w:link w:val="Standardtextparag"/>
    <w:rsid w:val="00AC4336"/>
    <w:rPr>
      <w:rFonts w:ascii="Arial" w:eastAsia="Calibri" w:hAnsi="Arial" w:cs="Arial"/>
      <w:sz w:val="24"/>
      <w:szCs w:val="24"/>
    </w:rPr>
  </w:style>
  <w:style w:type="paragraph" w:customStyle="1" w:styleId="Normalizedparagraph">
    <w:name w:val="Normalized paragraph"/>
    <w:basedOn w:val="Default"/>
    <w:next w:val="Default"/>
    <w:link w:val="NormalizedparagraphChar"/>
    <w:rsid w:val="00AC4336"/>
    <w:rPr>
      <w:rFonts w:ascii="Arial" w:hAnsi="Arial" w:cs="Arial"/>
      <w:color w:val="auto"/>
    </w:rPr>
  </w:style>
  <w:style w:type="character" w:customStyle="1" w:styleId="NormalizedparagraphChar">
    <w:name w:val="Normalized paragraph Char"/>
    <w:basedOn w:val="DefaultParagraphFont"/>
    <w:link w:val="Normalizedparagraph"/>
    <w:rsid w:val="00AC4336"/>
    <w:rPr>
      <w:rFonts w:ascii="Arial" w:eastAsia="Calibri" w:hAnsi="Arial" w:cs="Arial"/>
      <w:sz w:val="24"/>
      <w:szCs w:val="24"/>
    </w:rPr>
  </w:style>
  <w:style w:type="paragraph" w:styleId="BodyText">
    <w:name w:val="Body Text"/>
    <w:basedOn w:val="Default"/>
    <w:next w:val="Default"/>
    <w:link w:val="BodyTextChar"/>
    <w:rsid w:val="00AC4336"/>
    <w:rPr>
      <w:rFonts w:ascii="Arial" w:hAnsi="Arial" w:cs="Arial"/>
      <w:color w:val="auto"/>
    </w:rPr>
  </w:style>
  <w:style w:type="character" w:customStyle="1" w:styleId="BodyTextChar">
    <w:name w:val="Body Text Char"/>
    <w:basedOn w:val="DefaultParagraphFont"/>
    <w:link w:val="BodyText"/>
    <w:rsid w:val="00AC4336"/>
    <w:rPr>
      <w:rFonts w:ascii="Arial" w:eastAsia="Calibri" w:hAnsi="Arial" w:cs="Arial"/>
      <w:sz w:val="24"/>
      <w:szCs w:val="24"/>
    </w:rPr>
  </w:style>
  <w:style w:type="character" w:customStyle="1" w:styleId="yshortcuts">
    <w:name w:val="yshortcuts"/>
    <w:basedOn w:val="DefaultParagraphFont"/>
    <w:rsid w:val="00AC4336"/>
  </w:style>
  <w:style w:type="paragraph" w:customStyle="1" w:styleId="quote">
    <w:name w:val="quote"/>
    <w:basedOn w:val="tagend"/>
    <w:uiPriority w:val="99"/>
    <w:rsid w:val="00AC4336"/>
    <w:pPr>
      <w:ind w:left="288" w:right="288"/>
    </w:pPr>
  </w:style>
  <w:style w:type="paragraph" w:customStyle="1" w:styleId="Standard">
    <w:name w:val="Standard"/>
    <w:rsid w:val="00AC4336"/>
    <w:pPr>
      <w:widowControl w:val="0"/>
      <w:suppressAutoHyphens/>
      <w:spacing w:after="0" w:line="240" w:lineRule="auto"/>
      <w:textAlignment w:val="baseline"/>
    </w:pPr>
    <w:rPr>
      <w:rFonts w:ascii="Times New Roman" w:eastAsia="SimSun" w:hAnsi="Times New Roman" w:cs="Times New Roman"/>
      <w:kern w:val="1"/>
      <w:sz w:val="24"/>
      <w:szCs w:val="24"/>
      <w:lang w:val="en-CA" w:eastAsia="hi-IN" w:bidi="hi-IN"/>
    </w:rPr>
  </w:style>
  <w:style w:type="paragraph" w:styleId="EndnoteText">
    <w:name w:val="endnote text"/>
    <w:basedOn w:val="Normal"/>
    <w:link w:val="EndnoteTextChar"/>
    <w:rsid w:val="00AC4336"/>
    <w:pPr>
      <w:suppressLineNumbers/>
      <w:suppressAutoHyphens/>
      <w:ind w:left="283" w:hanging="283"/>
    </w:pPr>
    <w:rPr>
      <w:rFonts w:eastAsia="Lucida Sans Unicode"/>
      <w:kern w:val="1"/>
      <w:lang w:val="en-CA" w:eastAsia="ar-SA"/>
    </w:rPr>
  </w:style>
  <w:style w:type="character" w:customStyle="1" w:styleId="EndnoteTextChar">
    <w:name w:val="Endnote Text Char"/>
    <w:basedOn w:val="DefaultParagraphFont"/>
    <w:link w:val="EndnoteText"/>
    <w:rsid w:val="00AC4336"/>
    <w:rPr>
      <w:rFonts w:ascii="Times New Roman" w:eastAsia="Lucida Sans Unicode" w:hAnsi="Times New Roman" w:cs="Times New Roman"/>
      <w:kern w:val="1"/>
      <w:sz w:val="20"/>
      <w:szCs w:val="20"/>
      <w:lang w:val="en-CA" w:eastAsia="ar-SA"/>
    </w:rPr>
  </w:style>
  <w:style w:type="paragraph" w:customStyle="1" w:styleId="Ref">
    <w:name w:val="Ref"/>
    <w:basedOn w:val="Default"/>
    <w:next w:val="Default"/>
    <w:uiPriority w:val="99"/>
    <w:rsid w:val="00AC4336"/>
    <w:rPr>
      <w:color w:val="auto"/>
    </w:rPr>
  </w:style>
  <w:style w:type="character" w:customStyle="1" w:styleId="citationyear1">
    <w:name w:val="citation_year1"/>
    <w:rsid w:val="00AC4336"/>
    <w:rPr>
      <w:b/>
      <w:bCs/>
    </w:rPr>
  </w:style>
  <w:style w:type="character" w:customStyle="1" w:styleId="citationvolume1">
    <w:name w:val="citation_volume1"/>
    <w:rsid w:val="00AC4336"/>
    <w:rPr>
      <w:i/>
      <w:iCs/>
    </w:rPr>
  </w:style>
  <w:style w:type="character" w:customStyle="1" w:styleId="style11">
    <w:name w:val="style11"/>
    <w:basedOn w:val="DefaultParagraphFont"/>
    <w:rsid w:val="00AC4336"/>
    <w:rPr>
      <w:color w:val="000000"/>
    </w:rPr>
  </w:style>
  <w:style w:type="paragraph" w:customStyle="1" w:styleId="style3">
    <w:name w:val="style3"/>
    <w:basedOn w:val="Normal"/>
    <w:rsid w:val="00AC4336"/>
    <w:pPr>
      <w:widowControl/>
      <w:spacing w:before="100" w:beforeAutospacing="1" w:after="100" w:afterAutospacing="1"/>
    </w:pPr>
    <w:rPr>
      <w:rFonts w:eastAsia="Times New Roman"/>
      <w:sz w:val="24"/>
      <w:szCs w:val="24"/>
      <w:lang w:val="en-US"/>
    </w:rPr>
  </w:style>
  <w:style w:type="paragraph" w:customStyle="1" w:styleId="style4">
    <w:name w:val="style4"/>
    <w:basedOn w:val="Normal"/>
    <w:rsid w:val="00AC4336"/>
    <w:pPr>
      <w:widowControl/>
      <w:spacing w:before="100" w:beforeAutospacing="1" w:after="100" w:afterAutospacing="1"/>
    </w:pPr>
    <w:rPr>
      <w:rFonts w:eastAsia="Times New Roman"/>
      <w:sz w:val="24"/>
      <w:szCs w:val="24"/>
      <w:vertAlign w:val="superscript"/>
      <w:lang w:val="en-US"/>
    </w:rPr>
  </w:style>
  <w:style w:type="character" w:customStyle="1" w:styleId="style51">
    <w:name w:val="style51"/>
    <w:basedOn w:val="DefaultParagraphFont"/>
    <w:rsid w:val="00AC4336"/>
    <w:rPr>
      <w:sz w:val="36"/>
      <w:szCs w:val="36"/>
    </w:rPr>
  </w:style>
  <w:style w:type="paragraph" w:customStyle="1" w:styleId="style2">
    <w:name w:val="style2"/>
    <w:basedOn w:val="Normal"/>
    <w:rsid w:val="00AC4336"/>
    <w:pPr>
      <w:widowControl/>
      <w:spacing w:before="100" w:beforeAutospacing="1" w:after="100" w:afterAutospacing="1"/>
    </w:pPr>
    <w:rPr>
      <w:rFonts w:eastAsia="Times New Roman"/>
      <w:sz w:val="24"/>
      <w:szCs w:val="24"/>
      <w:lang w:val="en-US"/>
    </w:rPr>
  </w:style>
  <w:style w:type="paragraph" w:customStyle="1" w:styleId="style1">
    <w:name w:val="style1"/>
    <w:basedOn w:val="Normal"/>
    <w:rsid w:val="00AC4336"/>
    <w:pPr>
      <w:widowControl/>
      <w:spacing w:before="100" w:beforeAutospacing="1" w:after="100" w:afterAutospacing="1"/>
    </w:pPr>
    <w:rPr>
      <w:rFonts w:eastAsia="Times New Roman"/>
      <w:b/>
      <w:bCs/>
      <w:sz w:val="36"/>
      <w:szCs w:val="36"/>
      <w:lang w:val="en-US"/>
    </w:rPr>
  </w:style>
  <w:style w:type="character" w:customStyle="1" w:styleId="style21">
    <w:name w:val="style21"/>
    <w:basedOn w:val="DefaultParagraphFont"/>
    <w:rsid w:val="00AC4336"/>
    <w:rPr>
      <w:sz w:val="27"/>
      <w:szCs w:val="27"/>
    </w:rPr>
  </w:style>
  <w:style w:type="character" w:customStyle="1" w:styleId="subscript1">
    <w:name w:val="subscript1"/>
    <w:basedOn w:val="DefaultParagraphFont"/>
    <w:rsid w:val="00AC4336"/>
    <w:rPr>
      <w:sz w:val="20"/>
      <w:szCs w:val="20"/>
      <w:vertAlign w:val="subscript"/>
    </w:rPr>
  </w:style>
  <w:style w:type="paragraph" w:customStyle="1" w:styleId="textintro">
    <w:name w:val="text_intro"/>
    <w:basedOn w:val="Normal"/>
    <w:rsid w:val="00AC4336"/>
    <w:pPr>
      <w:widowControl/>
      <w:spacing w:before="100" w:beforeAutospacing="1" w:after="100" w:afterAutospacing="1"/>
    </w:pPr>
    <w:rPr>
      <w:rFonts w:eastAsia="Times New Roman"/>
      <w:sz w:val="24"/>
      <w:szCs w:val="24"/>
      <w:lang w:val="en-US"/>
    </w:rPr>
  </w:style>
  <w:style w:type="character" w:customStyle="1" w:styleId="style31">
    <w:name w:val="style31"/>
    <w:basedOn w:val="DefaultParagraphFont"/>
    <w:rsid w:val="00AC4336"/>
    <w:rPr>
      <w:b/>
      <w:bCs/>
      <w:sz w:val="36"/>
      <w:szCs w:val="36"/>
    </w:rPr>
  </w:style>
  <w:style w:type="character" w:customStyle="1" w:styleId="style41">
    <w:name w:val="style41"/>
    <w:basedOn w:val="DefaultParagraphFont"/>
    <w:rsid w:val="00AC4336"/>
    <w:rPr>
      <w:i/>
      <w:iCs/>
      <w:sz w:val="27"/>
      <w:szCs w:val="27"/>
    </w:rPr>
  </w:style>
  <w:style w:type="paragraph" w:customStyle="1" w:styleId="yiv734541415msonormal">
    <w:name w:val="yiv734541415msonormal"/>
    <w:basedOn w:val="Normal"/>
    <w:rsid w:val="00AC4336"/>
    <w:pPr>
      <w:widowControl/>
      <w:spacing w:before="100" w:beforeAutospacing="1" w:after="100" w:afterAutospacing="1"/>
    </w:pPr>
    <w:rPr>
      <w:rFonts w:eastAsia="Times New Roman"/>
      <w:sz w:val="24"/>
      <w:szCs w:val="24"/>
      <w:lang w:val="en-US"/>
    </w:rPr>
  </w:style>
  <w:style w:type="paragraph" w:customStyle="1" w:styleId="yiv1672547293msonormal">
    <w:name w:val="yiv1672547293msonormal"/>
    <w:basedOn w:val="Normal"/>
    <w:rsid w:val="00AC4336"/>
    <w:pPr>
      <w:widowControl/>
      <w:spacing w:before="100" w:beforeAutospacing="1" w:after="100" w:afterAutospacing="1"/>
    </w:pPr>
    <w:rPr>
      <w:rFonts w:eastAsia="Times New Roman"/>
      <w:sz w:val="24"/>
      <w:szCs w:val="24"/>
      <w:lang w:val="en-US"/>
    </w:rPr>
  </w:style>
  <w:style w:type="character" w:customStyle="1" w:styleId="yshortcuts1">
    <w:name w:val="yshortcuts1"/>
    <w:basedOn w:val="DefaultParagraphFont"/>
    <w:rsid w:val="00AC4336"/>
    <w:rPr>
      <w:color w:val="366388"/>
    </w:rPr>
  </w:style>
  <w:style w:type="character" w:customStyle="1" w:styleId="yshortcuts2">
    <w:name w:val="yshortcuts2"/>
    <w:basedOn w:val="DefaultParagraphFont"/>
    <w:rsid w:val="00AC4336"/>
    <w:rPr>
      <w:color w:val="366388"/>
    </w:rPr>
  </w:style>
  <w:style w:type="character" w:customStyle="1" w:styleId="yshortcuts3">
    <w:name w:val="yshortcuts3"/>
    <w:basedOn w:val="DefaultParagraphFont"/>
    <w:rsid w:val="00AC4336"/>
    <w:rPr>
      <w:color w:val="366388"/>
    </w:rPr>
  </w:style>
  <w:style w:type="character" w:customStyle="1" w:styleId="title0">
    <w:name w:val="title"/>
    <w:basedOn w:val="DefaultParagraphFont"/>
    <w:rsid w:val="00AC4336"/>
  </w:style>
  <w:style w:type="character" w:customStyle="1" w:styleId="ital">
    <w:name w:val="ital"/>
    <w:basedOn w:val="DefaultParagraphFont"/>
    <w:rsid w:val="00AC4336"/>
  </w:style>
  <w:style w:type="character" w:customStyle="1" w:styleId="st">
    <w:name w:val="st"/>
    <w:basedOn w:val="DefaultParagraphFont"/>
    <w:rsid w:val="00AC4336"/>
  </w:style>
  <w:style w:type="paragraph" w:customStyle="1" w:styleId="Quote11">
    <w:name w:val="Quote11"/>
    <w:basedOn w:val="tagend"/>
    <w:uiPriority w:val="99"/>
    <w:rsid w:val="00AC4336"/>
    <w:pPr>
      <w:ind w:left="288" w:right="288"/>
    </w:pPr>
  </w:style>
  <w:style w:type="character" w:customStyle="1" w:styleId="z3988">
    <w:name w:val="z3988"/>
    <w:basedOn w:val="DefaultParagraphFont"/>
    <w:rsid w:val="00AC4336"/>
  </w:style>
  <w:style w:type="character" w:customStyle="1" w:styleId="editsection">
    <w:name w:val="editsection"/>
    <w:basedOn w:val="DefaultParagraphFont"/>
    <w:rsid w:val="00AC4336"/>
  </w:style>
  <w:style w:type="character" w:customStyle="1" w:styleId="mw-headline">
    <w:name w:val="mw-headline"/>
    <w:basedOn w:val="DefaultParagraphFont"/>
    <w:rsid w:val="00AC4336"/>
  </w:style>
  <w:style w:type="character" w:customStyle="1" w:styleId="msid1465">
    <w:name w:val="ms__id1465"/>
    <w:basedOn w:val="DefaultParagraphFont"/>
    <w:rsid w:val="00AC4336"/>
  </w:style>
  <w:style w:type="paragraph" w:customStyle="1" w:styleId="Quote12">
    <w:name w:val="Quote12"/>
    <w:basedOn w:val="tagend"/>
    <w:uiPriority w:val="99"/>
    <w:rsid w:val="00AC4336"/>
    <w:pPr>
      <w:ind w:left="288" w:right="288"/>
    </w:pPr>
  </w:style>
  <w:style w:type="character" w:customStyle="1" w:styleId="style71">
    <w:name w:val="style71"/>
    <w:basedOn w:val="DefaultParagraphFont"/>
    <w:rsid w:val="00AC4336"/>
    <w:rPr>
      <w:color w:val="000000"/>
    </w:rPr>
  </w:style>
  <w:style w:type="character" w:styleId="FootnoteReference">
    <w:name w:val="footnote reference"/>
    <w:uiPriority w:val="99"/>
    <w:semiHidden/>
    <w:rsid w:val="00EE348C"/>
    <w:rPr>
      <w:vertAlign w:val="superscript"/>
    </w:rPr>
  </w:style>
  <w:style w:type="table" w:styleId="TableGrid">
    <w:name w:val="Table Grid"/>
    <w:basedOn w:val="TableNormal"/>
    <w:uiPriority w:val="59"/>
    <w:rsid w:val="00EE348C"/>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TextChar1">
    <w:name w:val="Footnote Text Char1"/>
    <w:uiPriority w:val="99"/>
    <w:semiHidden/>
    <w:rsid w:val="00EE348C"/>
    <w:rPr>
      <w:rFonts w:ascii="Calibri" w:eastAsia="Calibri" w:hAnsi="Calibri" w:cs="Times New Roman"/>
      <w:sz w:val="20"/>
      <w:szCs w:val="20"/>
    </w:rPr>
  </w:style>
  <w:style w:type="character" w:customStyle="1" w:styleId="BalloonTextChar1">
    <w:name w:val="Balloon Text Char1"/>
    <w:uiPriority w:val="99"/>
    <w:semiHidden/>
    <w:rsid w:val="00EE348C"/>
    <w:rPr>
      <w:rFonts w:ascii="Tahoma" w:eastAsia="Calibri" w:hAnsi="Tahoma" w:cs="Tahoma"/>
      <w:sz w:val="16"/>
      <w:szCs w:val="16"/>
    </w:rPr>
  </w:style>
  <w:style w:type="character" w:styleId="PlaceholderText">
    <w:name w:val="Placeholder Text"/>
    <w:basedOn w:val="DefaultParagraphFont"/>
    <w:uiPriority w:val="99"/>
    <w:semiHidden/>
    <w:rsid w:val="00EE348C"/>
    <w:rPr>
      <w:color w:val="808080"/>
    </w:rPr>
  </w:style>
  <w:style w:type="paragraph" w:customStyle="1" w:styleId="yiv1214125739msonospacing">
    <w:name w:val="yiv1214125739msonospacing"/>
    <w:basedOn w:val="Normal"/>
    <w:rsid w:val="00121E59"/>
    <w:pPr>
      <w:widowControl/>
      <w:spacing w:before="100" w:beforeAutospacing="1" w:after="100" w:afterAutospacing="1"/>
    </w:pPr>
    <w:rPr>
      <w:rFonts w:eastAsia="Times New Roman"/>
      <w:sz w:val="24"/>
      <w:szCs w:val="24"/>
      <w:lang w:val="en-US"/>
    </w:rPr>
  </w:style>
  <w:style w:type="character" w:customStyle="1" w:styleId="PlainTextChar1">
    <w:name w:val="Plain Text Char1"/>
    <w:basedOn w:val="DefaultParagraphFont"/>
    <w:uiPriority w:val="99"/>
    <w:semiHidden/>
    <w:rsid w:val="005359B2"/>
    <w:rPr>
      <w:rFonts w:ascii="Consolas" w:hAnsi="Consolas" w:cs="Consolas"/>
      <w:sz w:val="21"/>
      <w:szCs w:val="21"/>
    </w:rPr>
  </w:style>
</w:styles>
</file>

<file path=word/webSettings.xml><?xml version="1.0" encoding="utf-8"?>
<w:webSettings xmlns:r="http://schemas.openxmlformats.org/officeDocument/2006/relationships" xmlns:w="http://schemas.openxmlformats.org/wordprocessingml/2006/main">
  <w:divs>
    <w:div w:id="1565289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671" Type="http://schemas.openxmlformats.org/officeDocument/2006/relationships/image" Target="media/image280.wmf"/><Relationship Id="rId769" Type="http://schemas.openxmlformats.org/officeDocument/2006/relationships/oleObject" Target="embeddings/oleObject202.bin"/><Relationship Id="rId976" Type="http://schemas.openxmlformats.org/officeDocument/2006/relationships/image" Target="media/image426.jpeg"/><Relationship Id="rId21" Type="http://schemas.openxmlformats.org/officeDocument/2006/relationships/image" Target="media/image13.jpeg"/><Relationship Id="rId324" Type="http://schemas.openxmlformats.org/officeDocument/2006/relationships/image" Target="media/image145.jpeg"/><Relationship Id="rId531" Type="http://schemas.openxmlformats.org/officeDocument/2006/relationships/oleObject" Target="embeddings/oleObject82.bin"/><Relationship Id="rId629" Type="http://schemas.openxmlformats.org/officeDocument/2006/relationships/image" Target="media/image260.wmf"/><Relationship Id="rId1161" Type="http://schemas.openxmlformats.org/officeDocument/2006/relationships/oleObject" Target="embeddings/oleObject298.bin"/><Relationship Id="rId1259" Type="http://schemas.openxmlformats.org/officeDocument/2006/relationships/hyperlink" Target="http://www.setterfield.org/000docs/behaviorzpeapp6.html" TargetMode="External"/><Relationship Id="rId170" Type="http://schemas.openxmlformats.org/officeDocument/2006/relationships/hyperlink" Target="http://farside.ph.utexas.edu/teaching/em/lectures/node56.html" TargetMode="External"/><Relationship Id="rId836" Type="http://schemas.openxmlformats.org/officeDocument/2006/relationships/image" Target="media/image362.wmf"/><Relationship Id="rId1021" Type="http://schemas.openxmlformats.org/officeDocument/2006/relationships/image" Target="media/image444.jpeg"/><Relationship Id="rId1119" Type="http://schemas.openxmlformats.org/officeDocument/2006/relationships/hyperlink" Target="http://www.setterfield.org/000docs/behaviorzpeapp2.html" TargetMode="External"/><Relationship Id="rId268" Type="http://schemas.openxmlformats.org/officeDocument/2006/relationships/hyperlink" Target="http://people.physics.carleton.ca/~watson/Physics/Astrophysics/4201_essentials/4201_Radiation.html?id=0" TargetMode="External"/><Relationship Id="rId475" Type="http://schemas.openxmlformats.org/officeDocument/2006/relationships/oleObject" Target="embeddings/oleObject53.bin"/><Relationship Id="rId682" Type="http://schemas.openxmlformats.org/officeDocument/2006/relationships/oleObject" Target="embeddings/oleObject158.bin"/><Relationship Id="rId903" Type="http://schemas.openxmlformats.org/officeDocument/2006/relationships/image" Target="media/image395.wmf"/><Relationship Id="rId1326" Type="http://schemas.openxmlformats.org/officeDocument/2006/relationships/image" Target="media/image558.jpeg"/><Relationship Id="rId32" Type="http://schemas.openxmlformats.org/officeDocument/2006/relationships/hyperlink" Target="http://sci-toys.com/scitoys/scitoys/light/permanent_rainbows/permanent_rainbows.html" TargetMode="External"/><Relationship Id="rId128" Type="http://schemas.openxmlformats.org/officeDocument/2006/relationships/hyperlink" Target="http://www.iau.org/static/resolutions/IAU1976_French.pdf" TargetMode="External"/><Relationship Id="rId335" Type="http://schemas.openxmlformats.org/officeDocument/2006/relationships/image" Target="media/image151.jpeg"/><Relationship Id="rId542" Type="http://schemas.openxmlformats.org/officeDocument/2006/relationships/image" Target="media/image217.wmf"/><Relationship Id="rId987" Type="http://schemas.openxmlformats.org/officeDocument/2006/relationships/image" Target="media/image431.jpeg"/><Relationship Id="rId1172" Type="http://schemas.openxmlformats.org/officeDocument/2006/relationships/image" Target="media/image502.wmf"/><Relationship Id="rId181" Type="http://schemas.openxmlformats.org/officeDocument/2006/relationships/image" Target="media/image76.gif"/><Relationship Id="rId402" Type="http://schemas.openxmlformats.org/officeDocument/2006/relationships/hyperlink" Target="http://www.kgs.ku.edu/Publications/GeoRecord/2000/vol6.1/Page1.html" TargetMode="External"/><Relationship Id="rId847" Type="http://schemas.openxmlformats.org/officeDocument/2006/relationships/oleObject" Target="embeddings/oleObject241.bin"/><Relationship Id="rId1032" Type="http://schemas.openxmlformats.org/officeDocument/2006/relationships/image" Target="media/image454.jpeg"/><Relationship Id="rId279" Type="http://schemas.openxmlformats.org/officeDocument/2006/relationships/image" Target="media/image113.jpeg"/><Relationship Id="rId486" Type="http://schemas.openxmlformats.org/officeDocument/2006/relationships/oleObject" Target="embeddings/oleObject60.bin"/><Relationship Id="rId693" Type="http://schemas.openxmlformats.org/officeDocument/2006/relationships/image" Target="media/image291.wmf"/><Relationship Id="rId707" Type="http://schemas.openxmlformats.org/officeDocument/2006/relationships/image" Target="media/image298.wmf"/><Relationship Id="rId914" Type="http://schemas.openxmlformats.org/officeDocument/2006/relationships/oleObject" Target="embeddings/oleObject275.bin"/><Relationship Id="rId1337" Type="http://schemas.openxmlformats.org/officeDocument/2006/relationships/image" Target="media/image569.jpeg"/><Relationship Id="rId43" Type="http://schemas.openxmlformats.org/officeDocument/2006/relationships/hyperlink" Target="http://written-in-stone-seen-through-my-lens.blogspot.com/2012/06/eurypterid-eurypterus-remipes-is_29.html" TargetMode="External"/><Relationship Id="rId139" Type="http://schemas.openxmlformats.org/officeDocument/2006/relationships/hyperlink" Target="http://mitu-bobs.blogspot.com/2011/02/ss-h1-james-bradley-astronomer-royal-in.html" TargetMode="External"/><Relationship Id="rId346" Type="http://schemas.openxmlformats.org/officeDocument/2006/relationships/hyperlink" Target="http://www.jpl.nasa.gov/news/news.cfm?release=2012-139&amp;cid=release_2012-139&amp;msource=12139" TargetMode="External"/><Relationship Id="rId553" Type="http://schemas.openxmlformats.org/officeDocument/2006/relationships/oleObject" Target="embeddings/oleObject93.bin"/><Relationship Id="rId760" Type="http://schemas.openxmlformats.org/officeDocument/2006/relationships/image" Target="media/image324.wmf"/><Relationship Id="rId998" Type="http://schemas.openxmlformats.org/officeDocument/2006/relationships/hyperlink" Target="http://www.nps.gov/brca/naturescience/bristleconepine.htm" TargetMode="External"/><Relationship Id="rId1183" Type="http://schemas.openxmlformats.org/officeDocument/2006/relationships/image" Target="media/image508.jpeg"/><Relationship Id="rId192" Type="http://schemas.openxmlformats.org/officeDocument/2006/relationships/image" Target="media/image83.wmf"/><Relationship Id="rId206" Type="http://schemas.openxmlformats.org/officeDocument/2006/relationships/image" Target="media/image90.wmf"/><Relationship Id="rId413" Type="http://schemas.openxmlformats.org/officeDocument/2006/relationships/image" Target="media/image156.wmf"/><Relationship Id="rId858" Type="http://schemas.openxmlformats.org/officeDocument/2006/relationships/image" Target="media/image373.wmf"/><Relationship Id="rId1043" Type="http://schemas.openxmlformats.org/officeDocument/2006/relationships/image" Target="media/image465.gif"/><Relationship Id="rId497" Type="http://schemas.openxmlformats.org/officeDocument/2006/relationships/oleObject" Target="embeddings/oleObject65.bin"/><Relationship Id="rId620" Type="http://schemas.openxmlformats.org/officeDocument/2006/relationships/oleObject" Target="embeddings/oleObject127.bin"/><Relationship Id="rId718" Type="http://schemas.openxmlformats.org/officeDocument/2006/relationships/oleObject" Target="embeddings/oleObject176.bin"/><Relationship Id="rId925" Type="http://schemas.openxmlformats.org/officeDocument/2006/relationships/image" Target="media/image410.wmf"/><Relationship Id="rId1250" Type="http://schemas.openxmlformats.org/officeDocument/2006/relationships/hyperlink" Target="http://www.setterfield.org/000docs/behaviorzpeapp2.html" TargetMode="External"/><Relationship Id="rId1348" Type="http://schemas.openxmlformats.org/officeDocument/2006/relationships/hyperlink" Target="http://en.wikipedia.org/wiki/4_Vesta" TargetMode="External"/><Relationship Id="rId357" Type="http://schemas.openxmlformats.org/officeDocument/2006/relationships/hyperlink" Target="http://www.arxiv.org/abs/0801.0006" TargetMode="External"/><Relationship Id="rId1110" Type="http://schemas.openxmlformats.org/officeDocument/2006/relationships/image" Target="media/image487.png"/><Relationship Id="rId1194" Type="http://schemas.openxmlformats.org/officeDocument/2006/relationships/image" Target="media/image513.wmf"/><Relationship Id="rId1208" Type="http://schemas.openxmlformats.org/officeDocument/2006/relationships/image" Target="media/image520.wmf"/><Relationship Id="rId54" Type="http://schemas.openxmlformats.org/officeDocument/2006/relationships/image" Target="media/image27.gif"/><Relationship Id="rId217" Type="http://schemas.openxmlformats.org/officeDocument/2006/relationships/image" Target="media/image95.png"/><Relationship Id="rId564" Type="http://schemas.openxmlformats.org/officeDocument/2006/relationships/oleObject" Target="embeddings/oleObject99.bin"/><Relationship Id="rId771" Type="http://schemas.openxmlformats.org/officeDocument/2006/relationships/oleObject" Target="embeddings/oleObject203.bin"/><Relationship Id="rId869" Type="http://schemas.openxmlformats.org/officeDocument/2006/relationships/image" Target="media/image378.wmf"/><Relationship Id="rId424" Type="http://schemas.openxmlformats.org/officeDocument/2006/relationships/image" Target="media/image162.wmf"/><Relationship Id="rId631" Type="http://schemas.openxmlformats.org/officeDocument/2006/relationships/image" Target="media/image261.wmf"/><Relationship Id="rId729" Type="http://schemas.openxmlformats.org/officeDocument/2006/relationships/image" Target="media/image309.wmf"/><Relationship Id="rId1054" Type="http://schemas.openxmlformats.org/officeDocument/2006/relationships/hyperlink" Target="http://www.metaresearch.org/solar%20system/eph/eph2000.asp" TargetMode="External"/><Relationship Id="rId1261" Type="http://schemas.openxmlformats.org/officeDocument/2006/relationships/image" Target="media/image532.gif"/><Relationship Id="rId1359" Type="http://schemas.openxmlformats.org/officeDocument/2006/relationships/hyperlink" Target="http://www.psrd.hawaii.edu/May10/YoungerALH84001.html" TargetMode="External"/><Relationship Id="rId270" Type="http://schemas.openxmlformats.org/officeDocument/2006/relationships/hyperlink" Target="http://www.zdplaskin.laplace.univ-tlse.fr/examples/01/" TargetMode="External"/><Relationship Id="rId936" Type="http://schemas.openxmlformats.org/officeDocument/2006/relationships/oleObject" Target="embeddings/oleObject282.bin"/><Relationship Id="rId1121" Type="http://schemas.openxmlformats.org/officeDocument/2006/relationships/hyperlink" Target="http://pcp.oxfordjournals.org/cgi/content/abstract/23/3/541" TargetMode="External"/><Relationship Id="rId1219" Type="http://schemas.openxmlformats.org/officeDocument/2006/relationships/image" Target="media/image526.jpeg"/><Relationship Id="rId65" Type="http://schemas.openxmlformats.org/officeDocument/2006/relationships/hyperlink" Target="http://www.zamandayolculuk.com/cetinbal/elementaryparticles.htm" TargetMode="External"/><Relationship Id="rId130" Type="http://schemas.openxmlformats.org/officeDocument/2006/relationships/hyperlink" Target="http://www.setterfield.org/000docs/cx3.html" TargetMode="External"/><Relationship Id="rId368" Type="http://schemas.openxmlformats.org/officeDocument/2006/relationships/hyperlink" Target="http://celebrating200years.noaa.gov/magazine/igy/sydney_chapman.html" TargetMode="External"/><Relationship Id="rId575" Type="http://schemas.openxmlformats.org/officeDocument/2006/relationships/image" Target="media/image233.wmf"/><Relationship Id="rId782" Type="http://schemas.openxmlformats.org/officeDocument/2006/relationships/image" Target="media/image335.wmf"/><Relationship Id="rId228" Type="http://schemas.openxmlformats.org/officeDocument/2006/relationships/image" Target="media/image102.jpeg"/><Relationship Id="rId435" Type="http://schemas.openxmlformats.org/officeDocument/2006/relationships/oleObject" Target="embeddings/oleObject36.bin"/><Relationship Id="rId642" Type="http://schemas.openxmlformats.org/officeDocument/2006/relationships/oleObject" Target="embeddings/oleObject138.bin"/><Relationship Id="rId1065" Type="http://schemas.openxmlformats.org/officeDocument/2006/relationships/hyperlink" Target="http://users.tkk.fi/~ftesfaye/TKK-MT-15%20+etu%20ja%20takakansi.pdf" TargetMode="External"/><Relationship Id="rId1272" Type="http://schemas.openxmlformats.org/officeDocument/2006/relationships/hyperlink" Target="http://www.setterfield.org/000docs/behaviorzpeapp6.html" TargetMode="External"/><Relationship Id="rId281" Type="http://schemas.openxmlformats.org/officeDocument/2006/relationships/image" Target="media/image114.jpeg"/><Relationship Id="rId502" Type="http://schemas.openxmlformats.org/officeDocument/2006/relationships/image" Target="media/image197.wmf"/><Relationship Id="rId947" Type="http://schemas.openxmlformats.org/officeDocument/2006/relationships/image" Target="media/image421.wmf"/><Relationship Id="rId1132" Type="http://schemas.openxmlformats.org/officeDocument/2006/relationships/hyperlink" Target="http://www.search4dinosaurs.com/rb_carboniferous.html" TargetMode="External"/><Relationship Id="rId76" Type="http://schemas.openxmlformats.org/officeDocument/2006/relationships/image" Target="media/image35.jpeg"/><Relationship Id="rId141" Type="http://schemas.openxmlformats.org/officeDocument/2006/relationships/hyperlink" Target="http://en.wikipedia.org/wiki/User:Brews_ohare" TargetMode="External"/><Relationship Id="rId379" Type="http://schemas.openxmlformats.org/officeDocument/2006/relationships/hyperlink" Target="http://apod.nasa.gov/apod/ap080110.html" TargetMode="External"/><Relationship Id="rId586" Type="http://schemas.openxmlformats.org/officeDocument/2006/relationships/oleObject" Target="embeddings/oleObject110.bin"/><Relationship Id="rId793" Type="http://schemas.openxmlformats.org/officeDocument/2006/relationships/oleObject" Target="embeddings/oleObject214.bin"/><Relationship Id="rId807" Type="http://schemas.openxmlformats.org/officeDocument/2006/relationships/image" Target="media/image348.wmf"/><Relationship Id="rId7" Type="http://schemas.openxmlformats.org/officeDocument/2006/relationships/endnotes" Target="endnotes.xml"/><Relationship Id="rId239" Type="http://schemas.openxmlformats.org/officeDocument/2006/relationships/hyperlink" Target="http://arxiv.org/abs/astro-ph/9805200" TargetMode="External"/><Relationship Id="rId446" Type="http://schemas.openxmlformats.org/officeDocument/2006/relationships/image" Target="media/image172.wmf"/><Relationship Id="rId653" Type="http://schemas.openxmlformats.org/officeDocument/2006/relationships/image" Target="media/image271.wmf"/><Relationship Id="rId1076" Type="http://schemas.openxmlformats.org/officeDocument/2006/relationships/hyperlink" Target="http://www.our-earth.net/Model-of-Chicxulub-Crater.asp" TargetMode="External"/><Relationship Id="rId1283" Type="http://schemas.openxmlformats.org/officeDocument/2006/relationships/oleObject" Target="embeddings/oleObject331.bin"/><Relationship Id="rId292" Type="http://schemas.openxmlformats.org/officeDocument/2006/relationships/package" Target="embeddings/Microsoft_Office_PowerPoint_Slide20.sldx"/><Relationship Id="rId306" Type="http://schemas.openxmlformats.org/officeDocument/2006/relationships/image" Target="media/image130.jpeg"/><Relationship Id="rId860" Type="http://schemas.openxmlformats.org/officeDocument/2006/relationships/image" Target="media/image374.wmf"/><Relationship Id="rId958" Type="http://schemas.openxmlformats.org/officeDocument/2006/relationships/hyperlink" Target="http://imagine.gsfc.nasa.gov/docs/features/news/grav_lens.html" TargetMode="External"/><Relationship Id="rId1143" Type="http://schemas.openxmlformats.org/officeDocument/2006/relationships/hyperlink" Target="http://thenaturalhistorian.com/2012/06/23/fossil-reef-falls-ohio-road-cut-kentucky/" TargetMode="External"/><Relationship Id="rId87" Type="http://schemas.openxmlformats.org/officeDocument/2006/relationships/chart" Target="charts/chart3.xml"/><Relationship Id="rId513" Type="http://schemas.openxmlformats.org/officeDocument/2006/relationships/oleObject" Target="embeddings/oleObject73.bin"/><Relationship Id="rId597" Type="http://schemas.openxmlformats.org/officeDocument/2006/relationships/image" Target="media/image244.wmf"/><Relationship Id="rId720" Type="http://schemas.openxmlformats.org/officeDocument/2006/relationships/oleObject" Target="embeddings/oleObject177.bin"/><Relationship Id="rId818" Type="http://schemas.openxmlformats.org/officeDocument/2006/relationships/oleObject" Target="embeddings/oleObject226.bin"/><Relationship Id="rId1350" Type="http://schemas.openxmlformats.org/officeDocument/2006/relationships/hyperlink" Target="http://en.wikipedia.org/wiki/21_Lutetia" TargetMode="External"/><Relationship Id="rId152" Type="http://schemas.openxmlformats.org/officeDocument/2006/relationships/hyperlink" Target="http://www.daviddarling.info/encyclopedia/S/speedlight.html" TargetMode="External"/><Relationship Id="rId457" Type="http://schemas.openxmlformats.org/officeDocument/2006/relationships/oleObject" Target="embeddings/oleObject46.bin"/><Relationship Id="rId1003" Type="http://schemas.openxmlformats.org/officeDocument/2006/relationships/hyperlink" Target="http://kgortney.pbworks.com/w/page/28715420/Class%20Notes" TargetMode="External"/><Relationship Id="rId1087" Type="http://schemas.openxmlformats.org/officeDocument/2006/relationships/hyperlink" Target="http://web.missouri.edu/~appoldm/research/flinders.html" TargetMode="External"/><Relationship Id="rId1210" Type="http://schemas.openxmlformats.org/officeDocument/2006/relationships/image" Target="media/image521.wmf"/><Relationship Id="rId1294" Type="http://schemas.openxmlformats.org/officeDocument/2006/relationships/image" Target="media/image537.jpeg"/><Relationship Id="rId1308" Type="http://schemas.openxmlformats.org/officeDocument/2006/relationships/image" Target="media/image540.emf"/><Relationship Id="rId664" Type="http://schemas.openxmlformats.org/officeDocument/2006/relationships/oleObject" Target="embeddings/oleObject149.bin"/><Relationship Id="rId871" Type="http://schemas.openxmlformats.org/officeDocument/2006/relationships/image" Target="media/image379.wmf"/><Relationship Id="rId969" Type="http://schemas.openxmlformats.org/officeDocument/2006/relationships/hyperlink" Target="http://www.setterfield.org/000docs/behaviorzpeapp4.html" TargetMode="External"/><Relationship Id="rId14" Type="http://schemas.openxmlformats.org/officeDocument/2006/relationships/image" Target="media/image7.jpeg"/><Relationship Id="rId317" Type="http://schemas.openxmlformats.org/officeDocument/2006/relationships/image" Target="media/image139.jpeg"/><Relationship Id="rId524" Type="http://schemas.openxmlformats.org/officeDocument/2006/relationships/image" Target="media/image208.wmf"/><Relationship Id="rId731" Type="http://schemas.openxmlformats.org/officeDocument/2006/relationships/image" Target="media/image310.wmf"/><Relationship Id="rId1154" Type="http://schemas.openxmlformats.org/officeDocument/2006/relationships/oleObject" Target="embeddings/oleObject293.bin"/><Relationship Id="rId1361" Type="http://schemas.openxmlformats.org/officeDocument/2006/relationships/image" Target="media/image578.jpeg"/><Relationship Id="rId98" Type="http://schemas.openxmlformats.org/officeDocument/2006/relationships/chart" Target="charts/chart6.xml"/><Relationship Id="rId163" Type="http://schemas.openxmlformats.org/officeDocument/2006/relationships/hyperlink" Target="http://en.wikipedia.org/wiki/Inductance" TargetMode="External"/><Relationship Id="rId370" Type="http://schemas.openxmlformats.org/officeDocument/2006/relationships/hyperlink" Target="http://berkeley.edu/news/media/releases/2006/01/12_helical.shtml" TargetMode="External"/><Relationship Id="rId829" Type="http://schemas.openxmlformats.org/officeDocument/2006/relationships/oleObject" Target="embeddings/oleObject232.bin"/><Relationship Id="rId1014" Type="http://schemas.openxmlformats.org/officeDocument/2006/relationships/image" Target="media/image437.jpeg"/><Relationship Id="rId1221" Type="http://schemas.openxmlformats.org/officeDocument/2006/relationships/image" Target="media/image528.wmf"/><Relationship Id="rId230" Type="http://schemas.openxmlformats.org/officeDocument/2006/relationships/image" Target="media/image104.jpeg"/><Relationship Id="rId468" Type="http://schemas.openxmlformats.org/officeDocument/2006/relationships/image" Target="media/image183.wmf"/><Relationship Id="rId675" Type="http://schemas.openxmlformats.org/officeDocument/2006/relationships/image" Target="media/image282.wmf"/><Relationship Id="rId882" Type="http://schemas.openxmlformats.org/officeDocument/2006/relationships/oleObject" Target="embeddings/oleObject259.bin"/><Relationship Id="rId1098" Type="http://schemas.openxmlformats.org/officeDocument/2006/relationships/image" Target="media/image475.jpeg"/><Relationship Id="rId1319" Type="http://schemas.openxmlformats.org/officeDocument/2006/relationships/image" Target="media/image551.jpeg"/><Relationship Id="rId25" Type="http://schemas.openxmlformats.org/officeDocument/2006/relationships/image" Target="media/image17.jpeg"/><Relationship Id="rId328" Type="http://schemas.openxmlformats.org/officeDocument/2006/relationships/image" Target="media/image149.gif"/><Relationship Id="rId535" Type="http://schemas.openxmlformats.org/officeDocument/2006/relationships/oleObject" Target="embeddings/oleObject84.bin"/><Relationship Id="rId742" Type="http://schemas.openxmlformats.org/officeDocument/2006/relationships/oleObject" Target="embeddings/oleObject188.bin"/><Relationship Id="rId1165" Type="http://schemas.openxmlformats.org/officeDocument/2006/relationships/oleObject" Target="embeddings/oleObject300.bin"/><Relationship Id="rId174" Type="http://schemas.openxmlformats.org/officeDocument/2006/relationships/image" Target="media/image70.jpeg"/><Relationship Id="rId381" Type="http://schemas.openxmlformats.org/officeDocument/2006/relationships/hyperlink" Target="http://csep10.phys.utk.edu/astr162/lect/galaxies/elliptical.html" TargetMode="External"/><Relationship Id="rId602" Type="http://schemas.openxmlformats.org/officeDocument/2006/relationships/oleObject" Target="embeddings/oleObject118.bin"/><Relationship Id="rId1025" Type="http://schemas.openxmlformats.org/officeDocument/2006/relationships/image" Target="media/image448.jpeg"/><Relationship Id="rId1232" Type="http://schemas.openxmlformats.org/officeDocument/2006/relationships/hyperlink" Target="http://www.setterfield.org/Kiel_Presentation.html" TargetMode="External"/><Relationship Id="rId241" Type="http://schemas.openxmlformats.org/officeDocument/2006/relationships/hyperlink" Target="http://arxiv.org/abs/astro-ph/0208076" TargetMode="External"/><Relationship Id="rId479" Type="http://schemas.openxmlformats.org/officeDocument/2006/relationships/oleObject" Target="embeddings/oleObject55.bin"/><Relationship Id="rId686" Type="http://schemas.openxmlformats.org/officeDocument/2006/relationships/oleObject" Target="embeddings/oleObject160.bin"/><Relationship Id="rId893" Type="http://schemas.openxmlformats.org/officeDocument/2006/relationships/image" Target="media/image390.wmf"/><Relationship Id="rId907" Type="http://schemas.openxmlformats.org/officeDocument/2006/relationships/image" Target="media/image397.wmf"/><Relationship Id="rId36" Type="http://schemas.openxmlformats.org/officeDocument/2006/relationships/hyperlink" Target="http://www.astrobio.nau.edu/~koerner/ast180/lectures/lec23.html" TargetMode="External"/><Relationship Id="rId339" Type="http://schemas.openxmlformats.org/officeDocument/2006/relationships/hyperlink" Target="http://space.newscientist.com/article.ns?id=dn11432&amp;print=true" TargetMode="External"/><Relationship Id="rId546" Type="http://schemas.openxmlformats.org/officeDocument/2006/relationships/image" Target="media/image219.wmf"/><Relationship Id="rId753" Type="http://schemas.openxmlformats.org/officeDocument/2006/relationships/oleObject" Target="embeddings/oleObject194.bin"/><Relationship Id="rId1176" Type="http://schemas.openxmlformats.org/officeDocument/2006/relationships/image" Target="media/image504.wmf"/><Relationship Id="rId101" Type="http://schemas.openxmlformats.org/officeDocument/2006/relationships/image" Target="media/image53.jpeg"/><Relationship Id="rId185" Type="http://schemas.openxmlformats.org/officeDocument/2006/relationships/image" Target="media/image80.gif"/><Relationship Id="rId406" Type="http://schemas.openxmlformats.org/officeDocument/2006/relationships/hyperlink" Target="http://www.setterfield.org/000docs/behaviorzpeapp7.html" TargetMode="External"/><Relationship Id="rId960" Type="http://schemas.openxmlformats.org/officeDocument/2006/relationships/hyperlink" Target="http://www.astronet.ru/db/xware/msg/1222015/cl0024dark_hst_big.jpg.html" TargetMode="External"/><Relationship Id="rId1036" Type="http://schemas.openxmlformats.org/officeDocument/2006/relationships/image" Target="media/image458.jpeg"/><Relationship Id="rId1243" Type="http://schemas.openxmlformats.org/officeDocument/2006/relationships/hyperlink" Target="http://www.zdplaskin.laplace.univ-tlse.fr/examples/01/" TargetMode="External"/><Relationship Id="rId392" Type="http://schemas.openxmlformats.org/officeDocument/2006/relationships/hyperlink" Target="http://ars.els-cdn.com/content/image/1-s2.0-S0264370702000492-gr2.gif" TargetMode="External"/><Relationship Id="rId613" Type="http://schemas.openxmlformats.org/officeDocument/2006/relationships/image" Target="media/image252.wmf"/><Relationship Id="rId697" Type="http://schemas.openxmlformats.org/officeDocument/2006/relationships/image" Target="media/image293.wmf"/><Relationship Id="rId820" Type="http://schemas.openxmlformats.org/officeDocument/2006/relationships/oleObject" Target="embeddings/oleObject227.bin"/><Relationship Id="rId918" Type="http://schemas.openxmlformats.org/officeDocument/2006/relationships/image" Target="media/image403.jpeg"/><Relationship Id="rId252" Type="http://schemas.openxmlformats.org/officeDocument/2006/relationships/hyperlink" Target="http://en.wikipedia.org/wiki/File:Redshift.png" TargetMode="External"/><Relationship Id="rId1103" Type="http://schemas.openxmlformats.org/officeDocument/2006/relationships/image" Target="media/image480.jpeg"/><Relationship Id="rId1187" Type="http://schemas.openxmlformats.org/officeDocument/2006/relationships/oleObject" Target="embeddings/oleObject309.bin"/><Relationship Id="rId1310" Type="http://schemas.openxmlformats.org/officeDocument/2006/relationships/image" Target="media/image542.jpeg"/><Relationship Id="rId47" Type="http://schemas.openxmlformats.org/officeDocument/2006/relationships/image" Target="media/image22.wmf"/><Relationship Id="rId112" Type="http://schemas.openxmlformats.org/officeDocument/2006/relationships/image" Target="media/image60.jpeg"/><Relationship Id="rId557" Type="http://schemas.openxmlformats.org/officeDocument/2006/relationships/oleObject" Target="embeddings/oleObject95.bin"/><Relationship Id="rId764" Type="http://schemas.openxmlformats.org/officeDocument/2006/relationships/image" Target="media/image326.wmf"/><Relationship Id="rId971" Type="http://schemas.openxmlformats.org/officeDocument/2006/relationships/hyperlink" Target="http://www.setterfield.org/000docs/behaviorzpeapp4.html" TargetMode="External"/><Relationship Id="rId196" Type="http://schemas.openxmlformats.org/officeDocument/2006/relationships/image" Target="media/image85.wmf"/><Relationship Id="rId417" Type="http://schemas.openxmlformats.org/officeDocument/2006/relationships/image" Target="media/image158.wmf"/><Relationship Id="rId624" Type="http://schemas.openxmlformats.org/officeDocument/2006/relationships/oleObject" Target="embeddings/oleObject129.bin"/><Relationship Id="rId831" Type="http://schemas.openxmlformats.org/officeDocument/2006/relationships/oleObject" Target="embeddings/oleObject233.bin"/><Relationship Id="rId1047" Type="http://schemas.openxmlformats.org/officeDocument/2006/relationships/image" Target="media/image469.jpeg"/><Relationship Id="rId1254" Type="http://schemas.openxmlformats.org/officeDocument/2006/relationships/hyperlink" Target="http://www.setterfield.org/000docs/behaviorzpeapp2.html" TargetMode="External"/><Relationship Id="rId263" Type="http://schemas.openxmlformats.org/officeDocument/2006/relationships/hyperlink" Target="http://www.setterfield.org/Kiel_Presentation.html" TargetMode="External"/><Relationship Id="rId470" Type="http://schemas.openxmlformats.org/officeDocument/2006/relationships/image" Target="media/image184.wmf"/><Relationship Id="rId929" Type="http://schemas.openxmlformats.org/officeDocument/2006/relationships/image" Target="media/image412.wmf"/><Relationship Id="rId1114" Type="http://schemas.openxmlformats.org/officeDocument/2006/relationships/hyperlink" Target="http://www.newscientist.com/article/dn12941-giant-claw-points-to-%20monster-sea-scorpion.html" TargetMode="External"/><Relationship Id="rId1321" Type="http://schemas.openxmlformats.org/officeDocument/2006/relationships/image" Target="media/image553.jpeg"/><Relationship Id="rId58" Type="http://schemas.openxmlformats.org/officeDocument/2006/relationships/image" Target="media/image29.jpeg"/><Relationship Id="rId123" Type="http://schemas.openxmlformats.org/officeDocument/2006/relationships/chart" Target="charts/chart10.xml"/><Relationship Id="rId330" Type="http://schemas.openxmlformats.org/officeDocument/2006/relationships/hyperlink" Target="http://en.wikipedia.org/wiki/Solids" TargetMode="External"/><Relationship Id="rId568" Type="http://schemas.openxmlformats.org/officeDocument/2006/relationships/oleObject" Target="embeddings/oleObject101.bin"/><Relationship Id="rId775" Type="http://schemas.openxmlformats.org/officeDocument/2006/relationships/oleObject" Target="embeddings/oleObject205.bin"/><Relationship Id="rId982" Type="http://schemas.openxmlformats.org/officeDocument/2006/relationships/image" Target="media/image428.gif"/><Relationship Id="rId1198" Type="http://schemas.openxmlformats.org/officeDocument/2006/relationships/image" Target="media/image515.wmf"/><Relationship Id="rId428" Type="http://schemas.openxmlformats.org/officeDocument/2006/relationships/image" Target="media/image164.wmf"/><Relationship Id="rId635" Type="http://schemas.openxmlformats.org/officeDocument/2006/relationships/image" Target="media/image263.wmf"/><Relationship Id="rId842" Type="http://schemas.openxmlformats.org/officeDocument/2006/relationships/image" Target="media/image365.wmf"/><Relationship Id="rId1058" Type="http://schemas.openxmlformats.org/officeDocument/2006/relationships/hyperlink" Target="http://www.spaceref.com/news/viewpr.html?pid=1990" TargetMode="External"/><Relationship Id="rId1265" Type="http://schemas.openxmlformats.org/officeDocument/2006/relationships/hyperlink" Target="http://www.setterfield.org/000docs/behaviorzpeapp2.html" TargetMode="External"/><Relationship Id="rId274" Type="http://schemas.openxmlformats.org/officeDocument/2006/relationships/image" Target="media/image108.jpeg"/><Relationship Id="rId481" Type="http://schemas.openxmlformats.org/officeDocument/2006/relationships/hyperlink" Target="http://www.setterfield.org/000docs/behaviorzpeapp7.html" TargetMode="External"/><Relationship Id="rId702" Type="http://schemas.openxmlformats.org/officeDocument/2006/relationships/oleObject" Target="embeddings/oleObject168.bin"/><Relationship Id="rId1125" Type="http://schemas.openxmlformats.org/officeDocument/2006/relationships/hyperlink" Target="http://news.mongabay.com/2006/0504-coml.html" TargetMode="External"/><Relationship Id="rId1332" Type="http://schemas.openxmlformats.org/officeDocument/2006/relationships/image" Target="media/image564.png"/><Relationship Id="rId69" Type="http://schemas.openxmlformats.org/officeDocument/2006/relationships/hyperlink" Target="http://astronomy.ua.edu/keel/agn/forest.html" TargetMode="External"/><Relationship Id="rId134" Type="http://schemas.openxmlformats.org/officeDocument/2006/relationships/hyperlink" Target="http://www.olympusmicro.com/primer/lightandcolor/speedoflight.html" TargetMode="External"/><Relationship Id="rId579" Type="http://schemas.openxmlformats.org/officeDocument/2006/relationships/image" Target="media/image235.wmf"/><Relationship Id="rId786" Type="http://schemas.openxmlformats.org/officeDocument/2006/relationships/image" Target="media/image337.wmf"/><Relationship Id="rId993" Type="http://schemas.openxmlformats.org/officeDocument/2006/relationships/image" Target="media/image433.png"/><Relationship Id="rId341" Type="http://schemas.openxmlformats.org/officeDocument/2006/relationships/hyperlink" Target="http://plasmascience.net/tpu/CIV.html" TargetMode="External"/><Relationship Id="rId439" Type="http://schemas.openxmlformats.org/officeDocument/2006/relationships/oleObject" Target="embeddings/oleObject38.bin"/><Relationship Id="rId646" Type="http://schemas.openxmlformats.org/officeDocument/2006/relationships/image" Target="media/image268.wmf"/><Relationship Id="rId1069" Type="http://schemas.openxmlformats.org/officeDocument/2006/relationships/hyperlink" Target="http://www.emc.maricopa.edu/faculty/farabee/biobk/biobookevoli.html" TargetMode="External"/><Relationship Id="rId1276" Type="http://schemas.openxmlformats.org/officeDocument/2006/relationships/hyperlink" Target="http://www.setterfield.org/000docs/behaviorzpeapp6.html" TargetMode="External"/><Relationship Id="rId201" Type="http://schemas.openxmlformats.org/officeDocument/2006/relationships/oleObject" Target="embeddings/oleObject12.bin"/><Relationship Id="rId285" Type="http://schemas.openxmlformats.org/officeDocument/2006/relationships/hyperlink" Target="http://en.wikipedia.org/wiki/Magnet" TargetMode="External"/><Relationship Id="rId506" Type="http://schemas.openxmlformats.org/officeDocument/2006/relationships/image" Target="media/image199.wmf"/><Relationship Id="rId853" Type="http://schemas.openxmlformats.org/officeDocument/2006/relationships/oleObject" Target="embeddings/oleObject244.bin"/><Relationship Id="rId1136" Type="http://schemas.openxmlformats.org/officeDocument/2006/relationships/hyperlink" Target="http://www.nasa.gov/missions/science/f_interference.html" TargetMode="External"/><Relationship Id="rId492" Type="http://schemas.openxmlformats.org/officeDocument/2006/relationships/oleObject" Target="embeddings/oleObject63.bin"/><Relationship Id="rId713" Type="http://schemas.openxmlformats.org/officeDocument/2006/relationships/image" Target="media/image301.wmf"/><Relationship Id="rId797" Type="http://schemas.openxmlformats.org/officeDocument/2006/relationships/oleObject" Target="embeddings/oleObject216.bin"/><Relationship Id="rId920" Type="http://schemas.openxmlformats.org/officeDocument/2006/relationships/image" Target="media/image405.jpeg"/><Relationship Id="rId1343" Type="http://schemas.openxmlformats.org/officeDocument/2006/relationships/image" Target="media/image575.jpeg"/><Relationship Id="rId145" Type="http://schemas.openxmlformats.org/officeDocument/2006/relationships/hyperlink" Target="http://dc270.4shared.com/doc/ZizRlyG8/preview.html" TargetMode="External"/><Relationship Id="rId352" Type="http://schemas.openxmlformats.org/officeDocument/2006/relationships/hyperlink" Target="http://arxiv.org/abs/physics/0409157" TargetMode="External"/><Relationship Id="rId1203" Type="http://schemas.openxmlformats.org/officeDocument/2006/relationships/oleObject" Target="embeddings/oleObject317.bin"/><Relationship Id="rId1287" Type="http://schemas.openxmlformats.org/officeDocument/2006/relationships/hyperlink" Target="http://www.iaus277.org/seeabstract.php?id=120" TargetMode="External"/><Relationship Id="rId212" Type="http://schemas.openxmlformats.org/officeDocument/2006/relationships/image" Target="media/image93.wmf"/><Relationship Id="rId657" Type="http://schemas.openxmlformats.org/officeDocument/2006/relationships/image" Target="media/image273.wmf"/><Relationship Id="rId864" Type="http://schemas.openxmlformats.org/officeDocument/2006/relationships/oleObject" Target="embeddings/oleObject250.bin"/><Relationship Id="rId296" Type="http://schemas.openxmlformats.org/officeDocument/2006/relationships/image" Target="media/image120.png"/><Relationship Id="rId517" Type="http://schemas.openxmlformats.org/officeDocument/2006/relationships/oleObject" Target="embeddings/oleObject75.bin"/><Relationship Id="rId724" Type="http://schemas.openxmlformats.org/officeDocument/2006/relationships/oleObject" Target="embeddings/oleObject179.bin"/><Relationship Id="rId931" Type="http://schemas.openxmlformats.org/officeDocument/2006/relationships/image" Target="media/image413.wmf"/><Relationship Id="rId1147" Type="http://schemas.openxmlformats.org/officeDocument/2006/relationships/image" Target="media/image491.wmf"/><Relationship Id="rId1354" Type="http://schemas.openxmlformats.org/officeDocument/2006/relationships/hyperlink" Target="http://www.austhrutime.com/mapcis.htm" TargetMode="External"/><Relationship Id="rId60" Type="http://schemas.openxmlformats.org/officeDocument/2006/relationships/hyperlink" Target="http://www.calphysics.org/questions.html" TargetMode="External"/><Relationship Id="rId156" Type="http://schemas.openxmlformats.org/officeDocument/2006/relationships/hyperlink" Target="http://www.staff.amu.edu.pl/~zbzw/ph/sci/aam.htm/" TargetMode="External"/><Relationship Id="rId363" Type="http://schemas.openxmlformats.org/officeDocument/2006/relationships/hyperlink" Target="http://www.spacedaily.com/news/lunarplanet-2001-01a4.html" TargetMode="External"/><Relationship Id="rId570" Type="http://schemas.openxmlformats.org/officeDocument/2006/relationships/oleObject" Target="embeddings/oleObject102.bin"/><Relationship Id="rId1007" Type="http://schemas.openxmlformats.org/officeDocument/2006/relationships/hyperlink" Target="http://www.religiousforums.com/forum/science-religion/74134-how-does-yec-explain-trees-50-a-9.html" TargetMode="External"/><Relationship Id="rId1214" Type="http://schemas.openxmlformats.org/officeDocument/2006/relationships/image" Target="media/image523.wmf"/><Relationship Id="rId223" Type="http://schemas.openxmlformats.org/officeDocument/2006/relationships/oleObject" Target="embeddings/oleObject21.bin"/><Relationship Id="rId430" Type="http://schemas.openxmlformats.org/officeDocument/2006/relationships/image" Target="media/image165.wmf"/><Relationship Id="rId668" Type="http://schemas.openxmlformats.org/officeDocument/2006/relationships/oleObject" Target="embeddings/oleObject151.bin"/><Relationship Id="rId875" Type="http://schemas.openxmlformats.org/officeDocument/2006/relationships/image" Target="media/image381.wmf"/><Relationship Id="rId1060" Type="http://schemas.openxmlformats.org/officeDocument/2006/relationships/hyperlink" Target="http://www.worldnpa.org/site/abstract/?abstractid=6482" TargetMode="External"/><Relationship Id="rId1298" Type="http://schemas.openxmlformats.org/officeDocument/2006/relationships/hyperlink" Target="http://adsabs.harvard.edu/abs/2003HEAD....7.1009L" TargetMode="External"/><Relationship Id="rId18" Type="http://schemas.openxmlformats.org/officeDocument/2006/relationships/image" Target="media/image10.jpeg"/><Relationship Id="rId528" Type="http://schemas.openxmlformats.org/officeDocument/2006/relationships/image" Target="media/image210.wmf"/><Relationship Id="rId735" Type="http://schemas.openxmlformats.org/officeDocument/2006/relationships/image" Target="media/image312.wmf"/><Relationship Id="rId942" Type="http://schemas.openxmlformats.org/officeDocument/2006/relationships/oleObject" Target="embeddings/oleObject285.bin"/><Relationship Id="rId1158" Type="http://schemas.openxmlformats.org/officeDocument/2006/relationships/oleObject" Target="embeddings/oleObject296.bin"/><Relationship Id="rId1365" Type="http://schemas.openxmlformats.org/officeDocument/2006/relationships/footer" Target="footer2.xml"/><Relationship Id="rId167" Type="http://schemas.openxmlformats.org/officeDocument/2006/relationships/chart" Target="charts/chart15.xml"/><Relationship Id="rId374" Type="http://schemas.openxmlformats.org/officeDocument/2006/relationships/hyperlink" Target="http://www.holoscience.com/wp/wp-content/uploads/2011/05/Marklund-Convection-2.jpg" TargetMode="External"/><Relationship Id="rId581" Type="http://schemas.openxmlformats.org/officeDocument/2006/relationships/image" Target="media/image236.wmf"/><Relationship Id="rId1018" Type="http://schemas.openxmlformats.org/officeDocument/2006/relationships/image" Target="media/image441.jpeg"/><Relationship Id="rId1225" Type="http://schemas.openxmlformats.org/officeDocument/2006/relationships/image" Target="media/image530.jpeg"/><Relationship Id="rId71" Type="http://schemas.openxmlformats.org/officeDocument/2006/relationships/image" Target="media/image32.jpeg"/><Relationship Id="rId234" Type="http://schemas.openxmlformats.org/officeDocument/2006/relationships/hyperlink" Target="http://www.orionfdn.org/papers/arxiv-1.htm" TargetMode="External"/><Relationship Id="rId679" Type="http://schemas.openxmlformats.org/officeDocument/2006/relationships/image" Target="media/image284.wmf"/><Relationship Id="rId802" Type="http://schemas.openxmlformats.org/officeDocument/2006/relationships/image" Target="media/image345.jpeg"/><Relationship Id="rId886" Type="http://schemas.openxmlformats.org/officeDocument/2006/relationships/oleObject" Target="embeddings/oleObject261.bin"/><Relationship Id="rId2" Type="http://schemas.openxmlformats.org/officeDocument/2006/relationships/numbering" Target="numbering.xml"/><Relationship Id="rId29" Type="http://schemas.openxmlformats.org/officeDocument/2006/relationships/hyperlink" Target="http://www.mni.mcgill.ca/media/publications/neuroscienceletter/june09/colman/" TargetMode="External"/><Relationship Id="rId441" Type="http://schemas.openxmlformats.org/officeDocument/2006/relationships/image" Target="media/image170.wmf"/><Relationship Id="rId539" Type="http://schemas.openxmlformats.org/officeDocument/2006/relationships/oleObject" Target="embeddings/oleObject86.bin"/><Relationship Id="rId746" Type="http://schemas.openxmlformats.org/officeDocument/2006/relationships/oleObject" Target="embeddings/oleObject190.bin"/><Relationship Id="rId1071" Type="http://schemas.openxmlformats.org/officeDocument/2006/relationships/hyperlink" Target="http://englishclass.jp/reading/topic/Impact_structure" TargetMode="External"/><Relationship Id="rId1169" Type="http://schemas.openxmlformats.org/officeDocument/2006/relationships/oleObject" Target="embeddings/oleObject302.bin"/><Relationship Id="rId178" Type="http://schemas.openxmlformats.org/officeDocument/2006/relationships/chart" Target="charts/chart17.xml"/><Relationship Id="rId301" Type="http://schemas.openxmlformats.org/officeDocument/2006/relationships/image" Target="media/image125.gif"/><Relationship Id="rId953" Type="http://schemas.openxmlformats.org/officeDocument/2006/relationships/hyperlink" Target="http://www.holoscience.com/news.php?article=7qqsr17q" TargetMode="External"/><Relationship Id="rId1029" Type="http://schemas.openxmlformats.org/officeDocument/2006/relationships/hyperlink" Target="http://www.spacedaily.com/news/lunarplanet-2001-01a4.html" TargetMode="External"/><Relationship Id="rId1236" Type="http://schemas.openxmlformats.org/officeDocument/2006/relationships/hyperlink" Target="http://www.newdimensions.org/program-archive/god-is-alive-and-well-in-the-cosmos-with-bernard-haisch/" TargetMode="External"/><Relationship Id="rId82" Type="http://schemas.openxmlformats.org/officeDocument/2006/relationships/image" Target="media/image39.jpeg"/><Relationship Id="rId385" Type="http://schemas.openxmlformats.org/officeDocument/2006/relationships/hyperlink" Target="http://chandra.harvard.edu/photo/2008/m81/more.html" TargetMode="External"/><Relationship Id="rId592" Type="http://schemas.openxmlformats.org/officeDocument/2006/relationships/oleObject" Target="embeddings/oleObject113.bin"/><Relationship Id="rId606" Type="http://schemas.openxmlformats.org/officeDocument/2006/relationships/oleObject" Target="embeddings/oleObject120.bin"/><Relationship Id="rId813" Type="http://schemas.openxmlformats.org/officeDocument/2006/relationships/image" Target="media/image351.wmf"/><Relationship Id="rId245" Type="http://schemas.openxmlformats.org/officeDocument/2006/relationships/hyperlink" Target="http://arxiv.org/abs/astro-ph/0311381" TargetMode="External"/><Relationship Id="rId452" Type="http://schemas.openxmlformats.org/officeDocument/2006/relationships/image" Target="media/image175.wmf"/><Relationship Id="rId897" Type="http://schemas.openxmlformats.org/officeDocument/2006/relationships/image" Target="media/image392.wmf"/><Relationship Id="rId1082" Type="http://schemas.openxmlformats.org/officeDocument/2006/relationships/hyperlink" Target="http://www.fas.org/irp/imint/docs/rst/Sect19/Sect19_7.html" TargetMode="External"/><Relationship Id="rId1303" Type="http://schemas.openxmlformats.org/officeDocument/2006/relationships/hyperlink" Target="http://www.atnf.csiro.au/people/pulsar/wwwdev/Education_page.html" TargetMode="External"/><Relationship Id="rId105" Type="http://schemas.openxmlformats.org/officeDocument/2006/relationships/hyperlink" Target="http://www.setterfield.org/000docs/cx3.html" TargetMode="External"/><Relationship Id="rId312" Type="http://schemas.openxmlformats.org/officeDocument/2006/relationships/image" Target="media/image135.jpeg"/><Relationship Id="rId757" Type="http://schemas.openxmlformats.org/officeDocument/2006/relationships/oleObject" Target="embeddings/oleObject196.bin"/><Relationship Id="rId964" Type="http://schemas.openxmlformats.org/officeDocument/2006/relationships/hyperlink" Target="http://www.angelfire.com/rnb/pp0/plasma3.html" TargetMode="External"/><Relationship Id="rId93" Type="http://schemas.openxmlformats.org/officeDocument/2006/relationships/image" Target="media/image48.jpeg"/><Relationship Id="rId189" Type="http://schemas.openxmlformats.org/officeDocument/2006/relationships/oleObject" Target="embeddings/oleObject6.bin"/><Relationship Id="rId396" Type="http://schemas.openxmlformats.org/officeDocument/2006/relationships/hyperlink" Target="http://www.psrd.hawaii.edu/May10/YoungerALH84001.html" TargetMode="External"/><Relationship Id="rId617" Type="http://schemas.openxmlformats.org/officeDocument/2006/relationships/image" Target="media/image254.wmf"/><Relationship Id="rId824" Type="http://schemas.openxmlformats.org/officeDocument/2006/relationships/oleObject" Target="embeddings/oleObject229.bin"/><Relationship Id="rId1247" Type="http://schemas.openxmlformats.org/officeDocument/2006/relationships/hyperlink" Target="http://www.setterfield.org/000docs/behaviorzpeapp2.html" TargetMode="External"/><Relationship Id="rId256" Type="http://schemas.openxmlformats.org/officeDocument/2006/relationships/hyperlink" Target="http://www.astrobio.nau.edu/~koerner/ast180/lectures/lec23.html" TargetMode="External"/><Relationship Id="rId463" Type="http://schemas.openxmlformats.org/officeDocument/2006/relationships/package" Target="embeddings/Microsoft_Office_PowerPoint_Slide26.sldx"/><Relationship Id="rId670" Type="http://schemas.openxmlformats.org/officeDocument/2006/relationships/oleObject" Target="embeddings/oleObject152.bin"/><Relationship Id="rId1093" Type="http://schemas.openxmlformats.org/officeDocument/2006/relationships/hyperlink" Target="http://arstechnica.com/science/2008/03/of-dinosaurs-and-volcanoes/" TargetMode="External"/><Relationship Id="rId1107" Type="http://schemas.openxmlformats.org/officeDocument/2006/relationships/image" Target="media/image484.jpeg"/><Relationship Id="rId1314" Type="http://schemas.openxmlformats.org/officeDocument/2006/relationships/image" Target="media/image546.jpeg"/><Relationship Id="rId116" Type="http://schemas.openxmlformats.org/officeDocument/2006/relationships/image" Target="media/image64.jpeg"/><Relationship Id="rId323" Type="http://schemas.openxmlformats.org/officeDocument/2006/relationships/image" Target="media/image144.jpeg"/><Relationship Id="rId530" Type="http://schemas.openxmlformats.org/officeDocument/2006/relationships/image" Target="media/image211.wmf"/><Relationship Id="rId768" Type="http://schemas.openxmlformats.org/officeDocument/2006/relationships/image" Target="media/image328.wmf"/><Relationship Id="rId975" Type="http://schemas.openxmlformats.org/officeDocument/2006/relationships/image" Target="media/image425.jpeg"/><Relationship Id="rId1160" Type="http://schemas.openxmlformats.org/officeDocument/2006/relationships/image" Target="media/image496.wmf"/><Relationship Id="rId20" Type="http://schemas.openxmlformats.org/officeDocument/2006/relationships/image" Target="media/image12.jpeg"/><Relationship Id="rId628" Type="http://schemas.openxmlformats.org/officeDocument/2006/relationships/oleObject" Target="embeddings/oleObject131.bin"/><Relationship Id="rId835" Type="http://schemas.openxmlformats.org/officeDocument/2006/relationships/oleObject" Target="embeddings/oleObject235.bin"/><Relationship Id="rId1258" Type="http://schemas.openxmlformats.org/officeDocument/2006/relationships/hyperlink" Target="http://www.setterfield.org/000docs/behaviorzpeapp2.html" TargetMode="External"/><Relationship Id="rId267" Type="http://schemas.openxmlformats.org/officeDocument/2006/relationships/hyperlink" Target="http://csep10.phys.utk.edu/astr162/lect/stars/spectra.html" TargetMode="External"/><Relationship Id="rId474" Type="http://schemas.openxmlformats.org/officeDocument/2006/relationships/image" Target="media/image186.wmf"/><Relationship Id="rId1020" Type="http://schemas.openxmlformats.org/officeDocument/2006/relationships/image" Target="media/image443.jpeg"/><Relationship Id="rId1118" Type="http://schemas.openxmlformats.org/officeDocument/2006/relationships/hyperlink" Target="http://www.mni.mcgill.ca/media/publications/neuroscienceletter/june09/colman/" TargetMode="External"/><Relationship Id="rId1325" Type="http://schemas.openxmlformats.org/officeDocument/2006/relationships/image" Target="media/image557.jpeg"/><Relationship Id="rId127" Type="http://schemas.openxmlformats.org/officeDocument/2006/relationships/oleObject" Target="embeddings/oleObject4.bin"/><Relationship Id="rId681" Type="http://schemas.openxmlformats.org/officeDocument/2006/relationships/image" Target="media/image285.wmf"/><Relationship Id="rId779" Type="http://schemas.openxmlformats.org/officeDocument/2006/relationships/oleObject" Target="embeddings/oleObject207.bin"/><Relationship Id="rId902" Type="http://schemas.openxmlformats.org/officeDocument/2006/relationships/oleObject" Target="embeddings/oleObject269.bin"/><Relationship Id="rId986" Type="http://schemas.openxmlformats.org/officeDocument/2006/relationships/hyperlink" Target="http://www.setterfield.org/000docs/behaviorzpeapp4.html" TargetMode="External"/><Relationship Id="rId31" Type="http://schemas.openxmlformats.org/officeDocument/2006/relationships/hyperlink" Target="http://www.sciencemadesimple.co.uk/page72g.html" TargetMode="External"/><Relationship Id="rId334" Type="http://schemas.openxmlformats.org/officeDocument/2006/relationships/image" Target="media/image150.jpeg"/><Relationship Id="rId541" Type="http://schemas.openxmlformats.org/officeDocument/2006/relationships/oleObject" Target="embeddings/oleObject87.bin"/><Relationship Id="rId639" Type="http://schemas.openxmlformats.org/officeDocument/2006/relationships/image" Target="media/image265.wmf"/><Relationship Id="rId1171" Type="http://schemas.openxmlformats.org/officeDocument/2006/relationships/oleObject" Target="embeddings/oleObject303.bin"/><Relationship Id="rId1269" Type="http://schemas.openxmlformats.org/officeDocument/2006/relationships/hyperlink" Target="http://www.eso.org/public/news/eso1046/" TargetMode="External"/><Relationship Id="rId180" Type="http://schemas.openxmlformats.org/officeDocument/2006/relationships/image" Target="media/image75.jpeg"/><Relationship Id="rId278" Type="http://schemas.openxmlformats.org/officeDocument/2006/relationships/image" Target="media/image112.jpeg"/><Relationship Id="rId401" Type="http://schemas.openxmlformats.org/officeDocument/2006/relationships/hyperlink" Target="http://yoelnatanbooks.blogspot.com/" TargetMode="External"/><Relationship Id="rId846" Type="http://schemas.openxmlformats.org/officeDocument/2006/relationships/image" Target="media/image367.wmf"/><Relationship Id="rId1031" Type="http://schemas.openxmlformats.org/officeDocument/2006/relationships/image" Target="media/image453.jpeg"/><Relationship Id="rId1129" Type="http://schemas.openxmlformats.org/officeDocument/2006/relationships/hyperlink" Target="http://www.ess.uci.edu/~cpasquer/papers/kappleretal_GEO2005.pdf" TargetMode="External"/><Relationship Id="rId485" Type="http://schemas.openxmlformats.org/officeDocument/2006/relationships/image" Target="media/image189.wmf"/><Relationship Id="rId692" Type="http://schemas.openxmlformats.org/officeDocument/2006/relationships/oleObject" Target="embeddings/oleObject163.bin"/><Relationship Id="rId706" Type="http://schemas.openxmlformats.org/officeDocument/2006/relationships/oleObject" Target="embeddings/oleObject170.bin"/><Relationship Id="rId913" Type="http://schemas.openxmlformats.org/officeDocument/2006/relationships/image" Target="media/image400.wmf"/><Relationship Id="rId1336" Type="http://schemas.openxmlformats.org/officeDocument/2006/relationships/image" Target="media/image568.jpeg"/><Relationship Id="rId42" Type="http://schemas.openxmlformats.org/officeDocument/2006/relationships/hyperlink" Target="http://www.spacetelescope.org/projects/fits_liberator/fitsimages/danny_lacrue_11/" TargetMode="External"/><Relationship Id="rId138" Type="http://schemas.openxmlformats.org/officeDocument/2006/relationships/hyperlink" Target="http://christophercrockett.com/astrowow/aberration/" TargetMode="External"/><Relationship Id="rId345" Type="http://schemas.openxmlformats.org/officeDocument/2006/relationships/hyperlink" Target="http://www.eso.org/public/news/eso0941/" TargetMode="External"/><Relationship Id="rId552" Type="http://schemas.openxmlformats.org/officeDocument/2006/relationships/image" Target="media/image222.wmf"/><Relationship Id="rId997" Type="http://schemas.openxmlformats.org/officeDocument/2006/relationships/hyperlink" Target="http://www.archaeology.org/9909/abstracts/pyramids.html" TargetMode="External"/><Relationship Id="rId1182" Type="http://schemas.openxmlformats.org/officeDocument/2006/relationships/image" Target="media/image507.jpeg"/><Relationship Id="rId191" Type="http://schemas.openxmlformats.org/officeDocument/2006/relationships/oleObject" Target="embeddings/oleObject7.bin"/><Relationship Id="rId205" Type="http://schemas.openxmlformats.org/officeDocument/2006/relationships/oleObject" Target="embeddings/oleObject14.bin"/><Relationship Id="rId412" Type="http://schemas.openxmlformats.org/officeDocument/2006/relationships/oleObject" Target="embeddings/oleObject28.bin"/><Relationship Id="rId857" Type="http://schemas.openxmlformats.org/officeDocument/2006/relationships/oleObject" Target="embeddings/oleObject246.bin"/><Relationship Id="rId1042" Type="http://schemas.openxmlformats.org/officeDocument/2006/relationships/image" Target="media/image464.jpeg"/><Relationship Id="rId289" Type="http://schemas.openxmlformats.org/officeDocument/2006/relationships/image" Target="media/image118.emf"/><Relationship Id="rId496" Type="http://schemas.openxmlformats.org/officeDocument/2006/relationships/image" Target="media/image194.wmf"/><Relationship Id="rId717" Type="http://schemas.openxmlformats.org/officeDocument/2006/relationships/image" Target="media/image303.wmf"/><Relationship Id="rId924" Type="http://schemas.openxmlformats.org/officeDocument/2006/relationships/image" Target="media/image409.jpeg"/><Relationship Id="rId1347" Type="http://schemas.openxmlformats.org/officeDocument/2006/relationships/hyperlink" Target="http://adsabs.harvard.edu/abs/2011AGUFM.P41A1578T" TargetMode="External"/><Relationship Id="rId53" Type="http://schemas.openxmlformats.org/officeDocument/2006/relationships/image" Target="media/image26.jpeg"/><Relationship Id="rId149" Type="http://schemas.openxmlformats.org/officeDocument/2006/relationships/hyperlink" Target="http://www.theglasgowstory.com/image.php?inum=TGSS00023&amp;t=2&amp;urltp=search.php%3Fstart%3D180%26end%3D200%26what%3Duniversity%26where%3D%26who%3D%26period%3D0%26collection%3D0%26search%3D99" TargetMode="External"/><Relationship Id="rId356" Type="http://schemas.openxmlformats.org/officeDocument/2006/relationships/hyperlink" Target="http://vmsstreamer1.fnal.gov/VMS_Site_03/Lectures/Colloquium/presentations/070214Eisenstein.ppt" TargetMode="External"/><Relationship Id="rId563" Type="http://schemas.openxmlformats.org/officeDocument/2006/relationships/image" Target="media/image227.wmf"/><Relationship Id="rId770" Type="http://schemas.openxmlformats.org/officeDocument/2006/relationships/image" Target="media/image329.wmf"/><Relationship Id="rId1193" Type="http://schemas.openxmlformats.org/officeDocument/2006/relationships/oleObject" Target="embeddings/oleObject312.bin"/><Relationship Id="rId1207" Type="http://schemas.openxmlformats.org/officeDocument/2006/relationships/chart" Target="charts/chart23.xml"/><Relationship Id="rId216" Type="http://schemas.openxmlformats.org/officeDocument/2006/relationships/chart" Target="charts/chart18.xml"/><Relationship Id="rId423" Type="http://schemas.openxmlformats.org/officeDocument/2006/relationships/oleObject" Target="embeddings/oleObject31.bin"/><Relationship Id="rId868" Type="http://schemas.openxmlformats.org/officeDocument/2006/relationships/oleObject" Target="embeddings/oleObject252.bin"/><Relationship Id="rId1053" Type="http://schemas.openxmlformats.org/officeDocument/2006/relationships/hyperlink" Target="http://www.enterprisemission.com/comets.html" TargetMode="External"/><Relationship Id="rId1260" Type="http://schemas.openxmlformats.org/officeDocument/2006/relationships/hyperlink" Target="http://www.setterfield.org/000docs/behaviorzpeapp6.html" TargetMode="External"/><Relationship Id="rId630" Type="http://schemas.openxmlformats.org/officeDocument/2006/relationships/oleObject" Target="embeddings/oleObject132.bin"/><Relationship Id="rId728" Type="http://schemas.openxmlformats.org/officeDocument/2006/relationships/oleObject" Target="embeddings/oleObject181.bin"/><Relationship Id="rId935" Type="http://schemas.openxmlformats.org/officeDocument/2006/relationships/image" Target="media/image415.wmf"/><Relationship Id="rId1358" Type="http://schemas.openxmlformats.org/officeDocument/2006/relationships/hyperlink" Target="http://palaeo.gly.bris.ac.uk/communication/hanks/eff.html" TargetMode="External"/><Relationship Id="rId64" Type="http://schemas.openxmlformats.org/officeDocument/2006/relationships/hyperlink" Target="http://www.calphysics.org/rindler.html" TargetMode="External"/><Relationship Id="rId367" Type="http://schemas.openxmlformats.org/officeDocument/2006/relationships/hyperlink" Target="http://snl.no/Kristian_Bernhard_Birkeland" TargetMode="External"/><Relationship Id="rId574" Type="http://schemas.openxmlformats.org/officeDocument/2006/relationships/oleObject" Target="embeddings/oleObject104.bin"/><Relationship Id="rId1120" Type="http://schemas.openxmlformats.org/officeDocument/2006/relationships/hyperlink" Target="http://bioenergy.asu.edu/photosyn/education/photointro.html" TargetMode="External"/><Relationship Id="rId1218" Type="http://schemas.openxmlformats.org/officeDocument/2006/relationships/image" Target="media/image525.jpeg"/><Relationship Id="rId227" Type="http://schemas.openxmlformats.org/officeDocument/2006/relationships/oleObject" Target="embeddings/oleObject23.bin"/><Relationship Id="rId781" Type="http://schemas.openxmlformats.org/officeDocument/2006/relationships/oleObject" Target="embeddings/oleObject208.bin"/><Relationship Id="rId879" Type="http://schemas.openxmlformats.org/officeDocument/2006/relationships/image" Target="media/image383.wmf"/><Relationship Id="rId434" Type="http://schemas.openxmlformats.org/officeDocument/2006/relationships/image" Target="media/image167.wmf"/><Relationship Id="rId641" Type="http://schemas.openxmlformats.org/officeDocument/2006/relationships/image" Target="media/image266.wmf"/><Relationship Id="rId739" Type="http://schemas.openxmlformats.org/officeDocument/2006/relationships/image" Target="media/image314.wmf"/><Relationship Id="rId1064" Type="http://schemas.openxmlformats.org/officeDocument/2006/relationships/hyperlink" Target="http://micro.magnet.fsu.edu/publications/pages/rocks.html" TargetMode="External"/><Relationship Id="rId1271" Type="http://schemas.openxmlformats.org/officeDocument/2006/relationships/hyperlink" Target="http://www.astro.ljmu.ac.uk/courses/phys134/distance.html" TargetMode="External"/><Relationship Id="rId280" Type="http://schemas.openxmlformats.org/officeDocument/2006/relationships/hyperlink" Target="http://www.thunderbolts.info/tpod/2005/arch05/051031plasma.htm" TargetMode="External"/><Relationship Id="rId501" Type="http://schemas.openxmlformats.org/officeDocument/2006/relationships/oleObject" Target="embeddings/oleObject67.bin"/><Relationship Id="rId946" Type="http://schemas.openxmlformats.org/officeDocument/2006/relationships/oleObject" Target="embeddings/oleObject287.bin"/><Relationship Id="rId1131" Type="http://schemas.openxmlformats.org/officeDocument/2006/relationships/hyperlink" Target="http://written-in-stone-seen-through-my-lens.blogspot.com/2012/06/eurypterid-eurypterus-remipes-is_29.html" TargetMode="External"/><Relationship Id="rId1229" Type="http://schemas.openxmlformats.org/officeDocument/2006/relationships/hyperlink" Target="http://www.calphysics.org/questions.html" TargetMode="External"/><Relationship Id="rId75" Type="http://schemas.openxmlformats.org/officeDocument/2006/relationships/image" Target="media/image34.jpeg"/><Relationship Id="rId140" Type="http://schemas.openxmlformats.org/officeDocument/2006/relationships/hyperlink" Target="http://micro.magnet.fsu.edu/optics/timeline/people/bradley.html" TargetMode="External"/><Relationship Id="rId378" Type="http://schemas.openxmlformats.org/officeDocument/2006/relationships/hyperlink" Target="http://images.nrao.edu/501" TargetMode="External"/><Relationship Id="rId585" Type="http://schemas.openxmlformats.org/officeDocument/2006/relationships/image" Target="media/image238.wmf"/><Relationship Id="rId792" Type="http://schemas.openxmlformats.org/officeDocument/2006/relationships/image" Target="media/image340.wmf"/><Relationship Id="rId806" Type="http://schemas.openxmlformats.org/officeDocument/2006/relationships/oleObject" Target="embeddings/oleObject220.bin"/><Relationship Id="rId6" Type="http://schemas.openxmlformats.org/officeDocument/2006/relationships/footnotes" Target="footnotes.xml"/><Relationship Id="rId238" Type="http://schemas.openxmlformats.org/officeDocument/2006/relationships/hyperlink" Target="http://arxiv.org/abs/astro-ph/9812133" TargetMode="External"/><Relationship Id="rId445" Type="http://schemas.openxmlformats.org/officeDocument/2006/relationships/hyperlink" Target="http://www.setterfield.org/000docs/behaviorzpeapp7.html" TargetMode="External"/><Relationship Id="rId652" Type="http://schemas.openxmlformats.org/officeDocument/2006/relationships/oleObject" Target="embeddings/oleObject143.bin"/><Relationship Id="rId1075" Type="http://schemas.openxmlformats.org/officeDocument/2006/relationships/hyperlink" Target="http://palaeo.gly.bris.ac.uk/communication/hanks/eff.html" TargetMode="External"/><Relationship Id="rId1282" Type="http://schemas.openxmlformats.org/officeDocument/2006/relationships/oleObject" Target="embeddings/oleObject330.bin"/><Relationship Id="rId291" Type="http://schemas.openxmlformats.org/officeDocument/2006/relationships/image" Target="media/image119.emf"/><Relationship Id="rId305" Type="http://schemas.openxmlformats.org/officeDocument/2006/relationships/image" Target="media/image129.jpeg"/><Relationship Id="rId512" Type="http://schemas.openxmlformats.org/officeDocument/2006/relationships/image" Target="media/image202.wmf"/><Relationship Id="rId957" Type="http://schemas.openxmlformats.org/officeDocument/2006/relationships/hyperlink" Target="http://en.wikipedia.org/wiki/Apsidal_precession" TargetMode="External"/><Relationship Id="rId1142" Type="http://schemas.openxmlformats.org/officeDocument/2006/relationships/hyperlink" Target="http://www.fdm-travel.dk/england/kent-rundrejse.html" TargetMode="External"/><Relationship Id="rId86" Type="http://schemas.openxmlformats.org/officeDocument/2006/relationships/image" Target="media/image43.gif"/><Relationship Id="rId151" Type="http://schemas.openxmlformats.org/officeDocument/2006/relationships/hyperlink" Target="http://micro.magnet.fsu.edu/optics/timeline/people/foucault.html" TargetMode="External"/><Relationship Id="rId389" Type="http://schemas.openxmlformats.org/officeDocument/2006/relationships/hyperlink" Target="http://www.nasa.gov/mission_pages/hubble/multimedia/ero/ero_ngc6302.html" TargetMode="External"/><Relationship Id="rId596" Type="http://schemas.openxmlformats.org/officeDocument/2006/relationships/oleObject" Target="embeddings/oleObject115.bin"/><Relationship Id="rId817" Type="http://schemas.openxmlformats.org/officeDocument/2006/relationships/image" Target="media/image353.wmf"/><Relationship Id="rId1002" Type="http://schemas.openxmlformats.org/officeDocument/2006/relationships/hyperlink" Target="http://kgortney.pbworks.com/w/page/28715420/Class%20Notes" TargetMode="External"/><Relationship Id="rId249" Type="http://schemas.openxmlformats.org/officeDocument/2006/relationships/hyperlink" Target="http://www.atlasoftheuniverse.com/galgrps/maffei.html" TargetMode="External"/><Relationship Id="rId456" Type="http://schemas.openxmlformats.org/officeDocument/2006/relationships/image" Target="media/image177.wmf"/><Relationship Id="rId663" Type="http://schemas.openxmlformats.org/officeDocument/2006/relationships/image" Target="media/image276.wmf"/><Relationship Id="rId870" Type="http://schemas.openxmlformats.org/officeDocument/2006/relationships/oleObject" Target="embeddings/oleObject253.bin"/><Relationship Id="rId1086" Type="http://schemas.openxmlformats.org/officeDocument/2006/relationships/hyperlink" Target="http://www.austhrutime.com/mapcis.htm" TargetMode="External"/><Relationship Id="rId1293" Type="http://schemas.openxmlformats.org/officeDocument/2006/relationships/hyperlink" Target="http://www.setterfield.org/000docs/behaviorzpeapp8.html" TargetMode="External"/><Relationship Id="rId1307" Type="http://schemas.openxmlformats.org/officeDocument/2006/relationships/image" Target="media/image539.jpeg"/><Relationship Id="rId13" Type="http://schemas.openxmlformats.org/officeDocument/2006/relationships/image" Target="media/image6.jpeg"/><Relationship Id="rId109" Type="http://schemas.openxmlformats.org/officeDocument/2006/relationships/image" Target="media/image57.jpeg"/><Relationship Id="rId316" Type="http://schemas.openxmlformats.org/officeDocument/2006/relationships/image" Target="media/image138.jpeg"/><Relationship Id="rId523" Type="http://schemas.openxmlformats.org/officeDocument/2006/relationships/oleObject" Target="embeddings/oleObject78.bin"/><Relationship Id="rId968" Type="http://schemas.openxmlformats.org/officeDocument/2006/relationships/hyperlink" Target="http://www.setterfield.org/000docs/behaviorzpeapp4.html" TargetMode="External"/><Relationship Id="rId1153" Type="http://schemas.openxmlformats.org/officeDocument/2006/relationships/image" Target="media/image494.wmf"/><Relationship Id="rId97" Type="http://schemas.openxmlformats.org/officeDocument/2006/relationships/chart" Target="charts/chart5.xml"/><Relationship Id="rId730" Type="http://schemas.openxmlformats.org/officeDocument/2006/relationships/oleObject" Target="embeddings/oleObject182.bin"/><Relationship Id="rId828" Type="http://schemas.openxmlformats.org/officeDocument/2006/relationships/oleObject" Target="embeddings/oleObject231.bin"/><Relationship Id="rId1013" Type="http://schemas.openxmlformats.org/officeDocument/2006/relationships/image" Target="media/image436.jpeg"/><Relationship Id="rId1360" Type="http://schemas.openxmlformats.org/officeDocument/2006/relationships/hyperlink" Target="http://www.setterfield.org" TargetMode="External"/><Relationship Id="rId162" Type="http://schemas.openxmlformats.org/officeDocument/2006/relationships/hyperlink" Target="http://www.setterfield.org/000docs/behaviorzpe3.html" TargetMode="External"/><Relationship Id="rId467" Type="http://schemas.openxmlformats.org/officeDocument/2006/relationships/oleObject" Target="embeddings/oleObject49.bin"/><Relationship Id="rId1097" Type="http://schemas.openxmlformats.org/officeDocument/2006/relationships/image" Target="media/image474.png"/><Relationship Id="rId1220" Type="http://schemas.openxmlformats.org/officeDocument/2006/relationships/image" Target="media/image527.jpeg"/><Relationship Id="rId1318" Type="http://schemas.openxmlformats.org/officeDocument/2006/relationships/image" Target="media/image550.jpeg"/><Relationship Id="rId674" Type="http://schemas.openxmlformats.org/officeDocument/2006/relationships/oleObject" Target="embeddings/oleObject154.bin"/><Relationship Id="rId881" Type="http://schemas.openxmlformats.org/officeDocument/2006/relationships/image" Target="media/image384.wmf"/><Relationship Id="rId979" Type="http://schemas.openxmlformats.org/officeDocument/2006/relationships/hyperlink" Target="http://www.setterfield.org/000docs/behaviorzpeapp4.html" TargetMode="External"/><Relationship Id="rId24" Type="http://schemas.openxmlformats.org/officeDocument/2006/relationships/image" Target="media/image16.jpeg"/><Relationship Id="rId327" Type="http://schemas.openxmlformats.org/officeDocument/2006/relationships/image" Target="media/image148.jpeg"/><Relationship Id="rId534" Type="http://schemas.openxmlformats.org/officeDocument/2006/relationships/image" Target="media/image213.wmf"/><Relationship Id="rId741" Type="http://schemas.openxmlformats.org/officeDocument/2006/relationships/image" Target="media/image315.wmf"/><Relationship Id="rId839" Type="http://schemas.openxmlformats.org/officeDocument/2006/relationships/oleObject" Target="embeddings/oleObject237.bin"/><Relationship Id="rId1164" Type="http://schemas.openxmlformats.org/officeDocument/2006/relationships/image" Target="media/image498.wmf"/><Relationship Id="rId173" Type="http://schemas.openxmlformats.org/officeDocument/2006/relationships/hyperlink" Target="http://physics.nist.gov/constants" TargetMode="External"/><Relationship Id="rId380" Type="http://schemas.openxmlformats.org/officeDocument/2006/relationships/hyperlink" Target="http://csep10.phys.utk.edu/astr162/lect/active/ngc4261.html" TargetMode="External"/><Relationship Id="rId601" Type="http://schemas.openxmlformats.org/officeDocument/2006/relationships/image" Target="media/image246.wmf"/><Relationship Id="rId1024" Type="http://schemas.openxmlformats.org/officeDocument/2006/relationships/image" Target="media/image447.jpeg"/><Relationship Id="rId1231" Type="http://schemas.openxmlformats.org/officeDocument/2006/relationships/hyperlink" Target="http://bancroft.berkeley.edu/Exhibits/physics/learning01.html" TargetMode="External"/><Relationship Id="rId240" Type="http://schemas.openxmlformats.org/officeDocument/2006/relationships/hyperlink" Target="http://arxiv.org/abs/astro-ph/9805201" TargetMode="External"/><Relationship Id="rId478" Type="http://schemas.openxmlformats.org/officeDocument/2006/relationships/image" Target="media/image188.wmf"/><Relationship Id="rId685" Type="http://schemas.openxmlformats.org/officeDocument/2006/relationships/image" Target="media/image287.wmf"/><Relationship Id="rId892" Type="http://schemas.openxmlformats.org/officeDocument/2006/relationships/oleObject" Target="embeddings/oleObject264.bin"/><Relationship Id="rId906" Type="http://schemas.openxmlformats.org/officeDocument/2006/relationships/oleObject" Target="embeddings/oleObject271.bin"/><Relationship Id="rId1329" Type="http://schemas.openxmlformats.org/officeDocument/2006/relationships/image" Target="media/image561.jpeg"/><Relationship Id="rId35" Type="http://schemas.openxmlformats.org/officeDocument/2006/relationships/hyperlink" Target="http://en.wikipedia.org/wiki/File:Redshift.png" TargetMode="External"/><Relationship Id="rId100" Type="http://schemas.openxmlformats.org/officeDocument/2006/relationships/image" Target="media/image52.jpeg"/><Relationship Id="rId338" Type="http://schemas.openxmlformats.org/officeDocument/2006/relationships/hyperlink" Target="http://lmsal.com/Press/spicules2004/" TargetMode="External"/><Relationship Id="rId545" Type="http://schemas.openxmlformats.org/officeDocument/2006/relationships/oleObject" Target="embeddings/oleObject89.bin"/><Relationship Id="rId752" Type="http://schemas.openxmlformats.org/officeDocument/2006/relationships/image" Target="media/image320.wmf"/><Relationship Id="rId1175" Type="http://schemas.openxmlformats.org/officeDocument/2006/relationships/oleObject" Target="embeddings/oleObject305.bin"/><Relationship Id="rId184" Type="http://schemas.openxmlformats.org/officeDocument/2006/relationships/image" Target="media/image79.png"/><Relationship Id="rId391" Type="http://schemas.openxmlformats.org/officeDocument/2006/relationships/hyperlink" Target="http://www.spacetelescope.org/projects/fits_liberator/fitsimages/danny_lacrue_11/" TargetMode="External"/><Relationship Id="rId405" Type="http://schemas.openxmlformats.org/officeDocument/2006/relationships/image" Target="media/image152.png"/><Relationship Id="rId612" Type="http://schemas.openxmlformats.org/officeDocument/2006/relationships/oleObject" Target="embeddings/oleObject123.bin"/><Relationship Id="rId1035" Type="http://schemas.openxmlformats.org/officeDocument/2006/relationships/image" Target="media/image457.jpeg"/><Relationship Id="rId1242" Type="http://schemas.openxmlformats.org/officeDocument/2006/relationships/hyperlink" Target="http://home.fnal.gov/~morfin/minos/monitor_ieee.pdf" TargetMode="External"/><Relationship Id="rId251" Type="http://schemas.openxmlformats.org/officeDocument/2006/relationships/hyperlink" Target="http://www.atlasoftheuniverse.com/galgrps/m101.html" TargetMode="External"/><Relationship Id="rId489" Type="http://schemas.openxmlformats.org/officeDocument/2006/relationships/image" Target="media/image191.wmf"/><Relationship Id="rId696" Type="http://schemas.openxmlformats.org/officeDocument/2006/relationships/oleObject" Target="embeddings/oleObject165.bin"/><Relationship Id="rId917" Type="http://schemas.openxmlformats.org/officeDocument/2006/relationships/image" Target="media/image402.png"/><Relationship Id="rId1102" Type="http://schemas.openxmlformats.org/officeDocument/2006/relationships/image" Target="media/image479.jpeg"/><Relationship Id="rId46" Type="http://schemas.openxmlformats.org/officeDocument/2006/relationships/image" Target="media/image21.jpeg"/><Relationship Id="rId349" Type="http://schemas.openxmlformats.org/officeDocument/2006/relationships/hyperlink" Target="http://192.171.198.135/Ps/aac/aac_evuniv_lss.asp" TargetMode="External"/><Relationship Id="rId556" Type="http://schemas.openxmlformats.org/officeDocument/2006/relationships/image" Target="media/image224.wmf"/><Relationship Id="rId763" Type="http://schemas.openxmlformats.org/officeDocument/2006/relationships/oleObject" Target="embeddings/oleObject199.bin"/><Relationship Id="rId1186" Type="http://schemas.openxmlformats.org/officeDocument/2006/relationships/image" Target="media/image509.wmf"/><Relationship Id="rId111" Type="http://schemas.openxmlformats.org/officeDocument/2006/relationships/image" Target="media/image59.jpeg"/><Relationship Id="rId195" Type="http://schemas.openxmlformats.org/officeDocument/2006/relationships/oleObject" Target="embeddings/oleObject9.bin"/><Relationship Id="rId209" Type="http://schemas.openxmlformats.org/officeDocument/2006/relationships/oleObject" Target="embeddings/oleObject16.bin"/><Relationship Id="rId416" Type="http://schemas.openxmlformats.org/officeDocument/2006/relationships/oleObject" Target="embeddings/oleObject30.bin"/><Relationship Id="rId970" Type="http://schemas.openxmlformats.org/officeDocument/2006/relationships/hyperlink" Target="http://www.setterfield.org/000docs/behaviorzpeapp4.html" TargetMode="External"/><Relationship Id="rId1046" Type="http://schemas.openxmlformats.org/officeDocument/2006/relationships/image" Target="media/image468.jpeg"/><Relationship Id="rId1253" Type="http://schemas.openxmlformats.org/officeDocument/2006/relationships/hyperlink" Target="http://www.setterfield.org/000docs/behaviorzpeapp2.html" TargetMode="External"/><Relationship Id="rId623" Type="http://schemas.openxmlformats.org/officeDocument/2006/relationships/image" Target="media/image257.wmf"/><Relationship Id="rId830" Type="http://schemas.openxmlformats.org/officeDocument/2006/relationships/image" Target="media/image359.wmf"/><Relationship Id="rId928" Type="http://schemas.openxmlformats.org/officeDocument/2006/relationships/oleObject" Target="embeddings/oleObject278.bin"/><Relationship Id="rId57" Type="http://schemas.openxmlformats.org/officeDocument/2006/relationships/hyperlink" Target="http://www.astr.ua.edu/keel/agn/quasar40.html" TargetMode="External"/><Relationship Id="rId262" Type="http://schemas.openxmlformats.org/officeDocument/2006/relationships/hyperlink" Target="http://cosmoquest.org/forum/showthread.php/65180-Why-do-astronomers-reject-72-km-s-redshift-quantization-periodicity" TargetMode="External"/><Relationship Id="rId567" Type="http://schemas.openxmlformats.org/officeDocument/2006/relationships/image" Target="media/image229.wmf"/><Relationship Id="rId1113" Type="http://schemas.openxmlformats.org/officeDocument/2006/relationships/hyperlink" Target="http://www.adonline.id.au/plantevol/tour/mega-clubmoss-flora.php" TargetMode="External"/><Relationship Id="rId1197" Type="http://schemas.openxmlformats.org/officeDocument/2006/relationships/oleObject" Target="embeddings/oleObject314.bin"/><Relationship Id="rId1320" Type="http://schemas.openxmlformats.org/officeDocument/2006/relationships/image" Target="media/image552.jpeg"/><Relationship Id="rId122" Type="http://schemas.openxmlformats.org/officeDocument/2006/relationships/chart" Target="charts/chart9.xml"/><Relationship Id="rId774" Type="http://schemas.openxmlformats.org/officeDocument/2006/relationships/image" Target="media/image331.wmf"/><Relationship Id="rId981" Type="http://schemas.openxmlformats.org/officeDocument/2006/relationships/image" Target="media/image427.jpeg"/><Relationship Id="rId1057" Type="http://schemas.openxmlformats.org/officeDocument/2006/relationships/hyperlink" Target="http://www.scribd.com/doc/6716357/Meteorites-and-Liquid-Water" TargetMode="External"/><Relationship Id="rId427" Type="http://schemas.openxmlformats.org/officeDocument/2006/relationships/oleObject" Target="embeddings/oleObject32.bin"/><Relationship Id="rId634" Type="http://schemas.openxmlformats.org/officeDocument/2006/relationships/oleObject" Target="embeddings/oleObject134.bin"/><Relationship Id="rId841" Type="http://schemas.openxmlformats.org/officeDocument/2006/relationships/oleObject" Target="embeddings/oleObject238.bin"/><Relationship Id="rId1264" Type="http://schemas.openxmlformats.org/officeDocument/2006/relationships/hyperlink" Target="http://www.setterfield.org/000docs/behaviorzpeapp2.html" TargetMode="External"/><Relationship Id="rId273" Type="http://schemas.openxmlformats.org/officeDocument/2006/relationships/package" Target="embeddings/Microsoft_Office_PowerPoint_Slide19.sldx"/><Relationship Id="rId480" Type="http://schemas.openxmlformats.org/officeDocument/2006/relationships/oleObject" Target="embeddings/oleObject56.bin"/><Relationship Id="rId701" Type="http://schemas.openxmlformats.org/officeDocument/2006/relationships/image" Target="media/image295.wmf"/><Relationship Id="rId939" Type="http://schemas.openxmlformats.org/officeDocument/2006/relationships/image" Target="media/image417.wmf"/><Relationship Id="rId1124" Type="http://schemas.openxmlformats.org/officeDocument/2006/relationships/hyperlink" Target="http://www.ncbi.nlm.nih.gov/pmc/articles/PMC1055706/pdf/plntphys00634-0060.pdf" TargetMode="External"/><Relationship Id="rId1331" Type="http://schemas.openxmlformats.org/officeDocument/2006/relationships/image" Target="media/image563.jpeg"/><Relationship Id="rId68" Type="http://schemas.openxmlformats.org/officeDocument/2006/relationships/hyperlink" Target="http://astro.ucla.edu/~wright/Lyman-alpha-forest.html" TargetMode="External"/><Relationship Id="rId133" Type="http://schemas.openxmlformats.org/officeDocument/2006/relationships/hyperlink" Target="http://en.wikipedia.org/wiki/Ole_R%C3%B8mer" TargetMode="External"/><Relationship Id="rId340" Type="http://schemas.openxmlformats.org/officeDocument/2006/relationships/hyperlink" Target="http://www.solarphysics.kva.se/NatureNov2002/images/NP1_Fig3_arrows_color.gif" TargetMode="External"/><Relationship Id="rId578" Type="http://schemas.openxmlformats.org/officeDocument/2006/relationships/oleObject" Target="embeddings/oleObject106.bin"/><Relationship Id="rId785" Type="http://schemas.openxmlformats.org/officeDocument/2006/relationships/oleObject" Target="embeddings/oleObject210.bin"/><Relationship Id="rId992" Type="http://schemas.openxmlformats.org/officeDocument/2006/relationships/image" Target="media/image432.jpeg"/><Relationship Id="rId200" Type="http://schemas.openxmlformats.org/officeDocument/2006/relationships/image" Target="media/image87.wmf"/><Relationship Id="rId438" Type="http://schemas.openxmlformats.org/officeDocument/2006/relationships/image" Target="media/image169.wmf"/><Relationship Id="rId645" Type="http://schemas.openxmlformats.org/officeDocument/2006/relationships/oleObject" Target="embeddings/oleObject140.bin"/><Relationship Id="rId852" Type="http://schemas.openxmlformats.org/officeDocument/2006/relationships/image" Target="media/image370.wmf"/><Relationship Id="rId1068" Type="http://schemas.openxmlformats.org/officeDocument/2006/relationships/hyperlink" Target="http://en.wikipedia.org/wiki/2013_Russian_meteor_event" TargetMode="External"/><Relationship Id="rId1275" Type="http://schemas.openxmlformats.org/officeDocument/2006/relationships/hyperlink" Target="http://www.setterfield.org/000docs/behaviorzpeapp6.html" TargetMode="External"/><Relationship Id="rId284" Type="http://schemas.openxmlformats.org/officeDocument/2006/relationships/hyperlink" Target="http://en.wikipedia.org/wiki/Solar_System" TargetMode="External"/><Relationship Id="rId491" Type="http://schemas.openxmlformats.org/officeDocument/2006/relationships/image" Target="media/image192.wmf"/><Relationship Id="rId505" Type="http://schemas.openxmlformats.org/officeDocument/2006/relationships/oleObject" Target="embeddings/oleObject69.bin"/><Relationship Id="rId712" Type="http://schemas.openxmlformats.org/officeDocument/2006/relationships/oleObject" Target="embeddings/oleObject173.bin"/><Relationship Id="rId1135" Type="http://schemas.openxmlformats.org/officeDocument/2006/relationships/hyperlink" Target="http://www.web-books.com/eLibrary/Medicine/Physiology/Nervous/Nervous.htm" TargetMode="External"/><Relationship Id="rId1342" Type="http://schemas.openxmlformats.org/officeDocument/2006/relationships/image" Target="media/image574.png"/><Relationship Id="rId37" Type="http://schemas.openxmlformats.org/officeDocument/2006/relationships/hyperlink" Target="http://astro.unl.edu/naap/esp/dopplereffect.html" TargetMode="External"/><Relationship Id="rId79" Type="http://schemas.openxmlformats.org/officeDocument/2006/relationships/image" Target="media/image37.png"/><Relationship Id="rId102" Type="http://schemas.openxmlformats.org/officeDocument/2006/relationships/hyperlink" Target="http://www.setterfield.org/000docs/cx3.html" TargetMode="External"/><Relationship Id="rId144" Type="http://schemas.openxmlformats.org/officeDocument/2006/relationships/hyperlink" Target="http://collectionsonline.nmsi.ac.uk/detail.php?t=objects&amp;type=ext&amp;f=&amp;s=&amp;record=801&amp;category1=SCM+-+Astronomy&amp;op-earliest_year=&amp;op-latest_year" TargetMode="External"/><Relationship Id="rId547" Type="http://schemas.openxmlformats.org/officeDocument/2006/relationships/oleObject" Target="embeddings/oleObject90.bin"/><Relationship Id="rId589" Type="http://schemas.openxmlformats.org/officeDocument/2006/relationships/image" Target="media/image240.wmf"/><Relationship Id="rId754" Type="http://schemas.openxmlformats.org/officeDocument/2006/relationships/image" Target="media/image321.wmf"/><Relationship Id="rId796" Type="http://schemas.openxmlformats.org/officeDocument/2006/relationships/image" Target="media/image342.wmf"/><Relationship Id="rId961" Type="http://schemas.openxmlformats.org/officeDocument/2006/relationships/hyperlink" Target="http://www.mpa-garching.mpg.de/HIGHLIGHT/2000/highlight0010_e.html" TargetMode="External"/><Relationship Id="rId1202" Type="http://schemas.openxmlformats.org/officeDocument/2006/relationships/image" Target="media/image517.wmf"/><Relationship Id="rId90" Type="http://schemas.openxmlformats.org/officeDocument/2006/relationships/image" Target="media/image45.png"/><Relationship Id="rId186" Type="http://schemas.openxmlformats.org/officeDocument/2006/relationships/hyperlink" Target="http://www.haltonarp.com/articles/intrinsic_redshifts_in_quasars_and_galaxies.pdf" TargetMode="External"/><Relationship Id="rId351" Type="http://schemas.openxmlformats.org/officeDocument/2006/relationships/hyperlink" Target="http://www.sciencedaily.com/releases/2005/09/050917084531.htm" TargetMode="External"/><Relationship Id="rId393" Type="http://schemas.openxmlformats.org/officeDocument/2006/relationships/hyperlink" Target="http://ars.els-cdn.com/content/image/1-s2.0-S0031920112001720-gr8.jpg" TargetMode="External"/><Relationship Id="rId407" Type="http://schemas.openxmlformats.org/officeDocument/2006/relationships/image" Target="media/image153.wmf"/><Relationship Id="rId449" Type="http://schemas.openxmlformats.org/officeDocument/2006/relationships/oleObject" Target="embeddings/oleObject42.bin"/><Relationship Id="rId614" Type="http://schemas.openxmlformats.org/officeDocument/2006/relationships/oleObject" Target="embeddings/oleObject124.bin"/><Relationship Id="rId656" Type="http://schemas.openxmlformats.org/officeDocument/2006/relationships/oleObject" Target="embeddings/oleObject145.bin"/><Relationship Id="rId821" Type="http://schemas.openxmlformats.org/officeDocument/2006/relationships/image" Target="media/image355.wmf"/><Relationship Id="rId863" Type="http://schemas.openxmlformats.org/officeDocument/2006/relationships/oleObject" Target="embeddings/oleObject249.bin"/><Relationship Id="rId1037" Type="http://schemas.openxmlformats.org/officeDocument/2006/relationships/image" Target="media/image459.jpeg"/><Relationship Id="rId1079" Type="http://schemas.openxmlformats.org/officeDocument/2006/relationships/hyperlink" Target="http://www.psrd.hawaii.edu/May10/YoungerALH84001.html" TargetMode="External"/><Relationship Id="rId1244" Type="http://schemas.openxmlformats.org/officeDocument/2006/relationships/hyperlink" Target="http://www.setterfield.org/000docs/behaviorzpeapp2.html" TargetMode="External"/><Relationship Id="rId1286" Type="http://schemas.openxmlformats.org/officeDocument/2006/relationships/oleObject" Target="embeddings/oleObject334.bin"/><Relationship Id="rId211" Type="http://schemas.openxmlformats.org/officeDocument/2006/relationships/oleObject" Target="embeddings/oleObject17.bin"/><Relationship Id="rId253" Type="http://schemas.openxmlformats.org/officeDocument/2006/relationships/hyperlink" Target="http://www.math.lsa.umich.edu/mmss/coursesONLINE/Astro/Ex1.4/" TargetMode="External"/><Relationship Id="rId295" Type="http://schemas.openxmlformats.org/officeDocument/2006/relationships/hyperlink" Target="http://www.theregister.co.uk/2011/07/25/cloud/" TargetMode="External"/><Relationship Id="rId309" Type="http://schemas.openxmlformats.org/officeDocument/2006/relationships/image" Target="media/image133.jpeg"/><Relationship Id="rId460" Type="http://schemas.openxmlformats.org/officeDocument/2006/relationships/image" Target="media/image179.wmf"/><Relationship Id="rId516" Type="http://schemas.openxmlformats.org/officeDocument/2006/relationships/image" Target="media/image204.wmf"/><Relationship Id="rId698" Type="http://schemas.openxmlformats.org/officeDocument/2006/relationships/oleObject" Target="embeddings/oleObject166.bin"/><Relationship Id="rId919" Type="http://schemas.openxmlformats.org/officeDocument/2006/relationships/image" Target="media/image404.jpeg"/><Relationship Id="rId1090" Type="http://schemas.openxmlformats.org/officeDocument/2006/relationships/hyperlink" Target="http://www.auburn.edu/~kingdat/wetumpkawebpage3.htm" TargetMode="External"/><Relationship Id="rId1104" Type="http://schemas.openxmlformats.org/officeDocument/2006/relationships/image" Target="media/image481.jpeg"/><Relationship Id="rId1146" Type="http://schemas.openxmlformats.org/officeDocument/2006/relationships/oleObject" Target="embeddings/oleObject289.bin"/><Relationship Id="rId1311" Type="http://schemas.openxmlformats.org/officeDocument/2006/relationships/image" Target="media/image543.jpeg"/><Relationship Id="rId48" Type="http://schemas.openxmlformats.org/officeDocument/2006/relationships/oleObject" Target="embeddings/oleObject1.bin"/><Relationship Id="rId113" Type="http://schemas.openxmlformats.org/officeDocument/2006/relationships/image" Target="media/image61.emf"/><Relationship Id="rId320" Type="http://schemas.openxmlformats.org/officeDocument/2006/relationships/hyperlink" Target="http://www.spacedaily.com/news/lunarplanet-2001-01a4.html" TargetMode="External"/><Relationship Id="rId558" Type="http://schemas.openxmlformats.org/officeDocument/2006/relationships/oleObject" Target="embeddings/oleObject96.bin"/><Relationship Id="rId723" Type="http://schemas.openxmlformats.org/officeDocument/2006/relationships/image" Target="media/image306.wmf"/><Relationship Id="rId765" Type="http://schemas.openxmlformats.org/officeDocument/2006/relationships/oleObject" Target="embeddings/oleObject200.bin"/><Relationship Id="rId930" Type="http://schemas.openxmlformats.org/officeDocument/2006/relationships/oleObject" Target="embeddings/oleObject279.bin"/><Relationship Id="rId972" Type="http://schemas.openxmlformats.org/officeDocument/2006/relationships/image" Target="media/image424.jpeg"/><Relationship Id="rId1006" Type="http://schemas.openxmlformats.org/officeDocument/2006/relationships/hyperlink" Target="http://www.creationinthecrossfire.com/documents/pohalos/polonium_pleochroic_halos.htm" TargetMode="External"/><Relationship Id="rId1188" Type="http://schemas.openxmlformats.org/officeDocument/2006/relationships/image" Target="media/image510.wmf"/><Relationship Id="rId1353" Type="http://schemas.openxmlformats.org/officeDocument/2006/relationships/hyperlink" Target="http://www.mapcis.net/mapcis_case.html" TargetMode="External"/><Relationship Id="rId155" Type="http://schemas.openxmlformats.org/officeDocument/2006/relationships/hyperlink" Target="http://vigo.ime.unicamp.br/~fismat/newcomb.pdf" TargetMode="External"/><Relationship Id="rId197" Type="http://schemas.openxmlformats.org/officeDocument/2006/relationships/oleObject" Target="embeddings/oleObject10.bin"/><Relationship Id="rId362" Type="http://schemas.openxmlformats.org/officeDocument/2006/relationships/hyperlink" Target="http://uanews.org/node/5107" TargetMode="External"/><Relationship Id="rId418" Type="http://schemas.openxmlformats.org/officeDocument/2006/relationships/package" Target="embeddings/Microsoft_Office_PowerPoint_Slide22.sldx"/><Relationship Id="rId625" Type="http://schemas.openxmlformats.org/officeDocument/2006/relationships/image" Target="media/image258.wmf"/><Relationship Id="rId832" Type="http://schemas.openxmlformats.org/officeDocument/2006/relationships/image" Target="media/image360.wmf"/><Relationship Id="rId1048" Type="http://schemas.openxmlformats.org/officeDocument/2006/relationships/image" Target="media/image470.jpeg"/><Relationship Id="rId1213" Type="http://schemas.openxmlformats.org/officeDocument/2006/relationships/oleObject" Target="embeddings/oleObject320.bin"/><Relationship Id="rId1255" Type="http://schemas.openxmlformats.org/officeDocument/2006/relationships/hyperlink" Target="http://www.setterfield.org/000docs/behaviorzpeapp2.html" TargetMode="External"/><Relationship Id="rId1297" Type="http://schemas.openxmlformats.org/officeDocument/2006/relationships/hyperlink" Target="http://www.setterfield.org/000docs/behaviorzpeapp8.html" TargetMode="External"/><Relationship Id="rId222" Type="http://schemas.openxmlformats.org/officeDocument/2006/relationships/image" Target="media/image99.wmf"/><Relationship Id="rId264" Type="http://schemas.openxmlformats.org/officeDocument/2006/relationships/hyperlink" Target="http://arijmaki.wordpress.com/2010/03/02/abell-85-galaxy-sheets-or-quantized-redshifts/" TargetMode="External"/><Relationship Id="rId471" Type="http://schemas.openxmlformats.org/officeDocument/2006/relationships/oleObject" Target="embeddings/oleObject51.bin"/><Relationship Id="rId667" Type="http://schemas.openxmlformats.org/officeDocument/2006/relationships/image" Target="media/image278.wmf"/><Relationship Id="rId874" Type="http://schemas.openxmlformats.org/officeDocument/2006/relationships/oleObject" Target="embeddings/oleObject255.bin"/><Relationship Id="rId1115" Type="http://schemas.openxmlformats.org/officeDocument/2006/relationships/hyperlink" Target="http://dx.doi.org/10.1098/rsbl.2007.0491" TargetMode="External"/><Relationship Id="rId1322" Type="http://schemas.openxmlformats.org/officeDocument/2006/relationships/image" Target="media/image554.jpeg"/><Relationship Id="rId17" Type="http://schemas.openxmlformats.org/officeDocument/2006/relationships/image" Target="media/image9.jpeg"/><Relationship Id="rId59" Type="http://schemas.openxmlformats.org/officeDocument/2006/relationships/image" Target="media/image30.jpeg"/><Relationship Id="rId124" Type="http://schemas.openxmlformats.org/officeDocument/2006/relationships/chart" Target="charts/chart11.xml"/><Relationship Id="rId527" Type="http://schemas.openxmlformats.org/officeDocument/2006/relationships/oleObject" Target="embeddings/oleObject80.bin"/><Relationship Id="rId569" Type="http://schemas.openxmlformats.org/officeDocument/2006/relationships/image" Target="media/image230.wmf"/><Relationship Id="rId734" Type="http://schemas.openxmlformats.org/officeDocument/2006/relationships/oleObject" Target="embeddings/oleObject184.bin"/><Relationship Id="rId776" Type="http://schemas.openxmlformats.org/officeDocument/2006/relationships/image" Target="media/image332.wmf"/><Relationship Id="rId941" Type="http://schemas.openxmlformats.org/officeDocument/2006/relationships/image" Target="media/image418.wmf"/><Relationship Id="rId983" Type="http://schemas.openxmlformats.org/officeDocument/2006/relationships/image" Target="media/image429.jpeg"/><Relationship Id="rId1157" Type="http://schemas.openxmlformats.org/officeDocument/2006/relationships/oleObject" Target="embeddings/oleObject295.bin"/><Relationship Id="rId1199" Type="http://schemas.openxmlformats.org/officeDocument/2006/relationships/oleObject" Target="embeddings/oleObject315.bin"/><Relationship Id="rId1364" Type="http://schemas.openxmlformats.org/officeDocument/2006/relationships/footer" Target="footer1.xml"/><Relationship Id="rId70" Type="http://schemas.openxmlformats.org/officeDocument/2006/relationships/image" Target="media/image31.jpeg"/><Relationship Id="rId166" Type="http://schemas.openxmlformats.org/officeDocument/2006/relationships/image" Target="media/image69.jpeg"/><Relationship Id="rId331" Type="http://schemas.openxmlformats.org/officeDocument/2006/relationships/hyperlink" Target="http://en.wikipedia.org/wiki/Gas" TargetMode="External"/><Relationship Id="rId373" Type="http://schemas.openxmlformats.org/officeDocument/2006/relationships/hyperlink" Target="http://www.exp-astro.phys.ethz.ch/highlights/oct06_1.gif" TargetMode="External"/><Relationship Id="rId429" Type="http://schemas.openxmlformats.org/officeDocument/2006/relationships/oleObject" Target="embeddings/oleObject33.bin"/><Relationship Id="rId580" Type="http://schemas.openxmlformats.org/officeDocument/2006/relationships/oleObject" Target="embeddings/oleObject107.bin"/><Relationship Id="rId636" Type="http://schemas.openxmlformats.org/officeDocument/2006/relationships/oleObject" Target="embeddings/oleObject135.bin"/><Relationship Id="rId801" Type="http://schemas.openxmlformats.org/officeDocument/2006/relationships/oleObject" Target="embeddings/oleObject218.bin"/><Relationship Id="rId1017" Type="http://schemas.openxmlformats.org/officeDocument/2006/relationships/image" Target="media/image440.jpeg"/><Relationship Id="rId1059" Type="http://schemas.openxmlformats.org/officeDocument/2006/relationships/hyperlink" Target="http://www.meteoritestudies.com/protected_CANYOND.HTM" TargetMode="External"/><Relationship Id="rId1224" Type="http://schemas.openxmlformats.org/officeDocument/2006/relationships/oleObject" Target="embeddings/oleObject324.bin"/><Relationship Id="rId1266" Type="http://schemas.openxmlformats.org/officeDocument/2006/relationships/hyperlink" Target="http://www.setterfield.org/000docs/behaviorzpeapp2.html" TargetMode="External"/><Relationship Id="rId1" Type="http://schemas.openxmlformats.org/officeDocument/2006/relationships/customXml" Target="../customXml/item1.xml"/><Relationship Id="rId233" Type="http://schemas.openxmlformats.org/officeDocument/2006/relationships/hyperlink" Target="http://arxiv.org/abs/astro-ph/9803097" TargetMode="External"/><Relationship Id="rId440" Type="http://schemas.openxmlformats.org/officeDocument/2006/relationships/chart" Target="charts/chart20.xml"/><Relationship Id="rId678" Type="http://schemas.openxmlformats.org/officeDocument/2006/relationships/oleObject" Target="embeddings/oleObject156.bin"/><Relationship Id="rId843" Type="http://schemas.openxmlformats.org/officeDocument/2006/relationships/oleObject" Target="embeddings/oleObject239.bin"/><Relationship Id="rId885" Type="http://schemas.openxmlformats.org/officeDocument/2006/relationships/image" Target="media/image386.wmf"/><Relationship Id="rId1070" Type="http://schemas.openxmlformats.org/officeDocument/2006/relationships/hyperlink" Target="http://www.mapcis.net/mapcis_case.html" TargetMode="External"/><Relationship Id="rId1126" Type="http://schemas.openxmlformats.org/officeDocument/2006/relationships/hyperlink" Target="http://www.coralscience.org/main/articles/biochemistry-2/how-reefs-grow" TargetMode="External"/><Relationship Id="rId28" Type="http://schemas.openxmlformats.org/officeDocument/2006/relationships/hyperlink" Target="http://physics.nist.gov/cuu/Constants/alpha.html" TargetMode="External"/><Relationship Id="rId275" Type="http://schemas.openxmlformats.org/officeDocument/2006/relationships/image" Target="media/image109.jpeg"/><Relationship Id="rId300" Type="http://schemas.openxmlformats.org/officeDocument/2006/relationships/image" Target="media/image124.jpeg"/><Relationship Id="rId482" Type="http://schemas.openxmlformats.org/officeDocument/2006/relationships/oleObject" Target="embeddings/oleObject57.bin"/><Relationship Id="rId538" Type="http://schemas.openxmlformats.org/officeDocument/2006/relationships/image" Target="media/image215.wmf"/><Relationship Id="rId703" Type="http://schemas.openxmlformats.org/officeDocument/2006/relationships/image" Target="media/image296.wmf"/><Relationship Id="rId745" Type="http://schemas.openxmlformats.org/officeDocument/2006/relationships/image" Target="media/image317.wmf"/><Relationship Id="rId910" Type="http://schemas.openxmlformats.org/officeDocument/2006/relationships/oleObject" Target="embeddings/oleObject273.bin"/><Relationship Id="rId952" Type="http://schemas.openxmlformats.org/officeDocument/2006/relationships/hyperlink" Target="http://www.ldolphin.org/vanFlandern/" TargetMode="External"/><Relationship Id="rId1168" Type="http://schemas.openxmlformats.org/officeDocument/2006/relationships/image" Target="media/image500.wmf"/><Relationship Id="rId1333" Type="http://schemas.openxmlformats.org/officeDocument/2006/relationships/image" Target="media/image565.jpeg"/><Relationship Id="rId81" Type="http://schemas.openxmlformats.org/officeDocument/2006/relationships/image" Target="media/image38.jpeg"/><Relationship Id="rId135" Type="http://schemas.openxmlformats.org/officeDocument/2006/relationships/hyperlink" Target="http://en.wikinoticia.com/culture-science/Science/67700-the-speed-of-light" TargetMode="External"/><Relationship Id="rId177" Type="http://schemas.openxmlformats.org/officeDocument/2006/relationships/image" Target="media/image73.gif"/><Relationship Id="rId342" Type="http://schemas.openxmlformats.org/officeDocument/2006/relationships/hyperlink" Target="http://www.windows.ucar.edu/tour/link=/jupiter/upper_atmosphere.html&amp;edu=high" TargetMode="External"/><Relationship Id="rId384" Type="http://schemas.openxmlformats.org/officeDocument/2006/relationships/hyperlink" Target="http://apod.nasa.gov/apod/ap050112.html" TargetMode="External"/><Relationship Id="rId591" Type="http://schemas.openxmlformats.org/officeDocument/2006/relationships/image" Target="media/image241.wmf"/><Relationship Id="rId605" Type="http://schemas.openxmlformats.org/officeDocument/2006/relationships/image" Target="media/image248.wmf"/><Relationship Id="rId787" Type="http://schemas.openxmlformats.org/officeDocument/2006/relationships/oleObject" Target="embeddings/oleObject211.bin"/><Relationship Id="rId812" Type="http://schemas.openxmlformats.org/officeDocument/2006/relationships/oleObject" Target="embeddings/oleObject223.bin"/><Relationship Id="rId994" Type="http://schemas.openxmlformats.org/officeDocument/2006/relationships/hyperlink" Target="http://www.setterfield.org/000docs/behaviorzperef.html" TargetMode="External"/><Relationship Id="rId1028" Type="http://schemas.openxmlformats.org/officeDocument/2006/relationships/image" Target="media/image451.jpeg"/><Relationship Id="rId1235" Type="http://schemas.openxmlformats.org/officeDocument/2006/relationships/hyperlink" Target="http://www.mystica.gr/philex_3.htm" TargetMode="External"/><Relationship Id="rId202" Type="http://schemas.openxmlformats.org/officeDocument/2006/relationships/image" Target="media/image88.wmf"/><Relationship Id="rId244" Type="http://schemas.openxmlformats.org/officeDocument/2006/relationships/hyperlink" Target="http://www.nytimes.com/2003/10/11/science/11COSM.html" TargetMode="External"/><Relationship Id="rId647" Type="http://schemas.openxmlformats.org/officeDocument/2006/relationships/oleObject" Target="embeddings/oleObject141.bin"/><Relationship Id="rId689" Type="http://schemas.openxmlformats.org/officeDocument/2006/relationships/image" Target="media/image289.wmf"/><Relationship Id="rId854" Type="http://schemas.openxmlformats.org/officeDocument/2006/relationships/image" Target="media/image371.wmf"/><Relationship Id="rId896" Type="http://schemas.openxmlformats.org/officeDocument/2006/relationships/oleObject" Target="embeddings/oleObject266.bin"/><Relationship Id="rId1081" Type="http://schemas.openxmlformats.org/officeDocument/2006/relationships/hyperlink" Target="http://www.space-pictures.com/view/pictures-of-earth/pictures-of-the-moon/moon-pictures/the-moon-2010-features.php" TargetMode="External"/><Relationship Id="rId1277" Type="http://schemas.openxmlformats.org/officeDocument/2006/relationships/oleObject" Target="embeddings/oleObject325.bin"/><Relationship Id="rId1302" Type="http://schemas.openxmlformats.org/officeDocument/2006/relationships/hyperlink" Target="http://arxiv.org/ftp/astro-ph/papers/0209/0209070.pdf" TargetMode="External"/><Relationship Id="rId39" Type="http://schemas.openxmlformats.org/officeDocument/2006/relationships/hyperlink" Target="http://hubblesite.org/gallery/album/pr2001005a/" TargetMode="External"/><Relationship Id="rId286" Type="http://schemas.openxmlformats.org/officeDocument/2006/relationships/hyperlink" Target="http://en.wikipedia.org/wiki/Sun" TargetMode="External"/><Relationship Id="rId451" Type="http://schemas.openxmlformats.org/officeDocument/2006/relationships/oleObject" Target="embeddings/oleObject43.bin"/><Relationship Id="rId493" Type="http://schemas.openxmlformats.org/officeDocument/2006/relationships/image" Target="media/image193.wmf"/><Relationship Id="rId507" Type="http://schemas.openxmlformats.org/officeDocument/2006/relationships/oleObject" Target="embeddings/oleObject70.bin"/><Relationship Id="rId549" Type="http://schemas.openxmlformats.org/officeDocument/2006/relationships/oleObject" Target="embeddings/oleObject91.bin"/><Relationship Id="rId714" Type="http://schemas.openxmlformats.org/officeDocument/2006/relationships/oleObject" Target="embeddings/oleObject174.bin"/><Relationship Id="rId756" Type="http://schemas.openxmlformats.org/officeDocument/2006/relationships/image" Target="media/image322.wmf"/><Relationship Id="rId921" Type="http://schemas.openxmlformats.org/officeDocument/2006/relationships/image" Target="media/image406.jpeg"/><Relationship Id="rId1137" Type="http://schemas.openxmlformats.org/officeDocument/2006/relationships/hyperlink" Target="http://www.setterfield.org/zpe_giantism.html" TargetMode="External"/><Relationship Id="rId1179" Type="http://schemas.openxmlformats.org/officeDocument/2006/relationships/oleObject" Target="embeddings/oleObject307.bin"/><Relationship Id="rId1344" Type="http://schemas.openxmlformats.org/officeDocument/2006/relationships/image" Target="media/image576.jpeg"/><Relationship Id="rId50" Type="http://schemas.openxmlformats.org/officeDocument/2006/relationships/oleObject" Target="embeddings/oleObject2.bin"/><Relationship Id="rId104" Type="http://schemas.openxmlformats.org/officeDocument/2006/relationships/image" Target="media/image55.jpeg"/><Relationship Id="rId146" Type="http://schemas.openxmlformats.org/officeDocument/2006/relationships/hyperlink" Target="http://www.setterfield.org/000docs/cx3.html" TargetMode="External"/><Relationship Id="rId188" Type="http://schemas.openxmlformats.org/officeDocument/2006/relationships/image" Target="media/image81.emf"/><Relationship Id="rId311" Type="http://schemas.openxmlformats.org/officeDocument/2006/relationships/hyperlink" Target="http://www.setterfield.org/000docs/behaviorzpeapp6.html" TargetMode="External"/><Relationship Id="rId353" Type="http://schemas.openxmlformats.org/officeDocument/2006/relationships/hyperlink" Target="http://cmb.as.arizona.edu/~eisenste/acousticpeak/acoustic_physics.html" TargetMode="External"/><Relationship Id="rId395" Type="http://schemas.openxmlformats.org/officeDocument/2006/relationships/hyperlink" Target="http://nssdc.gsfc.nasa.gov/photo_gallery/photogallery-venus.html" TargetMode="External"/><Relationship Id="rId409" Type="http://schemas.openxmlformats.org/officeDocument/2006/relationships/image" Target="media/image154.wmf"/><Relationship Id="rId560" Type="http://schemas.openxmlformats.org/officeDocument/2006/relationships/oleObject" Target="embeddings/oleObject97.bin"/><Relationship Id="rId798" Type="http://schemas.openxmlformats.org/officeDocument/2006/relationships/image" Target="media/image343.wmf"/><Relationship Id="rId963" Type="http://schemas.openxmlformats.org/officeDocument/2006/relationships/hyperlink" Target="http://www.mpia.de/Public/menu_q2.php?Aktuelles/PR/2011/PR111125/PR_111125_en.htm" TargetMode="External"/><Relationship Id="rId1039" Type="http://schemas.openxmlformats.org/officeDocument/2006/relationships/image" Target="media/image461.jpeg"/><Relationship Id="rId1190" Type="http://schemas.openxmlformats.org/officeDocument/2006/relationships/image" Target="media/image511.wmf"/><Relationship Id="rId1204" Type="http://schemas.openxmlformats.org/officeDocument/2006/relationships/image" Target="media/image518.wmf"/><Relationship Id="rId1246" Type="http://schemas.openxmlformats.org/officeDocument/2006/relationships/hyperlink" Target="http://www.setterfield.org/000docs/behaviorzpeapp2.html" TargetMode="External"/><Relationship Id="rId92" Type="http://schemas.openxmlformats.org/officeDocument/2006/relationships/image" Target="media/image47.jpeg"/><Relationship Id="rId213" Type="http://schemas.openxmlformats.org/officeDocument/2006/relationships/oleObject" Target="embeddings/oleObject18.bin"/><Relationship Id="rId420" Type="http://schemas.openxmlformats.org/officeDocument/2006/relationships/package" Target="embeddings/Microsoft_Office_PowerPoint_Slide23.sldx"/><Relationship Id="rId616" Type="http://schemas.openxmlformats.org/officeDocument/2006/relationships/oleObject" Target="embeddings/oleObject125.bin"/><Relationship Id="rId658" Type="http://schemas.openxmlformats.org/officeDocument/2006/relationships/oleObject" Target="embeddings/oleObject146.bin"/><Relationship Id="rId823" Type="http://schemas.openxmlformats.org/officeDocument/2006/relationships/image" Target="media/image356.wmf"/><Relationship Id="rId865" Type="http://schemas.openxmlformats.org/officeDocument/2006/relationships/image" Target="media/image376.wmf"/><Relationship Id="rId1050" Type="http://schemas.openxmlformats.org/officeDocument/2006/relationships/hyperlink" Target="http://www.mapcis.net/mapcis_research.html" TargetMode="External"/><Relationship Id="rId1288" Type="http://schemas.openxmlformats.org/officeDocument/2006/relationships/hyperlink" Target="http://www.thunderbolts.info/wp/2011/12/05/considering-the-electric-sun-part-1/perattsimulations_1/" TargetMode="External"/><Relationship Id="rId255" Type="http://schemas.openxmlformats.org/officeDocument/2006/relationships/hyperlink" Target="http://www.sciencewriter.net/ncd/d.htm" TargetMode="External"/><Relationship Id="rId297" Type="http://schemas.openxmlformats.org/officeDocument/2006/relationships/image" Target="media/image121.jpeg"/><Relationship Id="rId462" Type="http://schemas.openxmlformats.org/officeDocument/2006/relationships/image" Target="media/image180.wmf"/><Relationship Id="rId518" Type="http://schemas.openxmlformats.org/officeDocument/2006/relationships/image" Target="media/image205.wmf"/><Relationship Id="rId725" Type="http://schemas.openxmlformats.org/officeDocument/2006/relationships/image" Target="media/image307.wmf"/><Relationship Id="rId932" Type="http://schemas.openxmlformats.org/officeDocument/2006/relationships/oleObject" Target="embeddings/oleObject280.bin"/><Relationship Id="rId1092" Type="http://schemas.openxmlformats.org/officeDocument/2006/relationships/hyperlink" Target="http://www.setterfield.org/Genesis%201-11/part_13_Peleg.html" TargetMode="External"/><Relationship Id="rId1106" Type="http://schemas.openxmlformats.org/officeDocument/2006/relationships/image" Target="media/image483.jpeg"/><Relationship Id="rId1148" Type="http://schemas.openxmlformats.org/officeDocument/2006/relationships/oleObject" Target="embeddings/oleObject290.bin"/><Relationship Id="rId1313" Type="http://schemas.openxmlformats.org/officeDocument/2006/relationships/image" Target="media/image545.jpeg"/><Relationship Id="rId1355" Type="http://schemas.openxmlformats.org/officeDocument/2006/relationships/hyperlink" Target="http://www.thunderbolts.info/forum/phpBB3/viewtopic.php?p=38601" TargetMode="External"/><Relationship Id="rId115" Type="http://schemas.openxmlformats.org/officeDocument/2006/relationships/image" Target="media/image63.jpeg"/><Relationship Id="rId157" Type="http://schemas.openxmlformats.org/officeDocument/2006/relationships/hyperlink" Target="http://www.studyhelpline.net/Biography/Albert-Abraham-Michelson-biography.aspx" TargetMode="External"/><Relationship Id="rId322" Type="http://schemas.openxmlformats.org/officeDocument/2006/relationships/image" Target="media/image143.jpeg"/><Relationship Id="rId364" Type="http://schemas.openxmlformats.org/officeDocument/2006/relationships/hyperlink" Target="http://micro.magnet.fsu.edu/publications/pages/rocks.html" TargetMode="External"/><Relationship Id="rId767" Type="http://schemas.openxmlformats.org/officeDocument/2006/relationships/oleObject" Target="embeddings/oleObject201.bin"/><Relationship Id="rId974" Type="http://schemas.openxmlformats.org/officeDocument/2006/relationships/hyperlink" Target="http://www.setterfield.org/000docs/behaviorzpeapp4.html" TargetMode="External"/><Relationship Id="rId1008" Type="http://schemas.openxmlformats.org/officeDocument/2006/relationships/hyperlink" Target="http://article.wn.com/view/2010/07/09/The_Oklo_natural_reactor/" TargetMode="External"/><Relationship Id="rId1215" Type="http://schemas.openxmlformats.org/officeDocument/2006/relationships/oleObject" Target="embeddings/oleObject321.bin"/><Relationship Id="rId61" Type="http://schemas.openxmlformats.org/officeDocument/2006/relationships/hyperlink" Target="http://arxiv.org/abs/astro-ph/0110012" TargetMode="External"/><Relationship Id="rId199" Type="http://schemas.openxmlformats.org/officeDocument/2006/relationships/oleObject" Target="embeddings/oleObject11.bin"/><Relationship Id="rId571" Type="http://schemas.openxmlformats.org/officeDocument/2006/relationships/image" Target="media/image231.wmf"/><Relationship Id="rId627" Type="http://schemas.openxmlformats.org/officeDocument/2006/relationships/image" Target="media/image259.wmf"/><Relationship Id="rId669" Type="http://schemas.openxmlformats.org/officeDocument/2006/relationships/image" Target="media/image279.wmf"/><Relationship Id="rId834" Type="http://schemas.openxmlformats.org/officeDocument/2006/relationships/image" Target="media/image361.wmf"/><Relationship Id="rId876" Type="http://schemas.openxmlformats.org/officeDocument/2006/relationships/oleObject" Target="embeddings/oleObject256.bin"/><Relationship Id="rId1257" Type="http://schemas.openxmlformats.org/officeDocument/2006/relationships/hyperlink" Target="http://www.setterfield.org/000docs/behaviorzpeapp2.html" TargetMode="External"/><Relationship Id="rId1299" Type="http://schemas.openxmlformats.org/officeDocument/2006/relationships/hyperlink" Target="http://www.nrao.edu/pr/2006/mspulsar/" TargetMode="External"/><Relationship Id="rId19" Type="http://schemas.openxmlformats.org/officeDocument/2006/relationships/image" Target="media/image11.png"/><Relationship Id="rId224" Type="http://schemas.openxmlformats.org/officeDocument/2006/relationships/image" Target="media/image100.wmf"/><Relationship Id="rId266" Type="http://schemas.openxmlformats.org/officeDocument/2006/relationships/hyperlink" Target="http://dev.physicslab.org/Document.aspx?doctype=3&amp;filename=AtomicNuclear_deBroglieMatterWaves.xml" TargetMode="External"/><Relationship Id="rId431" Type="http://schemas.openxmlformats.org/officeDocument/2006/relationships/oleObject" Target="embeddings/oleObject34.bin"/><Relationship Id="rId473" Type="http://schemas.openxmlformats.org/officeDocument/2006/relationships/oleObject" Target="embeddings/oleObject52.bin"/><Relationship Id="rId529" Type="http://schemas.openxmlformats.org/officeDocument/2006/relationships/oleObject" Target="embeddings/oleObject81.bin"/><Relationship Id="rId680" Type="http://schemas.openxmlformats.org/officeDocument/2006/relationships/oleObject" Target="embeddings/oleObject157.bin"/><Relationship Id="rId736" Type="http://schemas.openxmlformats.org/officeDocument/2006/relationships/oleObject" Target="embeddings/oleObject185.bin"/><Relationship Id="rId901" Type="http://schemas.openxmlformats.org/officeDocument/2006/relationships/image" Target="media/image394.wmf"/><Relationship Id="rId1061" Type="http://schemas.openxmlformats.org/officeDocument/2006/relationships/hyperlink" Target="http://www.spacedaily.com/news/mars-surveyor-01e.html" TargetMode="External"/><Relationship Id="rId1117" Type="http://schemas.openxmlformats.org/officeDocument/2006/relationships/hyperlink" Target="http://www.msnbc.msn.com/id/16359687/from/RS.5/" TargetMode="External"/><Relationship Id="rId1159" Type="http://schemas.openxmlformats.org/officeDocument/2006/relationships/oleObject" Target="embeddings/oleObject297.bin"/><Relationship Id="rId1324" Type="http://schemas.openxmlformats.org/officeDocument/2006/relationships/image" Target="media/image556.gif"/><Relationship Id="rId1366" Type="http://schemas.openxmlformats.org/officeDocument/2006/relationships/fontTable" Target="fontTable.xml"/><Relationship Id="rId30" Type="http://schemas.openxmlformats.org/officeDocument/2006/relationships/hyperlink" Target="http://members.wolfram.com/jeffb/visualization/stringtheory.shtml" TargetMode="External"/><Relationship Id="rId126" Type="http://schemas.openxmlformats.org/officeDocument/2006/relationships/chart" Target="charts/chart13.xml"/><Relationship Id="rId168" Type="http://schemas.openxmlformats.org/officeDocument/2006/relationships/chart" Target="charts/chart16.xml"/><Relationship Id="rId333" Type="http://schemas.openxmlformats.org/officeDocument/2006/relationships/hyperlink" Target="http://en.wikipedia.org/wiki/Liquid" TargetMode="External"/><Relationship Id="rId540" Type="http://schemas.openxmlformats.org/officeDocument/2006/relationships/image" Target="media/image216.wmf"/><Relationship Id="rId778" Type="http://schemas.openxmlformats.org/officeDocument/2006/relationships/image" Target="media/image333.wmf"/><Relationship Id="rId943" Type="http://schemas.openxmlformats.org/officeDocument/2006/relationships/image" Target="media/image419.wmf"/><Relationship Id="rId985" Type="http://schemas.openxmlformats.org/officeDocument/2006/relationships/hyperlink" Target="http://www.setterfield.org/000docs/behaviorzpeapp4.html" TargetMode="External"/><Relationship Id="rId1019" Type="http://schemas.openxmlformats.org/officeDocument/2006/relationships/image" Target="media/image442.jpeg"/><Relationship Id="rId1170" Type="http://schemas.openxmlformats.org/officeDocument/2006/relationships/image" Target="media/image501.wmf"/><Relationship Id="rId72" Type="http://schemas.openxmlformats.org/officeDocument/2006/relationships/hyperlink" Target="http://www.setterfield.org/report/report.html" TargetMode="External"/><Relationship Id="rId375" Type="http://schemas.openxmlformats.org/officeDocument/2006/relationships/hyperlink" Target="http://www.thunderbolts.info/wp/2011/12/05/considering-the-electric-sun-part-1/perattsimulations_1/" TargetMode="External"/><Relationship Id="rId582" Type="http://schemas.openxmlformats.org/officeDocument/2006/relationships/oleObject" Target="embeddings/oleObject108.bin"/><Relationship Id="rId638" Type="http://schemas.openxmlformats.org/officeDocument/2006/relationships/oleObject" Target="embeddings/oleObject136.bin"/><Relationship Id="rId803" Type="http://schemas.openxmlformats.org/officeDocument/2006/relationships/image" Target="media/image346.wmf"/><Relationship Id="rId845" Type="http://schemas.openxmlformats.org/officeDocument/2006/relationships/oleObject" Target="embeddings/oleObject240.bin"/><Relationship Id="rId1030" Type="http://schemas.openxmlformats.org/officeDocument/2006/relationships/image" Target="media/image452.jpeg"/><Relationship Id="rId1226" Type="http://schemas.openxmlformats.org/officeDocument/2006/relationships/image" Target="media/image531.png"/><Relationship Id="rId1268" Type="http://schemas.openxmlformats.org/officeDocument/2006/relationships/hyperlink" Target="http://www.aavso.org/vsots_xzcyg" TargetMode="External"/><Relationship Id="rId3" Type="http://schemas.openxmlformats.org/officeDocument/2006/relationships/styles" Target="styles.xml"/><Relationship Id="rId235" Type="http://schemas.openxmlformats.org/officeDocument/2006/relationships/hyperlink" Target="http://www.lbl.gov/supernova/" TargetMode="External"/><Relationship Id="rId277" Type="http://schemas.openxmlformats.org/officeDocument/2006/relationships/image" Target="media/image111.jpeg"/><Relationship Id="rId400" Type="http://schemas.openxmlformats.org/officeDocument/2006/relationships/hyperlink" Target="http://uanews.org/node/17385" TargetMode="External"/><Relationship Id="rId442" Type="http://schemas.openxmlformats.org/officeDocument/2006/relationships/oleObject" Target="embeddings/oleObject39.bin"/><Relationship Id="rId484" Type="http://schemas.openxmlformats.org/officeDocument/2006/relationships/oleObject" Target="embeddings/oleObject59.bin"/><Relationship Id="rId705" Type="http://schemas.openxmlformats.org/officeDocument/2006/relationships/image" Target="media/image297.wmf"/><Relationship Id="rId887" Type="http://schemas.openxmlformats.org/officeDocument/2006/relationships/image" Target="media/image387.wmf"/><Relationship Id="rId1072" Type="http://schemas.openxmlformats.org/officeDocument/2006/relationships/hyperlink" Target="http://www.thunderbolts.info/forum/phpBB3/viewtopic.php?p=38601" TargetMode="External"/><Relationship Id="rId1128" Type="http://schemas.openxmlformats.org/officeDocument/2006/relationships/hyperlink" Target="http://www.globalcoral.org/corals_and_coral_reefs.htm" TargetMode="External"/><Relationship Id="rId1335" Type="http://schemas.openxmlformats.org/officeDocument/2006/relationships/image" Target="media/image567.jpeg"/><Relationship Id="rId137" Type="http://schemas.openxmlformats.org/officeDocument/2006/relationships/hyperlink" Target="http://www.astronet.ru:8105/db/msg/1170951/1880.html" TargetMode="External"/><Relationship Id="rId302" Type="http://schemas.openxmlformats.org/officeDocument/2006/relationships/image" Target="media/image126.png"/><Relationship Id="rId344" Type="http://schemas.openxmlformats.org/officeDocument/2006/relationships/hyperlink" Target="http://www.thunderbolts.info/tpod/2006/arch06/060602plasma-galaxy.htm" TargetMode="External"/><Relationship Id="rId691" Type="http://schemas.openxmlformats.org/officeDocument/2006/relationships/image" Target="media/image290.wmf"/><Relationship Id="rId747" Type="http://schemas.openxmlformats.org/officeDocument/2006/relationships/oleObject" Target="embeddings/oleObject191.bin"/><Relationship Id="rId789" Type="http://schemas.openxmlformats.org/officeDocument/2006/relationships/oleObject" Target="embeddings/oleObject212.bin"/><Relationship Id="rId912" Type="http://schemas.openxmlformats.org/officeDocument/2006/relationships/oleObject" Target="embeddings/oleObject274.bin"/><Relationship Id="rId954" Type="http://schemas.openxmlformats.org/officeDocument/2006/relationships/hyperlink" Target="http://en.wikisource.org/wiki/On_the_Relative_Motion_of_the_Earth_and_the_Luminiferous_Ether" TargetMode="External"/><Relationship Id="rId996" Type="http://schemas.openxmlformats.org/officeDocument/2006/relationships/hyperlink" Target="http://www.aeraweb.org/projects/how-old-are-the-pyramids/" TargetMode="External"/><Relationship Id="rId41" Type="http://schemas.openxmlformats.org/officeDocument/2006/relationships/hyperlink" Target="http://hubblesite.org/newscenter/archive/releases/1997/38/image/f/" TargetMode="External"/><Relationship Id="rId83" Type="http://schemas.openxmlformats.org/officeDocument/2006/relationships/image" Target="media/image40.jpeg"/><Relationship Id="rId179" Type="http://schemas.openxmlformats.org/officeDocument/2006/relationships/image" Target="media/image74.jpeg"/><Relationship Id="rId386" Type="http://schemas.openxmlformats.org/officeDocument/2006/relationships/hyperlink" Target="http://large.stanford.edu/courses/2007/ph210/sugarbaker2/" TargetMode="External"/><Relationship Id="rId551" Type="http://schemas.openxmlformats.org/officeDocument/2006/relationships/oleObject" Target="embeddings/oleObject92.bin"/><Relationship Id="rId593" Type="http://schemas.openxmlformats.org/officeDocument/2006/relationships/image" Target="media/image242.wmf"/><Relationship Id="rId607" Type="http://schemas.openxmlformats.org/officeDocument/2006/relationships/image" Target="media/image249.wmf"/><Relationship Id="rId649" Type="http://schemas.openxmlformats.org/officeDocument/2006/relationships/oleObject" Target="embeddings/oleObject142.bin"/><Relationship Id="rId814" Type="http://schemas.openxmlformats.org/officeDocument/2006/relationships/oleObject" Target="embeddings/oleObject224.bin"/><Relationship Id="rId856" Type="http://schemas.openxmlformats.org/officeDocument/2006/relationships/image" Target="media/image372.wmf"/><Relationship Id="rId1181" Type="http://schemas.openxmlformats.org/officeDocument/2006/relationships/oleObject" Target="embeddings/oleObject308.bin"/><Relationship Id="rId1237" Type="http://schemas.openxmlformats.org/officeDocument/2006/relationships/hyperlink" Target="http://www.ebdir.net/enlighten/puthoff.html" TargetMode="External"/><Relationship Id="rId1279" Type="http://schemas.openxmlformats.org/officeDocument/2006/relationships/oleObject" Target="embeddings/oleObject327.bin"/><Relationship Id="rId190" Type="http://schemas.openxmlformats.org/officeDocument/2006/relationships/image" Target="media/image82.wmf"/><Relationship Id="rId204" Type="http://schemas.openxmlformats.org/officeDocument/2006/relationships/image" Target="media/image89.wmf"/><Relationship Id="rId246" Type="http://schemas.openxmlformats.org/officeDocument/2006/relationships/hyperlink" Target="http://spaceflightnow.com/news/n0312/12darkenergy/" TargetMode="External"/><Relationship Id="rId288" Type="http://schemas.openxmlformats.org/officeDocument/2006/relationships/image" Target="media/image117.jpeg"/><Relationship Id="rId411" Type="http://schemas.openxmlformats.org/officeDocument/2006/relationships/image" Target="media/image155.wmf"/><Relationship Id="rId453" Type="http://schemas.openxmlformats.org/officeDocument/2006/relationships/oleObject" Target="embeddings/oleObject44.bin"/><Relationship Id="rId509" Type="http://schemas.openxmlformats.org/officeDocument/2006/relationships/oleObject" Target="embeddings/oleObject71.bin"/><Relationship Id="rId660" Type="http://schemas.openxmlformats.org/officeDocument/2006/relationships/oleObject" Target="embeddings/oleObject147.bin"/><Relationship Id="rId898" Type="http://schemas.openxmlformats.org/officeDocument/2006/relationships/oleObject" Target="embeddings/oleObject267.bin"/><Relationship Id="rId1041" Type="http://schemas.openxmlformats.org/officeDocument/2006/relationships/image" Target="media/image463.jpeg"/><Relationship Id="rId1083" Type="http://schemas.openxmlformats.org/officeDocument/2006/relationships/hyperlink" Target="http://astronomy.nju.edu.cn/~lixd/GA/AT4/AT408/HTML/AT40806.htm" TargetMode="External"/><Relationship Id="rId1139" Type="http://schemas.openxmlformats.org/officeDocument/2006/relationships/hyperlink" Target="http://www.westaust.net/photos/index.php/component/virtuemart/?page=shop.browse&amp;category_id=29" TargetMode="External"/><Relationship Id="rId1290" Type="http://schemas.openxmlformats.org/officeDocument/2006/relationships/hyperlink" Target="http://www.setterfield.org/000docs/behaviorzpeapp8.html" TargetMode="External"/><Relationship Id="rId1304" Type="http://schemas.openxmlformats.org/officeDocument/2006/relationships/hyperlink" Target="http://www.thunderbolts.info/forum/phpBB3/viewtopic.php?p=1999" TargetMode="External"/><Relationship Id="rId1346" Type="http://schemas.openxmlformats.org/officeDocument/2006/relationships/hyperlink" Target="http://ougseurope.org/rockon/surface/impactcraters.asp" TargetMode="External"/><Relationship Id="rId106" Type="http://schemas.openxmlformats.org/officeDocument/2006/relationships/image" Target="media/image56.jpeg"/><Relationship Id="rId313" Type="http://schemas.openxmlformats.org/officeDocument/2006/relationships/image" Target="media/image136.jpeg"/><Relationship Id="rId495" Type="http://schemas.openxmlformats.org/officeDocument/2006/relationships/hyperlink" Target="http://www.setterfield.org/000docs/behaviorzpeapp7.html" TargetMode="External"/><Relationship Id="rId716" Type="http://schemas.openxmlformats.org/officeDocument/2006/relationships/oleObject" Target="embeddings/oleObject175.bin"/><Relationship Id="rId758" Type="http://schemas.openxmlformats.org/officeDocument/2006/relationships/image" Target="media/image323.wmf"/><Relationship Id="rId923" Type="http://schemas.openxmlformats.org/officeDocument/2006/relationships/image" Target="media/image408.jpeg"/><Relationship Id="rId965" Type="http://schemas.openxmlformats.org/officeDocument/2006/relationships/hyperlink" Target="http://www.thunderbolts.info/tpod/2007/arch07/070718seeingcircuits2.htm" TargetMode="External"/><Relationship Id="rId1150" Type="http://schemas.openxmlformats.org/officeDocument/2006/relationships/oleObject" Target="embeddings/oleObject291.bin"/><Relationship Id="rId10" Type="http://schemas.openxmlformats.org/officeDocument/2006/relationships/image" Target="media/image3.gif"/><Relationship Id="rId52" Type="http://schemas.openxmlformats.org/officeDocument/2006/relationships/image" Target="media/image25.gif"/><Relationship Id="rId94" Type="http://schemas.openxmlformats.org/officeDocument/2006/relationships/image" Target="media/image49.jpeg"/><Relationship Id="rId148" Type="http://schemas.openxmlformats.org/officeDocument/2006/relationships/hyperlink" Target="http://en.wikipedia.org/wiki/James_Young_(Scottish_chemist)" TargetMode="External"/><Relationship Id="rId355" Type="http://schemas.openxmlformats.org/officeDocument/2006/relationships/hyperlink" Target="http://astsun.astro.virginia.edu/~dmw8f/index.php" TargetMode="External"/><Relationship Id="rId397" Type="http://schemas.openxmlformats.org/officeDocument/2006/relationships/hyperlink" Target="http://www.setterfield.org/Astronomy_Lesson_3.html" TargetMode="External"/><Relationship Id="rId520" Type="http://schemas.openxmlformats.org/officeDocument/2006/relationships/image" Target="media/image206.wmf"/><Relationship Id="rId562" Type="http://schemas.openxmlformats.org/officeDocument/2006/relationships/oleObject" Target="embeddings/oleObject98.bin"/><Relationship Id="rId618" Type="http://schemas.openxmlformats.org/officeDocument/2006/relationships/oleObject" Target="embeddings/oleObject126.bin"/><Relationship Id="rId825" Type="http://schemas.openxmlformats.org/officeDocument/2006/relationships/image" Target="media/image357.wmf"/><Relationship Id="rId1192" Type="http://schemas.openxmlformats.org/officeDocument/2006/relationships/image" Target="media/image512.wmf"/><Relationship Id="rId1206" Type="http://schemas.openxmlformats.org/officeDocument/2006/relationships/image" Target="media/image519.jpeg"/><Relationship Id="rId1248" Type="http://schemas.openxmlformats.org/officeDocument/2006/relationships/hyperlink" Target="http://www.setterfield.org/000docs/behaviorzpeapp2.html" TargetMode="External"/><Relationship Id="rId215" Type="http://schemas.openxmlformats.org/officeDocument/2006/relationships/oleObject" Target="embeddings/oleObject19.bin"/><Relationship Id="rId257" Type="http://schemas.openxmlformats.org/officeDocument/2006/relationships/hyperlink" Target="http://www.physicsforums.com/showthread.php?t=412428" TargetMode="External"/><Relationship Id="rId422" Type="http://schemas.openxmlformats.org/officeDocument/2006/relationships/image" Target="media/image161.wmf"/><Relationship Id="rId464" Type="http://schemas.openxmlformats.org/officeDocument/2006/relationships/image" Target="media/image181.wmf"/><Relationship Id="rId867" Type="http://schemas.openxmlformats.org/officeDocument/2006/relationships/image" Target="media/image377.wmf"/><Relationship Id="rId1010" Type="http://schemas.openxmlformats.org/officeDocument/2006/relationships/hyperlink" Target="http://en.wikipedia.org/wiki/Carbonaceous_chondrite" TargetMode="External"/><Relationship Id="rId1052" Type="http://schemas.openxmlformats.org/officeDocument/2006/relationships/hyperlink" Target="http://www.austhrutime.com/mapcis.htm" TargetMode="External"/><Relationship Id="rId1094" Type="http://schemas.openxmlformats.org/officeDocument/2006/relationships/hyperlink" Target="http://www.fossils.me.uk/html/pangea.html" TargetMode="External"/><Relationship Id="rId1108" Type="http://schemas.openxmlformats.org/officeDocument/2006/relationships/image" Target="media/image485.jpeg"/><Relationship Id="rId1315" Type="http://schemas.openxmlformats.org/officeDocument/2006/relationships/image" Target="media/image547.jpeg"/><Relationship Id="rId299" Type="http://schemas.openxmlformats.org/officeDocument/2006/relationships/image" Target="media/image123.jpeg"/><Relationship Id="rId727" Type="http://schemas.openxmlformats.org/officeDocument/2006/relationships/image" Target="media/image308.wmf"/><Relationship Id="rId934" Type="http://schemas.openxmlformats.org/officeDocument/2006/relationships/oleObject" Target="embeddings/oleObject281.bin"/><Relationship Id="rId1357" Type="http://schemas.openxmlformats.org/officeDocument/2006/relationships/hyperlink" Target="http://en.wikipedia.org/wiki/Chicxulub_crater" TargetMode="External"/><Relationship Id="rId63" Type="http://schemas.openxmlformats.org/officeDocument/2006/relationships/hyperlink" Target="http://www.kennislink.nl/upload/193600_276_1205417537548-79872_276_1022530650861-herschepping2.jpg" TargetMode="External"/><Relationship Id="rId159" Type="http://schemas.openxmlformats.org/officeDocument/2006/relationships/hyperlink" Target="http://oisc.net/Speed_of_Light.htm" TargetMode="External"/><Relationship Id="rId366" Type="http://schemas.openxmlformats.org/officeDocument/2006/relationships/hyperlink" Target="http://fitz6.wordpress.com/2012/02/27/states-of-matter/" TargetMode="External"/><Relationship Id="rId573" Type="http://schemas.openxmlformats.org/officeDocument/2006/relationships/image" Target="media/image232.wmf"/><Relationship Id="rId780" Type="http://schemas.openxmlformats.org/officeDocument/2006/relationships/image" Target="media/image334.wmf"/><Relationship Id="rId1217" Type="http://schemas.openxmlformats.org/officeDocument/2006/relationships/oleObject" Target="embeddings/oleObject322.bin"/><Relationship Id="rId226" Type="http://schemas.openxmlformats.org/officeDocument/2006/relationships/image" Target="media/image101.wmf"/><Relationship Id="rId433" Type="http://schemas.openxmlformats.org/officeDocument/2006/relationships/oleObject" Target="embeddings/oleObject35.bin"/><Relationship Id="rId878" Type="http://schemas.openxmlformats.org/officeDocument/2006/relationships/oleObject" Target="embeddings/oleObject257.bin"/><Relationship Id="rId1063" Type="http://schemas.openxmlformats.org/officeDocument/2006/relationships/hyperlink" Target="http://www.spacedaily.com/news/lunarplanet-2001-01a4.html" TargetMode="External"/><Relationship Id="rId1270" Type="http://schemas.openxmlformats.org/officeDocument/2006/relationships/hyperlink" Target="http://www.physics.hku.hk/~nature/notes/lectures/chap13.html" TargetMode="External"/><Relationship Id="rId640" Type="http://schemas.openxmlformats.org/officeDocument/2006/relationships/oleObject" Target="embeddings/oleObject137.bin"/><Relationship Id="rId738" Type="http://schemas.openxmlformats.org/officeDocument/2006/relationships/oleObject" Target="embeddings/oleObject186.bin"/><Relationship Id="rId945" Type="http://schemas.openxmlformats.org/officeDocument/2006/relationships/image" Target="media/image420.wmf"/><Relationship Id="rId74" Type="http://schemas.openxmlformats.org/officeDocument/2006/relationships/chart" Target="charts/chart2.xml"/><Relationship Id="rId377" Type="http://schemas.openxmlformats.org/officeDocument/2006/relationships/hyperlink" Target="http://apod.nasa.gov/apod/ap020226.html" TargetMode="External"/><Relationship Id="rId500" Type="http://schemas.openxmlformats.org/officeDocument/2006/relationships/image" Target="media/image196.wmf"/><Relationship Id="rId584" Type="http://schemas.openxmlformats.org/officeDocument/2006/relationships/oleObject" Target="embeddings/oleObject109.bin"/><Relationship Id="rId805" Type="http://schemas.openxmlformats.org/officeDocument/2006/relationships/image" Target="media/image347.wmf"/><Relationship Id="rId1130" Type="http://schemas.openxmlformats.org/officeDocument/2006/relationships/hyperlink" Target="http://universe-review.ca/R10-23-plants.htm" TargetMode="External"/><Relationship Id="rId1228" Type="http://schemas.openxmlformats.org/officeDocument/2006/relationships/hyperlink" Target="http://www.estfound.org/analysis.htm" TargetMode="External"/><Relationship Id="rId5" Type="http://schemas.openxmlformats.org/officeDocument/2006/relationships/webSettings" Target="webSettings.xml"/><Relationship Id="rId237" Type="http://schemas.openxmlformats.org/officeDocument/2006/relationships/hyperlink" Target="http://arxiv.org/abs/astro-ph/9712212" TargetMode="External"/><Relationship Id="rId791" Type="http://schemas.openxmlformats.org/officeDocument/2006/relationships/oleObject" Target="embeddings/oleObject213.bin"/><Relationship Id="rId889" Type="http://schemas.openxmlformats.org/officeDocument/2006/relationships/image" Target="media/image388.wmf"/><Relationship Id="rId1074" Type="http://schemas.openxmlformats.org/officeDocument/2006/relationships/hyperlink" Target="http://en.wikipedia.org/wiki/Chicxulub_crater" TargetMode="External"/><Relationship Id="rId444" Type="http://schemas.openxmlformats.org/officeDocument/2006/relationships/oleObject" Target="embeddings/oleObject40.bin"/><Relationship Id="rId651" Type="http://schemas.openxmlformats.org/officeDocument/2006/relationships/image" Target="media/image270.jpeg"/><Relationship Id="rId749" Type="http://schemas.openxmlformats.org/officeDocument/2006/relationships/oleObject" Target="embeddings/oleObject192.bin"/><Relationship Id="rId1281" Type="http://schemas.openxmlformats.org/officeDocument/2006/relationships/oleObject" Target="embeddings/oleObject329.bin"/><Relationship Id="rId290" Type="http://schemas.openxmlformats.org/officeDocument/2006/relationships/oleObject" Target="embeddings/oleObject24.bin"/><Relationship Id="rId304" Type="http://schemas.openxmlformats.org/officeDocument/2006/relationships/image" Target="media/image128.jpeg"/><Relationship Id="rId388" Type="http://schemas.openxmlformats.org/officeDocument/2006/relationships/hyperlink" Target="http://hubblesite.org/gallery/album/pr2001005a/" TargetMode="External"/><Relationship Id="rId511" Type="http://schemas.openxmlformats.org/officeDocument/2006/relationships/oleObject" Target="embeddings/oleObject72.bin"/><Relationship Id="rId609" Type="http://schemas.openxmlformats.org/officeDocument/2006/relationships/image" Target="media/image250.wmf"/><Relationship Id="rId956" Type="http://schemas.openxmlformats.org/officeDocument/2006/relationships/hyperlink" Target="http://www.scienceforums.net/topic/52516-general-relativity-theory/" TargetMode="External"/><Relationship Id="rId1141" Type="http://schemas.openxmlformats.org/officeDocument/2006/relationships/hyperlink" Target="http://flickrhivemind.net/Tags/greenalgae/Interesting" TargetMode="External"/><Relationship Id="rId1239" Type="http://schemas.openxmlformats.org/officeDocument/2006/relationships/hyperlink" Target="http://amsglossary.allenpress.com/glossary/browse?s=r&amp;p=30" TargetMode="External"/><Relationship Id="rId85" Type="http://schemas.openxmlformats.org/officeDocument/2006/relationships/image" Target="media/image42.jpeg"/><Relationship Id="rId150" Type="http://schemas.openxmlformats.org/officeDocument/2006/relationships/hyperlink" Target="https://www.oca.eu/histoire-nice_en/perrotin.html" TargetMode="External"/><Relationship Id="rId595" Type="http://schemas.openxmlformats.org/officeDocument/2006/relationships/image" Target="media/image243.wmf"/><Relationship Id="rId816" Type="http://schemas.openxmlformats.org/officeDocument/2006/relationships/oleObject" Target="embeddings/oleObject225.bin"/><Relationship Id="rId1001" Type="http://schemas.openxmlformats.org/officeDocument/2006/relationships/hyperlink" Target="http://electron6.phys.utk.edu/phys250/modules/module%205/nuclear_models.htm" TargetMode="External"/><Relationship Id="rId248" Type="http://schemas.openxmlformats.org/officeDocument/2006/relationships/hyperlink" Target="http://en.wikipedia.org/wiki/Recombination_(cosmology)" TargetMode="External"/><Relationship Id="rId455" Type="http://schemas.openxmlformats.org/officeDocument/2006/relationships/oleObject" Target="embeddings/oleObject45.bin"/><Relationship Id="rId662" Type="http://schemas.openxmlformats.org/officeDocument/2006/relationships/oleObject" Target="embeddings/oleObject148.bin"/><Relationship Id="rId1085" Type="http://schemas.openxmlformats.org/officeDocument/2006/relationships/hyperlink" Target="http://www.earthsciences.hku.hk/shmuseum/earth_evo_03_archean_intro.php" TargetMode="External"/><Relationship Id="rId1292" Type="http://schemas.openxmlformats.org/officeDocument/2006/relationships/image" Target="media/image536.gif"/><Relationship Id="rId1306" Type="http://schemas.openxmlformats.org/officeDocument/2006/relationships/image" Target="media/image538.jpeg"/><Relationship Id="rId12" Type="http://schemas.openxmlformats.org/officeDocument/2006/relationships/image" Target="media/image5.jpeg"/><Relationship Id="rId108" Type="http://schemas.openxmlformats.org/officeDocument/2006/relationships/chart" Target="charts/chart8.xml"/><Relationship Id="rId315" Type="http://schemas.openxmlformats.org/officeDocument/2006/relationships/image" Target="media/image137.gif"/><Relationship Id="rId522" Type="http://schemas.openxmlformats.org/officeDocument/2006/relationships/image" Target="media/image207.wmf"/><Relationship Id="rId967" Type="http://schemas.openxmlformats.org/officeDocument/2006/relationships/image" Target="media/image423.jpeg"/><Relationship Id="rId1152" Type="http://schemas.openxmlformats.org/officeDocument/2006/relationships/oleObject" Target="embeddings/oleObject292.bin"/><Relationship Id="rId96" Type="http://schemas.openxmlformats.org/officeDocument/2006/relationships/hyperlink" Target="http://www.iau.org/static/resolutions/IAU1976_French.pdf" TargetMode="External"/><Relationship Id="rId161" Type="http://schemas.openxmlformats.org/officeDocument/2006/relationships/hyperlink" Target="http://www.setterfield.org/000docs/behaviorzpe3.html" TargetMode="External"/><Relationship Id="rId399" Type="http://schemas.openxmlformats.org/officeDocument/2006/relationships/hyperlink" Target="http://greensleeves-hubs.hubpages.com/hub/AstronomyBeginnersGuideMoon-Greensleeves" TargetMode="External"/><Relationship Id="rId827" Type="http://schemas.openxmlformats.org/officeDocument/2006/relationships/image" Target="media/image358.wmf"/><Relationship Id="rId1012" Type="http://schemas.openxmlformats.org/officeDocument/2006/relationships/image" Target="media/image435.jpeg"/><Relationship Id="rId259" Type="http://schemas.openxmlformats.org/officeDocument/2006/relationships/hyperlink" Target="http://www.robert-temple.com/papers/fredHoylesUniverse.html" TargetMode="External"/><Relationship Id="rId466" Type="http://schemas.openxmlformats.org/officeDocument/2006/relationships/image" Target="media/image182.wmf"/><Relationship Id="rId673" Type="http://schemas.openxmlformats.org/officeDocument/2006/relationships/image" Target="media/image281.wmf"/><Relationship Id="rId880" Type="http://schemas.openxmlformats.org/officeDocument/2006/relationships/oleObject" Target="embeddings/oleObject258.bin"/><Relationship Id="rId1096" Type="http://schemas.openxmlformats.org/officeDocument/2006/relationships/image" Target="media/image473.jpeg"/><Relationship Id="rId1317" Type="http://schemas.openxmlformats.org/officeDocument/2006/relationships/image" Target="media/image549.jpeg"/><Relationship Id="rId23" Type="http://schemas.openxmlformats.org/officeDocument/2006/relationships/image" Target="media/image15.jpeg"/><Relationship Id="rId119" Type="http://schemas.openxmlformats.org/officeDocument/2006/relationships/image" Target="media/image66.jpeg"/><Relationship Id="rId326" Type="http://schemas.openxmlformats.org/officeDocument/2006/relationships/image" Target="media/image147.jpeg"/><Relationship Id="rId533" Type="http://schemas.openxmlformats.org/officeDocument/2006/relationships/oleObject" Target="embeddings/oleObject83.bin"/><Relationship Id="rId978" Type="http://schemas.openxmlformats.org/officeDocument/2006/relationships/hyperlink" Target="http://www.setterfield.org/000docs/behaviorzpeapp4.html" TargetMode="External"/><Relationship Id="rId1163" Type="http://schemas.openxmlformats.org/officeDocument/2006/relationships/oleObject" Target="embeddings/oleObject299.bin"/><Relationship Id="rId740" Type="http://schemas.openxmlformats.org/officeDocument/2006/relationships/oleObject" Target="embeddings/oleObject187.bin"/><Relationship Id="rId838" Type="http://schemas.openxmlformats.org/officeDocument/2006/relationships/image" Target="media/image363.wmf"/><Relationship Id="rId1023" Type="http://schemas.openxmlformats.org/officeDocument/2006/relationships/image" Target="media/image446.jpeg"/><Relationship Id="rId172" Type="http://schemas.openxmlformats.org/officeDocument/2006/relationships/hyperlink" Target="http://www.estfound.org/analysis.htm" TargetMode="External"/><Relationship Id="rId477" Type="http://schemas.openxmlformats.org/officeDocument/2006/relationships/oleObject" Target="embeddings/oleObject54.bin"/><Relationship Id="rId600" Type="http://schemas.openxmlformats.org/officeDocument/2006/relationships/oleObject" Target="embeddings/oleObject117.bin"/><Relationship Id="rId684" Type="http://schemas.openxmlformats.org/officeDocument/2006/relationships/oleObject" Target="embeddings/oleObject159.bin"/><Relationship Id="rId1230" Type="http://schemas.openxmlformats.org/officeDocument/2006/relationships/hyperlink" Target="http://www.nist.gov/pml/general/curie/dorsey.cfm" TargetMode="External"/><Relationship Id="rId1328" Type="http://schemas.openxmlformats.org/officeDocument/2006/relationships/image" Target="media/image560.jpeg"/><Relationship Id="rId337" Type="http://schemas.openxmlformats.org/officeDocument/2006/relationships/hyperlink" Target="http://history.nasa.gov/SP-345/ch15.htm" TargetMode="External"/><Relationship Id="rId891" Type="http://schemas.openxmlformats.org/officeDocument/2006/relationships/image" Target="media/image389.wmf"/><Relationship Id="rId905" Type="http://schemas.openxmlformats.org/officeDocument/2006/relationships/image" Target="media/image396.wmf"/><Relationship Id="rId989" Type="http://schemas.openxmlformats.org/officeDocument/2006/relationships/hyperlink" Target="http://www.setterfield.org/000docs/behaviorzpeapp4.html" TargetMode="External"/><Relationship Id="rId34" Type="http://schemas.openxmlformats.org/officeDocument/2006/relationships/hyperlink" Target="http://www.19thpsalm.org/Ch01/index.html" TargetMode="External"/><Relationship Id="rId544" Type="http://schemas.openxmlformats.org/officeDocument/2006/relationships/image" Target="media/image218.wmf"/><Relationship Id="rId751" Type="http://schemas.openxmlformats.org/officeDocument/2006/relationships/oleObject" Target="embeddings/oleObject193.bin"/><Relationship Id="rId849" Type="http://schemas.openxmlformats.org/officeDocument/2006/relationships/oleObject" Target="embeddings/oleObject242.bin"/><Relationship Id="rId1174" Type="http://schemas.openxmlformats.org/officeDocument/2006/relationships/image" Target="media/image503.wmf"/><Relationship Id="rId183" Type="http://schemas.openxmlformats.org/officeDocument/2006/relationships/image" Target="media/image78.png"/><Relationship Id="rId390" Type="http://schemas.openxmlformats.org/officeDocument/2006/relationships/hyperlink" Target="http://hubblesite.org/newscenter/archive/releases/1997/38/image/f/" TargetMode="External"/><Relationship Id="rId404" Type="http://schemas.openxmlformats.org/officeDocument/2006/relationships/hyperlink" Target="http://www.thunderbolts.info/tpod/2009/arch09/091229seeing.htm" TargetMode="External"/><Relationship Id="rId611" Type="http://schemas.openxmlformats.org/officeDocument/2006/relationships/image" Target="media/image251.wmf"/><Relationship Id="rId1034" Type="http://schemas.openxmlformats.org/officeDocument/2006/relationships/image" Target="media/image456.jpeg"/><Relationship Id="rId1241" Type="http://schemas.openxmlformats.org/officeDocument/2006/relationships/hyperlink" Target="http://www.astronomy.ohio-state.edu/~pogge/Ast871/" TargetMode="External"/><Relationship Id="rId1339" Type="http://schemas.openxmlformats.org/officeDocument/2006/relationships/image" Target="media/image571.jpeg"/><Relationship Id="rId250" Type="http://schemas.openxmlformats.org/officeDocument/2006/relationships/hyperlink" Target="http://en.wikipedia.org/wiki/Sculptor_Group" TargetMode="External"/><Relationship Id="rId488" Type="http://schemas.openxmlformats.org/officeDocument/2006/relationships/oleObject" Target="embeddings/oleObject61.bin"/><Relationship Id="rId695" Type="http://schemas.openxmlformats.org/officeDocument/2006/relationships/image" Target="media/image292.wmf"/><Relationship Id="rId709" Type="http://schemas.openxmlformats.org/officeDocument/2006/relationships/image" Target="media/image299.wmf"/><Relationship Id="rId916" Type="http://schemas.openxmlformats.org/officeDocument/2006/relationships/oleObject" Target="embeddings/oleObject276.bin"/><Relationship Id="rId1101" Type="http://schemas.openxmlformats.org/officeDocument/2006/relationships/image" Target="media/image478.jpeg"/><Relationship Id="rId45" Type="http://schemas.openxmlformats.org/officeDocument/2006/relationships/image" Target="media/image20.png"/><Relationship Id="rId110" Type="http://schemas.openxmlformats.org/officeDocument/2006/relationships/image" Target="media/image58.jpeg"/><Relationship Id="rId348" Type="http://schemas.openxmlformats.org/officeDocument/2006/relationships/hyperlink" Target="http://192.171.198.135/Ps/aac/images/box.jpg" TargetMode="External"/><Relationship Id="rId555" Type="http://schemas.openxmlformats.org/officeDocument/2006/relationships/oleObject" Target="embeddings/oleObject94.bin"/><Relationship Id="rId762" Type="http://schemas.openxmlformats.org/officeDocument/2006/relationships/image" Target="media/image325.wmf"/><Relationship Id="rId1185" Type="http://schemas.openxmlformats.org/officeDocument/2006/relationships/chart" Target="charts/chart22.xml"/><Relationship Id="rId194" Type="http://schemas.openxmlformats.org/officeDocument/2006/relationships/image" Target="media/image84.wmf"/><Relationship Id="rId208" Type="http://schemas.openxmlformats.org/officeDocument/2006/relationships/image" Target="media/image91.wmf"/><Relationship Id="rId415" Type="http://schemas.openxmlformats.org/officeDocument/2006/relationships/image" Target="media/image157.wmf"/><Relationship Id="rId622" Type="http://schemas.openxmlformats.org/officeDocument/2006/relationships/oleObject" Target="embeddings/oleObject128.bin"/><Relationship Id="rId1045" Type="http://schemas.openxmlformats.org/officeDocument/2006/relationships/image" Target="media/image467.jpeg"/><Relationship Id="rId1252" Type="http://schemas.openxmlformats.org/officeDocument/2006/relationships/hyperlink" Target="http://www.setterfield.org/000docs/behaviorzpeapp2.html" TargetMode="External"/><Relationship Id="rId261" Type="http://schemas.openxmlformats.org/officeDocument/2006/relationships/hyperlink" Target="http://www.arm.ac.uk/staff/billn.html" TargetMode="External"/><Relationship Id="rId499" Type="http://schemas.openxmlformats.org/officeDocument/2006/relationships/oleObject" Target="embeddings/oleObject66.bin"/><Relationship Id="rId927" Type="http://schemas.openxmlformats.org/officeDocument/2006/relationships/image" Target="media/image411.wmf"/><Relationship Id="rId1112" Type="http://schemas.openxmlformats.org/officeDocument/2006/relationships/image" Target="media/image489.gif"/><Relationship Id="rId56" Type="http://schemas.openxmlformats.org/officeDocument/2006/relationships/hyperlink" Target="http://astro.ucla.edu/~wright/Lyman-alpha-forest.html" TargetMode="External"/><Relationship Id="rId359" Type="http://schemas.openxmlformats.org/officeDocument/2006/relationships/hyperlink" Target="http://phys.org/news/2012-04-astronomers-vast-amounts-gas-black.html" TargetMode="External"/><Relationship Id="rId566" Type="http://schemas.openxmlformats.org/officeDocument/2006/relationships/oleObject" Target="embeddings/oleObject100.bin"/><Relationship Id="rId773" Type="http://schemas.openxmlformats.org/officeDocument/2006/relationships/oleObject" Target="embeddings/oleObject204.bin"/><Relationship Id="rId1196" Type="http://schemas.openxmlformats.org/officeDocument/2006/relationships/image" Target="media/image514.wmf"/><Relationship Id="rId121" Type="http://schemas.openxmlformats.org/officeDocument/2006/relationships/hyperlink" Target="http://www.setterfield.org/000docs/cx4.html" TargetMode="External"/><Relationship Id="rId219" Type="http://schemas.openxmlformats.org/officeDocument/2006/relationships/image" Target="media/image97.png"/><Relationship Id="rId426" Type="http://schemas.openxmlformats.org/officeDocument/2006/relationships/image" Target="media/image163.wmf"/><Relationship Id="rId633" Type="http://schemas.openxmlformats.org/officeDocument/2006/relationships/image" Target="media/image262.wmf"/><Relationship Id="rId980" Type="http://schemas.openxmlformats.org/officeDocument/2006/relationships/hyperlink" Target="http://www.setterfield.org/000docs/behaviorzpeapp4.html" TargetMode="External"/><Relationship Id="rId1056" Type="http://schemas.openxmlformats.org/officeDocument/2006/relationships/hyperlink" Target="http://web.mit.edu/newsoffice/1999/convection-0331.html" TargetMode="External"/><Relationship Id="rId1263" Type="http://schemas.openxmlformats.org/officeDocument/2006/relationships/image" Target="media/image533.jpeg"/><Relationship Id="rId840" Type="http://schemas.openxmlformats.org/officeDocument/2006/relationships/image" Target="media/image364.wmf"/><Relationship Id="rId938" Type="http://schemas.openxmlformats.org/officeDocument/2006/relationships/oleObject" Target="embeddings/oleObject283.bin"/><Relationship Id="rId67" Type="http://schemas.openxmlformats.org/officeDocument/2006/relationships/hyperlink" Target="http://members.wolfram.com/jeffb/visualization/stringtheory.shtml" TargetMode="External"/><Relationship Id="rId272" Type="http://schemas.openxmlformats.org/officeDocument/2006/relationships/image" Target="media/image107.emf"/><Relationship Id="rId577" Type="http://schemas.openxmlformats.org/officeDocument/2006/relationships/image" Target="media/image234.wmf"/><Relationship Id="rId700" Type="http://schemas.openxmlformats.org/officeDocument/2006/relationships/oleObject" Target="embeddings/oleObject167.bin"/><Relationship Id="rId1123" Type="http://schemas.openxmlformats.org/officeDocument/2006/relationships/hyperlink" Target="http://www.ncbi.nlm.nih.gov/pmc/articles/PMC1054220/pdf/plntphys00618-0160.pdf" TargetMode="External"/><Relationship Id="rId1330" Type="http://schemas.openxmlformats.org/officeDocument/2006/relationships/image" Target="media/image562.jpeg"/><Relationship Id="rId132" Type="http://schemas.openxmlformats.org/officeDocument/2006/relationships/hyperlink" Target="http://nvlpubs.nist.gov/nistpubs/sp958-lide/191-193.pdf" TargetMode="External"/><Relationship Id="rId784" Type="http://schemas.openxmlformats.org/officeDocument/2006/relationships/image" Target="media/image336.wmf"/><Relationship Id="rId991" Type="http://schemas.openxmlformats.org/officeDocument/2006/relationships/hyperlink" Target="http://www.setterfield.org/000docs/behaviorzpeapp4.html" TargetMode="External"/><Relationship Id="rId1067" Type="http://schemas.openxmlformats.org/officeDocument/2006/relationships/hyperlink" Target="http://whc.unesco.org/en/activities/504/" TargetMode="External"/><Relationship Id="rId437" Type="http://schemas.openxmlformats.org/officeDocument/2006/relationships/oleObject" Target="embeddings/oleObject37.bin"/><Relationship Id="rId644" Type="http://schemas.openxmlformats.org/officeDocument/2006/relationships/image" Target="media/image267.wmf"/><Relationship Id="rId851" Type="http://schemas.openxmlformats.org/officeDocument/2006/relationships/oleObject" Target="embeddings/oleObject243.bin"/><Relationship Id="rId1274" Type="http://schemas.openxmlformats.org/officeDocument/2006/relationships/image" Target="media/image534.gif"/><Relationship Id="rId283" Type="http://schemas.openxmlformats.org/officeDocument/2006/relationships/image" Target="media/image116.png"/><Relationship Id="rId490" Type="http://schemas.openxmlformats.org/officeDocument/2006/relationships/oleObject" Target="embeddings/oleObject62.bin"/><Relationship Id="rId504" Type="http://schemas.openxmlformats.org/officeDocument/2006/relationships/image" Target="media/image198.wmf"/><Relationship Id="rId711" Type="http://schemas.openxmlformats.org/officeDocument/2006/relationships/image" Target="media/image300.wmf"/><Relationship Id="rId949" Type="http://schemas.openxmlformats.org/officeDocument/2006/relationships/hyperlink" Target="http://spiff.rit.edu/classes/phys314/lectures/mm_result/mm_result.html" TargetMode="External"/><Relationship Id="rId1134" Type="http://schemas.openxmlformats.org/officeDocument/2006/relationships/hyperlink" Target="http://pantherasonya.deviantart.com/art/Megafauna-Sizes-270438594" TargetMode="External"/><Relationship Id="rId1341" Type="http://schemas.openxmlformats.org/officeDocument/2006/relationships/image" Target="media/image573.jpeg"/><Relationship Id="rId78" Type="http://schemas.openxmlformats.org/officeDocument/2006/relationships/oleObject" Target="embeddings/oleObject3.bin"/><Relationship Id="rId143" Type="http://schemas.openxmlformats.org/officeDocument/2006/relationships/hyperlink" Target="http://en.wikipedia.org/wiki/Pulkovo_Observatory" TargetMode="External"/><Relationship Id="rId350" Type="http://schemas.openxmlformats.org/officeDocument/2006/relationships/hyperlink" Target="http://www.plasma-universe.com/index.php/Marklund_convection" TargetMode="External"/><Relationship Id="rId588" Type="http://schemas.openxmlformats.org/officeDocument/2006/relationships/oleObject" Target="embeddings/oleObject111.bin"/><Relationship Id="rId795" Type="http://schemas.openxmlformats.org/officeDocument/2006/relationships/oleObject" Target="embeddings/oleObject215.bin"/><Relationship Id="rId809" Type="http://schemas.openxmlformats.org/officeDocument/2006/relationships/image" Target="media/image349.wmf"/><Relationship Id="rId1201" Type="http://schemas.openxmlformats.org/officeDocument/2006/relationships/oleObject" Target="embeddings/oleObject316.bin"/><Relationship Id="rId9" Type="http://schemas.openxmlformats.org/officeDocument/2006/relationships/image" Target="media/image2.jpeg"/><Relationship Id="rId210" Type="http://schemas.openxmlformats.org/officeDocument/2006/relationships/image" Target="media/image92.wmf"/><Relationship Id="rId448" Type="http://schemas.openxmlformats.org/officeDocument/2006/relationships/image" Target="media/image173.wmf"/><Relationship Id="rId655" Type="http://schemas.openxmlformats.org/officeDocument/2006/relationships/image" Target="media/image272.wmf"/><Relationship Id="rId862" Type="http://schemas.openxmlformats.org/officeDocument/2006/relationships/image" Target="media/image375.wmf"/><Relationship Id="rId1078" Type="http://schemas.openxmlformats.org/officeDocument/2006/relationships/hyperlink" Target="http://www.sciencedirect.com/science/article/pii/S0094576507003281" TargetMode="External"/><Relationship Id="rId1285" Type="http://schemas.openxmlformats.org/officeDocument/2006/relationships/oleObject" Target="embeddings/oleObject333.bin"/><Relationship Id="rId294" Type="http://schemas.openxmlformats.org/officeDocument/2006/relationships/hyperlink" Target="http://arxiv.org/abs/1106.4784" TargetMode="External"/><Relationship Id="rId308" Type="http://schemas.openxmlformats.org/officeDocument/2006/relationships/image" Target="media/image132.jpeg"/><Relationship Id="rId515" Type="http://schemas.openxmlformats.org/officeDocument/2006/relationships/oleObject" Target="embeddings/oleObject74.bin"/><Relationship Id="rId722" Type="http://schemas.openxmlformats.org/officeDocument/2006/relationships/oleObject" Target="embeddings/oleObject178.bin"/><Relationship Id="rId1145" Type="http://schemas.openxmlformats.org/officeDocument/2006/relationships/image" Target="media/image490.wmf"/><Relationship Id="rId1352" Type="http://schemas.openxmlformats.org/officeDocument/2006/relationships/hyperlink" Target="http://www.mapcis.net/mapcis_research.html" TargetMode="External"/><Relationship Id="rId89" Type="http://schemas.openxmlformats.org/officeDocument/2006/relationships/image" Target="media/image44.jpeg"/><Relationship Id="rId154" Type="http://schemas.openxmlformats.org/officeDocument/2006/relationships/hyperlink" Target="http://16inchtranscriptions.com/Michelson.html" TargetMode="External"/><Relationship Id="rId361" Type="http://schemas.openxmlformats.org/officeDocument/2006/relationships/hyperlink" Target="http://arxiv.org/pdf/physics/0701076.pdf" TargetMode="External"/><Relationship Id="rId599" Type="http://schemas.openxmlformats.org/officeDocument/2006/relationships/image" Target="media/image245.wmf"/><Relationship Id="rId1005" Type="http://schemas.openxmlformats.org/officeDocument/2006/relationships/hyperlink" Target="http://nuclearpowertraining.tpub.com/h1019v1/css/h1019v1_49.htm" TargetMode="External"/><Relationship Id="rId1212" Type="http://schemas.openxmlformats.org/officeDocument/2006/relationships/image" Target="media/image522.wmf"/><Relationship Id="rId459" Type="http://schemas.openxmlformats.org/officeDocument/2006/relationships/oleObject" Target="embeddings/oleObject47.bin"/><Relationship Id="rId666" Type="http://schemas.openxmlformats.org/officeDocument/2006/relationships/oleObject" Target="embeddings/oleObject150.bin"/><Relationship Id="rId873" Type="http://schemas.openxmlformats.org/officeDocument/2006/relationships/image" Target="media/image380.wmf"/><Relationship Id="rId1089" Type="http://schemas.openxmlformats.org/officeDocument/2006/relationships/hyperlink" Target="http://www.earthlyissues.com/supervolcano.htm" TargetMode="External"/><Relationship Id="rId1296" Type="http://schemas.openxmlformats.org/officeDocument/2006/relationships/hyperlink" Target="http://www.setterfield.org/000docs/behaviorzpeapp8.html" TargetMode="External"/><Relationship Id="rId16" Type="http://schemas.openxmlformats.org/officeDocument/2006/relationships/image" Target="media/image8.jpeg"/><Relationship Id="rId221" Type="http://schemas.openxmlformats.org/officeDocument/2006/relationships/oleObject" Target="embeddings/oleObject20.bin"/><Relationship Id="rId319" Type="http://schemas.openxmlformats.org/officeDocument/2006/relationships/image" Target="media/image141.jpeg"/><Relationship Id="rId526" Type="http://schemas.openxmlformats.org/officeDocument/2006/relationships/image" Target="media/image209.wmf"/><Relationship Id="rId1156" Type="http://schemas.openxmlformats.org/officeDocument/2006/relationships/oleObject" Target="embeddings/oleObject294.bin"/><Relationship Id="rId1363" Type="http://schemas.openxmlformats.org/officeDocument/2006/relationships/header" Target="header2.xml"/><Relationship Id="rId733" Type="http://schemas.openxmlformats.org/officeDocument/2006/relationships/image" Target="media/image311.wmf"/><Relationship Id="rId940" Type="http://schemas.openxmlformats.org/officeDocument/2006/relationships/oleObject" Target="embeddings/oleObject284.bin"/><Relationship Id="rId1016" Type="http://schemas.openxmlformats.org/officeDocument/2006/relationships/image" Target="media/image439.jpeg"/><Relationship Id="rId165" Type="http://schemas.openxmlformats.org/officeDocument/2006/relationships/oleObject" Target="embeddings/oleObject5.bin"/><Relationship Id="rId372" Type="http://schemas.openxmlformats.org/officeDocument/2006/relationships/hyperlink" Target="http://www.thunderbolts.info/tpod/2005/arch05/051031plasma.htm" TargetMode="External"/><Relationship Id="rId677" Type="http://schemas.openxmlformats.org/officeDocument/2006/relationships/image" Target="media/image283.wmf"/><Relationship Id="rId800" Type="http://schemas.openxmlformats.org/officeDocument/2006/relationships/image" Target="media/image344.wmf"/><Relationship Id="rId1223" Type="http://schemas.openxmlformats.org/officeDocument/2006/relationships/image" Target="media/image529.wmf"/><Relationship Id="rId232" Type="http://schemas.openxmlformats.org/officeDocument/2006/relationships/hyperlink" Target="http://www.orionfdn.org/papers/arxiv-3.pdf" TargetMode="External"/><Relationship Id="rId884" Type="http://schemas.openxmlformats.org/officeDocument/2006/relationships/oleObject" Target="embeddings/oleObject260.bin"/><Relationship Id="rId27" Type="http://schemas.openxmlformats.org/officeDocument/2006/relationships/image" Target="media/image19.jpeg"/><Relationship Id="rId537" Type="http://schemas.openxmlformats.org/officeDocument/2006/relationships/oleObject" Target="embeddings/oleObject85.bin"/><Relationship Id="rId744" Type="http://schemas.openxmlformats.org/officeDocument/2006/relationships/oleObject" Target="embeddings/oleObject189.bin"/><Relationship Id="rId951" Type="http://schemas.openxmlformats.org/officeDocument/2006/relationships/hyperlink" Target="http://www.calphysics.org/questions.html" TargetMode="External"/><Relationship Id="rId1167" Type="http://schemas.openxmlformats.org/officeDocument/2006/relationships/oleObject" Target="embeddings/oleObject301.bin"/><Relationship Id="rId80" Type="http://schemas.openxmlformats.org/officeDocument/2006/relationships/hyperlink" Target="http://physics.nist.gov/cuu/Constants/index.html" TargetMode="External"/><Relationship Id="rId176" Type="http://schemas.openxmlformats.org/officeDocument/2006/relationships/image" Target="media/image72.png"/><Relationship Id="rId383" Type="http://schemas.openxmlformats.org/officeDocument/2006/relationships/hyperlink" Target="http://theastronomist.fieldofscience.com/2010/11/milky-way-hides-gamma-ray-lobes.html" TargetMode="External"/><Relationship Id="rId590" Type="http://schemas.openxmlformats.org/officeDocument/2006/relationships/oleObject" Target="embeddings/oleObject112.bin"/><Relationship Id="rId604" Type="http://schemas.openxmlformats.org/officeDocument/2006/relationships/oleObject" Target="embeddings/oleObject119.bin"/><Relationship Id="rId811" Type="http://schemas.openxmlformats.org/officeDocument/2006/relationships/image" Target="media/image350.wmf"/><Relationship Id="rId1027" Type="http://schemas.openxmlformats.org/officeDocument/2006/relationships/image" Target="media/image450.jpeg"/><Relationship Id="rId1234" Type="http://schemas.openxmlformats.org/officeDocument/2006/relationships/hyperlink" Target="http://www.web-books.com/eLibrary/Medicine/Physiology/Nervous/Nervous.htm" TargetMode="External"/><Relationship Id="rId243" Type="http://schemas.openxmlformats.org/officeDocument/2006/relationships/hyperlink" Target="http://spaceflightnow.com/news/n0310/10expansion/" TargetMode="External"/><Relationship Id="rId450" Type="http://schemas.openxmlformats.org/officeDocument/2006/relationships/image" Target="media/image174.wmf"/><Relationship Id="rId688" Type="http://schemas.openxmlformats.org/officeDocument/2006/relationships/oleObject" Target="embeddings/oleObject161.bin"/><Relationship Id="rId895" Type="http://schemas.openxmlformats.org/officeDocument/2006/relationships/image" Target="media/image391.wmf"/><Relationship Id="rId909" Type="http://schemas.openxmlformats.org/officeDocument/2006/relationships/image" Target="media/image398.wmf"/><Relationship Id="rId1080" Type="http://schemas.openxmlformats.org/officeDocument/2006/relationships/hyperlink" Target="http://www.visionsofthecosmos.co.uk/Planet%20Mars.htm" TargetMode="External"/><Relationship Id="rId1301" Type="http://schemas.openxmlformats.org/officeDocument/2006/relationships/hyperlink" Target="http://www.nature.com/news/radio-array-starts-work-1.9762" TargetMode="External"/><Relationship Id="rId38" Type="http://schemas.openxmlformats.org/officeDocument/2006/relationships/hyperlink" Target="http://www.thunderbolts.info/tpod/2006/arch06/060602plasma-galaxy.htm" TargetMode="External"/><Relationship Id="rId103" Type="http://schemas.openxmlformats.org/officeDocument/2006/relationships/image" Target="media/image54.jpeg"/><Relationship Id="rId310" Type="http://schemas.openxmlformats.org/officeDocument/2006/relationships/image" Target="media/image134.png"/><Relationship Id="rId548" Type="http://schemas.openxmlformats.org/officeDocument/2006/relationships/image" Target="media/image220.wmf"/><Relationship Id="rId755" Type="http://schemas.openxmlformats.org/officeDocument/2006/relationships/oleObject" Target="embeddings/oleObject195.bin"/><Relationship Id="rId962" Type="http://schemas.openxmlformats.org/officeDocument/2006/relationships/hyperlink" Target="http://arstechnica.com/science/2012/07/dark-matter-is-the-thread-connecting-galaxy-clusters/" TargetMode="External"/><Relationship Id="rId1178" Type="http://schemas.openxmlformats.org/officeDocument/2006/relationships/image" Target="media/image505.wmf"/><Relationship Id="rId91" Type="http://schemas.openxmlformats.org/officeDocument/2006/relationships/image" Target="media/image46.jpeg"/><Relationship Id="rId187" Type="http://schemas.openxmlformats.org/officeDocument/2006/relationships/hyperlink" Target="http://arxiv.org/pdf/astro-ph/0612191.pdf" TargetMode="External"/><Relationship Id="rId394" Type="http://schemas.openxmlformats.org/officeDocument/2006/relationships/hyperlink" Target="http://abyss.uoregon.edu/~js/ast121/lectures/tharsis.html" TargetMode="External"/><Relationship Id="rId408" Type="http://schemas.openxmlformats.org/officeDocument/2006/relationships/oleObject" Target="embeddings/oleObject26.bin"/><Relationship Id="rId615" Type="http://schemas.openxmlformats.org/officeDocument/2006/relationships/image" Target="media/image253.wmf"/><Relationship Id="rId822" Type="http://schemas.openxmlformats.org/officeDocument/2006/relationships/oleObject" Target="embeddings/oleObject228.bin"/><Relationship Id="rId1038" Type="http://schemas.openxmlformats.org/officeDocument/2006/relationships/image" Target="media/image460.jpeg"/><Relationship Id="rId1245" Type="http://schemas.openxmlformats.org/officeDocument/2006/relationships/hyperlink" Target="http://www.setterfield.org/000docs/behaviorzpeapp2.html" TargetMode="External"/><Relationship Id="rId254" Type="http://schemas.openxmlformats.org/officeDocument/2006/relationships/hyperlink" Target="http://www.astronomy.ohio-state.edu/~pogge/Ast162/Unit5/expand.html" TargetMode="External"/><Relationship Id="rId699" Type="http://schemas.openxmlformats.org/officeDocument/2006/relationships/image" Target="media/image294.wmf"/><Relationship Id="rId1091" Type="http://schemas.openxmlformats.org/officeDocument/2006/relationships/hyperlink" Target="http://www.waterencyclopedia.com/Mi-Oc/Mid-Ocean-Ridges.html" TargetMode="External"/><Relationship Id="rId1105" Type="http://schemas.openxmlformats.org/officeDocument/2006/relationships/image" Target="media/image482.jpeg"/><Relationship Id="rId1312" Type="http://schemas.openxmlformats.org/officeDocument/2006/relationships/image" Target="media/image544.jpeg"/><Relationship Id="rId49" Type="http://schemas.openxmlformats.org/officeDocument/2006/relationships/image" Target="media/image23.wmf"/><Relationship Id="rId114" Type="http://schemas.openxmlformats.org/officeDocument/2006/relationships/image" Target="media/image62.jpeg"/><Relationship Id="rId461" Type="http://schemas.openxmlformats.org/officeDocument/2006/relationships/oleObject" Target="embeddings/oleObject48.bin"/><Relationship Id="rId559" Type="http://schemas.openxmlformats.org/officeDocument/2006/relationships/image" Target="media/image225.wmf"/><Relationship Id="rId766" Type="http://schemas.openxmlformats.org/officeDocument/2006/relationships/image" Target="media/image327.wmf"/><Relationship Id="rId1189" Type="http://schemas.openxmlformats.org/officeDocument/2006/relationships/oleObject" Target="embeddings/oleObject310.bin"/><Relationship Id="rId198" Type="http://schemas.openxmlformats.org/officeDocument/2006/relationships/image" Target="media/image86.wmf"/><Relationship Id="rId321" Type="http://schemas.openxmlformats.org/officeDocument/2006/relationships/image" Target="media/image142.jpeg"/><Relationship Id="rId419" Type="http://schemas.openxmlformats.org/officeDocument/2006/relationships/image" Target="media/image159.wmf"/><Relationship Id="rId626" Type="http://schemas.openxmlformats.org/officeDocument/2006/relationships/oleObject" Target="embeddings/oleObject130.bin"/><Relationship Id="rId973" Type="http://schemas.openxmlformats.org/officeDocument/2006/relationships/hyperlink" Target="http://www.setterfield.org/000docs/behaviorzpeapp4.html" TargetMode="External"/><Relationship Id="rId1049" Type="http://schemas.openxmlformats.org/officeDocument/2006/relationships/image" Target="media/image471.jpeg"/><Relationship Id="rId1256" Type="http://schemas.openxmlformats.org/officeDocument/2006/relationships/hyperlink" Target="http://www.setterfield.org/000docs/behaviorzpeapp2.html" TargetMode="External"/><Relationship Id="rId833" Type="http://schemas.openxmlformats.org/officeDocument/2006/relationships/oleObject" Target="embeddings/oleObject234.bin"/><Relationship Id="rId1116" Type="http://schemas.openxmlformats.org/officeDocument/2006/relationships/hyperlink" Target="http://opa.yale.edu/news/article.aspx?id=2010" TargetMode="External"/><Relationship Id="rId265" Type="http://schemas.openxmlformats.org/officeDocument/2006/relationships/hyperlink" Target="http://thisquantumworld.com/wp/the-technique-of-quantum-mechanics/from-bohr-to-de-broglie/" TargetMode="External"/><Relationship Id="rId472" Type="http://schemas.openxmlformats.org/officeDocument/2006/relationships/image" Target="media/image185.wmf"/><Relationship Id="rId900" Type="http://schemas.openxmlformats.org/officeDocument/2006/relationships/oleObject" Target="embeddings/oleObject268.bin"/><Relationship Id="rId1323" Type="http://schemas.openxmlformats.org/officeDocument/2006/relationships/image" Target="media/image555.jpeg"/><Relationship Id="rId125" Type="http://schemas.openxmlformats.org/officeDocument/2006/relationships/chart" Target="charts/chart12.xml"/><Relationship Id="rId332" Type="http://schemas.openxmlformats.org/officeDocument/2006/relationships/hyperlink" Target="http://en.wikipedia.org/wiki/Solvation" TargetMode="External"/><Relationship Id="rId777" Type="http://schemas.openxmlformats.org/officeDocument/2006/relationships/oleObject" Target="embeddings/oleObject206.bin"/><Relationship Id="rId984" Type="http://schemas.openxmlformats.org/officeDocument/2006/relationships/image" Target="media/image430.jpeg"/><Relationship Id="rId637" Type="http://schemas.openxmlformats.org/officeDocument/2006/relationships/image" Target="media/image264.wmf"/><Relationship Id="rId844" Type="http://schemas.openxmlformats.org/officeDocument/2006/relationships/image" Target="media/image366.wmf"/><Relationship Id="rId1267" Type="http://schemas.openxmlformats.org/officeDocument/2006/relationships/hyperlink" Target="http://www.setterfield.org/000docs/behaviorzpeapp2.html" TargetMode="External"/><Relationship Id="rId276" Type="http://schemas.openxmlformats.org/officeDocument/2006/relationships/image" Target="media/image110.jpeg"/><Relationship Id="rId483" Type="http://schemas.openxmlformats.org/officeDocument/2006/relationships/oleObject" Target="embeddings/oleObject58.bin"/><Relationship Id="rId690" Type="http://schemas.openxmlformats.org/officeDocument/2006/relationships/oleObject" Target="embeddings/oleObject162.bin"/><Relationship Id="rId704" Type="http://schemas.openxmlformats.org/officeDocument/2006/relationships/oleObject" Target="embeddings/oleObject169.bin"/><Relationship Id="rId911" Type="http://schemas.openxmlformats.org/officeDocument/2006/relationships/image" Target="media/image399.wmf"/><Relationship Id="rId1127" Type="http://schemas.openxmlformats.org/officeDocument/2006/relationships/hyperlink" Target="http://nuweb5.neu.edu/vollmerlabwp/biology-of-corals/coral-calcification/" TargetMode="External"/><Relationship Id="rId1334" Type="http://schemas.openxmlformats.org/officeDocument/2006/relationships/image" Target="media/image566.jpeg"/><Relationship Id="rId40" Type="http://schemas.openxmlformats.org/officeDocument/2006/relationships/hyperlink" Target="http://www.nasa.gov/mission_pages/hubble/multimedia/ero/ero_ngc6302.html" TargetMode="External"/><Relationship Id="rId136" Type="http://schemas.openxmlformats.org/officeDocument/2006/relationships/hyperlink" Target="http://en.wikipedia.org/wiki/Jean_Baptiste_Joseph_Delambre" TargetMode="External"/><Relationship Id="rId343" Type="http://schemas.openxmlformats.org/officeDocument/2006/relationships/hyperlink" Target="http://www.nasa.gov/images/content/54346main_m81_highres.jpg" TargetMode="External"/><Relationship Id="rId550" Type="http://schemas.openxmlformats.org/officeDocument/2006/relationships/image" Target="media/image221.wmf"/><Relationship Id="rId788" Type="http://schemas.openxmlformats.org/officeDocument/2006/relationships/image" Target="media/image338.wmf"/><Relationship Id="rId995" Type="http://schemas.openxmlformats.org/officeDocument/2006/relationships/hyperlink" Target="http://en.wikipedia.org/wiki/Physical_Review_Letters" TargetMode="External"/><Relationship Id="rId1180" Type="http://schemas.openxmlformats.org/officeDocument/2006/relationships/image" Target="media/image506.wmf"/><Relationship Id="rId203" Type="http://schemas.openxmlformats.org/officeDocument/2006/relationships/oleObject" Target="embeddings/oleObject13.bin"/><Relationship Id="rId648" Type="http://schemas.openxmlformats.org/officeDocument/2006/relationships/image" Target="media/image269.wmf"/><Relationship Id="rId855" Type="http://schemas.openxmlformats.org/officeDocument/2006/relationships/oleObject" Target="embeddings/oleObject245.bin"/><Relationship Id="rId1040" Type="http://schemas.openxmlformats.org/officeDocument/2006/relationships/image" Target="media/image462.jpeg"/><Relationship Id="rId1278" Type="http://schemas.openxmlformats.org/officeDocument/2006/relationships/oleObject" Target="embeddings/oleObject326.bin"/><Relationship Id="rId287" Type="http://schemas.openxmlformats.org/officeDocument/2006/relationships/hyperlink" Target="http://en.wikipedia.org/wiki/Magnetic_field" TargetMode="External"/><Relationship Id="rId410" Type="http://schemas.openxmlformats.org/officeDocument/2006/relationships/oleObject" Target="embeddings/oleObject27.bin"/><Relationship Id="rId494" Type="http://schemas.openxmlformats.org/officeDocument/2006/relationships/oleObject" Target="embeddings/oleObject64.bin"/><Relationship Id="rId508" Type="http://schemas.openxmlformats.org/officeDocument/2006/relationships/image" Target="media/image200.wmf"/><Relationship Id="rId715" Type="http://schemas.openxmlformats.org/officeDocument/2006/relationships/image" Target="media/image302.wmf"/><Relationship Id="rId922" Type="http://schemas.openxmlformats.org/officeDocument/2006/relationships/image" Target="media/image407.jpeg"/><Relationship Id="rId1138" Type="http://schemas.openxmlformats.org/officeDocument/2006/relationships/hyperlink" Target="http://www.setterfield.org/zpe_giantism.html" TargetMode="External"/><Relationship Id="rId1345" Type="http://schemas.openxmlformats.org/officeDocument/2006/relationships/image" Target="media/image577.jpeg"/><Relationship Id="rId147" Type="http://schemas.openxmlformats.org/officeDocument/2006/relationships/hyperlink" Target="http://www.scientific-web.com/en/Physics/Biographies/MarieAlfredCornu01.html" TargetMode="External"/><Relationship Id="rId354" Type="http://schemas.openxmlformats.org/officeDocument/2006/relationships/hyperlink" Target="http://www.physics.ccsu.edu/larsen/wmap.html" TargetMode="External"/><Relationship Id="rId799" Type="http://schemas.openxmlformats.org/officeDocument/2006/relationships/oleObject" Target="embeddings/oleObject217.bin"/><Relationship Id="rId1191" Type="http://schemas.openxmlformats.org/officeDocument/2006/relationships/oleObject" Target="embeddings/oleObject311.bin"/><Relationship Id="rId1205" Type="http://schemas.openxmlformats.org/officeDocument/2006/relationships/oleObject" Target="embeddings/oleObject318.bin"/><Relationship Id="rId51" Type="http://schemas.openxmlformats.org/officeDocument/2006/relationships/image" Target="media/image24.jpeg"/><Relationship Id="rId561" Type="http://schemas.openxmlformats.org/officeDocument/2006/relationships/image" Target="media/image226.wmf"/><Relationship Id="rId659" Type="http://schemas.openxmlformats.org/officeDocument/2006/relationships/image" Target="media/image274.wmf"/><Relationship Id="rId866" Type="http://schemas.openxmlformats.org/officeDocument/2006/relationships/oleObject" Target="embeddings/oleObject251.bin"/><Relationship Id="rId1289" Type="http://schemas.openxmlformats.org/officeDocument/2006/relationships/image" Target="media/image535.jpeg"/><Relationship Id="rId214" Type="http://schemas.openxmlformats.org/officeDocument/2006/relationships/image" Target="media/image94.wmf"/><Relationship Id="rId298" Type="http://schemas.openxmlformats.org/officeDocument/2006/relationships/image" Target="media/image122.jpeg"/><Relationship Id="rId421" Type="http://schemas.openxmlformats.org/officeDocument/2006/relationships/image" Target="media/image160.jpeg"/><Relationship Id="rId519" Type="http://schemas.openxmlformats.org/officeDocument/2006/relationships/oleObject" Target="embeddings/oleObject76.bin"/><Relationship Id="rId1051" Type="http://schemas.openxmlformats.org/officeDocument/2006/relationships/hyperlink" Target="http://www.mapcis.net/mapcis_case.html" TargetMode="External"/><Relationship Id="rId1149" Type="http://schemas.openxmlformats.org/officeDocument/2006/relationships/image" Target="media/image492.wmf"/><Relationship Id="rId1356" Type="http://schemas.openxmlformats.org/officeDocument/2006/relationships/hyperlink" Target="http://www.msnbc.msn.com/id/13089686/ns/technology_and_science-space/t/antarctic-crater-linked-ancient-die-off/" TargetMode="External"/><Relationship Id="rId158" Type="http://schemas.openxmlformats.org/officeDocument/2006/relationships/hyperlink" Target="http://www.setterfield.org/000docs/cx4.html" TargetMode="External"/><Relationship Id="rId726" Type="http://schemas.openxmlformats.org/officeDocument/2006/relationships/oleObject" Target="embeddings/oleObject180.bin"/><Relationship Id="rId933" Type="http://schemas.openxmlformats.org/officeDocument/2006/relationships/image" Target="media/image414.wmf"/><Relationship Id="rId1009" Type="http://schemas.openxmlformats.org/officeDocument/2006/relationships/hyperlink" Target="http://en.wikipedia.org/wiki/Chondrule" TargetMode="External"/><Relationship Id="rId62" Type="http://schemas.openxmlformats.org/officeDocument/2006/relationships/hyperlink" Target="http://spaceflight.esa.int/impress/text/education/Heat%20Transfer/Radiation.html" TargetMode="External"/><Relationship Id="rId365" Type="http://schemas.openxmlformats.org/officeDocument/2006/relationships/hyperlink" Target="https://www.llnl.gov/news/newsreleases/2011/Apr/NR-11-04-04.html" TargetMode="External"/><Relationship Id="rId572" Type="http://schemas.openxmlformats.org/officeDocument/2006/relationships/oleObject" Target="embeddings/oleObject103.bin"/><Relationship Id="rId1216" Type="http://schemas.openxmlformats.org/officeDocument/2006/relationships/image" Target="media/image524.wmf"/><Relationship Id="rId225" Type="http://schemas.openxmlformats.org/officeDocument/2006/relationships/oleObject" Target="embeddings/oleObject22.bin"/><Relationship Id="rId432" Type="http://schemas.openxmlformats.org/officeDocument/2006/relationships/image" Target="media/image166.wmf"/><Relationship Id="rId877" Type="http://schemas.openxmlformats.org/officeDocument/2006/relationships/image" Target="media/image382.wmf"/><Relationship Id="rId1062" Type="http://schemas.openxmlformats.org/officeDocument/2006/relationships/hyperlink" Target="http://uanews.org/node/5107" TargetMode="External"/><Relationship Id="rId737" Type="http://schemas.openxmlformats.org/officeDocument/2006/relationships/image" Target="media/image313.wmf"/><Relationship Id="rId944" Type="http://schemas.openxmlformats.org/officeDocument/2006/relationships/oleObject" Target="embeddings/oleObject286.bin"/><Relationship Id="rId1367" Type="http://schemas.openxmlformats.org/officeDocument/2006/relationships/theme" Target="theme/theme1.xml"/><Relationship Id="rId73" Type="http://schemas.openxmlformats.org/officeDocument/2006/relationships/image" Target="media/image33.jpeg"/><Relationship Id="rId169" Type="http://schemas.openxmlformats.org/officeDocument/2006/relationships/hyperlink" Target="http://press.web.cern.ch/press-releases/2013/03/new-results-indicate-particle-discovered-cern-higgs-boson" TargetMode="External"/><Relationship Id="rId376" Type="http://schemas.openxmlformats.org/officeDocument/2006/relationships/hyperlink" Target="http://www.holoscience.com/wp/the-spiral-galaxy-at-saturns-pole/" TargetMode="External"/><Relationship Id="rId583" Type="http://schemas.openxmlformats.org/officeDocument/2006/relationships/image" Target="media/image237.wmf"/><Relationship Id="rId790" Type="http://schemas.openxmlformats.org/officeDocument/2006/relationships/image" Target="media/image339.wmf"/><Relationship Id="rId804" Type="http://schemas.openxmlformats.org/officeDocument/2006/relationships/oleObject" Target="embeddings/oleObject219.bin"/><Relationship Id="rId1227" Type="http://schemas.openxmlformats.org/officeDocument/2006/relationships/hyperlink" Target="http://arxiv.org/abs/astro-ph/0110012" TargetMode="External"/><Relationship Id="rId4" Type="http://schemas.openxmlformats.org/officeDocument/2006/relationships/settings" Target="settings.xml"/><Relationship Id="rId236" Type="http://schemas.openxmlformats.org/officeDocument/2006/relationships/hyperlink" Target="http://www.lbl.gov/supernova/albinoni.html" TargetMode="External"/><Relationship Id="rId443" Type="http://schemas.openxmlformats.org/officeDocument/2006/relationships/image" Target="media/image171.wmf"/><Relationship Id="rId650" Type="http://schemas.openxmlformats.org/officeDocument/2006/relationships/hyperlink" Target="http://www.setterfield.org/000docs/behaviorzpeapp7.html" TargetMode="External"/><Relationship Id="rId888" Type="http://schemas.openxmlformats.org/officeDocument/2006/relationships/oleObject" Target="embeddings/oleObject262.bin"/><Relationship Id="rId1073" Type="http://schemas.openxmlformats.org/officeDocument/2006/relationships/hyperlink" Target="http://www.msnbc.msn.com/id/13089686/ns/technology_and_science-space/t/antarctic-crater-linked-ancient-die-off/" TargetMode="External"/><Relationship Id="rId1280" Type="http://schemas.openxmlformats.org/officeDocument/2006/relationships/oleObject" Target="embeddings/oleObject328.bin"/><Relationship Id="rId303" Type="http://schemas.openxmlformats.org/officeDocument/2006/relationships/image" Target="media/image127.gif"/><Relationship Id="rId748" Type="http://schemas.openxmlformats.org/officeDocument/2006/relationships/image" Target="media/image318.wmf"/><Relationship Id="rId955" Type="http://schemas.openxmlformats.org/officeDocument/2006/relationships/hyperlink" Target="http://www.calphysics.org/rindler.html" TargetMode="External"/><Relationship Id="rId1140" Type="http://schemas.openxmlformats.org/officeDocument/2006/relationships/hyperlink" Target="http://www.outbacktours.info/adventure.htm" TargetMode="External"/><Relationship Id="rId84" Type="http://schemas.openxmlformats.org/officeDocument/2006/relationships/image" Target="media/image41.png"/><Relationship Id="rId387" Type="http://schemas.openxmlformats.org/officeDocument/2006/relationships/hyperlink" Target="http://www.holoscience.com/wp/electric-galaxies/" TargetMode="External"/><Relationship Id="rId510" Type="http://schemas.openxmlformats.org/officeDocument/2006/relationships/image" Target="media/image201.wmf"/><Relationship Id="rId594" Type="http://schemas.openxmlformats.org/officeDocument/2006/relationships/oleObject" Target="embeddings/oleObject114.bin"/><Relationship Id="rId608" Type="http://schemas.openxmlformats.org/officeDocument/2006/relationships/oleObject" Target="embeddings/oleObject121.bin"/><Relationship Id="rId815" Type="http://schemas.openxmlformats.org/officeDocument/2006/relationships/image" Target="media/image352.wmf"/><Relationship Id="rId1238" Type="http://schemas.openxmlformats.org/officeDocument/2006/relationships/chart" Target="charts/chart24.xml"/><Relationship Id="rId247" Type="http://schemas.openxmlformats.org/officeDocument/2006/relationships/hyperlink" Target="http://www.astr.ua.edu/keel/galaxies/cmbr.html" TargetMode="External"/><Relationship Id="rId899" Type="http://schemas.openxmlformats.org/officeDocument/2006/relationships/image" Target="media/image393.wmf"/><Relationship Id="rId1000" Type="http://schemas.openxmlformats.org/officeDocument/2006/relationships/hyperlink" Target="http://www.nature.com/nature/journal/v332/n6162/abs/332344a0.html" TargetMode="External"/><Relationship Id="rId1084" Type="http://schemas.openxmlformats.org/officeDocument/2006/relationships/hyperlink" Target="http://astroprofspage.com/archives/1479" TargetMode="External"/><Relationship Id="rId1305" Type="http://schemas.openxmlformats.org/officeDocument/2006/relationships/hyperlink" Target="http://en.wikipedia.org/wiki/Crab_Pulsar" TargetMode="External"/><Relationship Id="rId107" Type="http://schemas.openxmlformats.org/officeDocument/2006/relationships/chart" Target="charts/chart7.xml"/><Relationship Id="rId454" Type="http://schemas.openxmlformats.org/officeDocument/2006/relationships/image" Target="media/image176.wmf"/><Relationship Id="rId661" Type="http://schemas.openxmlformats.org/officeDocument/2006/relationships/image" Target="media/image275.wmf"/><Relationship Id="rId759" Type="http://schemas.openxmlformats.org/officeDocument/2006/relationships/oleObject" Target="embeddings/oleObject197.bin"/><Relationship Id="rId966" Type="http://schemas.openxmlformats.org/officeDocument/2006/relationships/image" Target="media/image422.gif"/><Relationship Id="rId1291" Type="http://schemas.openxmlformats.org/officeDocument/2006/relationships/hyperlink" Target="http://www.setterfield.org/000docs/behaviorzpeapp8.html" TargetMode="External"/><Relationship Id="rId11" Type="http://schemas.openxmlformats.org/officeDocument/2006/relationships/image" Target="media/image4.jpeg"/><Relationship Id="rId314" Type="http://schemas.openxmlformats.org/officeDocument/2006/relationships/oleObject" Target="embeddings/oleObject25.bin"/><Relationship Id="rId398" Type="http://schemas.openxmlformats.org/officeDocument/2006/relationships/hyperlink" Target="http://www.setterfield.org/Astronomy_Lesson_3.html" TargetMode="External"/><Relationship Id="rId521" Type="http://schemas.openxmlformats.org/officeDocument/2006/relationships/oleObject" Target="embeddings/oleObject77.bin"/><Relationship Id="rId619" Type="http://schemas.openxmlformats.org/officeDocument/2006/relationships/image" Target="media/image255.wmf"/><Relationship Id="rId1151" Type="http://schemas.openxmlformats.org/officeDocument/2006/relationships/image" Target="media/image493.wmf"/><Relationship Id="rId1249" Type="http://schemas.openxmlformats.org/officeDocument/2006/relationships/hyperlink" Target="http://www.setterfield.org/000docs/behaviorzpeapp2.html" TargetMode="External"/><Relationship Id="rId95" Type="http://schemas.openxmlformats.org/officeDocument/2006/relationships/image" Target="media/image50.jpeg"/><Relationship Id="rId160" Type="http://schemas.openxmlformats.org/officeDocument/2006/relationships/image" Target="media/image67.jpeg"/><Relationship Id="rId826" Type="http://schemas.openxmlformats.org/officeDocument/2006/relationships/oleObject" Target="embeddings/oleObject230.bin"/><Relationship Id="rId1011" Type="http://schemas.openxmlformats.org/officeDocument/2006/relationships/image" Target="media/image434.png"/><Relationship Id="rId1109" Type="http://schemas.openxmlformats.org/officeDocument/2006/relationships/image" Target="media/image486.jpeg"/><Relationship Id="rId258" Type="http://schemas.openxmlformats.org/officeDocument/2006/relationships/hyperlink" Target="http://inspirehep.net/record/1187944/files/fig11_VacuumEnergy_Deiss_PR_other.png" TargetMode="External"/><Relationship Id="rId465" Type="http://schemas.openxmlformats.org/officeDocument/2006/relationships/package" Target="embeddings/Microsoft_Office_PowerPoint_Slide27.sldx"/><Relationship Id="rId672" Type="http://schemas.openxmlformats.org/officeDocument/2006/relationships/oleObject" Target="embeddings/oleObject153.bin"/><Relationship Id="rId1095" Type="http://schemas.openxmlformats.org/officeDocument/2006/relationships/image" Target="media/image472.jpeg"/><Relationship Id="rId1316" Type="http://schemas.openxmlformats.org/officeDocument/2006/relationships/image" Target="media/image548.jpeg"/><Relationship Id="rId22" Type="http://schemas.openxmlformats.org/officeDocument/2006/relationships/image" Target="media/image14.jpeg"/><Relationship Id="rId118" Type="http://schemas.openxmlformats.org/officeDocument/2006/relationships/hyperlink" Target="http://www.setterfield.org/000docs/cx4.html" TargetMode="External"/><Relationship Id="rId325" Type="http://schemas.openxmlformats.org/officeDocument/2006/relationships/image" Target="media/image146.jpeg"/><Relationship Id="rId532" Type="http://schemas.openxmlformats.org/officeDocument/2006/relationships/image" Target="media/image212.wmf"/><Relationship Id="rId977" Type="http://schemas.openxmlformats.org/officeDocument/2006/relationships/hyperlink" Target="http://www.setterfield.org/000docs/behaviorzpeapp4.html" TargetMode="External"/><Relationship Id="rId1162" Type="http://schemas.openxmlformats.org/officeDocument/2006/relationships/image" Target="media/image497.wmf"/><Relationship Id="rId171" Type="http://schemas.openxmlformats.org/officeDocument/2006/relationships/hyperlink" Target="http://physics.nist.gov/cuu/Constants/index.html" TargetMode="External"/><Relationship Id="rId837" Type="http://schemas.openxmlformats.org/officeDocument/2006/relationships/oleObject" Target="embeddings/oleObject236.bin"/><Relationship Id="rId1022" Type="http://schemas.openxmlformats.org/officeDocument/2006/relationships/image" Target="media/image445.jpeg"/><Relationship Id="rId269" Type="http://schemas.openxmlformats.org/officeDocument/2006/relationships/hyperlink" Target="http://en.wikipedia.org/wiki/Local_Supercluster" TargetMode="External"/><Relationship Id="rId476" Type="http://schemas.openxmlformats.org/officeDocument/2006/relationships/image" Target="media/image187.wmf"/><Relationship Id="rId683" Type="http://schemas.openxmlformats.org/officeDocument/2006/relationships/image" Target="media/image286.wmf"/><Relationship Id="rId890" Type="http://schemas.openxmlformats.org/officeDocument/2006/relationships/oleObject" Target="embeddings/oleObject263.bin"/><Relationship Id="rId904" Type="http://schemas.openxmlformats.org/officeDocument/2006/relationships/oleObject" Target="embeddings/oleObject270.bin"/><Relationship Id="rId1327" Type="http://schemas.openxmlformats.org/officeDocument/2006/relationships/image" Target="media/image559.jpeg"/><Relationship Id="rId33" Type="http://schemas.openxmlformats.org/officeDocument/2006/relationships/hyperlink" Target="http://www.taipeitimes.com/News/biz/archives/2012/09/06/2003542059" TargetMode="External"/><Relationship Id="rId129" Type="http://schemas.openxmlformats.org/officeDocument/2006/relationships/chart" Target="charts/chart14.xml"/><Relationship Id="rId336" Type="http://schemas.openxmlformats.org/officeDocument/2006/relationships/hyperlink" Target="http://abcnews.go.com/Technology/story?id=4005338&amp;page=1" TargetMode="External"/><Relationship Id="rId543" Type="http://schemas.openxmlformats.org/officeDocument/2006/relationships/oleObject" Target="embeddings/oleObject88.bin"/><Relationship Id="rId988" Type="http://schemas.openxmlformats.org/officeDocument/2006/relationships/hyperlink" Target="http://www.setterfield.org/000docs/behaviorzpeapp4.html" TargetMode="External"/><Relationship Id="rId1173" Type="http://schemas.openxmlformats.org/officeDocument/2006/relationships/oleObject" Target="embeddings/oleObject304.bin"/><Relationship Id="rId182" Type="http://schemas.openxmlformats.org/officeDocument/2006/relationships/image" Target="media/image77.png"/><Relationship Id="rId403" Type="http://schemas.openxmlformats.org/officeDocument/2006/relationships/hyperlink" Target="http://www.holoscience.com/wp/synopsis/synopsis-5-electric-galaxies/" TargetMode="External"/><Relationship Id="rId750" Type="http://schemas.openxmlformats.org/officeDocument/2006/relationships/image" Target="media/image319.wmf"/><Relationship Id="rId848" Type="http://schemas.openxmlformats.org/officeDocument/2006/relationships/image" Target="media/image368.wmf"/><Relationship Id="rId1033" Type="http://schemas.openxmlformats.org/officeDocument/2006/relationships/image" Target="media/image455.jpeg"/><Relationship Id="rId487" Type="http://schemas.openxmlformats.org/officeDocument/2006/relationships/image" Target="media/image190.wmf"/><Relationship Id="rId610" Type="http://schemas.openxmlformats.org/officeDocument/2006/relationships/oleObject" Target="embeddings/oleObject122.bin"/><Relationship Id="rId694" Type="http://schemas.openxmlformats.org/officeDocument/2006/relationships/oleObject" Target="embeddings/oleObject164.bin"/><Relationship Id="rId708" Type="http://schemas.openxmlformats.org/officeDocument/2006/relationships/oleObject" Target="embeddings/oleObject171.bin"/><Relationship Id="rId915" Type="http://schemas.openxmlformats.org/officeDocument/2006/relationships/image" Target="media/image401.wmf"/><Relationship Id="rId1240" Type="http://schemas.openxmlformats.org/officeDocument/2006/relationships/hyperlink" Target="http://arxiv.org/abs/astro-ph/0110012" TargetMode="External"/><Relationship Id="rId1338" Type="http://schemas.openxmlformats.org/officeDocument/2006/relationships/image" Target="media/image570.jpeg"/><Relationship Id="rId347" Type="http://schemas.openxmlformats.org/officeDocument/2006/relationships/hyperlink" Target="http://www.damtp.cam.ac.uk/user/gr/public/gal_lss.html" TargetMode="External"/><Relationship Id="rId999" Type="http://schemas.openxmlformats.org/officeDocument/2006/relationships/hyperlink" Target="http://www1.ncdc.noaa.gov/pub/data/paleo/treering/measurements/northamerica/usa/ca535.rwl" TargetMode="External"/><Relationship Id="rId1100" Type="http://schemas.openxmlformats.org/officeDocument/2006/relationships/image" Target="media/image477.png"/><Relationship Id="rId1184" Type="http://schemas.openxmlformats.org/officeDocument/2006/relationships/chart" Target="charts/chart21.xml"/><Relationship Id="rId44" Type="http://schemas.openxmlformats.org/officeDocument/2006/relationships/hyperlink" Target="http://www.nasa.gov/missions/science/f_interference.html" TargetMode="External"/><Relationship Id="rId554" Type="http://schemas.openxmlformats.org/officeDocument/2006/relationships/image" Target="media/image223.wmf"/><Relationship Id="rId761" Type="http://schemas.openxmlformats.org/officeDocument/2006/relationships/oleObject" Target="embeddings/oleObject198.bin"/><Relationship Id="rId859" Type="http://schemas.openxmlformats.org/officeDocument/2006/relationships/oleObject" Target="embeddings/oleObject247.bin"/><Relationship Id="rId193" Type="http://schemas.openxmlformats.org/officeDocument/2006/relationships/oleObject" Target="embeddings/oleObject8.bin"/><Relationship Id="rId207" Type="http://schemas.openxmlformats.org/officeDocument/2006/relationships/oleObject" Target="embeddings/oleObject15.bin"/><Relationship Id="rId414" Type="http://schemas.openxmlformats.org/officeDocument/2006/relationships/oleObject" Target="embeddings/oleObject29.bin"/><Relationship Id="rId498" Type="http://schemas.openxmlformats.org/officeDocument/2006/relationships/image" Target="media/image195.wmf"/><Relationship Id="rId621" Type="http://schemas.openxmlformats.org/officeDocument/2006/relationships/image" Target="media/image256.wmf"/><Relationship Id="rId1044" Type="http://schemas.openxmlformats.org/officeDocument/2006/relationships/image" Target="media/image466.jpeg"/><Relationship Id="rId1251" Type="http://schemas.openxmlformats.org/officeDocument/2006/relationships/hyperlink" Target="http://www.setterfield.org/000docs/behaviorzpeapp2.html" TargetMode="External"/><Relationship Id="rId1349" Type="http://schemas.openxmlformats.org/officeDocument/2006/relationships/hyperlink" Target="http://www.csmonitor.com/layout/set/print/content/view/print/509389" TargetMode="External"/><Relationship Id="rId260" Type="http://schemas.openxmlformats.org/officeDocument/2006/relationships/hyperlink" Target="http://www.holoscience.com/wp/the-remarkable-slowness-of-light/" TargetMode="External"/><Relationship Id="rId719" Type="http://schemas.openxmlformats.org/officeDocument/2006/relationships/image" Target="media/image304.wmf"/><Relationship Id="rId926" Type="http://schemas.openxmlformats.org/officeDocument/2006/relationships/oleObject" Target="embeddings/oleObject277.bin"/><Relationship Id="rId1111" Type="http://schemas.openxmlformats.org/officeDocument/2006/relationships/image" Target="media/image488.jpeg"/><Relationship Id="rId55" Type="http://schemas.openxmlformats.org/officeDocument/2006/relationships/image" Target="media/image28.gif"/><Relationship Id="rId120" Type="http://schemas.openxmlformats.org/officeDocument/2006/relationships/hyperlink" Target="http://www.setterfield.org/000docs/cx4.html" TargetMode="External"/><Relationship Id="rId358" Type="http://schemas.openxmlformats.org/officeDocument/2006/relationships/hyperlink" Target="http://www.setterfield.org/000docs/behaviorzpeapp3.html" TargetMode="External"/><Relationship Id="rId565" Type="http://schemas.openxmlformats.org/officeDocument/2006/relationships/image" Target="media/image228.wmf"/><Relationship Id="rId772" Type="http://schemas.openxmlformats.org/officeDocument/2006/relationships/image" Target="media/image330.wmf"/><Relationship Id="rId1195" Type="http://schemas.openxmlformats.org/officeDocument/2006/relationships/oleObject" Target="embeddings/oleObject313.bin"/><Relationship Id="rId1209" Type="http://schemas.openxmlformats.org/officeDocument/2006/relationships/oleObject" Target="embeddings/oleObject319.bin"/><Relationship Id="rId218" Type="http://schemas.openxmlformats.org/officeDocument/2006/relationships/image" Target="media/image96.gif"/><Relationship Id="rId425" Type="http://schemas.openxmlformats.org/officeDocument/2006/relationships/package" Target="embeddings/Microsoft_Office_PowerPoint_Slide24.sldx"/><Relationship Id="rId632" Type="http://schemas.openxmlformats.org/officeDocument/2006/relationships/oleObject" Target="embeddings/oleObject133.bin"/><Relationship Id="rId1055" Type="http://schemas.openxmlformats.org/officeDocument/2006/relationships/hyperlink" Target="http://www.psrd.hawaii.edu/June02/ErosPorosity.html" TargetMode="External"/><Relationship Id="rId1262" Type="http://schemas.openxmlformats.org/officeDocument/2006/relationships/hyperlink" Target="http://www.setterfield.org/000docs/behaviorzpeapp2.html" TargetMode="External"/><Relationship Id="rId271" Type="http://schemas.openxmlformats.org/officeDocument/2006/relationships/image" Target="media/image106.png"/><Relationship Id="rId937" Type="http://schemas.openxmlformats.org/officeDocument/2006/relationships/image" Target="media/image416.wmf"/><Relationship Id="rId1122" Type="http://schemas.openxmlformats.org/officeDocument/2006/relationships/hyperlink" Target="http://pubs.acs.org/doi/abs/10.1021/jf60203a028" TargetMode="External"/><Relationship Id="rId66" Type="http://schemas.openxmlformats.org/officeDocument/2006/relationships/hyperlink" Target="http://sdsu-physics.org/physics180/physics180A/units/unit2/workandenergy.html" TargetMode="External"/><Relationship Id="rId131" Type="http://schemas.openxmlformats.org/officeDocument/2006/relationships/hyperlink" Target="http://www.setterfield.org/Dodwell_Manuscript_1.html" TargetMode="External"/><Relationship Id="rId369" Type="http://schemas.openxmlformats.org/officeDocument/2006/relationships/hyperlink" Target="http://cnx.org/content/m42341/latest/?collection=col11458/latest" TargetMode="External"/><Relationship Id="rId576" Type="http://schemas.openxmlformats.org/officeDocument/2006/relationships/oleObject" Target="embeddings/oleObject105.bin"/><Relationship Id="rId783" Type="http://schemas.openxmlformats.org/officeDocument/2006/relationships/oleObject" Target="embeddings/oleObject209.bin"/><Relationship Id="rId990" Type="http://schemas.openxmlformats.org/officeDocument/2006/relationships/hyperlink" Target="http://www.setterfield.org/000docs/behaviorzpeapp4.html" TargetMode="External"/><Relationship Id="rId229" Type="http://schemas.openxmlformats.org/officeDocument/2006/relationships/image" Target="media/image103.png"/><Relationship Id="rId436" Type="http://schemas.openxmlformats.org/officeDocument/2006/relationships/image" Target="media/image168.wmf"/><Relationship Id="rId643" Type="http://schemas.openxmlformats.org/officeDocument/2006/relationships/oleObject" Target="embeddings/oleObject139.bin"/><Relationship Id="rId1066" Type="http://schemas.openxmlformats.org/officeDocument/2006/relationships/hyperlink" Target="http://en.wikipedia.org/wiki/Atlantic_Ocean" TargetMode="External"/><Relationship Id="rId1273" Type="http://schemas.openxmlformats.org/officeDocument/2006/relationships/hyperlink" Target="http://www.setterfield.org/000docs/behaviorzpeapp6.html" TargetMode="External"/><Relationship Id="rId850" Type="http://schemas.openxmlformats.org/officeDocument/2006/relationships/image" Target="media/image369.wmf"/><Relationship Id="rId948" Type="http://schemas.openxmlformats.org/officeDocument/2006/relationships/oleObject" Target="embeddings/oleObject288.bin"/><Relationship Id="rId1133" Type="http://schemas.openxmlformats.org/officeDocument/2006/relationships/hyperlink" Target="http://upload.wikimedia.org/wikipedia/commons/f/f6/Allosaurus_size_comparison.svg" TargetMode="External"/><Relationship Id="rId77" Type="http://schemas.openxmlformats.org/officeDocument/2006/relationships/image" Target="media/image36.emf"/><Relationship Id="rId282" Type="http://schemas.openxmlformats.org/officeDocument/2006/relationships/image" Target="media/image115.jpeg"/><Relationship Id="rId503" Type="http://schemas.openxmlformats.org/officeDocument/2006/relationships/oleObject" Target="embeddings/oleObject68.bin"/><Relationship Id="rId587" Type="http://schemas.openxmlformats.org/officeDocument/2006/relationships/image" Target="media/image239.wmf"/><Relationship Id="rId710" Type="http://schemas.openxmlformats.org/officeDocument/2006/relationships/oleObject" Target="embeddings/oleObject172.bin"/><Relationship Id="rId808" Type="http://schemas.openxmlformats.org/officeDocument/2006/relationships/oleObject" Target="embeddings/oleObject221.bin"/><Relationship Id="rId1340" Type="http://schemas.openxmlformats.org/officeDocument/2006/relationships/image" Target="media/image572.jpeg"/><Relationship Id="rId8" Type="http://schemas.openxmlformats.org/officeDocument/2006/relationships/image" Target="media/image1.gif"/><Relationship Id="rId142" Type="http://schemas.openxmlformats.org/officeDocument/2006/relationships/hyperlink" Target="http://www.redorbit.com/education/reference_library/notable_figures/astronomers/2582478/von_struve_otto_wilhelm/" TargetMode="External"/><Relationship Id="rId447" Type="http://schemas.openxmlformats.org/officeDocument/2006/relationships/oleObject" Target="embeddings/oleObject41.bin"/><Relationship Id="rId794" Type="http://schemas.openxmlformats.org/officeDocument/2006/relationships/image" Target="media/image341.wmf"/><Relationship Id="rId1077" Type="http://schemas.openxmlformats.org/officeDocument/2006/relationships/hyperlink" Target="http://glacialtill.wordpress.com/2011/09/05/meteorite-monday-asteroid-itokawa-and-the-hayabusa-probe/" TargetMode="External"/><Relationship Id="rId1200" Type="http://schemas.openxmlformats.org/officeDocument/2006/relationships/image" Target="media/image516.wmf"/><Relationship Id="rId654" Type="http://schemas.openxmlformats.org/officeDocument/2006/relationships/oleObject" Target="embeddings/oleObject144.bin"/><Relationship Id="rId861" Type="http://schemas.openxmlformats.org/officeDocument/2006/relationships/oleObject" Target="embeddings/oleObject248.bin"/><Relationship Id="rId959" Type="http://schemas.openxmlformats.org/officeDocument/2006/relationships/hyperlink" Target="http://www.nasa.gov/multimedia/imagegallery/image_feature_575.html" TargetMode="External"/><Relationship Id="rId1284" Type="http://schemas.openxmlformats.org/officeDocument/2006/relationships/oleObject" Target="embeddings/oleObject332.bin"/><Relationship Id="rId293" Type="http://schemas.openxmlformats.org/officeDocument/2006/relationships/chart" Target="charts/chart19.xml"/><Relationship Id="rId307" Type="http://schemas.openxmlformats.org/officeDocument/2006/relationships/image" Target="media/image131.png"/><Relationship Id="rId514" Type="http://schemas.openxmlformats.org/officeDocument/2006/relationships/image" Target="media/image203.wmf"/><Relationship Id="rId721" Type="http://schemas.openxmlformats.org/officeDocument/2006/relationships/image" Target="media/image305.wmf"/><Relationship Id="rId1144" Type="http://schemas.openxmlformats.org/officeDocument/2006/relationships/hyperlink" Target="http://pumicecastle.blogspot.com/2011/02/learning-from-gentry-banded-iron.html" TargetMode="External"/><Relationship Id="rId1351" Type="http://schemas.openxmlformats.org/officeDocument/2006/relationships/hyperlink" Target="http://www.uwgb.edu/dutchs/planets/cratform.htm" TargetMode="External"/><Relationship Id="rId88" Type="http://schemas.openxmlformats.org/officeDocument/2006/relationships/chart" Target="charts/chart4.xml"/><Relationship Id="rId153" Type="http://schemas.openxmlformats.org/officeDocument/2006/relationships/hyperlink" Target="http://www.physics.csbsju.edu/astro/newcomb/SNewcomb.html" TargetMode="External"/><Relationship Id="rId360" Type="http://schemas.openxmlformats.org/officeDocument/2006/relationships/hyperlink" Target="http://arxiv.org/abs/1203.5844" TargetMode="External"/><Relationship Id="rId598" Type="http://schemas.openxmlformats.org/officeDocument/2006/relationships/oleObject" Target="embeddings/oleObject116.bin"/><Relationship Id="rId819" Type="http://schemas.openxmlformats.org/officeDocument/2006/relationships/image" Target="media/image354.wmf"/><Relationship Id="rId1004" Type="http://schemas.openxmlformats.org/officeDocument/2006/relationships/hyperlink" Target="http://mail.rdcrd.ab.ca/~smolesky/Physics30/5Matter/day_8%20objective.htm" TargetMode="External"/><Relationship Id="rId1211" Type="http://schemas.openxmlformats.org/officeDocument/2006/relationships/package" Target="embeddings/Microsoft_Office_PowerPoint_Slide31.sldx"/><Relationship Id="rId220" Type="http://schemas.openxmlformats.org/officeDocument/2006/relationships/image" Target="media/image98.wmf"/><Relationship Id="rId458" Type="http://schemas.openxmlformats.org/officeDocument/2006/relationships/image" Target="media/image178.wmf"/><Relationship Id="rId665" Type="http://schemas.openxmlformats.org/officeDocument/2006/relationships/image" Target="media/image277.wmf"/><Relationship Id="rId872" Type="http://schemas.openxmlformats.org/officeDocument/2006/relationships/oleObject" Target="embeddings/oleObject254.bin"/><Relationship Id="rId1088" Type="http://schemas.openxmlformats.org/officeDocument/2006/relationships/hyperlink" Target="http://www.earthlyissues.com/supervolcano.htm" TargetMode="External"/><Relationship Id="rId1295" Type="http://schemas.openxmlformats.org/officeDocument/2006/relationships/hyperlink" Target="http://www.setterfield.org/000docs/behaviorzpeapp8.html" TargetMode="External"/><Relationship Id="rId1309" Type="http://schemas.openxmlformats.org/officeDocument/2006/relationships/image" Target="media/image541.jpeg"/><Relationship Id="rId15" Type="http://schemas.openxmlformats.org/officeDocument/2006/relationships/chart" Target="charts/chart1.xml"/><Relationship Id="rId318" Type="http://schemas.openxmlformats.org/officeDocument/2006/relationships/image" Target="media/image140.jpeg"/><Relationship Id="rId525" Type="http://schemas.openxmlformats.org/officeDocument/2006/relationships/oleObject" Target="embeddings/oleObject79.bin"/><Relationship Id="rId732" Type="http://schemas.openxmlformats.org/officeDocument/2006/relationships/oleObject" Target="embeddings/oleObject183.bin"/><Relationship Id="rId1155" Type="http://schemas.openxmlformats.org/officeDocument/2006/relationships/image" Target="media/image495.wmf"/><Relationship Id="rId1362" Type="http://schemas.openxmlformats.org/officeDocument/2006/relationships/header" Target="header1.xml"/><Relationship Id="rId99" Type="http://schemas.openxmlformats.org/officeDocument/2006/relationships/image" Target="media/image51.jpeg"/><Relationship Id="rId164" Type="http://schemas.openxmlformats.org/officeDocument/2006/relationships/image" Target="media/image68.wmf"/><Relationship Id="rId371" Type="http://schemas.openxmlformats.org/officeDocument/2006/relationships/hyperlink" Target="http://jumk.de/astronomie/galaxies/bodes-galaxy.shtml" TargetMode="External"/><Relationship Id="rId1015" Type="http://schemas.openxmlformats.org/officeDocument/2006/relationships/image" Target="media/image438.jpeg"/><Relationship Id="rId1222" Type="http://schemas.openxmlformats.org/officeDocument/2006/relationships/oleObject" Target="embeddings/oleObject323.bin"/><Relationship Id="rId469" Type="http://schemas.openxmlformats.org/officeDocument/2006/relationships/oleObject" Target="embeddings/oleObject50.bin"/><Relationship Id="rId676" Type="http://schemas.openxmlformats.org/officeDocument/2006/relationships/oleObject" Target="embeddings/oleObject155.bin"/><Relationship Id="rId883" Type="http://schemas.openxmlformats.org/officeDocument/2006/relationships/image" Target="media/image385.wmf"/><Relationship Id="rId1099" Type="http://schemas.openxmlformats.org/officeDocument/2006/relationships/image" Target="media/image476.jpeg"/><Relationship Id="rId26" Type="http://schemas.openxmlformats.org/officeDocument/2006/relationships/image" Target="media/image18.jpeg"/><Relationship Id="rId231" Type="http://schemas.openxmlformats.org/officeDocument/2006/relationships/image" Target="media/image105.png"/><Relationship Id="rId329" Type="http://schemas.openxmlformats.org/officeDocument/2006/relationships/hyperlink" Target="http://en.wikipedia.org/wiki/Effusion" TargetMode="External"/><Relationship Id="rId536" Type="http://schemas.openxmlformats.org/officeDocument/2006/relationships/image" Target="media/image214.wmf"/><Relationship Id="rId1166" Type="http://schemas.openxmlformats.org/officeDocument/2006/relationships/image" Target="media/image499.wmf"/><Relationship Id="rId175" Type="http://schemas.openxmlformats.org/officeDocument/2006/relationships/image" Target="media/image71.png"/><Relationship Id="rId743" Type="http://schemas.openxmlformats.org/officeDocument/2006/relationships/image" Target="media/image316.wmf"/><Relationship Id="rId950" Type="http://schemas.openxmlformats.org/officeDocument/2006/relationships/hyperlink" Target="http://guardian.150m.com/jews/emc2-not-einsteins-idea.htm" TargetMode="External"/><Relationship Id="rId1026" Type="http://schemas.openxmlformats.org/officeDocument/2006/relationships/image" Target="media/image449.jpeg"/><Relationship Id="rId382" Type="http://schemas.openxmlformats.org/officeDocument/2006/relationships/hyperlink" Target="http://www.holoscience.com/wp/electric-galaxies/" TargetMode="External"/><Relationship Id="rId603" Type="http://schemas.openxmlformats.org/officeDocument/2006/relationships/image" Target="media/image247.wmf"/><Relationship Id="rId687" Type="http://schemas.openxmlformats.org/officeDocument/2006/relationships/image" Target="media/image288.wmf"/><Relationship Id="rId810" Type="http://schemas.openxmlformats.org/officeDocument/2006/relationships/oleObject" Target="embeddings/oleObject222.bin"/><Relationship Id="rId908" Type="http://schemas.openxmlformats.org/officeDocument/2006/relationships/oleObject" Target="embeddings/oleObject272.bin"/><Relationship Id="rId1233" Type="http://schemas.openxmlformats.org/officeDocument/2006/relationships/hyperlink" Target="http://www.thunderbolts.info/wp/2011/12/05/considering-the-electric-sun-part-1/perattsimulations_1/" TargetMode="External"/><Relationship Id="rId242" Type="http://schemas.openxmlformats.org/officeDocument/2006/relationships/hyperlink" Target="http://arxiv.org/abs/astro-ph/0104455" TargetMode="External"/><Relationship Id="rId894" Type="http://schemas.openxmlformats.org/officeDocument/2006/relationships/oleObject" Target="embeddings/oleObject265.bin"/><Relationship Id="rId1177" Type="http://schemas.openxmlformats.org/officeDocument/2006/relationships/oleObject" Target="embeddings/oleObject306.bin"/><Relationship Id="rId1300" Type="http://schemas.openxmlformats.org/officeDocument/2006/relationships/hyperlink" Target="http://arxiv.org/abs/astro-ph/0305536"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Office_Excel_Worksheet15.xlsx"/><Relationship Id="rId1" Type="http://schemas.openxmlformats.org/officeDocument/2006/relationships/themeOverride" Target="../theme/themeOverride3.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Office_Excel_Worksheet18.xlsx"/><Relationship Id="rId1" Type="http://schemas.openxmlformats.org/officeDocument/2006/relationships/themeOverride" Target="../theme/themeOverride4.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30.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Office_Excel_Worksheet32.xlsx"/><Relationship Id="rId1" Type="http://schemas.openxmlformats.org/officeDocument/2006/relationships/themeOverride" Target="../theme/themeOverride5.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0.44000000000000239</c:v>
                </c:pt>
                <c:pt idx="1">
                  <c:v>0.43000000000000038</c:v>
                </c:pt>
                <c:pt idx="2">
                  <c:v>0.38000000000000717</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-3.1000000000000694E-2</c:v>
                </c:pt>
                <c:pt idx="41">
                  <c:v>3.1000000000000694E-2</c:v>
                </c:pt>
                <c:pt idx="42">
                  <c:v>6.2500000000000139E-2</c:v>
                </c:pt>
                <c:pt idx="43">
                  <c:v>-3.0000000000000519E-2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-6.0000000000000879E-2</c:v>
                </c:pt>
                <c:pt idx="59">
                  <c:v>-3.0000000000000519E-2</c:v>
                </c:pt>
                <c:pt idx="60">
                  <c:v>-6.2500000000000139E-2</c:v>
                </c:pt>
                <c:pt idx="61">
                  <c:v>-9.0000000000000066E-2</c:v>
                </c:pt>
                <c:pt idx="62">
                  <c:v>-6.2500000000000139E-2</c:v>
                </c:pt>
                <c:pt idx="63">
                  <c:v>-0.125</c:v>
                </c:pt>
                <c:pt idx="64">
                  <c:v>-1.0000000000000083E-2</c:v>
                </c:pt>
                <c:pt idx="65">
                  <c:v>-6.0000000000000879E-2</c:v>
                </c:pt>
                <c:pt idx="66">
                  <c:v>-6.2500000000000139E-2</c:v>
                </c:pt>
                <c:pt idx="67">
                  <c:v>1.0000000000000083E-2</c:v>
                </c:pt>
                <c:pt idx="68">
                  <c:v>0</c:v>
                </c:pt>
                <c:pt idx="69">
                  <c:v>-3.0000000000000519E-2</c:v>
                </c:pt>
                <c:pt idx="70">
                  <c:v>-6.2500000000000139E-2</c:v>
                </c:pt>
                <c:pt idx="71">
                  <c:v>-0.125</c:v>
                </c:pt>
                <c:pt idx="72">
                  <c:v>-0.15000000000000024</c:v>
                </c:pt>
                <c:pt idx="73">
                  <c:v>-0.15000000000000024</c:v>
                </c:pt>
                <c:pt idx="74">
                  <c:v>-0.15000000000000024</c:v>
                </c:pt>
                <c:pt idx="75">
                  <c:v>3.0000000000000519E-2</c:v>
                </c:pt>
                <c:pt idx="76">
                  <c:v>3.0000000000000519E-2</c:v>
                </c:pt>
                <c:pt idx="77">
                  <c:v>0</c:v>
                </c:pt>
                <c:pt idx="78">
                  <c:v>0</c:v>
                </c:pt>
                <c:pt idx="79">
                  <c:v>-3.0000000000000519E-2</c:v>
                </c:pt>
                <c:pt idx="80">
                  <c:v>-6.2500000000000139E-2</c:v>
                </c:pt>
                <c:pt idx="81">
                  <c:v>-3.0000000000000519E-2</c:v>
                </c:pt>
                <c:pt idx="82">
                  <c:v>-3.0000000000000519E-2</c:v>
                </c:pt>
                <c:pt idx="83">
                  <c:v>0</c:v>
                </c:pt>
                <c:pt idx="84">
                  <c:v>3.0000000000000519E-2</c:v>
                </c:pt>
                <c:pt idx="85">
                  <c:v>6.2500000000000139E-2</c:v>
                </c:pt>
                <c:pt idx="86">
                  <c:v>0</c:v>
                </c:pt>
                <c:pt idx="87">
                  <c:v>-9.0000000000000066E-2</c:v>
                </c:pt>
                <c:pt idx="88">
                  <c:v>-9.0000000000000066E-2</c:v>
                </c:pt>
                <c:pt idx="89">
                  <c:v>6.2500000000000139E-2</c:v>
                </c:pt>
              </c:numCache>
            </c:numRef>
          </c:val>
        </c:ser>
        <c:marker val="1"/>
        <c:axId val="142299136"/>
        <c:axId val="142300288"/>
      </c:lineChart>
      <c:catAx>
        <c:axId val="142299136"/>
        <c:scaling>
          <c:orientation val="minMax"/>
        </c:scaling>
        <c:delete val="1"/>
        <c:axPos val="b"/>
        <c:numFmt formatCode="General" sourceLinked="1"/>
        <c:tickLblPos val="none"/>
        <c:crossAx val="142300288"/>
        <c:crosses val="autoZero"/>
        <c:auto val="1"/>
        <c:lblAlgn val="ctr"/>
        <c:lblOffset val="100"/>
      </c:catAx>
      <c:valAx>
        <c:axId val="142300288"/>
        <c:scaling>
          <c:orientation val="minMax"/>
        </c:scaling>
        <c:delete val="1"/>
        <c:axPos val="l"/>
        <c:numFmt formatCode="General" sourceLinked="1"/>
        <c:tickLblPos val="none"/>
        <c:crossAx val="142299136"/>
        <c:crosses val="autoZero"/>
        <c:crossBetween val="between"/>
      </c:valAx>
      <c:spPr>
        <a:solidFill>
          <a:schemeClr val="bg1">
            <a:lumMod val="85000"/>
          </a:schemeClr>
        </a:solidFill>
        <a:ln w="25337" cap="flat" cmpd="sng" algn="ctr">
          <a:solidFill>
            <a:schemeClr val="dk1"/>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'Sheet1'!$A$2:$A$5</c:f>
              <c:numCache>
                <c:formatCode>General</c:formatCode>
                <c:ptCount val="4"/>
                <c:pt idx="0">
                  <c:v>1928</c:v>
                </c:pt>
                <c:pt idx="1">
                  <c:v>1936.8</c:v>
                </c:pt>
                <c:pt idx="2">
                  <c:v>1937</c:v>
                </c:pt>
                <c:pt idx="3">
                  <c:v>1940</c:v>
                </c:pt>
              </c:numCache>
            </c:numRef>
          </c:xVal>
          <c:yVal>
            <c:numRef>
              <c:f>'Sheet1'!$B$2:$B$5</c:f>
              <c:numCache>
                <c:formatCode>#,##0</c:formatCode>
                <c:ptCount val="4"/>
                <c:pt idx="0">
                  <c:v>299786</c:v>
                </c:pt>
                <c:pt idx="1">
                  <c:v>299771</c:v>
                </c:pt>
                <c:pt idx="2">
                  <c:v>299771</c:v>
                </c:pt>
                <c:pt idx="3">
                  <c:v>299776</c:v>
                </c:pt>
              </c:numCache>
            </c:numRef>
          </c:yVal>
        </c:ser>
        <c:axId val="145073664"/>
        <c:axId val="145075200"/>
      </c:scatterChart>
      <c:valAx>
        <c:axId val="145073664"/>
        <c:scaling>
          <c:orientation val="minMax"/>
        </c:scaling>
        <c:axPos val="b"/>
        <c:numFmt formatCode="General" sourceLinked="1"/>
        <c:tickLblPos val="nextTo"/>
        <c:crossAx val="145075200"/>
        <c:crosses val="autoZero"/>
        <c:crossBetween val="midCat"/>
      </c:valAx>
      <c:valAx>
        <c:axId val="145075200"/>
        <c:scaling>
          <c:orientation val="minMax"/>
        </c:scaling>
        <c:axPos val="l"/>
        <c:majorGridlines/>
        <c:numFmt formatCode="#,##0" sourceLinked="1"/>
        <c:tickLblPos val="nextTo"/>
        <c:crossAx val="145073664"/>
        <c:crosses val="autoZero"/>
        <c:crossBetween val="midCat"/>
      </c:valAx>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'Sheet1'!$A$2:$A$24</c:f>
              <c:numCache>
                <c:formatCode>General</c:formatCode>
                <c:ptCount val="23"/>
                <c:pt idx="0">
                  <c:v>1947</c:v>
                </c:pt>
                <c:pt idx="1">
                  <c:v>1947</c:v>
                </c:pt>
                <c:pt idx="2">
                  <c:v>1949</c:v>
                </c:pt>
                <c:pt idx="3">
                  <c:v>1949</c:v>
                </c:pt>
                <c:pt idx="4">
                  <c:v>1950</c:v>
                </c:pt>
                <c:pt idx="5">
                  <c:v>1950</c:v>
                </c:pt>
                <c:pt idx="6">
                  <c:v>1950</c:v>
                </c:pt>
                <c:pt idx="7">
                  <c:v>1951</c:v>
                </c:pt>
                <c:pt idx="8">
                  <c:v>1951</c:v>
                </c:pt>
                <c:pt idx="9">
                  <c:v>1951</c:v>
                </c:pt>
                <c:pt idx="10">
                  <c:v>1953</c:v>
                </c:pt>
                <c:pt idx="11">
                  <c:v>1954</c:v>
                </c:pt>
                <c:pt idx="12">
                  <c:v>1954</c:v>
                </c:pt>
                <c:pt idx="13">
                  <c:v>1955</c:v>
                </c:pt>
                <c:pt idx="14">
                  <c:v>1955</c:v>
                </c:pt>
                <c:pt idx="15">
                  <c:v>1956</c:v>
                </c:pt>
                <c:pt idx="16">
                  <c:v>1956</c:v>
                </c:pt>
                <c:pt idx="17">
                  <c:v>1956</c:v>
                </c:pt>
                <c:pt idx="18">
                  <c:v>1956</c:v>
                </c:pt>
                <c:pt idx="19">
                  <c:v>1956</c:v>
                </c:pt>
                <c:pt idx="20">
                  <c:v>1957</c:v>
                </c:pt>
                <c:pt idx="21">
                  <c:v>1958</c:v>
                </c:pt>
                <c:pt idx="22">
                  <c:v>1960</c:v>
                </c:pt>
              </c:numCache>
            </c:numRef>
          </c:xVal>
          <c:yVal>
            <c:numRef>
              <c:f>'Sheet1'!$B$2:$B$24</c:f>
              <c:numCache>
                <c:formatCode>#,##0</c:formatCode>
                <c:ptCount val="23"/>
                <c:pt idx="0">
                  <c:v>299798</c:v>
                </c:pt>
                <c:pt idx="1">
                  <c:v>299792</c:v>
                </c:pt>
                <c:pt idx="2" formatCode="#,##0.00">
                  <c:v>299792.40000000002</c:v>
                </c:pt>
                <c:pt idx="3">
                  <c:v>299796</c:v>
                </c:pt>
                <c:pt idx="4" formatCode="#,##0.00">
                  <c:v>299792.5</c:v>
                </c:pt>
                <c:pt idx="5" formatCode="#,##0.00">
                  <c:v>299794.3</c:v>
                </c:pt>
                <c:pt idx="6" formatCode="#,##0.00">
                  <c:v>299793.09999999998</c:v>
                </c:pt>
                <c:pt idx="7" formatCode="#,##0.00">
                  <c:v>299793.09999999998</c:v>
                </c:pt>
                <c:pt idx="8" formatCode="#,##0.00">
                  <c:v>299794.2</c:v>
                </c:pt>
                <c:pt idx="9" formatCode="#,##0.00">
                  <c:v>299792.59999999998</c:v>
                </c:pt>
                <c:pt idx="10" formatCode="#,##0.00">
                  <c:v>299792.84999999986</c:v>
                </c:pt>
                <c:pt idx="11" formatCode="#,##0.00">
                  <c:v>299792.75</c:v>
                </c:pt>
                <c:pt idx="12" formatCode="#,##0.00">
                  <c:v>299795.09999999998</c:v>
                </c:pt>
                <c:pt idx="13" formatCode="#,##0.00">
                  <c:v>299792.40000000002</c:v>
                </c:pt>
                <c:pt idx="14">
                  <c:v>299792</c:v>
                </c:pt>
                <c:pt idx="15" formatCode="#,##0.00">
                  <c:v>299792.90000000002</c:v>
                </c:pt>
                <c:pt idx="16" formatCode="#,##0.00">
                  <c:v>299792.7</c:v>
                </c:pt>
                <c:pt idx="17" formatCode="#,##0.00">
                  <c:v>299791.90000000002</c:v>
                </c:pt>
                <c:pt idx="18" formatCode="#,##0.00">
                  <c:v>299792.40000000002</c:v>
                </c:pt>
                <c:pt idx="19" formatCode="#,##0.00">
                  <c:v>299792.2</c:v>
                </c:pt>
                <c:pt idx="20" formatCode="#,##0.00">
                  <c:v>299792.59999999998</c:v>
                </c:pt>
                <c:pt idx="21" formatCode="#,##0.00">
                  <c:v>299792.5</c:v>
                </c:pt>
                <c:pt idx="22" formatCode="#,##0.00">
                  <c:v>299792.59999999998</c:v>
                </c:pt>
              </c:numCache>
            </c:numRef>
          </c:yVal>
        </c:ser>
        <c:axId val="149376384"/>
        <c:axId val="149378176"/>
      </c:scatterChart>
      <c:valAx>
        <c:axId val="149376384"/>
        <c:scaling>
          <c:orientation val="minMax"/>
        </c:scaling>
        <c:axPos val="b"/>
        <c:numFmt formatCode="General" sourceLinked="1"/>
        <c:tickLblPos val="nextTo"/>
        <c:crossAx val="149378176"/>
        <c:crosses val="autoZero"/>
        <c:crossBetween val="midCat"/>
      </c:valAx>
      <c:valAx>
        <c:axId val="149378176"/>
        <c:scaling>
          <c:orientation val="minMax"/>
        </c:scaling>
        <c:axPos val="l"/>
        <c:majorGridlines/>
        <c:numFmt formatCode="#,##0" sourceLinked="1"/>
        <c:tickLblPos val="nextTo"/>
        <c:crossAx val="149376384"/>
        <c:crosses val="autoZero"/>
        <c:crossBetween val="midCat"/>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'Sheet1'!$A$2:$A$9</c:f>
              <c:numCache>
                <c:formatCode>General</c:formatCode>
                <c:ptCount val="8"/>
                <c:pt idx="0">
                  <c:v>1949</c:v>
                </c:pt>
                <c:pt idx="1">
                  <c:v>1950</c:v>
                </c:pt>
                <c:pt idx="2">
                  <c:v>1951</c:v>
                </c:pt>
                <c:pt idx="3">
                  <c:v>1953</c:v>
                </c:pt>
                <c:pt idx="4">
                  <c:v>1955</c:v>
                </c:pt>
                <c:pt idx="5">
                  <c:v>1956</c:v>
                </c:pt>
                <c:pt idx="6">
                  <c:v>1956</c:v>
                </c:pt>
                <c:pt idx="7">
                  <c:v>1960</c:v>
                </c:pt>
              </c:numCache>
            </c:numRef>
          </c:xVal>
          <c:yVal>
            <c:numRef>
              <c:f>'Sheet1'!$B$2:$B$9</c:f>
              <c:numCache>
                <c:formatCode>#,##0.00</c:formatCode>
                <c:ptCount val="8"/>
                <c:pt idx="0" formatCode="#,##0">
                  <c:v>299796</c:v>
                </c:pt>
                <c:pt idx="1">
                  <c:v>299793.09999999998</c:v>
                </c:pt>
                <c:pt idx="2">
                  <c:v>299793.09999999998</c:v>
                </c:pt>
                <c:pt idx="3">
                  <c:v>299792.84999999986</c:v>
                </c:pt>
                <c:pt idx="4">
                  <c:v>299792.40000000002</c:v>
                </c:pt>
                <c:pt idx="5">
                  <c:v>299792.40000000002</c:v>
                </c:pt>
                <c:pt idx="6">
                  <c:v>299792.2</c:v>
                </c:pt>
                <c:pt idx="7">
                  <c:v>299792.59999999998</c:v>
                </c:pt>
              </c:numCache>
            </c:numRef>
          </c:yVal>
        </c:ser>
        <c:axId val="149397504"/>
        <c:axId val="149399040"/>
      </c:scatterChart>
      <c:valAx>
        <c:axId val="149397504"/>
        <c:scaling>
          <c:orientation val="minMax"/>
        </c:scaling>
        <c:axPos val="b"/>
        <c:numFmt formatCode="General" sourceLinked="1"/>
        <c:tickLblPos val="nextTo"/>
        <c:crossAx val="149399040"/>
        <c:crosses val="autoZero"/>
        <c:crossBetween val="midCat"/>
      </c:valAx>
      <c:valAx>
        <c:axId val="149399040"/>
        <c:scaling>
          <c:orientation val="minMax"/>
        </c:scaling>
        <c:axPos val="l"/>
        <c:majorGridlines/>
        <c:numFmt formatCode="#,##0" sourceLinked="1"/>
        <c:tickLblPos val="nextTo"/>
        <c:crossAx val="149397504"/>
        <c:crosses val="autoZero"/>
        <c:crossBetween val="midCat"/>
      </c:valAx>
    </c:plotArea>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'Sheet1'!$A$2:$A$12</c:f>
              <c:numCache>
                <c:formatCode>General</c:formatCode>
                <c:ptCount val="11"/>
                <c:pt idx="0">
                  <c:v>1966</c:v>
                </c:pt>
                <c:pt idx="1">
                  <c:v>1967</c:v>
                </c:pt>
                <c:pt idx="2">
                  <c:v>1967</c:v>
                </c:pt>
                <c:pt idx="3">
                  <c:v>1972</c:v>
                </c:pt>
                <c:pt idx="4">
                  <c:v>1972</c:v>
                </c:pt>
                <c:pt idx="5">
                  <c:v>1973</c:v>
                </c:pt>
                <c:pt idx="6">
                  <c:v>1973</c:v>
                </c:pt>
                <c:pt idx="7">
                  <c:v>1974</c:v>
                </c:pt>
                <c:pt idx="8">
                  <c:v>1978</c:v>
                </c:pt>
                <c:pt idx="9">
                  <c:v>1979</c:v>
                </c:pt>
                <c:pt idx="10">
                  <c:v>1983</c:v>
                </c:pt>
              </c:numCache>
            </c:numRef>
          </c:xVal>
          <c:yVal>
            <c:numRef>
              <c:f>'Sheet1'!$B$2:$B$12</c:f>
              <c:numCache>
                <c:formatCode>#,##0.00</c:formatCode>
                <c:ptCount val="11"/>
                <c:pt idx="0">
                  <c:v>299792.44</c:v>
                </c:pt>
                <c:pt idx="1">
                  <c:v>299792.56</c:v>
                </c:pt>
                <c:pt idx="2">
                  <c:v>299792.5</c:v>
                </c:pt>
                <c:pt idx="3">
                  <c:v>299792.462</c:v>
                </c:pt>
                <c:pt idx="4">
                  <c:v>299792.46000000002</c:v>
                </c:pt>
                <c:pt idx="5">
                  <c:v>299792.45740000001</c:v>
                </c:pt>
                <c:pt idx="6">
                  <c:v>299792.45799999993</c:v>
                </c:pt>
                <c:pt idx="7">
                  <c:v>299792.45899999986</c:v>
                </c:pt>
                <c:pt idx="8">
                  <c:v>299792.45879999985</c:v>
                </c:pt>
                <c:pt idx="9">
                  <c:v>299792.45809999999</c:v>
                </c:pt>
                <c:pt idx="10">
                  <c:v>299792.45860000001</c:v>
                </c:pt>
              </c:numCache>
            </c:numRef>
          </c:yVal>
        </c:ser>
        <c:axId val="149451904"/>
        <c:axId val="149453440"/>
      </c:scatterChart>
      <c:valAx>
        <c:axId val="149451904"/>
        <c:scaling>
          <c:orientation val="minMax"/>
        </c:scaling>
        <c:axPos val="b"/>
        <c:numFmt formatCode="General" sourceLinked="1"/>
        <c:tickLblPos val="nextTo"/>
        <c:crossAx val="149453440"/>
        <c:crosses val="autoZero"/>
        <c:crossBetween val="midCat"/>
      </c:valAx>
      <c:valAx>
        <c:axId val="149453440"/>
        <c:scaling>
          <c:orientation val="minMax"/>
        </c:scaling>
        <c:axPos val="l"/>
        <c:majorGridlines/>
        <c:numFmt formatCode="#,##0.00" sourceLinked="1"/>
        <c:tickLblPos val="nextTo"/>
        <c:crossAx val="149451904"/>
        <c:crosses val="autoZero"/>
        <c:crossBetween val="midCat"/>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1836"/>
          <c:h val="0.78806684878672828"/>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149476864"/>
        <c:axId val="149478400"/>
      </c:scatterChart>
      <c:valAx>
        <c:axId val="149476864"/>
        <c:scaling>
          <c:orientation val="minMax"/>
        </c:scaling>
        <c:axPos val="b"/>
        <c:numFmt formatCode="General" sourceLinked="1"/>
        <c:tickLblPos val="nextTo"/>
        <c:crossAx val="149478400"/>
        <c:crosses val="autoZero"/>
        <c:crossBetween val="midCat"/>
        <c:majorUnit val="50"/>
      </c:valAx>
      <c:valAx>
        <c:axId val="149478400"/>
        <c:scaling>
          <c:orientation val="minMax"/>
          <c:max val="305000"/>
          <c:min val="299400"/>
        </c:scaling>
        <c:axPos val="l"/>
        <c:majorGridlines/>
        <c:numFmt formatCode="#,##0" sourceLinked="1"/>
        <c:tickLblPos val="nextTo"/>
        <c:crossAx val="149476864"/>
        <c:crosses val="autoZero"/>
        <c:crossBetween val="midCat"/>
        <c:majorUnit val="500"/>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3.5618695253454791E-2"/>
          <c:y val="2.5691845553527569E-2"/>
          <c:w val="0.95015937766817127"/>
          <c:h val="0.97430815444648766"/>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8.0000000000000043E-2</c:v>
                </c:pt>
                <c:pt idx="30">
                  <c:v>0.125</c:v>
                </c:pt>
                <c:pt idx="31">
                  <c:v>9.0000000000000024E-2</c:v>
                </c:pt>
                <c:pt idx="32">
                  <c:v>0.18250000000000041</c:v>
                </c:pt>
                <c:pt idx="33">
                  <c:v>0.25</c:v>
                </c:pt>
                <c:pt idx="34">
                  <c:v>0.23</c:v>
                </c:pt>
                <c:pt idx="35">
                  <c:v>0.25</c:v>
                </c:pt>
                <c:pt idx="36">
                  <c:v>0.18250000000000041</c:v>
                </c:pt>
                <c:pt idx="37">
                  <c:v>1.0000000000000041E-3</c:v>
                </c:pt>
                <c:pt idx="38">
                  <c:v>-6.25E-2</c:v>
                </c:pt>
                <c:pt idx="39">
                  <c:v>-6.25E-2</c:v>
                </c:pt>
                <c:pt idx="40">
                  <c:v>-3.1000000000000052E-2</c:v>
                </c:pt>
                <c:pt idx="41">
                  <c:v>3.1000000000000052E-2</c:v>
                </c:pt>
                <c:pt idx="42">
                  <c:v>6.25E-2</c:v>
                </c:pt>
                <c:pt idx="43">
                  <c:v>-3.0000000000000002E-2</c:v>
                </c:pt>
                <c:pt idx="44">
                  <c:v>-6.25E-2</c:v>
                </c:pt>
                <c:pt idx="45">
                  <c:v>-6.25E-2</c:v>
                </c:pt>
                <c:pt idx="46">
                  <c:v>-9.0000000000000024E-2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-9.0000000000000024E-2</c:v>
                </c:pt>
                <c:pt idx="57">
                  <c:v>-9.0000000000000024E-2</c:v>
                </c:pt>
                <c:pt idx="58">
                  <c:v>-6.0000000000000032E-2</c:v>
                </c:pt>
                <c:pt idx="59">
                  <c:v>-3.0000000000000002E-2</c:v>
                </c:pt>
                <c:pt idx="60">
                  <c:v>-6.25E-2</c:v>
                </c:pt>
                <c:pt idx="61">
                  <c:v>-9.0000000000000024E-2</c:v>
                </c:pt>
                <c:pt idx="62">
                  <c:v>-6.25E-2</c:v>
                </c:pt>
                <c:pt idx="63">
                  <c:v>-0.125</c:v>
                </c:pt>
                <c:pt idx="64">
                  <c:v>-1.0000000000000005E-2</c:v>
                </c:pt>
                <c:pt idx="65">
                  <c:v>-6.0000000000000032E-2</c:v>
                </c:pt>
                <c:pt idx="66">
                  <c:v>-6.25E-2</c:v>
                </c:pt>
                <c:pt idx="67">
                  <c:v>1.0000000000000005E-2</c:v>
                </c:pt>
                <c:pt idx="68">
                  <c:v>0</c:v>
                </c:pt>
                <c:pt idx="69">
                  <c:v>-3.0000000000000002E-2</c:v>
                </c:pt>
                <c:pt idx="70">
                  <c:v>-6.25E-2</c:v>
                </c:pt>
                <c:pt idx="71">
                  <c:v>-0.125</c:v>
                </c:pt>
                <c:pt idx="72">
                  <c:v>-0.15000000000000024</c:v>
                </c:pt>
                <c:pt idx="73">
                  <c:v>-0.15000000000000024</c:v>
                </c:pt>
                <c:pt idx="74">
                  <c:v>-0.15000000000000024</c:v>
                </c:pt>
                <c:pt idx="75">
                  <c:v>3.0000000000000002E-2</c:v>
                </c:pt>
                <c:pt idx="76">
                  <c:v>3.0000000000000002E-2</c:v>
                </c:pt>
                <c:pt idx="77">
                  <c:v>0</c:v>
                </c:pt>
                <c:pt idx="78">
                  <c:v>0</c:v>
                </c:pt>
                <c:pt idx="79">
                  <c:v>-3.0000000000000002E-2</c:v>
                </c:pt>
                <c:pt idx="80">
                  <c:v>-6.25E-2</c:v>
                </c:pt>
                <c:pt idx="81">
                  <c:v>-3.0000000000000002E-2</c:v>
                </c:pt>
                <c:pt idx="82">
                  <c:v>-3.0000000000000002E-2</c:v>
                </c:pt>
                <c:pt idx="83">
                  <c:v>0</c:v>
                </c:pt>
                <c:pt idx="84">
                  <c:v>3.0000000000000002E-2</c:v>
                </c:pt>
                <c:pt idx="85">
                  <c:v>6.25E-2</c:v>
                </c:pt>
                <c:pt idx="86">
                  <c:v>0</c:v>
                </c:pt>
                <c:pt idx="87">
                  <c:v>-9.0000000000000024E-2</c:v>
                </c:pt>
                <c:pt idx="88">
                  <c:v>-9.0000000000000024E-2</c:v>
                </c:pt>
                <c:pt idx="89">
                  <c:v>6.25E-2</c:v>
                </c:pt>
              </c:numCache>
            </c:numRef>
          </c:val>
        </c:ser>
        <c:marker val="1"/>
        <c:axId val="149361408"/>
        <c:axId val="149362944"/>
      </c:lineChart>
      <c:catAx>
        <c:axId val="149361408"/>
        <c:scaling>
          <c:orientation val="minMax"/>
        </c:scaling>
        <c:delete val="1"/>
        <c:axPos val="b"/>
        <c:numFmt formatCode="General" sourceLinked="1"/>
        <c:tickLblPos val="none"/>
        <c:crossAx val="149362944"/>
        <c:crosses val="autoZero"/>
        <c:auto val="1"/>
        <c:lblAlgn val="ctr"/>
        <c:lblOffset val="100"/>
      </c:catAx>
      <c:valAx>
        <c:axId val="149362944"/>
        <c:scaling>
          <c:orientation val="minMax"/>
        </c:scaling>
        <c:delete val="1"/>
        <c:axPos val="l"/>
        <c:numFmt formatCode="General" sourceLinked="1"/>
        <c:tickLblPos val="none"/>
        <c:crossAx val="149361408"/>
        <c:crosses val="autoZero"/>
        <c:crossBetween val="between"/>
      </c:valAx>
      <c:spPr>
        <a:solidFill>
          <a:srgbClr val="4F81BD">
            <a:lumMod val="20000"/>
            <a:lumOff val="80000"/>
          </a:srgbClr>
        </a:solidFill>
        <a:ln w="17244" cap="flat" cmpd="sng" algn="ctr">
          <a:solidFill>
            <a:sysClr val="windowText" lastClr="000000"/>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26752.31</c:v>
                </c:pt>
              </c:strCache>
            </c:strRef>
          </c:tx>
          <c:spPr>
            <a:ln w="28575">
              <a:noFill/>
            </a:ln>
          </c:spPr>
          <c:trendline>
            <c:trendlineType val="poly"/>
            <c:order val="4"/>
          </c:trendline>
          <c:xVal>
            <c:numRef>
              <c:f>'Sheet1'!$A$2:$A$32</c:f>
              <c:numCache>
                <c:formatCode>General</c:formatCode>
                <c:ptCount val="31"/>
                <c:pt idx="0">
                  <c:v>1952</c:v>
                </c:pt>
                <c:pt idx="1">
                  <c:v>1955</c:v>
                </c:pt>
                <c:pt idx="2">
                  <c:v>1958</c:v>
                </c:pt>
                <c:pt idx="3">
                  <c:v>1959</c:v>
                </c:pt>
                <c:pt idx="4">
                  <c:v>1960</c:v>
                </c:pt>
                <c:pt idx="5">
                  <c:v>1962</c:v>
                </c:pt>
                <c:pt idx="6">
                  <c:v>1962</c:v>
                </c:pt>
                <c:pt idx="7">
                  <c:v>1963</c:v>
                </c:pt>
                <c:pt idx="8">
                  <c:v>1964</c:v>
                </c:pt>
                <c:pt idx="9">
                  <c:v>1966</c:v>
                </c:pt>
                <c:pt idx="10">
                  <c:v>1968</c:v>
                </c:pt>
                <c:pt idx="11">
                  <c:v>1968</c:v>
                </c:pt>
                <c:pt idx="12">
                  <c:v>1968</c:v>
                </c:pt>
                <c:pt idx="13">
                  <c:v>1969</c:v>
                </c:pt>
                <c:pt idx="14">
                  <c:v>1972</c:v>
                </c:pt>
                <c:pt idx="15">
                  <c:v>1973</c:v>
                </c:pt>
                <c:pt idx="16">
                  <c:v>1975</c:v>
                </c:pt>
                <c:pt idx="17">
                  <c:v>1977</c:v>
                </c:pt>
                <c:pt idx="18">
                  <c:v>1979</c:v>
                </c:pt>
                <c:pt idx="19">
                  <c:v>1979</c:v>
                </c:pt>
                <c:pt idx="20">
                  <c:v>1980</c:v>
                </c:pt>
                <c:pt idx="21">
                  <c:v>1980</c:v>
                </c:pt>
                <c:pt idx="22">
                  <c:v>1980</c:v>
                </c:pt>
                <c:pt idx="23">
                  <c:v>1980</c:v>
                </c:pt>
                <c:pt idx="24">
                  <c:v>1981</c:v>
                </c:pt>
                <c:pt idx="25">
                  <c:v>1981</c:v>
                </c:pt>
                <c:pt idx="26">
                  <c:v>1986</c:v>
                </c:pt>
                <c:pt idx="27">
                  <c:v>1998</c:v>
                </c:pt>
                <c:pt idx="28">
                  <c:v>2002</c:v>
                </c:pt>
                <c:pt idx="29">
                  <c:v>2006</c:v>
                </c:pt>
                <c:pt idx="30">
                  <c:v>2010</c:v>
                </c:pt>
              </c:numCache>
            </c:numRef>
          </c:xVal>
          <c:yVal>
            <c:numRef>
              <c:f>'Sheet1'!$B$2:$B$32</c:f>
              <c:numCache>
                <c:formatCode>General</c:formatCode>
                <c:ptCount val="31"/>
                <c:pt idx="0">
                  <c:v>26752.7</c:v>
                </c:pt>
                <c:pt idx="1">
                  <c:v>26753</c:v>
                </c:pt>
                <c:pt idx="2">
                  <c:v>26751.465000000029</c:v>
                </c:pt>
                <c:pt idx="3">
                  <c:v>26752</c:v>
                </c:pt>
                <c:pt idx="4">
                  <c:v>26752.5</c:v>
                </c:pt>
                <c:pt idx="5">
                  <c:v>26751.439999999897</c:v>
                </c:pt>
                <c:pt idx="6">
                  <c:v>26751.200000000001</c:v>
                </c:pt>
                <c:pt idx="7">
                  <c:v>26751.919999999896</c:v>
                </c:pt>
                <c:pt idx="8">
                  <c:v>26751.555</c:v>
                </c:pt>
                <c:pt idx="9">
                  <c:v>26751.05</c:v>
                </c:pt>
                <c:pt idx="10">
                  <c:v>26751.526000000005</c:v>
                </c:pt>
                <c:pt idx="11">
                  <c:v>26751.383999999998</c:v>
                </c:pt>
                <c:pt idx="12">
                  <c:v>26751.348999999998</c:v>
                </c:pt>
                <c:pt idx="13">
                  <c:v>26751.27</c:v>
                </c:pt>
                <c:pt idx="14">
                  <c:v>26751.383999999998</c:v>
                </c:pt>
                <c:pt idx="15">
                  <c:v>26751.300999999996</c:v>
                </c:pt>
                <c:pt idx="16">
                  <c:v>26751.353999999996</c:v>
                </c:pt>
                <c:pt idx="17">
                  <c:v>26751.481000000025</c:v>
                </c:pt>
                <c:pt idx="18">
                  <c:v>26751.688999999998</c:v>
                </c:pt>
                <c:pt idx="19">
                  <c:v>26751.362499999999</c:v>
                </c:pt>
                <c:pt idx="20">
                  <c:v>26751.572</c:v>
                </c:pt>
                <c:pt idx="21">
                  <c:v>26751.391</c:v>
                </c:pt>
                <c:pt idx="22">
                  <c:v>26751.32</c:v>
                </c:pt>
                <c:pt idx="23">
                  <c:v>26751.55</c:v>
                </c:pt>
                <c:pt idx="24">
                  <c:v>26751.257000000001</c:v>
                </c:pt>
                <c:pt idx="25">
                  <c:v>26751.227999999999</c:v>
                </c:pt>
                <c:pt idx="26">
                  <c:v>26751.5255</c:v>
                </c:pt>
                <c:pt idx="27">
                  <c:v>26751.534100000001</c:v>
                </c:pt>
                <c:pt idx="28">
                  <c:v>26751.533299999996</c:v>
                </c:pt>
                <c:pt idx="29">
                  <c:v>26751.336200000002</c:v>
                </c:pt>
                <c:pt idx="30">
                  <c:v>26751.53268</c:v>
                </c:pt>
              </c:numCache>
            </c:numRef>
          </c:yVal>
        </c:ser>
        <c:axId val="149934848"/>
        <c:axId val="149936384"/>
      </c:scatterChart>
      <c:valAx>
        <c:axId val="149934848"/>
        <c:scaling>
          <c:orientation val="minMax"/>
        </c:scaling>
        <c:axPos val="b"/>
        <c:numFmt formatCode="General" sourceLinked="1"/>
        <c:tickLblPos val="nextTo"/>
        <c:crossAx val="149936384"/>
        <c:crosses val="autoZero"/>
        <c:crossBetween val="midCat"/>
      </c:valAx>
      <c:valAx>
        <c:axId val="149936384"/>
        <c:scaling>
          <c:orientation val="minMax"/>
        </c:scaling>
        <c:axPos val="l"/>
        <c:majorGridlines/>
        <c:numFmt formatCode="General" sourceLinked="1"/>
        <c:tickLblPos val="nextTo"/>
        <c:crossAx val="149934848"/>
        <c:crosses val="autoZero"/>
        <c:crossBetween val="midCat"/>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0.65000000000002944</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1.0512999999999439</c:v>
                </c:pt>
                <c:pt idx="2">
                  <c:v>1.105</c:v>
                </c:pt>
                <c:pt idx="3">
                  <c:v>1.163</c:v>
                </c:pt>
                <c:pt idx="4">
                  <c:v>1.224</c:v>
                </c:pt>
                <c:pt idx="5">
                  <c:v>1.2909999999999473</c:v>
                </c:pt>
                <c:pt idx="6">
                  <c:v>1.3620000000000001</c:v>
                </c:pt>
                <c:pt idx="7">
                  <c:v>1.4409999999999334</c:v>
                </c:pt>
                <c:pt idx="8">
                  <c:v>1.528</c:v>
                </c:pt>
                <c:pt idx="9">
                  <c:v>1.623</c:v>
                </c:pt>
                <c:pt idx="10">
                  <c:v>1.73</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0.65000000000002944</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1.05</c:v>
                </c:pt>
                <c:pt idx="2">
                  <c:v>1.1000000000000001</c:v>
                </c:pt>
                <c:pt idx="3">
                  <c:v>1.1519999999999455</c:v>
                </c:pt>
                <c:pt idx="4">
                  <c:v>1.2069999999999363</c:v>
                </c:pt>
                <c:pt idx="5">
                  <c:v>1.264</c:v>
                </c:pt>
                <c:pt idx="6">
                  <c:v>1.3260000000000001</c:v>
                </c:pt>
                <c:pt idx="7">
                  <c:v>1.395</c:v>
                </c:pt>
                <c:pt idx="8">
                  <c:v>1.4709999999999384</c:v>
                </c:pt>
                <c:pt idx="9">
                  <c:v>1.5569999999999578</c:v>
                </c:pt>
                <c:pt idx="10">
                  <c:v>1.6579999999999462</c:v>
                </c:pt>
                <c:pt idx="11">
                  <c:v>1.776</c:v>
                </c:pt>
                <c:pt idx="12">
                  <c:v>1.9200000000000021</c:v>
                </c:pt>
                <c:pt idx="13">
                  <c:v>2.0989999999999998</c:v>
                </c:pt>
                <c:pt idx="14">
                  <c:v>2.3289999999999997</c:v>
                </c:pt>
                <c:pt idx="15">
                  <c:v>2.6389999999999998</c:v>
                </c:pt>
                <c:pt idx="16">
                  <c:v>3.0819999999999999</c:v>
                </c:pt>
                <c:pt idx="17">
                  <c:v>3.3859999999999997</c:v>
                </c:pt>
                <c:pt idx="18">
                  <c:v>3.778</c:v>
                </c:pt>
                <c:pt idx="19">
                  <c:v>4.3049999999999855</c:v>
                </c:pt>
                <c:pt idx="20">
                  <c:v>5.0579999999999945</c:v>
                </c:pt>
                <c:pt idx="21">
                  <c:v>6.2370000000000001</c:v>
                </c:pt>
                <c:pt idx="22">
                  <c:v>8.4020000000000028</c:v>
                </c:pt>
                <c:pt idx="23">
                  <c:v>10.392000000000024</c:v>
                </c:pt>
              </c:numCache>
            </c:numRef>
          </c:yVal>
          <c:smooth val="1"/>
        </c:ser>
        <c:axId val="149850752"/>
        <c:axId val="149885312"/>
      </c:scatterChart>
      <c:valAx>
        <c:axId val="149850752"/>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9885312"/>
        <c:crosses val="autoZero"/>
        <c:crossBetween val="midCat"/>
      </c:valAx>
      <c:valAx>
        <c:axId val="149885312"/>
        <c:scaling>
          <c:orientation val="minMax"/>
        </c:scaling>
        <c:axPos val="l"/>
        <c:majorGridlines/>
        <c:numFmt formatCode="General" sourceLinked="1"/>
        <c:tickLblPos val="nextTo"/>
        <c:crossAx val="149850752"/>
        <c:crosses val="autoZero"/>
        <c:crossBetween val="midCat"/>
      </c:valAx>
      <c:spPr>
        <a:solidFill>
          <a:srgbClr val="FFFFFF"/>
        </a:solidFill>
        <a:ln w="25386">
          <a:solidFill>
            <a:srgbClr val="000000"/>
          </a:solidFill>
          <a:prstDash val="solid"/>
        </a:ln>
      </c:spPr>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4"/>
  <c:chart>
    <c:autoTitleDeleted val="1"/>
    <c:plotArea>
      <c:layout/>
      <c:scatterChart>
        <c:scatterStyle val="lineMarker"/>
        <c:ser>
          <c:idx val="0"/>
          <c:order val="0"/>
          <c:tx>
            <c:strRef>
              <c:f>Sheet1!$B$1</c:f>
              <c:strCache>
                <c:ptCount val="1"/>
                <c:pt idx="0">
                  <c:v>Y-Values</c:v>
                </c:pt>
              </c:strCache>
            </c:strRef>
          </c:tx>
          <c:spPr>
            <a:ln w="28592">
              <a:noFill/>
            </a:ln>
          </c:spPr>
          <c:trendline>
            <c:spPr>
              <a:ln>
                <a:solidFill>
                  <a:srgbClr val="C00000"/>
                </a:solidFill>
              </a:ln>
            </c:spPr>
            <c:trendlineType val="movingAvg"/>
            <c:period val="2"/>
          </c:trendline>
          <c:xVal>
            <c:numRef>
              <c:f>Sheet1!$A$2:$A$37</c:f>
              <c:numCache>
                <c:formatCode>General</c:formatCode>
                <c:ptCount val="36"/>
                <c:pt idx="1">
                  <c:v>0</c:v>
                </c:pt>
                <c:pt idx="2">
                  <c:v>0.05</c:v>
                </c:pt>
                <c:pt idx="3">
                  <c:v>0.1</c:v>
                </c:pt>
                <c:pt idx="4">
                  <c:v>0.15000000000000024</c:v>
                </c:pt>
                <c:pt idx="5">
                  <c:v>0.2</c:v>
                </c:pt>
                <c:pt idx="6">
                  <c:v>0.25</c:v>
                </c:pt>
                <c:pt idx="7">
                  <c:v>0.30000000000000032</c:v>
                </c:pt>
                <c:pt idx="8">
                  <c:v>0.35000000000000031</c:v>
                </c:pt>
                <c:pt idx="9">
                  <c:v>0.4</c:v>
                </c:pt>
                <c:pt idx="10">
                  <c:v>0.45</c:v>
                </c:pt>
                <c:pt idx="11">
                  <c:v>0.5</c:v>
                </c:pt>
                <c:pt idx="12">
                  <c:v>0.55000000000000004</c:v>
                </c:pt>
                <c:pt idx="13">
                  <c:v>0.60000000000000064</c:v>
                </c:pt>
                <c:pt idx="14">
                  <c:v>0.65000000000002944</c:v>
                </c:pt>
                <c:pt idx="15">
                  <c:v>0.70000000000000062</c:v>
                </c:pt>
                <c:pt idx="16">
                  <c:v>0.75000000000001465</c:v>
                </c:pt>
                <c:pt idx="17">
                  <c:v>0.8</c:v>
                </c:pt>
                <c:pt idx="18">
                  <c:v>0.82500000000000062</c:v>
                </c:pt>
                <c:pt idx="19">
                  <c:v>0.85000000000000064</c:v>
                </c:pt>
                <c:pt idx="20">
                  <c:v>0.87500000000001465</c:v>
                </c:pt>
                <c:pt idx="21">
                  <c:v>0.9</c:v>
                </c:pt>
                <c:pt idx="22">
                  <c:v>0.92500000000000004</c:v>
                </c:pt>
                <c:pt idx="23">
                  <c:v>0.95000000000000062</c:v>
                </c:pt>
                <c:pt idx="24">
                  <c:v>0.96250000000000002</c:v>
                </c:pt>
                <c:pt idx="25">
                  <c:v>0.97500000000000064</c:v>
                </c:pt>
                <c:pt idx="26">
                  <c:v>0.98</c:v>
                </c:pt>
                <c:pt idx="27">
                  <c:v>0.98499999999999999</c:v>
                </c:pt>
                <c:pt idx="28">
                  <c:v>0.98749999999999949</c:v>
                </c:pt>
                <c:pt idx="29">
                  <c:v>0.99</c:v>
                </c:pt>
                <c:pt idx="30">
                  <c:v>0.99099999999999999</c:v>
                </c:pt>
                <c:pt idx="31">
                  <c:v>0.99199999999999999</c:v>
                </c:pt>
                <c:pt idx="32">
                  <c:v>0.99299999999999999</c:v>
                </c:pt>
                <c:pt idx="33">
                  <c:v>0.99399999999999999</c:v>
                </c:pt>
                <c:pt idx="34">
                  <c:v>0.995</c:v>
                </c:pt>
                <c:pt idx="35">
                  <c:v>0.996</c:v>
                </c:pt>
              </c:numCache>
            </c:numRef>
          </c:xVal>
          <c:yVal>
            <c:numRef>
              <c:f>Sheet1!$B$2:$B$37</c:f>
              <c:numCache>
                <c:formatCode>General</c:formatCode>
                <c:ptCount val="36"/>
                <c:pt idx="1">
                  <c:v>1</c:v>
                </c:pt>
                <c:pt idx="2">
                  <c:v>1.0512999999999439</c:v>
                </c:pt>
                <c:pt idx="3">
                  <c:v>1.105</c:v>
                </c:pt>
                <c:pt idx="4">
                  <c:v>1.163</c:v>
                </c:pt>
                <c:pt idx="5">
                  <c:v>1.224</c:v>
                </c:pt>
                <c:pt idx="6">
                  <c:v>1.2909999999999473</c:v>
                </c:pt>
                <c:pt idx="7">
                  <c:v>1.3620000000000001</c:v>
                </c:pt>
                <c:pt idx="8">
                  <c:v>1.4409999999999334</c:v>
                </c:pt>
                <c:pt idx="9">
                  <c:v>1.5269999999999455</c:v>
                </c:pt>
                <c:pt idx="10">
                  <c:v>1.623</c:v>
                </c:pt>
                <c:pt idx="11">
                  <c:v>1.732</c:v>
                </c:pt>
                <c:pt idx="12">
                  <c:v>1.855</c:v>
                </c:pt>
                <c:pt idx="13">
                  <c:v>2</c:v>
                </c:pt>
                <c:pt idx="14">
                  <c:v>2.1709999999999998</c:v>
                </c:pt>
                <c:pt idx="15">
                  <c:v>2.38</c:v>
                </c:pt>
                <c:pt idx="16">
                  <c:v>2.645</c:v>
                </c:pt>
                <c:pt idx="17">
                  <c:v>3</c:v>
                </c:pt>
                <c:pt idx="18">
                  <c:v>3.2290000000000001</c:v>
                </c:pt>
                <c:pt idx="19">
                  <c:v>3.5109999999999997</c:v>
                </c:pt>
                <c:pt idx="20">
                  <c:v>3.8729999999999967</c:v>
                </c:pt>
                <c:pt idx="21">
                  <c:v>4.3579999999999846</c:v>
                </c:pt>
                <c:pt idx="22">
                  <c:v>5.0659999999999945</c:v>
                </c:pt>
                <c:pt idx="23">
                  <c:v>6.2450000000000001</c:v>
                </c:pt>
                <c:pt idx="24">
                  <c:v>7.234</c:v>
                </c:pt>
                <c:pt idx="25">
                  <c:v>8.8880000000000035</c:v>
                </c:pt>
                <c:pt idx="26">
                  <c:v>9.9489999999999998</c:v>
                </c:pt>
                <c:pt idx="27">
                  <c:v>11.503</c:v>
                </c:pt>
                <c:pt idx="28">
                  <c:v>12.609</c:v>
                </c:pt>
                <c:pt idx="29">
                  <c:v>14.106</c:v>
                </c:pt>
                <c:pt idx="30">
                  <c:v>14.8</c:v>
                </c:pt>
                <c:pt idx="31">
                  <c:v>15.779</c:v>
                </c:pt>
                <c:pt idx="32">
                  <c:v>16.87</c:v>
                </c:pt>
                <c:pt idx="33">
                  <c:v>18.23</c:v>
                </c:pt>
                <c:pt idx="34">
                  <c:v>19.974</c:v>
                </c:pt>
                <c:pt idx="35">
                  <c:v>22.330000000000005</c:v>
                </c:pt>
              </c:numCache>
            </c:numRef>
          </c:yVal>
        </c:ser>
        <c:axId val="150093824"/>
        <c:axId val="150095360"/>
      </c:scatterChart>
      <c:valAx>
        <c:axId val="150093824"/>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0095360"/>
        <c:crosses val="autoZero"/>
        <c:crossBetween val="midCat"/>
      </c:valAx>
      <c:valAx>
        <c:axId val="150095360"/>
        <c:scaling>
          <c:orientation val="minMax"/>
        </c:scaling>
        <c:axPos val="l"/>
        <c:majorGridlines/>
        <c:numFmt formatCode="General" sourceLinked="1"/>
        <c:tickLblPos val="nextTo"/>
        <c:crossAx val="150093824"/>
        <c:crosses val="autoZero"/>
        <c:crossBetween val="midCat"/>
      </c:valAx>
      <c:spPr>
        <a:gradFill>
          <a:gsLst>
            <a:gs pos="0">
              <a:srgbClr val="4F81BD">
                <a:tint val="66000"/>
                <a:satMod val="160000"/>
                <a:alpha val="64000"/>
              </a:srgbClr>
            </a:gs>
            <a:gs pos="50000">
              <a:srgbClr val="4F81BD">
                <a:tint val="44500"/>
                <a:satMod val="160000"/>
              </a:srgbClr>
            </a:gs>
            <a:gs pos="100000">
              <a:srgbClr val="4F81BD">
                <a:tint val="23500"/>
                <a:satMod val="160000"/>
              </a:srgbClr>
            </a:gs>
          </a:gsLst>
          <a:lin ang="5400000" scaled="0"/>
        </a:gradFill>
      </c:spPr>
    </c:plotArea>
    <c:plotVisOnly val="1"/>
    <c:dispBlanksAs val="gap"/>
  </c:chart>
  <c:spPr>
    <a:ln>
      <a:solidFill>
        <a:srgbClr val="0070C0"/>
      </a:solidFill>
    </a:ln>
  </c:sp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0896853410565059"/>
          <c:y val="7.2922953596317702E-2"/>
          <c:w val="0.82920203940024739"/>
          <c:h val="0.76253416598787216"/>
        </c:manualLayout>
      </c:layout>
      <c:scatterChart>
        <c:scatterStyle val="lineMarker"/>
        <c:ser>
          <c:idx val="0"/>
          <c:order val="0"/>
          <c:tx>
            <c:strRef>
              <c:f>Sheet1!$B$1</c:f>
              <c:strCache>
                <c:ptCount val="1"/>
                <c:pt idx="0">
                  <c:v>Dipole moment (amps-m2)</c:v>
                </c:pt>
              </c:strCache>
            </c:strRef>
          </c:tx>
          <c:spPr>
            <a:ln w="28575">
              <a:noFill/>
            </a:ln>
          </c:spPr>
          <c:trendline>
            <c:trendlineType val="linear"/>
          </c:trendline>
          <c:xVal>
            <c:numRef>
              <c:f>Sheet1!$A$2:$A$40</c:f>
              <c:numCache>
                <c:formatCode>General</c:formatCode>
                <c:ptCount val="39"/>
                <c:pt idx="0">
                  <c:v>1550</c:v>
                </c:pt>
                <c:pt idx="1">
                  <c:v>1600</c:v>
                </c:pt>
                <c:pt idx="2">
                  <c:v>1650</c:v>
                </c:pt>
                <c:pt idx="3">
                  <c:v>1700</c:v>
                </c:pt>
                <c:pt idx="4">
                  <c:v>1750</c:v>
                </c:pt>
                <c:pt idx="5">
                  <c:v>1800</c:v>
                </c:pt>
                <c:pt idx="6">
                  <c:v>1829</c:v>
                </c:pt>
                <c:pt idx="7">
                  <c:v>1835</c:v>
                </c:pt>
                <c:pt idx="8">
                  <c:v>1845</c:v>
                </c:pt>
                <c:pt idx="9">
                  <c:v>1850</c:v>
                </c:pt>
                <c:pt idx="10">
                  <c:v>1880</c:v>
                </c:pt>
                <c:pt idx="11">
                  <c:v>1880</c:v>
                </c:pt>
                <c:pt idx="12">
                  <c:v>1885</c:v>
                </c:pt>
                <c:pt idx="13">
                  <c:v>1885</c:v>
                </c:pt>
                <c:pt idx="14">
                  <c:v>1900</c:v>
                </c:pt>
                <c:pt idx="15">
                  <c:v>1905</c:v>
                </c:pt>
                <c:pt idx="16">
                  <c:v>1915</c:v>
                </c:pt>
                <c:pt idx="17">
                  <c:v>1922</c:v>
                </c:pt>
                <c:pt idx="18">
                  <c:v>1925</c:v>
                </c:pt>
                <c:pt idx="19">
                  <c:v>1935</c:v>
                </c:pt>
                <c:pt idx="20">
                  <c:v>1942.5</c:v>
                </c:pt>
                <c:pt idx="21">
                  <c:v>1945</c:v>
                </c:pt>
                <c:pt idx="22">
                  <c:v>1945</c:v>
                </c:pt>
                <c:pt idx="23">
                  <c:v>1945</c:v>
                </c:pt>
                <c:pt idx="24">
                  <c:v>1945</c:v>
                </c:pt>
                <c:pt idx="25">
                  <c:v>1950</c:v>
                </c:pt>
                <c:pt idx="26">
                  <c:v>1955</c:v>
                </c:pt>
                <c:pt idx="27">
                  <c:v>1955</c:v>
                </c:pt>
                <c:pt idx="28">
                  <c:v>1958.5</c:v>
                </c:pt>
                <c:pt idx="29">
                  <c:v>1959</c:v>
                </c:pt>
                <c:pt idx="30">
                  <c:v>1960</c:v>
                </c:pt>
                <c:pt idx="31">
                  <c:v>1960</c:v>
                </c:pt>
                <c:pt idx="32">
                  <c:v>1960</c:v>
                </c:pt>
                <c:pt idx="33">
                  <c:v>1960</c:v>
                </c:pt>
                <c:pt idx="34">
                  <c:v>1965</c:v>
                </c:pt>
                <c:pt idx="35">
                  <c:v>1965</c:v>
                </c:pt>
                <c:pt idx="36">
                  <c:v>1970</c:v>
                </c:pt>
                <c:pt idx="37">
                  <c:v>1980</c:v>
                </c:pt>
                <c:pt idx="38">
                  <c:v>1990</c:v>
                </c:pt>
              </c:numCache>
            </c:numRef>
          </c:xVal>
          <c:yVal>
            <c:numRef>
              <c:f>Sheet1!$B$2:$B$40</c:f>
              <c:numCache>
                <c:formatCode>General</c:formatCode>
                <c:ptCount val="39"/>
                <c:pt idx="0">
                  <c:v>9.5400000000000009</c:v>
                </c:pt>
                <c:pt idx="1">
                  <c:v>9.3600000000000048</c:v>
                </c:pt>
                <c:pt idx="2">
                  <c:v>9.18</c:v>
                </c:pt>
                <c:pt idx="3">
                  <c:v>9</c:v>
                </c:pt>
                <c:pt idx="4">
                  <c:v>8.84</c:v>
                </c:pt>
                <c:pt idx="5">
                  <c:v>8.61</c:v>
                </c:pt>
                <c:pt idx="6">
                  <c:v>8.4500000000000028</c:v>
                </c:pt>
                <c:pt idx="7">
                  <c:v>8.5580000000000016</c:v>
                </c:pt>
                <c:pt idx="8">
                  <c:v>8.4880000000000013</c:v>
                </c:pt>
                <c:pt idx="9">
                  <c:v>8.4700000000000006</c:v>
                </c:pt>
                <c:pt idx="10">
                  <c:v>8.3630000000000067</c:v>
                </c:pt>
                <c:pt idx="11">
                  <c:v>8.3360000000000003</c:v>
                </c:pt>
                <c:pt idx="12">
                  <c:v>8.3470000000000013</c:v>
                </c:pt>
                <c:pt idx="13">
                  <c:v>8.3750000000000266</c:v>
                </c:pt>
                <c:pt idx="14">
                  <c:v>8.27</c:v>
                </c:pt>
                <c:pt idx="15">
                  <c:v>8.2909999999999986</c:v>
                </c:pt>
                <c:pt idx="16">
                  <c:v>8.2249999999999996</c:v>
                </c:pt>
                <c:pt idx="17">
                  <c:v>8.1650000000000027</c:v>
                </c:pt>
                <c:pt idx="18">
                  <c:v>8.1489999999999991</c:v>
                </c:pt>
                <c:pt idx="19">
                  <c:v>8.088000000000001</c:v>
                </c:pt>
                <c:pt idx="20">
                  <c:v>8.0090000000000003</c:v>
                </c:pt>
                <c:pt idx="21">
                  <c:v>8.0650000000000048</c:v>
                </c:pt>
                <c:pt idx="22">
                  <c:v>8.01</c:v>
                </c:pt>
                <c:pt idx="23">
                  <c:v>8.0660000000000007</c:v>
                </c:pt>
                <c:pt idx="24">
                  <c:v>8.09</c:v>
                </c:pt>
                <c:pt idx="25">
                  <c:v>8.07</c:v>
                </c:pt>
                <c:pt idx="26">
                  <c:v>8.0350000000000001</c:v>
                </c:pt>
                <c:pt idx="27">
                  <c:v>8.0670000000000002</c:v>
                </c:pt>
                <c:pt idx="28">
                  <c:v>8.0379999999999985</c:v>
                </c:pt>
                <c:pt idx="29">
                  <c:v>8.0860000000000003</c:v>
                </c:pt>
                <c:pt idx="30">
                  <c:v>8.0530000000000008</c:v>
                </c:pt>
                <c:pt idx="31">
                  <c:v>8.02</c:v>
                </c:pt>
                <c:pt idx="32">
                  <c:v>8.036999999999999</c:v>
                </c:pt>
                <c:pt idx="33">
                  <c:v>8.0250000000000004</c:v>
                </c:pt>
                <c:pt idx="34">
                  <c:v>8.0130000000000035</c:v>
                </c:pt>
                <c:pt idx="35">
                  <c:v>8.0170000000000012</c:v>
                </c:pt>
                <c:pt idx="36">
                  <c:v>7.9700000000000024</c:v>
                </c:pt>
                <c:pt idx="37">
                  <c:v>7.91</c:v>
                </c:pt>
                <c:pt idx="38">
                  <c:v>7.84</c:v>
                </c:pt>
              </c:numCache>
            </c:numRef>
          </c:yVal>
        </c:ser>
        <c:axId val="149864448"/>
        <c:axId val="149865984"/>
      </c:scatterChart>
      <c:valAx>
        <c:axId val="149864448"/>
        <c:scaling>
          <c:orientation val="minMax"/>
          <c:max val="2000"/>
          <c:min val="1550"/>
        </c:scaling>
        <c:axPos val="b"/>
        <c:majorGridlines/>
        <c:numFmt formatCode="General" sourceLinked="1"/>
        <c:tickLblPos val="nextTo"/>
        <c:crossAx val="149865984"/>
        <c:crosses val="autoZero"/>
        <c:crossBetween val="midCat"/>
        <c:majorUnit val="100"/>
        <c:minorUnit val="50"/>
      </c:valAx>
      <c:valAx>
        <c:axId val="149865984"/>
        <c:scaling>
          <c:orientation val="minMax"/>
          <c:max val="9.6"/>
          <c:min val="7.5"/>
        </c:scaling>
        <c:axPos val="l"/>
        <c:majorGridlines/>
        <c:numFmt formatCode="General" sourceLinked="1"/>
        <c:tickLblPos val="nextTo"/>
        <c:crossAx val="149864448"/>
        <c:crosses val="autoZero"/>
        <c:crossBetween val="midCat"/>
        <c:majorUnit val="0.2"/>
        <c:minorUnit val="0.1"/>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25">
              <a:noFill/>
            </a:ln>
          </c:spPr>
          <c:trendline>
            <c:trendlineType val="linear"/>
          </c:trendline>
          <c:trendline>
            <c:trendlineType val="linear"/>
          </c:trendline>
          <c:errBars>
            <c:errDir val="x"/>
            <c:errBarType val="both"/>
            <c:errValType val="fixedVal"/>
            <c:val val="1"/>
          </c:errBars>
          <c:errBars>
            <c:errDir val="y"/>
            <c:errBarType val="both"/>
            <c:errValType val="cust"/>
            <c:plus>
              <c:numLit>
                <c:formatCode>General</c:formatCode>
                <c:ptCount val="1"/>
                <c:pt idx="0">
                  <c:v>1</c:v>
                </c:pt>
              </c:numLit>
            </c:plus>
            <c:minus>
              <c:numLit>
                <c:formatCode>General</c:formatCode>
                <c:ptCount val="1"/>
                <c:pt idx="0">
                  <c:v>1</c:v>
                </c:pt>
              </c:numLit>
            </c:minus>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147352576"/>
        <c:axId val="147358464"/>
      </c:scatterChart>
      <c:valAx>
        <c:axId val="147352576"/>
        <c:scaling>
          <c:orientation val="minMax"/>
        </c:scaling>
        <c:axPos val="b"/>
        <c:numFmt formatCode="General" sourceLinked="1"/>
        <c:tickLblPos val="nextTo"/>
        <c:txPr>
          <a:bodyPr rot="0" vert="horz"/>
          <a:lstStyle/>
          <a:p>
            <a:pPr>
              <a:defRPr sz="998" b="0" i="0" u="none" strike="noStrike" baseline="0">
                <a:solidFill>
                  <a:srgbClr val="000000"/>
                </a:solidFill>
                <a:latin typeface="Calibri"/>
                <a:ea typeface="Calibri"/>
                <a:cs typeface="Calibri"/>
              </a:defRPr>
            </a:pPr>
            <a:endParaRPr lang="en-US"/>
          </a:p>
        </c:txPr>
        <c:crossAx val="147358464"/>
        <c:crosses val="autoZero"/>
        <c:crossBetween val="midCat"/>
      </c:valAx>
      <c:valAx>
        <c:axId val="147358464"/>
        <c:scaling>
          <c:orientation val="minMax"/>
        </c:scaling>
        <c:axPos val="l"/>
        <c:majorGridlines/>
        <c:numFmt formatCode="General" sourceLinked="1"/>
        <c:tickLblPos val="nextTo"/>
        <c:crossAx val="147352576"/>
        <c:crosses val="autoZero"/>
        <c:crossBetween val="midCat"/>
      </c:valAx>
    </c:plotArea>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0.44000000000000078</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-3.1000000000000416E-2</c:v>
                </c:pt>
                <c:pt idx="41">
                  <c:v>3.1000000000000416E-2</c:v>
                </c:pt>
                <c:pt idx="42">
                  <c:v>6.2500000000000139E-2</c:v>
                </c:pt>
                <c:pt idx="43">
                  <c:v>-3.0000000000000242E-2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-6.0000000000000414E-2</c:v>
                </c:pt>
                <c:pt idx="59">
                  <c:v>-3.0000000000000242E-2</c:v>
                </c:pt>
                <c:pt idx="60">
                  <c:v>-6.2500000000000139E-2</c:v>
                </c:pt>
                <c:pt idx="61">
                  <c:v>-9.0000000000000066E-2</c:v>
                </c:pt>
                <c:pt idx="62">
                  <c:v>-6.2500000000000139E-2</c:v>
                </c:pt>
                <c:pt idx="63">
                  <c:v>-0.125</c:v>
                </c:pt>
                <c:pt idx="64">
                  <c:v>-1.0000000000000071E-2</c:v>
                </c:pt>
                <c:pt idx="65">
                  <c:v>-6.0000000000000414E-2</c:v>
                </c:pt>
                <c:pt idx="66">
                  <c:v>-6.2500000000000139E-2</c:v>
                </c:pt>
                <c:pt idx="67">
                  <c:v>1.0000000000000071E-2</c:v>
                </c:pt>
                <c:pt idx="68">
                  <c:v>0</c:v>
                </c:pt>
                <c:pt idx="69">
                  <c:v>-3.0000000000000242E-2</c:v>
                </c:pt>
                <c:pt idx="70">
                  <c:v>-6.2500000000000139E-2</c:v>
                </c:pt>
                <c:pt idx="71">
                  <c:v>-0.125</c:v>
                </c:pt>
                <c:pt idx="72">
                  <c:v>-0.15000000000000024</c:v>
                </c:pt>
                <c:pt idx="73">
                  <c:v>-0.15000000000000024</c:v>
                </c:pt>
                <c:pt idx="74">
                  <c:v>-0.15000000000000024</c:v>
                </c:pt>
                <c:pt idx="75">
                  <c:v>3.0000000000000242E-2</c:v>
                </c:pt>
                <c:pt idx="76">
                  <c:v>3.0000000000000242E-2</c:v>
                </c:pt>
                <c:pt idx="77">
                  <c:v>0</c:v>
                </c:pt>
                <c:pt idx="78">
                  <c:v>0</c:v>
                </c:pt>
                <c:pt idx="79">
                  <c:v>-3.0000000000000242E-2</c:v>
                </c:pt>
                <c:pt idx="80">
                  <c:v>-6.2500000000000139E-2</c:v>
                </c:pt>
                <c:pt idx="81">
                  <c:v>-3.0000000000000242E-2</c:v>
                </c:pt>
                <c:pt idx="82">
                  <c:v>-3.0000000000000242E-2</c:v>
                </c:pt>
                <c:pt idx="83">
                  <c:v>0</c:v>
                </c:pt>
                <c:pt idx="84">
                  <c:v>3.0000000000000242E-2</c:v>
                </c:pt>
                <c:pt idx="85">
                  <c:v>6.2500000000000139E-2</c:v>
                </c:pt>
                <c:pt idx="86">
                  <c:v>0</c:v>
                </c:pt>
                <c:pt idx="87">
                  <c:v>-9.0000000000000066E-2</c:v>
                </c:pt>
                <c:pt idx="88">
                  <c:v>-9.0000000000000066E-2</c:v>
                </c:pt>
                <c:pt idx="89">
                  <c:v>6.2500000000000139E-2</c:v>
                </c:pt>
              </c:numCache>
            </c:numRef>
          </c:val>
        </c:ser>
        <c:marker val="1"/>
        <c:axId val="164707328"/>
        <c:axId val="164713216"/>
      </c:lineChart>
      <c:catAx>
        <c:axId val="164707328"/>
        <c:scaling>
          <c:orientation val="minMax"/>
        </c:scaling>
        <c:delete val="1"/>
        <c:axPos val="b"/>
        <c:numFmt formatCode="General" sourceLinked="1"/>
        <c:tickLblPos val="none"/>
        <c:crossAx val="164713216"/>
        <c:crosses val="autoZero"/>
        <c:auto val="1"/>
        <c:lblAlgn val="ctr"/>
        <c:lblOffset val="100"/>
      </c:catAx>
      <c:valAx>
        <c:axId val="164713216"/>
        <c:scaling>
          <c:orientation val="minMax"/>
        </c:scaling>
        <c:delete val="1"/>
        <c:axPos val="l"/>
        <c:numFmt formatCode="General" sourceLinked="1"/>
        <c:tickLblPos val="none"/>
        <c:crossAx val="164707328"/>
        <c:crosses val="autoZero"/>
        <c:crossBetween val="between"/>
      </c:valAx>
      <c:spPr>
        <a:solidFill>
          <a:schemeClr val="bg1">
            <a:lumMod val="85000"/>
          </a:schemeClr>
        </a:solidFill>
        <a:ln w="25400" cap="flat" cmpd="sng" algn="ctr">
          <a:solidFill>
            <a:schemeClr val="dk1"/>
          </a:solidFill>
          <a:prstDash val="solid"/>
        </a:ln>
        <a:effectLst/>
      </c:spPr>
    </c:plotArea>
    <c:plotVisOnly val="1"/>
    <c:dispBlanksAs val="gap"/>
  </c:chart>
  <c:spPr>
    <a:noFill/>
    <a:ln>
      <a:noFill/>
    </a:ln>
  </c:spPr>
  <c:txPr>
    <a:bodyPr/>
    <a:lstStyle/>
    <a:p>
      <a:pPr>
        <a:defRPr sz="442" b="1" i="0" u="none" strike="noStrike" baseline="0">
          <a:solidFill>
            <a:srgbClr val="000000"/>
          </a:solidFill>
          <a:latin typeface="Calibri"/>
          <a:ea typeface="Calibri"/>
          <a:cs typeface="Calibri"/>
        </a:defRPr>
      </a:pPr>
      <a:endParaRPr lang="en-U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164763136"/>
        <c:axId val="164764672"/>
      </c:scatterChart>
      <c:valAx>
        <c:axId val="164763136"/>
        <c:scaling>
          <c:orientation val="minMax"/>
        </c:scaling>
        <c:axPos val="b"/>
        <c:numFmt formatCode="General" sourceLinked="1"/>
        <c:tickLblPos val="nextTo"/>
        <c:crossAx val="164764672"/>
        <c:crosses val="autoZero"/>
        <c:crossBetween val="midCat"/>
      </c:valAx>
      <c:valAx>
        <c:axId val="164764672"/>
        <c:scaling>
          <c:orientation val="minMax"/>
        </c:scaling>
        <c:axPos val="l"/>
        <c:majorGridlines/>
        <c:numFmt formatCode="General" sourceLinked="1"/>
        <c:tickLblPos val="nextTo"/>
        <c:crossAx val="164763136"/>
        <c:crosses val="autoZero"/>
        <c:crossBetween val="midCat"/>
      </c:valAx>
    </c:plotArea>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1725"/>
          <c:h val="0.78806684878672939"/>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167466112"/>
        <c:axId val="167467648"/>
      </c:scatterChart>
      <c:valAx>
        <c:axId val="167466112"/>
        <c:scaling>
          <c:orientation val="minMax"/>
        </c:scaling>
        <c:axPos val="b"/>
        <c:numFmt formatCode="General" sourceLinked="1"/>
        <c:tickLblPos val="nextTo"/>
        <c:crossAx val="167467648"/>
        <c:crosses val="autoZero"/>
        <c:crossBetween val="midCat"/>
        <c:majorUnit val="50"/>
      </c:valAx>
      <c:valAx>
        <c:axId val="167467648"/>
        <c:scaling>
          <c:orientation val="minMax"/>
          <c:max val="305000"/>
          <c:min val="299400"/>
        </c:scaling>
        <c:axPos val="l"/>
        <c:majorGridlines/>
        <c:numFmt formatCode="#,##0" sourceLinked="1"/>
        <c:tickLblPos val="nextTo"/>
        <c:crossAx val="167466112"/>
        <c:crosses val="autoZero"/>
        <c:crossBetween val="midCat"/>
        <c:majorUnit val="500"/>
      </c:valAx>
    </c:plotArea>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0"/>
          <c:w val="0.99155551979760648"/>
          <c:h val="1"/>
        </c:manualLayout>
      </c:layout>
      <c:scatterChart>
        <c:scatterStyle val="lineMarker"/>
        <c:ser>
          <c:idx val="0"/>
          <c:order val="0"/>
          <c:tx>
            <c:strRef>
              <c:f>Sheet1!$B$1</c:f>
              <c:strCache>
                <c:ptCount val="1"/>
                <c:pt idx="0">
                  <c:v>CLOCK RATE</c:v>
                </c:pt>
              </c:strCache>
            </c:strRef>
          </c:tx>
          <c:spPr>
            <a:ln w="28541">
              <a:noFill/>
            </a:ln>
          </c:spPr>
          <c:marker>
            <c:symbol val="diamond"/>
            <c:size val="2"/>
            <c:spPr>
              <a:solidFill>
                <a:srgbClr val="000080"/>
              </a:solidFill>
              <a:ln>
                <a:solidFill>
                  <a:srgbClr val="000080"/>
                </a:solidFill>
                <a:prstDash val="solid"/>
              </a:ln>
            </c:spPr>
          </c:marker>
          <c:trendline>
            <c:trendlineType val="poly"/>
            <c:order val="2"/>
          </c:trendline>
          <c:xVal>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xVal>
          <c:yVal>
            <c:numRef>
              <c:f>Sheet1!$B$2:$B$92</c:f>
              <c:numCache>
                <c:formatCode>General</c:formatCode>
                <c:ptCount val="91"/>
                <c:pt idx="0">
                  <c:v>0.44000000000000061</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-3.1000000000000211E-2</c:v>
                </c:pt>
                <c:pt idx="41">
                  <c:v>3.1000000000000211E-2</c:v>
                </c:pt>
                <c:pt idx="42">
                  <c:v>6.2500000000000139E-2</c:v>
                </c:pt>
                <c:pt idx="43">
                  <c:v>-3.0000000000000211E-2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-6.0000000000000192E-2</c:v>
                </c:pt>
                <c:pt idx="59">
                  <c:v>-3.0000000000000211E-2</c:v>
                </c:pt>
                <c:pt idx="60">
                  <c:v>-6.2500000000000139E-2</c:v>
                </c:pt>
                <c:pt idx="61">
                  <c:v>-9.0000000000000066E-2</c:v>
                </c:pt>
                <c:pt idx="62">
                  <c:v>-6.2500000000000139E-2</c:v>
                </c:pt>
                <c:pt idx="63">
                  <c:v>-0.125</c:v>
                </c:pt>
                <c:pt idx="64">
                  <c:v>-1.0000000000000061E-2</c:v>
                </c:pt>
                <c:pt idx="65">
                  <c:v>-6.0000000000000192E-2</c:v>
                </c:pt>
                <c:pt idx="66">
                  <c:v>-6.2500000000000139E-2</c:v>
                </c:pt>
                <c:pt idx="67">
                  <c:v>1.0000000000000061E-2</c:v>
                </c:pt>
                <c:pt idx="68">
                  <c:v>0</c:v>
                </c:pt>
                <c:pt idx="69">
                  <c:v>-3.0000000000000211E-2</c:v>
                </c:pt>
                <c:pt idx="70">
                  <c:v>-6.2500000000000139E-2</c:v>
                </c:pt>
                <c:pt idx="71">
                  <c:v>-0.125</c:v>
                </c:pt>
                <c:pt idx="72">
                  <c:v>-0.15000000000000024</c:v>
                </c:pt>
                <c:pt idx="73">
                  <c:v>-0.15000000000000024</c:v>
                </c:pt>
                <c:pt idx="74">
                  <c:v>-0.15000000000000024</c:v>
                </c:pt>
                <c:pt idx="75">
                  <c:v>3.0000000000000211E-2</c:v>
                </c:pt>
                <c:pt idx="76">
                  <c:v>3.0000000000000211E-2</c:v>
                </c:pt>
                <c:pt idx="77">
                  <c:v>0</c:v>
                </c:pt>
                <c:pt idx="78">
                  <c:v>0</c:v>
                </c:pt>
                <c:pt idx="79">
                  <c:v>-3.0000000000000211E-2</c:v>
                </c:pt>
                <c:pt idx="80">
                  <c:v>-6.2500000000000139E-2</c:v>
                </c:pt>
                <c:pt idx="81">
                  <c:v>-3.0000000000000211E-2</c:v>
                </c:pt>
                <c:pt idx="82">
                  <c:v>-3.0000000000000211E-2</c:v>
                </c:pt>
                <c:pt idx="83">
                  <c:v>0</c:v>
                </c:pt>
                <c:pt idx="84">
                  <c:v>3.0000000000000211E-2</c:v>
                </c:pt>
                <c:pt idx="85">
                  <c:v>6.2500000000000139E-2</c:v>
                </c:pt>
                <c:pt idx="86">
                  <c:v>0</c:v>
                </c:pt>
                <c:pt idx="87">
                  <c:v>-9.0000000000000066E-2</c:v>
                </c:pt>
                <c:pt idx="88">
                  <c:v>-9.0000000000000066E-2</c:v>
                </c:pt>
                <c:pt idx="89">
                  <c:v>6.2500000000000139E-2</c:v>
                </c:pt>
              </c:numCache>
            </c:numRef>
          </c:yVal>
        </c:ser>
        <c:axId val="177209728"/>
        <c:axId val="177211648"/>
      </c:scatterChart>
      <c:valAx>
        <c:axId val="177209728"/>
        <c:scaling>
          <c:orientation val="minMax"/>
        </c:scaling>
        <c:delete val="1"/>
        <c:axPos val="b"/>
        <c:majorGridlines/>
        <c:numFmt formatCode="General" sourceLinked="1"/>
        <c:tickLblPos val="none"/>
        <c:crossAx val="177211648"/>
        <c:crosses val="autoZero"/>
        <c:crossBetween val="midCat"/>
        <c:dispUnits>
          <c:builtInUnit val="thousands"/>
          <c:dispUnitsLbl/>
        </c:dispUnits>
      </c:valAx>
      <c:valAx>
        <c:axId val="177211648"/>
        <c:scaling>
          <c:orientation val="minMax"/>
        </c:scaling>
        <c:delete val="1"/>
        <c:axPos val="l"/>
        <c:majorGridlines/>
        <c:numFmt formatCode="General" sourceLinked="1"/>
        <c:tickLblPos val="none"/>
        <c:crossAx val="177209728"/>
        <c:crosses val="autoZero"/>
        <c:crossBetween val="midCat"/>
      </c:valAx>
      <c:spPr>
        <a:noFill/>
        <a:ln w="25369">
          <a:noFill/>
        </a:ln>
      </c:spPr>
    </c:plotArea>
    <c:plotVisOnly val="1"/>
    <c:dispBlanksAs val="gap"/>
  </c:chart>
  <c:spPr>
    <a:solidFill>
      <a:sysClr val="window" lastClr="FFFFFF"/>
    </a:solidFill>
    <a:ln w="25369" cap="flat" cmpd="sng" algn="ctr">
      <a:solidFill>
        <a:sysClr val="windowText" lastClr="000000"/>
      </a:solidFill>
      <a:prstDash val="solid"/>
    </a:ln>
    <a:effectLst/>
  </c:spPr>
  <c:txPr>
    <a:bodyPr/>
    <a:lstStyle/>
    <a:p>
      <a:pPr>
        <a:defRPr>
          <a:solidFill>
            <a:sysClr val="windowText" lastClr="000000"/>
          </a:solidFill>
          <a:latin typeface="+mn-lt"/>
          <a:ea typeface="+mn-ea"/>
          <a:cs typeface="+mn-cs"/>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246493529377518"/>
          <c:y val="4.1827981454745165E-2"/>
          <c:w val="0.8290363443854909"/>
          <c:h val="0.88269138180781548"/>
        </c:manualLayout>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5.00000000000001E-2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0.65000000000002911</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1.0509999999999518</c:v>
                </c:pt>
                <c:pt idx="2">
                  <c:v>1.105</c:v>
                </c:pt>
                <c:pt idx="3">
                  <c:v>1.163</c:v>
                </c:pt>
                <c:pt idx="4">
                  <c:v>1.224</c:v>
                </c:pt>
                <c:pt idx="5">
                  <c:v>1.290999999999948</c:v>
                </c:pt>
                <c:pt idx="6">
                  <c:v>1.3620000000000001</c:v>
                </c:pt>
                <c:pt idx="7">
                  <c:v>1.4409999999999343</c:v>
                </c:pt>
                <c:pt idx="8">
                  <c:v>1.528</c:v>
                </c:pt>
                <c:pt idx="9">
                  <c:v>1.623</c:v>
                </c:pt>
                <c:pt idx="10">
                  <c:v>1.7300000000000011</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5.00000000000001E-2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0.65000000000002911</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1.026</c:v>
                </c:pt>
                <c:pt idx="2">
                  <c:v>1.0580000000000001</c:v>
                </c:pt>
                <c:pt idx="3">
                  <c:v>1.0949</c:v>
                </c:pt>
                <c:pt idx="4">
                  <c:v>1.1377999999999475</c:v>
                </c:pt>
                <c:pt idx="5">
                  <c:v>1.1884999999999999</c:v>
                </c:pt>
                <c:pt idx="6">
                  <c:v>1.2486999999999473</c:v>
                </c:pt>
                <c:pt idx="7">
                  <c:v>1.3210999999999598</c:v>
                </c:pt>
                <c:pt idx="8">
                  <c:v>1.409199999999923</c:v>
                </c:pt>
                <c:pt idx="9">
                  <c:v>1.5178999999999276</c:v>
                </c:pt>
                <c:pt idx="10">
                  <c:v>1.6547000000000001</c:v>
                </c:pt>
                <c:pt idx="11">
                  <c:v>1.8304</c:v>
                </c:pt>
                <c:pt idx="12">
                  <c:v>2.0625</c:v>
                </c:pt>
                <c:pt idx="13">
                  <c:v>2.3797999999999977</c:v>
                </c:pt>
                <c:pt idx="14">
                  <c:v>2.8337999999999997</c:v>
                </c:pt>
                <c:pt idx="15">
                  <c:v>3.5236999999999998</c:v>
                </c:pt>
                <c:pt idx="16">
                  <c:v>4.6666999999999996</c:v>
                </c:pt>
                <c:pt idx="17">
                  <c:v>5.5556999999999999</c:v>
                </c:pt>
                <c:pt idx="18">
                  <c:v>6.8276999999999965</c:v>
                </c:pt>
                <c:pt idx="19">
                  <c:v>8.7623000000000015</c:v>
                </c:pt>
                <c:pt idx="20">
                  <c:v>11.97</c:v>
                </c:pt>
              </c:numCache>
            </c:numRef>
          </c:yVal>
          <c:smooth val="1"/>
        </c:ser>
        <c:axId val="201402240"/>
        <c:axId val="201403776"/>
      </c:scatterChart>
      <c:valAx>
        <c:axId val="201402240"/>
        <c:scaling>
          <c:orientation val="minMax"/>
        </c:scaling>
        <c:axPos val="b"/>
        <c:numFmt formatCode="General" sourceLinked="1"/>
        <c:tickLblPos val="nextTo"/>
        <c:txPr>
          <a:bodyPr rot="0" vert="horz"/>
          <a:lstStyle/>
          <a:p>
            <a:pPr>
              <a:defRPr sz="999" b="0" i="0" u="none" strike="noStrike" baseline="0">
                <a:solidFill>
                  <a:srgbClr val="000000"/>
                </a:solidFill>
                <a:latin typeface="Calibri"/>
                <a:ea typeface="Calibri"/>
                <a:cs typeface="Calibri"/>
              </a:defRPr>
            </a:pPr>
            <a:endParaRPr lang="en-US"/>
          </a:p>
        </c:txPr>
        <c:crossAx val="201403776"/>
        <c:crosses val="autoZero"/>
        <c:crossBetween val="midCat"/>
      </c:valAx>
      <c:valAx>
        <c:axId val="201403776"/>
        <c:scaling>
          <c:orientation val="minMax"/>
        </c:scaling>
        <c:axPos val="l"/>
        <c:majorGridlines/>
        <c:numFmt formatCode="General" sourceLinked="1"/>
        <c:tickLblPos val="nextTo"/>
        <c:crossAx val="201402240"/>
        <c:crosses val="autoZero"/>
        <c:crossBetween val="midCat"/>
      </c:valAx>
      <c:spPr>
        <a:noFill/>
        <a:ln w="25380">
          <a:noFill/>
        </a:ln>
      </c:spPr>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260741413985988"/>
          <c:y val="6.4978059847170103E-2"/>
          <c:w val="0.72377864042230977"/>
          <c:h val="0.70647015613870823"/>
        </c:manualLayout>
      </c:layout>
      <c:scatterChart>
        <c:scatterStyle val="lineMarker"/>
        <c:ser>
          <c:idx val="0"/>
          <c:order val="0"/>
          <c:tx>
            <c:strRef>
              <c:f>'Sheet1'!$B$1</c:f>
              <c:strCache>
                <c:ptCount val="1"/>
                <c:pt idx="0">
                  <c:v>km/sec</c:v>
                </c:pt>
              </c:strCache>
            </c:strRef>
          </c:tx>
          <c:spPr>
            <a:ln w="28575">
              <a:noFill/>
            </a:ln>
          </c:spPr>
          <c:trendline>
            <c:trendlineType val="poly"/>
            <c:order val="2"/>
          </c:trendline>
          <c:xVal>
            <c:numRef>
              <c:f>'Sheet1'!$A$2:$A$12</c:f>
              <c:numCache>
                <c:formatCode>General</c:formatCode>
                <c:ptCount val="11"/>
                <c:pt idx="0">
                  <c:v>1673</c:v>
                </c:pt>
                <c:pt idx="1">
                  <c:v>1706</c:v>
                </c:pt>
                <c:pt idx="2">
                  <c:v>1738</c:v>
                </c:pt>
                <c:pt idx="3">
                  <c:v>1759</c:v>
                </c:pt>
                <c:pt idx="4">
                  <c:v>1770</c:v>
                </c:pt>
                <c:pt idx="5">
                  <c:v>1771</c:v>
                </c:pt>
                <c:pt idx="6">
                  <c:v>1778</c:v>
                </c:pt>
                <c:pt idx="7">
                  <c:v>1785</c:v>
                </c:pt>
                <c:pt idx="8">
                  <c:v>1861</c:v>
                </c:pt>
                <c:pt idx="9">
                  <c:v>1877</c:v>
                </c:pt>
                <c:pt idx="10">
                  <c:v>1877</c:v>
                </c:pt>
              </c:numCache>
            </c:numRef>
          </c:xVal>
          <c:yVal>
            <c:numRef>
              <c:f>'Sheet1'!$B$2:$B$12</c:f>
              <c:numCache>
                <c:formatCode>#,##0</c:formatCode>
                <c:ptCount val="11"/>
                <c:pt idx="0">
                  <c:v>317700</c:v>
                </c:pt>
                <c:pt idx="1">
                  <c:v>311660</c:v>
                </c:pt>
                <c:pt idx="2">
                  <c:v>303320</c:v>
                </c:pt>
                <c:pt idx="3">
                  <c:v>303440</c:v>
                </c:pt>
                <c:pt idx="4">
                  <c:v>304060</c:v>
                </c:pt>
                <c:pt idx="5">
                  <c:v>302220</c:v>
                </c:pt>
                <c:pt idx="6">
                  <c:v>306870</c:v>
                </c:pt>
                <c:pt idx="7">
                  <c:v>307810</c:v>
                </c:pt>
                <c:pt idx="8">
                  <c:v>300050</c:v>
                </c:pt>
                <c:pt idx="9">
                  <c:v>300011</c:v>
                </c:pt>
                <c:pt idx="10">
                  <c:v>299921</c:v>
                </c:pt>
              </c:numCache>
            </c:numRef>
          </c:yVal>
        </c:ser>
        <c:axId val="147368576"/>
        <c:axId val="147378560"/>
      </c:scatterChart>
      <c:valAx>
        <c:axId val="147368576"/>
        <c:scaling>
          <c:orientation val="minMax"/>
        </c:scaling>
        <c:axPos val="b"/>
        <c:numFmt formatCode="General" sourceLinked="1"/>
        <c:tickLblPos val="nextTo"/>
        <c:crossAx val="147378560"/>
        <c:crosses val="autoZero"/>
        <c:crossBetween val="midCat"/>
      </c:valAx>
      <c:valAx>
        <c:axId val="147378560"/>
        <c:scaling>
          <c:orientation val="minMax"/>
        </c:scaling>
        <c:axPos val="l"/>
        <c:majorGridlines/>
        <c:numFmt formatCode="#,##0" sourceLinked="1"/>
        <c:tickLblPos val="nextTo"/>
        <c:crossAx val="147368576"/>
        <c:crosses val="autoZero"/>
        <c:crossBetween val="midCat"/>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wer"/>
          </c:trendline>
          <c:xVal>
            <c:numRef>
              <c:f>'Sheet1'!$A$2:$A$10</c:f>
              <c:numCache>
                <c:formatCode>General</c:formatCode>
                <c:ptCount val="9"/>
                <c:pt idx="0">
                  <c:v>1673</c:v>
                </c:pt>
                <c:pt idx="1">
                  <c:v>1706</c:v>
                </c:pt>
                <c:pt idx="2">
                  <c:v>1738</c:v>
                </c:pt>
                <c:pt idx="3">
                  <c:v>1759</c:v>
                </c:pt>
                <c:pt idx="4">
                  <c:v>1770</c:v>
                </c:pt>
                <c:pt idx="5">
                  <c:v>1771</c:v>
                </c:pt>
                <c:pt idx="6">
                  <c:v>1861</c:v>
                </c:pt>
                <c:pt idx="7">
                  <c:v>1877</c:v>
                </c:pt>
                <c:pt idx="8">
                  <c:v>1877</c:v>
                </c:pt>
              </c:numCache>
            </c:numRef>
          </c:xVal>
          <c:yVal>
            <c:numRef>
              <c:f>'Sheet1'!$B$2:$B$10</c:f>
              <c:numCache>
                <c:formatCode>#,##0</c:formatCode>
                <c:ptCount val="9"/>
                <c:pt idx="0">
                  <c:v>17910</c:v>
                </c:pt>
                <c:pt idx="1">
                  <c:v>11870</c:v>
                </c:pt>
                <c:pt idx="2">
                  <c:v>3530</c:v>
                </c:pt>
                <c:pt idx="3">
                  <c:v>3650</c:v>
                </c:pt>
                <c:pt idx="4">
                  <c:v>4270</c:v>
                </c:pt>
                <c:pt idx="5">
                  <c:v>2430</c:v>
                </c:pt>
                <c:pt idx="6" formatCode="General">
                  <c:v>260</c:v>
                </c:pt>
                <c:pt idx="7" formatCode="General">
                  <c:v>219</c:v>
                </c:pt>
                <c:pt idx="8" formatCode="General">
                  <c:v>129</c:v>
                </c:pt>
              </c:numCache>
            </c:numRef>
          </c:yVal>
        </c:ser>
        <c:axId val="147443712"/>
        <c:axId val="147445248"/>
      </c:scatterChart>
      <c:valAx>
        <c:axId val="147443712"/>
        <c:scaling>
          <c:orientation val="minMax"/>
        </c:scaling>
        <c:axPos val="b"/>
        <c:numFmt formatCode="General" sourceLinked="1"/>
        <c:tickLblPos val="nextTo"/>
        <c:crossAx val="147445248"/>
        <c:crosses val="autoZero"/>
        <c:crossBetween val="midCat"/>
      </c:valAx>
      <c:valAx>
        <c:axId val="147445248"/>
        <c:scaling>
          <c:orientation val="minMax"/>
        </c:scaling>
        <c:axPos val="l"/>
        <c:majorGridlines/>
        <c:numFmt formatCode="#,##0" sourceLinked="1"/>
        <c:tickLblPos val="nextTo"/>
        <c:crossAx val="147443712"/>
        <c:crosses val="autoZero"/>
        <c:crossBetween val="midCat"/>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147664256"/>
        <c:axId val="147666048"/>
      </c:scatterChart>
      <c:valAx>
        <c:axId val="147664256"/>
        <c:scaling>
          <c:orientation val="minMax"/>
        </c:scaling>
        <c:axPos val="b"/>
        <c:numFmt formatCode="General" sourceLinked="1"/>
        <c:tickLblPos val="nextTo"/>
        <c:crossAx val="147666048"/>
        <c:crosses val="autoZero"/>
        <c:crossBetween val="midCat"/>
      </c:valAx>
      <c:valAx>
        <c:axId val="147666048"/>
        <c:scaling>
          <c:orientation val="minMax"/>
        </c:scaling>
        <c:axPos val="l"/>
        <c:majorGridlines/>
        <c:numFmt formatCode="General" sourceLinked="1"/>
        <c:tickLblPos val="nextTo"/>
        <c:crossAx val="147664256"/>
        <c:crosses val="autoZero"/>
        <c:crossBetween val="midCat"/>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307867766529184"/>
          <c:y val="5.5932089093397433E-2"/>
          <c:w val="0.77304243219602276"/>
          <c:h val="0.91332473868980812"/>
        </c:manualLayout>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'Sheet1'!$A$2:$A$63</c:f>
              <c:numCache>
                <c:formatCode>General</c:formatCode>
                <c:ptCount val="62"/>
                <c:pt idx="0">
                  <c:v>1726.5</c:v>
                </c:pt>
                <c:pt idx="1">
                  <c:v>1726.5</c:v>
                </c:pt>
                <c:pt idx="2">
                  <c:v>1740</c:v>
                </c:pt>
                <c:pt idx="3">
                  <c:v>1783</c:v>
                </c:pt>
                <c:pt idx="4">
                  <c:v>1841</c:v>
                </c:pt>
                <c:pt idx="5">
                  <c:v>1841</c:v>
                </c:pt>
                <c:pt idx="6">
                  <c:v>1841</c:v>
                </c:pt>
                <c:pt idx="7">
                  <c:v>1843</c:v>
                </c:pt>
                <c:pt idx="8">
                  <c:v>1843</c:v>
                </c:pt>
                <c:pt idx="9">
                  <c:v>1858</c:v>
                </c:pt>
                <c:pt idx="10">
                  <c:v>1864.5</c:v>
                </c:pt>
                <c:pt idx="11">
                  <c:v>1868</c:v>
                </c:pt>
                <c:pt idx="12">
                  <c:v>1870</c:v>
                </c:pt>
                <c:pt idx="13">
                  <c:v>1873</c:v>
                </c:pt>
                <c:pt idx="14">
                  <c:v>1879.5</c:v>
                </c:pt>
                <c:pt idx="15">
                  <c:v>1880.5</c:v>
                </c:pt>
                <c:pt idx="16">
                  <c:v>1883</c:v>
                </c:pt>
                <c:pt idx="17">
                  <c:v>1884</c:v>
                </c:pt>
                <c:pt idx="18">
                  <c:v>1889.5</c:v>
                </c:pt>
                <c:pt idx="19">
                  <c:v>1889.5</c:v>
                </c:pt>
                <c:pt idx="20">
                  <c:v>1891.5</c:v>
                </c:pt>
                <c:pt idx="21">
                  <c:v>1891.5</c:v>
                </c:pt>
                <c:pt idx="22">
                  <c:v>1891.5</c:v>
                </c:pt>
                <c:pt idx="23">
                  <c:v>1891.5</c:v>
                </c:pt>
                <c:pt idx="24">
                  <c:v>1892.5</c:v>
                </c:pt>
                <c:pt idx="25">
                  <c:v>1893</c:v>
                </c:pt>
                <c:pt idx="26">
                  <c:v>1896</c:v>
                </c:pt>
                <c:pt idx="27">
                  <c:v>1896</c:v>
                </c:pt>
                <c:pt idx="28">
                  <c:v>1896</c:v>
                </c:pt>
                <c:pt idx="29">
                  <c:v>1896.5</c:v>
                </c:pt>
                <c:pt idx="30">
                  <c:v>1897</c:v>
                </c:pt>
                <c:pt idx="31">
                  <c:v>1898.5</c:v>
                </c:pt>
                <c:pt idx="32">
                  <c:v>1898.5</c:v>
                </c:pt>
                <c:pt idx="33">
                  <c:v>1900.5</c:v>
                </c:pt>
                <c:pt idx="34">
                  <c:v>1901.5</c:v>
                </c:pt>
                <c:pt idx="35">
                  <c:v>1901.5</c:v>
                </c:pt>
                <c:pt idx="36">
                  <c:v>1903</c:v>
                </c:pt>
                <c:pt idx="37">
                  <c:v>1904.5</c:v>
                </c:pt>
                <c:pt idx="38">
                  <c:v>1905</c:v>
                </c:pt>
                <c:pt idx="39">
                  <c:v>1905</c:v>
                </c:pt>
                <c:pt idx="40">
                  <c:v>1906</c:v>
                </c:pt>
                <c:pt idx="41">
                  <c:v>1906.5</c:v>
                </c:pt>
                <c:pt idx="42">
                  <c:v>1907</c:v>
                </c:pt>
                <c:pt idx="43">
                  <c:v>1907</c:v>
                </c:pt>
                <c:pt idx="44">
                  <c:v>1907.5</c:v>
                </c:pt>
                <c:pt idx="45">
                  <c:v>1907.5</c:v>
                </c:pt>
                <c:pt idx="46">
                  <c:v>1908</c:v>
                </c:pt>
                <c:pt idx="47">
                  <c:v>1908.5</c:v>
                </c:pt>
                <c:pt idx="48">
                  <c:v>1908.5</c:v>
                </c:pt>
                <c:pt idx="49">
                  <c:v>1909</c:v>
                </c:pt>
                <c:pt idx="50">
                  <c:v>1909.5</c:v>
                </c:pt>
                <c:pt idx="51">
                  <c:v>1909.5</c:v>
                </c:pt>
                <c:pt idx="52">
                  <c:v>1910</c:v>
                </c:pt>
                <c:pt idx="53">
                  <c:v>1914</c:v>
                </c:pt>
                <c:pt idx="54">
                  <c:v>1916</c:v>
                </c:pt>
                <c:pt idx="55">
                  <c:v>1922</c:v>
                </c:pt>
                <c:pt idx="56">
                  <c:v>1923.5</c:v>
                </c:pt>
                <c:pt idx="57">
                  <c:v>1926.5</c:v>
                </c:pt>
                <c:pt idx="58">
                  <c:v>1928</c:v>
                </c:pt>
                <c:pt idx="59">
                  <c:v>1930.5</c:v>
                </c:pt>
                <c:pt idx="60">
                  <c:v>1935</c:v>
                </c:pt>
                <c:pt idx="61">
                  <c:v>1935.5</c:v>
                </c:pt>
              </c:numCache>
            </c:numRef>
          </c:xVal>
          <c:yVal>
            <c:numRef>
              <c:f>'Sheet1'!$B$2:$B$63</c:f>
              <c:numCache>
                <c:formatCode>General</c:formatCode>
                <c:ptCount val="62"/>
                <c:pt idx="0">
                  <c:v>1630</c:v>
                </c:pt>
                <c:pt idx="1">
                  <c:v>1840</c:v>
                </c:pt>
                <c:pt idx="2">
                  <c:v>1080</c:v>
                </c:pt>
                <c:pt idx="3">
                  <c:v>890</c:v>
                </c:pt>
                <c:pt idx="4">
                  <c:v>960</c:v>
                </c:pt>
                <c:pt idx="5">
                  <c:v>700</c:v>
                </c:pt>
                <c:pt idx="6">
                  <c:v>770</c:v>
                </c:pt>
                <c:pt idx="7">
                  <c:v>360</c:v>
                </c:pt>
                <c:pt idx="8">
                  <c:v>190</c:v>
                </c:pt>
                <c:pt idx="9">
                  <c:v>230</c:v>
                </c:pt>
                <c:pt idx="10">
                  <c:v>300</c:v>
                </c:pt>
                <c:pt idx="11">
                  <c:v>670</c:v>
                </c:pt>
                <c:pt idx="12">
                  <c:v>410</c:v>
                </c:pt>
                <c:pt idx="13">
                  <c:v>10</c:v>
                </c:pt>
                <c:pt idx="14">
                  <c:v>-130</c:v>
                </c:pt>
                <c:pt idx="15">
                  <c:v>-90</c:v>
                </c:pt>
                <c:pt idx="16">
                  <c:v>280</c:v>
                </c:pt>
                <c:pt idx="17">
                  <c:v>270</c:v>
                </c:pt>
                <c:pt idx="18">
                  <c:v>300</c:v>
                </c:pt>
                <c:pt idx="19">
                  <c:v>300</c:v>
                </c:pt>
                <c:pt idx="20">
                  <c:v>600</c:v>
                </c:pt>
                <c:pt idx="21">
                  <c:v>60</c:v>
                </c:pt>
                <c:pt idx="22">
                  <c:v>70</c:v>
                </c:pt>
                <c:pt idx="23">
                  <c:v>60</c:v>
                </c:pt>
                <c:pt idx="24">
                  <c:v>520</c:v>
                </c:pt>
                <c:pt idx="25">
                  <c:v>450</c:v>
                </c:pt>
                <c:pt idx="26">
                  <c:v>590</c:v>
                </c:pt>
                <c:pt idx="27">
                  <c:v>590</c:v>
                </c:pt>
                <c:pt idx="28">
                  <c:v>260</c:v>
                </c:pt>
                <c:pt idx="29">
                  <c:v>600</c:v>
                </c:pt>
                <c:pt idx="30">
                  <c:v>580</c:v>
                </c:pt>
                <c:pt idx="31">
                  <c:v>600</c:v>
                </c:pt>
                <c:pt idx="32">
                  <c:v>170</c:v>
                </c:pt>
                <c:pt idx="33">
                  <c:v>-90</c:v>
                </c:pt>
                <c:pt idx="34">
                  <c:v>-30</c:v>
                </c:pt>
                <c:pt idx="35">
                  <c:v>-130</c:v>
                </c:pt>
                <c:pt idx="36">
                  <c:v>-210</c:v>
                </c:pt>
                <c:pt idx="37">
                  <c:v>680</c:v>
                </c:pt>
                <c:pt idx="38">
                  <c:v>510</c:v>
                </c:pt>
                <c:pt idx="39">
                  <c:v>140</c:v>
                </c:pt>
                <c:pt idx="40">
                  <c:v>190</c:v>
                </c:pt>
                <c:pt idx="41">
                  <c:v>80</c:v>
                </c:pt>
                <c:pt idx="42">
                  <c:v>100</c:v>
                </c:pt>
                <c:pt idx="43">
                  <c:v>-20</c:v>
                </c:pt>
                <c:pt idx="44">
                  <c:v>280</c:v>
                </c:pt>
                <c:pt idx="45">
                  <c:v>-210</c:v>
                </c:pt>
                <c:pt idx="46">
                  <c:v>60</c:v>
                </c:pt>
                <c:pt idx="47">
                  <c:v>-110</c:v>
                </c:pt>
                <c:pt idx="48">
                  <c:v>-160</c:v>
                </c:pt>
                <c:pt idx="49">
                  <c:v>-130</c:v>
                </c:pt>
                <c:pt idx="50">
                  <c:v>160</c:v>
                </c:pt>
                <c:pt idx="51">
                  <c:v>40</c:v>
                </c:pt>
                <c:pt idx="52">
                  <c:v>140</c:v>
                </c:pt>
                <c:pt idx="53">
                  <c:v>70</c:v>
                </c:pt>
                <c:pt idx="54">
                  <c:v>-50</c:v>
                </c:pt>
                <c:pt idx="55">
                  <c:v>-20</c:v>
                </c:pt>
                <c:pt idx="56">
                  <c:v>190</c:v>
                </c:pt>
                <c:pt idx="57">
                  <c:v>100</c:v>
                </c:pt>
                <c:pt idx="58">
                  <c:v>520</c:v>
                </c:pt>
                <c:pt idx="59">
                  <c:v>60</c:v>
                </c:pt>
                <c:pt idx="60">
                  <c:v>0</c:v>
                </c:pt>
                <c:pt idx="61">
                  <c:v>350</c:v>
                </c:pt>
              </c:numCache>
            </c:numRef>
          </c:yVal>
        </c:ser>
        <c:axId val="147718144"/>
        <c:axId val="147719680"/>
      </c:scatterChart>
      <c:valAx>
        <c:axId val="147718144"/>
        <c:scaling>
          <c:orientation val="minMax"/>
        </c:scaling>
        <c:axPos val="b"/>
        <c:numFmt formatCode="General" sourceLinked="1"/>
        <c:tickLblPos val="nextTo"/>
        <c:crossAx val="147719680"/>
        <c:crosses val="autoZero"/>
        <c:crossBetween val="midCat"/>
      </c:valAx>
      <c:valAx>
        <c:axId val="147719680"/>
        <c:scaling>
          <c:orientation val="minMax"/>
        </c:scaling>
        <c:axPos val="l"/>
        <c:majorGridlines/>
        <c:numFmt formatCode="General" sourceLinked="1"/>
        <c:tickLblPos val="nextTo"/>
        <c:crossAx val="147718144"/>
        <c:crosses val="autoZero"/>
        <c:crossBetween val="midCat"/>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xVal>
            <c:numRef>
              <c:f>'Sheet1'!$A$2:$A$15</c:f>
              <c:numCache>
                <c:formatCode>General</c:formatCode>
                <c:ptCount val="14"/>
                <c:pt idx="0">
                  <c:v>1849.5</c:v>
                </c:pt>
                <c:pt idx="1">
                  <c:v>1849.5</c:v>
                </c:pt>
                <c:pt idx="2">
                  <c:v>1855</c:v>
                </c:pt>
                <c:pt idx="3">
                  <c:v>1855</c:v>
                </c:pt>
                <c:pt idx="4">
                  <c:v>1872</c:v>
                </c:pt>
                <c:pt idx="5">
                  <c:v>1874.8</c:v>
                </c:pt>
                <c:pt idx="6">
                  <c:v>1874.8</c:v>
                </c:pt>
                <c:pt idx="7">
                  <c:v>1874.8</c:v>
                </c:pt>
                <c:pt idx="8">
                  <c:v>1880</c:v>
                </c:pt>
                <c:pt idx="9">
                  <c:v>1900.4</c:v>
                </c:pt>
                <c:pt idx="10">
                  <c:v>1900.4</c:v>
                </c:pt>
                <c:pt idx="11">
                  <c:v>1901.4</c:v>
                </c:pt>
                <c:pt idx="12">
                  <c:v>1902.4</c:v>
                </c:pt>
                <c:pt idx="13">
                  <c:v>1902.4</c:v>
                </c:pt>
              </c:numCache>
            </c:numRef>
          </c:xVal>
          <c:yVal>
            <c:numRef>
              <c:f>'Sheet1'!$B$2:$B$15</c:f>
              <c:numCache>
                <c:formatCode>#,##0</c:formatCode>
                <c:ptCount val="14"/>
                <c:pt idx="0">
                  <c:v>315300</c:v>
                </c:pt>
                <c:pt idx="1">
                  <c:v>313300</c:v>
                </c:pt>
                <c:pt idx="2">
                  <c:v>305650</c:v>
                </c:pt>
                <c:pt idx="3">
                  <c:v>298000</c:v>
                </c:pt>
                <c:pt idx="4">
                  <c:v>298500</c:v>
                </c:pt>
                <c:pt idx="5">
                  <c:v>300400</c:v>
                </c:pt>
                <c:pt idx="6">
                  <c:v>299990</c:v>
                </c:pt>
                <c:pt idx="7">
                  <c:v>299900</c:v>
                </c:pt>
                <c:pt idx="8">
                  <c:v>301382</c:v>
                </c:pt>
                <c:pt idx="9">
                  <c:v>300032</c:v>
                </c:pt>
                <c:pt idx="10">
                  <c:v>299900</c:v>
                </c:pt>
                <c:pt idx="11">
                  <c:v>299880</c:v>
                </c:pt>
                <c:pt idx="12">
                  <c:v>299860</c:v>
                </c:pt>
                <c:pt idx="13">
                  <c:v>299901</c:v>
                </c:pt>
              </c:numCache>
            </c:numRef>
          </c:yVal>
        </c:ser>
        <c:axId val="147735680"/>
        <c:axId val="147737216"/>
      </c:scatterChart>
      <c:valAx>
        <c:axId val="147735680"/>
        <c:scaling>
          <c:orientation val="minMax"/>
        </c:scaling>
        <c:axPos val="b"/>
        <c:numFmt formatCode="General" sourceLinked="1"/>
        <c:tickLblPos val="nextTo"/>
        <c:crossAx val="147737216"/>
        <c:crosses val="autoZero"/>
        <c:crossBetween val="midCat"/>
      </c:valAx>
      <c:valAx>
        <c:axId val="147737216"/>
        <c:scaling>
          <c:orientation val="minMax"/>
        </c:scaling>
        <c:axPos val="l"/>
        <c:majorGridlines/>
        <c:numFmt formatCode="#,##0" sourceLinked="1"/>
        <c:tickLblPos val="nextTo"/>
        <c:crossAx val="147735680"/>
        <c:crosses val="autoZero"/>
        <c:crossBetween val="midCat"/>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trendline>
            <c:trendlineType val="linear"/>
          </c:trendline>
          <c:xVal>
            <c:numRef>
              <c:f>'Sheet1'!$A$2:$A$11</c:f>
              <c:numCache>
                <c:formatCode>General</c:formatCode>
                <c:ptCount val="10"/>
                <c:pt idx="0">
                  <c:v>1855</c:v>
                </c:pt>
                <c:pt idx="1">
                  <c:v>1874.8</c:v>
                </c:pt>
                <c:pt idx="2">
                  <c:v>1874.8</c:v>
                </c:pt>
                <c:pt idx="3">
                  <c:v>1874.8</c:v>
                </c:pt>
                <c:pt idx="4">
                  <c:v>1880</c:v>
                </c:pt>
                <c:pt idx="5">
                  <c:v>1900.4</c:v>
                </c:pt>
                <c:pt idx="6">
                  <c:v>1900.4</c:v>
                </c:pt>
                <c:pt idx="7">
                  <c:v>1901.4</c:v>
                </c:pt>
                <c:pt idx="8">
                  <c:v>1902.4</c:v>
                </c:pt>
                <c:pt idx="9">
                  <c:v>1902.4</c:v>
                </c:pt>
              </c:numCache>
            </c:numRef>
          </c:xVal>
          <c:yVal>
            <c:numRef>
              <c:f>'Sheet1'!$B$2:$B$11</c:f>
              <c:numCache>
                <c:formatCode>#,##0</c:formatCode>
                <c:ptCount val="10"/>
                <c:pt idx="0">
                  <c:v>305650</c:v>
                </c:pt>
                <c:pt idx="1">
                  <c:v>300400</c:v>
                </c:pt>
                <c:pt idx="2">
                  <c:v>299990</c:v>
                </c:pt>
                <c:pt idx="3">
                  <c:v>299900</c:v>
                </c:pt>
                <c:pt idx="4">
                  <c:v>301382</c:v>
                </c:pt>
                <c:pt idx="5">
                  <c:v>300032</c:v>
                </c:pt>
                <c:pt idx="6">
                  <c:v>299900</c:v>
                </c:pt>
                <c:pt idx="7">
                  <c:v>299880</c:v>
                </c:pt>
                <c:pt idx="8">
                  <c:v>299860</c:v>
                </c:pt>
                <c:pt idx="9">
                  <c:v>299901</c:v>
                </c:pt>
              </c:numCache>
            </c:numRef>
          </c:yVal>
        </c:ser>
        <c:axId val="148966400"/>
        <c:axId val="148972288"/>
      </c:scatterChart>
      <c:valAx>
        <c:axId val="148966400"/>
        <c:scaling>
          <c:orientation val="minMax"/>
        </c:scaling>
        <c:axPos val="b"/>
        <c:numFmt formatCode="General" sourceLinked="1"/>
        <c:tickLblPos val="nextTo"/>
        <c:crossAx val="148972288"/>
        <c:crosses val="autoZero"/>
        <c:crossBetween val="midCat"/>
      </c:valAx>
      <c:valAx>
        <c:axId val="148972288"/>
        <c:scaling>
          <c:orientation val="minMax"/>
        </c:scaling>
        <c:axPos val="l"/>
        <c:majorGridlines/>
        <c:numFmt formatCode="#,##0" sourceLinked="1"/>
        <c:tickLblPos val="nextTo"/>
        <c:crossAx val="148966400"/>
        <c:crosses val="autoZero"/>
        <c:crossBetween val="midCat"/>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'Sheet1'!$A$2:$A$9</c:f>
              <c:numCache>
                <c:formatCode>General</c:formatCode>
                <c:ptCount val="8"/>
                <c:pt idx="0">
                  <c:v>1878</c:v>
                </c:pt>
                <c:pt idx="1">
                  <c:v>1879.5</c:v>
                </c:pt>
                <c:pt idx="2">
                  <c:v>1881.8</c:v>
                </c:pt>
                <c:pt idx="3">
                  <c:v>1882.7</c:v>
                </c:pt>
                <c:pt idx="4">
                  <c:v>1882.8</c:v>
                </c:pt>
                <c:pt idx="5">
                  <c:v>1924.6</c:v>
                </c:pt>
                <c:pt idx="6">
                  <c:v>1926.5</c:v>
                </c:pt>
                <c:pt idx="7">
                  <c:v>1932.5</c:v>
                </c:pt>
              </c:numCache>
            </c:numRef>
          </c:xVal>
          <c:yVal>
            <c:numRef>
              <c:f>'Sheet1'!$B$2:$B$9</c:f>
              <c:numCache>
                <c:formatCode>#,##0</c:formatCode>
                <c:ptCount val="8"/>
                <c:pt idx="0">
                  <c:v>300140</c:v>
                </c:pt>
                <c:pt idx="1">
                  <c:v>299910</c:v>
                </c:pt>
                <c:pt idx="2">
                  <c:v>299810</c:v>
                </c:pt>
                <c:pt idx="3">
                  <c:v>299860</c:v>
                </c:pt>
                <c:pt idx="4">
                  <c:v>299853</c:v>
                </c:pt>
                <c:pt idx="5">
                  <c:v>299802</c:v>
                </c:pt>
                <c:pt idx="6">
                  <c:v>299798</c:v>
                </c:pt>
                <c:pt idx="7">
                  <c:v>299774</c:v>
                </c:pt>
              </c:numCache>
            </c:numRef>
          </c:yVal>
        </c:ser>
        <c:axId val="148980096"/>
        <c:axId val="148981632"/>
      </c:scatterChart>
      <c:valAx>
        <c:axId val="148980096"/>
        <c:scaling>
          <c:orientation val="minMax"/>
        </c:scaling>
        <c:axPos val="b"/>
        <c:numFmt formatCode="General" sourceLinked="1"/>
        <c:tickLblPos val="nextTo"/>
        <c:crossAx val="148981632"/>
        <c:crosses val="autoZero"/>
        <c:crossBetween val="midCat"/>
      </c:valAx>
      <c:valAx>
        <c:axId val="148981632"/>
        <c:scaling>
          <c:orientation val="minMax"/>
        </c:scaling>
        <c:axPos val="l"/>
        <c:majorGridlines/>
        <c:numFmt formatCode="#,##0" sourceLinked="1"/>
        <c:tickLblPos val="nextTo"/>
        <c:crossAx val="148980096"/>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CD626C22-D73B-420B-BEAE-2C2E3D1A2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1305</TotalTime>
  <Pages>465</Pages>
  <Words>213407</Words>
  <Characters>1216420</Characters>
  <Application>Microsoft Office Word</Application>
  <DocSecurity>0</DocSecurity>
  <Lines>10136</Lines>
  <Paragraphs>2853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1426974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Barry</dc:creator>
  <cp:lastModifiedBy>Barry</cp:lastModifiedBy>
  <cp:revision>66</cp:revision>
  <dcterms:created xsi:type="dcterms:W3CDTF">2013-08-16T02:51:00Z</dcterms:created>
  <dcterms:modified xsi:type="dcterms:W3CDTF">2013-08-17T01:25:00Z</dcterms:modified>
</cp:coreProperties>
</file>